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72" w:lineRule="exact"/>
        <w:rPr>
          <w:sz w:val="24"/>
          <w:szCs w:val="24"/>
          <w:color w:val="auto"/>
        </w:rPr>
      </w:pPr>
    </w:p>
    <w:p>
      <w:pPr>
        <w:ind w:left="4360" w:right="2100" w:hanging="4352"/>
        <w:spacing w:after="0" w:line="302" w:lineRule="auto"/>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7"/>
          <w:szCs w:val="17"/>
          <w:b w:val="1"/>
          <w:bCs w:val="1"/>
          <w:color w:val="auto"/>
        </w:rPr>
        <w:t>For the fiscal year ended December 31, 2019</w:t>
      </w:r>
    </w:p>
    <w:p>
      <w:pPr>
        <w:ind w:left="5640"/>
        <w:spacing w:after="0"/>
        <w:rPr>
          <w:rFonts w:ascii="MS PGothic" w:cs="MS PGothic" w:eastAsia="MS PGothic" w:hAnsi="MS PGothic"/>
          <w:sz w:val="18"/>
          <w:szCs w:val="18"/>
          <w:color w:val="auto"/>
          <w:highlight w:val="black"/>
        </w:rPr>
      </w:pPr>
      <w:r>
        <w:rPr>
          <w:rFonts w:ascii="Arial" w:cs="Arial" w:eastAsia="Arial" w:hAnsi="Arial"/>
          <w:sz w:val="17"/>
          <w:szCs w:val="17"/>
          <w:b w:val="1"/>
          <w:bCs w:val="1"/>
          <w:color w:val="auto"/>
        </w:rPr>
        <w:t>or</w:t>
      </w:r>
    </w:p>
    <w:p>
      <w:pPr>
        <w:spacing w:after="0" w:line="67" w:lineRule="exact"/>
        <w:rPr>
          <w:sz w:val="24"/>
          <w:szCs w:val="24"/>
          <w:color w:val="auto"/>
        </w:rPr>
      </w:pPr>
    </w:p>
    <w:p>
      <w:pPr>
        <w:ind w:left="4420" w:right="1740" w:hanging="4412"/>
        <w:spacing w:after="0" w:line="324" w:lineRule="auto"/>
        <w:tabs>
          <w:tab w:leader="none" w:pos="51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7"/>
          <w:szCs w:val="17"/>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17145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79" w:lineRule="exact"/>
        <w:rPr>
          <w:sz w:val="24"/>
          <w:szCs w:val="24"/>
          <w:color w:val="auto"/>
        </w:rPr>
      </w:pPr>
    </w:p>
    <w:tbl>
      <w:tblPr>
        <w:tblLayout w:type="fixed"/>
        <w:tblInd w:w="10" w:type="dxa"/>
        <w:tblCellMar>
          <w:top w:w="0" w:type="dxa"/>
          <w:left w:w="0" w:type="dxa"/>
          <w:bottom w:w="0" w:type="dxa"/>
          <w:right w:w="0" w:type="dxa"/>
        </w:tblCellMar>
      </w:tblPr>
      <w:tr>
        <w:trPr>
          <w:trHeight w:val="222"/>
        </w:trPr>
        <w:tc>
          <w:tcPr>
            <w:tcW w:w="8040" w:type="dxa"/>
            <w:vAlign w:val="bottom"/>
            <w:gridSpan w:val="5"/>
          </w:tcPr>
          <w:p>
            <w:pPr>
              <w:jc w:val="center"/>
              <w:ind w:left="3300"/>
              <w:spacing w:after="0"/>
              <w:rPr>
                <w:sz w:val="20"/>
                <w:szCs w:val="20"/>
                <w:color w:val="auto"/>
              </w:rPr>
            </w:pPr>
            <w:r>
              <w:rPr>
                <w:rFonts w:ascii="Arial" w:cs="Arial" w:eastAsia="Arial" w:hAnsi="Arial"/>
                <w:sz w:val="17"/>
                <w:szCs w:val="17"/>
                <w:b w:val="1"/>
                <w:bCs w:val="1"/>
                <w:color w:val="auto"/>
                <w:w w:val="91"/>
              </w:rPr>
              <w:t>(Exact Name of Registrant as Specified in Its Charter)</w:t>
            </w:r>
          </w:p>
        </w:tc>
        <w:tc>
          <w:tcPr>
            <w:tcW w:w="8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80" w:type="dxa"/>
            <w:vAlign w:val="bottom"/>
            <w:gridSpan w:val="2"/>
          </w:tcPr>
          <w:p>
            <w:pPr>
              <w:jc w:val="center"/>
              <w:ind w:left="1060"/>
              <w:spacing w:after="0"/>
              <w:rPr>
                <w:sz w:val="20"/>
                <w:szCs w:val="20"/>
                <w:color w:val="auto"/>
              </w:rPr>
            </w:pPr>
            <w:r>
              <w:rPr>
                <w:rFonts w:ascii="Arial" w:cs="Arial" w:eastAsia="Arial" w:hAnsi="Arial"/>
                <w:sz w:val="17"/>
                <w:szCs w:val="17"/>
                <w:b w:val="1"/>
                <w:bCs w:val="1"/>
                <w:color w:val="auto"/>
                <w:w w:val="91"/>
              </w:rPr>
              <w:t>Delaware</w:t>
            </w:r>
          </w:p>
        </w:tc>
        <w:tc>
          <w:tcPr>
            <w:tcW w:w="2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80" w:type="dxa"/>
            <w:vAlign w:val="bottom"/>
            <w:gridSpan w:val="2"/>
          </w:tcPr>
          <w:p>
            <w:pPr>
              <w:jc w:val="right"/>
              <w:ind w:right="2355"/>
              <w:spacing w:after="0"/>
              <w:rPr>
                <w:sz w:val="20"/>
                <w:szCs w:val="20"/>
                <w:color w:val="auto"/>
              </w:rPr>
            </w:pPr>
            <w:r>
              <w:rPr>
                <w:rFonts w:ascii="Arial" w:cs="Arial" w:eastAsia="Arial" w:hAnsi="Arial"/>
                <w:sz w:val="17"/>
                <w:szCs w:val="17"/>
                <w:b w:val="1"/>
                <w:bCs w:val="1"/>
                <w:color w:val="auto"/>
              </w:rPr>
              <w:t>27-3380000</w:t>
            </w:r>
          </w:p>
        </w:tc>
        <w:tc>
          <w:tcPr>
            <w:tcW w:w="0" w:type="dxa"/>
            <w:vAlign w:val="bottom"/>
          </w:tcPr>
          <w:p>
            <w:pPr>
              <w:spacing w:after="0"/>
              <w:rPr>
                <w:sz w:val="1"/>
                <w:szCs w:val="1"/>
                <w:color w:val="auto"/>
              </w:rPr>
            </w:pPr>
          </w:p>
        </w:tc>
      </w:tr>
      <w:tr>
        <w:trPr>
          <w:trHeight w:val="149"/>
        </w:trPr>
        <w:tc>
          <w:tcPr>
            <w:tcW w:w="4580" w:type="dxa"/>
            <w:vAlign w:val="bottom"/>
            <w:gridSpan w:val="2"/>
          </w:tcPr>
          <w:p>
            <w:pPr>
              <w:jc w:val="center"/>
              <w:ind w:left="106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80" w:type="dxa"/>
            <w:vAlign w:val="bottom"/>
            <w:gridSpan w:val="2"/>
          </w:tcPr>
          <w:p>
            <w:pPr>
              <w:jc w:val="center"/>
              <w:ind w:right="2235"/>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4580" w:type="dxa"/>
            <w:vAlign w:val="bottom"/>
            <w:gridSpan w:val="2"/>
          </w:tcPr>
          <w:p>
            <w:pPr>
              <w:jc w:val="center"/>
              <w:ind w:left="1060"/>
              <w:spacing w:after="0"/>
              <w:rPr>
                <w:sz w:val="20"/>
                <w:szCs w:val="20"/>
                <w:color w:val="auto"/>
              </w:rPr>
            </w:pPr>
            <w:r>
              <w:rPr>
                <w:rFonts w:ascii="Arial" w:cs="Arial" w:eastAsia="Arial" w:hAnsi="Arial"/>
                <w:sz w:val="14"/>
                <w:szCs w:val="14"/>
                <w:b w:val="1"/>
                <w:bCs w:val="1"/>
                <w:color w:val="auto"/>
                <w:w w:val="88"/>
              </w:rPr>
              <w:t>incorporation or organization)</w:t>
            </w:r>
          </w:p>
        </w:tc>
        <w:tc>
          <w:tcPr>
            <w:tcW w:w="2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80" w:type="dxa"/>
            <w:vAlign w:val="bottom"/>
            <w:gridSpan w:val="2"/>
          </w:tcPr>
          <w:p>
            <w:pPr>
              <w:jc w:val="center"/>
              <w:ind w:right="2235"/>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233"/>
        </w:trPr>
        <w:tc>
          <w:tcPr>
            <w:tcW w:w="4580" w:type="dxa"/>
            <w:vAlign w:val="bottom"/>
            <w:gridSpan w:val="2"/>
          </w:tcPr>
          <w:p>
            <w:pPr>
              <w:jc w:val="center"/>
              <w:ind w:left="1080"/>
              <w:spacing w:after="0"/>
              <w:rPr>
                <w:sz w:val="20"/>
                <w:szCs w:val="20"/>
                <w:color w:val="auto"/>
              </w:rPr>
            </w:pPr>
            <w:r>
              <w:rPr>
                <w:rFonts w:ascii="Arial" w:cs="Arial" w:eastAsia="Arial" w:hAnsi="Arial"/>
                <w:sz w:val="17"/>
                <w:szCs w:val="17"/>
                <w:b w:val="1"/>
                <w:bCs w:val="1"/>
                <w:color w:val="auto"/>
                <w:w w:val="91"/>
              </w:rPr>
              <w:t>2100 McKinney Avenue, Suite 1500,</w:t>
            </w:r>
          </w:p>
        </w:tc>
        <w:tc>
          <w:tcPr>
            <w:tcW w:w="2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580" w:type="dxa"/>
            <w:vAlign w:val="bottom"/>
            <w:gridSpan w:val="2"/>
          </w:tcPr>
          <w:p>
            <w:pPr>
              <w:jc w:val="center"/>
              <w:ind w:left="1080"/>
              <w:spacing w:after="0"/>
              <w:rPr>
                <w:sz w:val="20"/>
                <w:szCs w:val="20"/>
                <w:color w:val="auto"/>
              </w:rPr>
            </w:pPr>
            <w:r>
              <w:rPr>
                <w:rFonts w:ascii="Arial" w:cs="Arial" w:eastAsia="Arial" w:hAnsi="Arial"/>
                <w:sz w:val="17"/>
                <w:szCs w:val="17"/>
                <w:b w:val="1"/>
                <w:bCs w:val="1"/>
                <w:color w:val="auto"/>
                <w:w w:val="95"/>
              </w:rPr>
              <w:t>Dallas, TX</w:t>
            </w:r>
          </w:p>
        </w:tc>
        <w:tc>
          <w:tcPr>
            <w:tcW w:w="2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63"/>
              <w:spacing w:after="0"/>
              <w:rPr>
                <w:sz w:val="20"/>
                <w:szCs w:val="20"/>
                <w:color w:val="auto"/>
              </w:rPr>
            </w:pPr>
            <w:r>
              <w:rPr>
                <w:rFonts w:ascii="Arial" w:cs="Arial" w:eastAsia="Arial" w:hAnsi="Arial"/>
                <w:sz w:val="17"/>
                <w:szCs w:val="17"/>
                <w:b w:val="1"/>
                <w:bCs w:val="1"/>
                <w:color w:val="auto"/>
              </w:rPr>
              <w:t>75201</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580" w:type="dxa"/>
            <w:vAlign w:val="bottom"/>
            <w:gridSpan w:val="2"/>
          </w:tcPr>
          <w:p>
            <w:pPr>
              <w:jc w:val="center"/>
              <w:ind w:left="106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center"/>
              <w:ind w:left="103"/>
              <w:spacing w:after="0"/>
              <w:rPr>
                <w:sz w:val="20"/>
                <w:szCs w:val="20"/>
                <w:color w:val="auto"/>
              </w:rPr>
            </w:pPr>
            <w:r>
              <w:rPr>
                <w:rFonts w:ascii="Arial" w:cs="Arial" w:eastAsia="Arial" w:hAnsi="Arial"/>
                <w:sz w:val="14"/>
                <w:szCs w:val="14"/>
                <w:b w:val="1"/>
                <w:bCs w:val="1"/>
                <w:color w:val="auto"/>
                <w:w w:val="89"/>
              </w:rPr>
              <w:t>(Zip Code)</w:t>
            </w: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920" w:type="dxa"/>
            <w:vAlign w:val="bottom"/>
            <w:gridSpan w:val="6"/>
          </w:tcPr>
          <w:p>
            <w:pPr>
              <w:jc w:val="center"/>
              <w:ind w:left="2440"/>
              <w:spacing w:after="0"/>
              <w:rPr>
                <w:sz w:val="20"/>
                <w:szCs w:val="20"/>
                <w:color w:val="auto"/>
              </w:rPr>
            </w:pPr>
            <w:r>
              <w:rPr>
                <w:rFonts w:ascii="Arial" w:cs="Arial" w:eastAsia="Arial" w:hAnsi="Arial"/>
                <w:sz w:val="17"/>
                <w:szCs w:val="17"/>
                <w:b w:val="1"/>
                <w:bCs w:val="1"/>
                <w:color w:val="auto"/>
                <w:w w:val="90"/>
              </w:rPr>
              <w:t>Registrant’s Telephone Number, Including Area Code: (469) 621-3001</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40" w:type="dxa"/>
            <w:vAlign w:val="bottom"/>
            <w:gridSpan w:val="5"/>
          </w:tcPr>
          <w:p>
            <w:pPr>
              <w:jc w:val="center"/>
              <w:ind w:left="3300"/>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8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38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8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2"/>
              </w:rPr>
              <w:t>Title of each class</w:t>
            </w:r>
          </w:p>
        </w:tc>
        <w:tc>
          <w:tcPr>
            <w:tcW w:w="740" w:type="dxa"/>
            <w:vAlign w:val="bottom"/>
            <w:tcBorders>
              <w:bottom w:val="single" w:sz="8" w:color="auto"/>
            </w:tcBorders>
          </w:tcPr>
          <w:p>
            <w:pPr>
              <w:spacing w:after="0"/>
              <w:rPr>
                <w:sz w:val="12"/>
                <w:szCs w:val="12"/>
                <w:color w:val="auto"/>
              </w:rPr>
            </w:pPr>
          </w:p>
        </w:tc>
        <w:tc>
          <w:tcPr>
            <w:tcW w:w="3060" w:type="dxa"/>
            <w:vAlign w:val="bottom"/>
            <w:tcBorders>
              <w:bottom w:val="single" w:sz="8" w:color="auto"/>
              <w:right w:val="single" w:sz="8" w:color="auto"/>
            </w:tcBorders>
            <w:gridSpan w:val="2"/>
          </w:tcPr>
          <w:p>
            <w:pPr>
              <w:jc w:val="center"/>
              <w:ind w:right="780"/>
              <w:spacing w:after="0" w:line="142" w:lineRule="exact"/>
              <w:rPr>
                <w:sz w:val="20"/>
                <w:szCs w:val="20"/>
                <w:color w:val="auto"/>
              </w:rPr>
            </w:pPr>
            <w:r>
              <w:rPr>
                <w:rFonts w:ascii="Arial" w:cs="Arial" w:eastAsia="Arial" w:hAnsi="Arial"/>
                <w:sz w:val="14"/>
                <w:szCs w:val="14"/>
                <w:b w:val="1"/>
                <w:bCs w:val="1"/>
                <w:color w:val="auto"/>
                <w:w w:val="87"/>
              </w:rPr>
              <w:t>Trading Symbol(s)</w:t>
            </w:r>
          </w:p>
        </w:tc>
        <w:tc>
          <w:tcPr>
            <w:tcW w:w="400" w:type="dxa"/>
            <w:vAlign w:val="bottom"/>
            <w:tcBorders>
              <w:bottom w:val="single" w:sz="8" w:color="auto"/>
            </w:tcBorders>
          </w:tcPr>
          <w:p>
            <w:pPr>
              <w:spacing w:after="0"/>
              <w:rPr>
                <w:sz w:val="12"/>
                <w:szCs w:val="12"/>
                <w:color w:val="auto"/>
              </w:rPr>
            </w:pPr>
          </w:p>
        </w:tc>
        <w:tc>
          <w:tcPr>
            <w:tcW w:w="3380" w:type="dxa"/>
            <w:vAlign w:val="bottom"/>
            <w:tcBorders>
              <w:bottom w:val="single" w:sz="8" w:color="auto"/>
              <w:right w:val="single" w:sz="8" w:color="auto"/>
            </w:tcBorders>
            <w:gridSpan w:val="2"/>
          </w:tcPr>
          <w:p>
            <w:pPr>
              <w:jc w:val="center"/>
              <w:ind w:right="355"/>
              <w:spacing w:after="0" w:line="142" w:lineRule="exact"/>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48"/>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Common Stock, par value $0.01 per share</w:t>
            </w:r>
          </w:p>
        </w:tc>
        <w:tc>
          <w:tcPr>
            <w:tcW w:w="740" w:type="dxa"/>
            <w:vAlign w:val="bottom"/>
            <w:tcBorders>
              <w:bottom w:val="single" w:sz="8" w:color="auto"/>
            </w:tcBorders>
          </w:tcPr>
          <w:p>
            <w:pPr>
              <w:spacing w:after="0"/>
              <w:rPr>
                <w:sz w:val="21"/>
                <w:szCs w:val="21"/>
                <w:color w:val="auto"/>
              </w:rPr>
            </w:pPr>
          </w:p>
        </w:tc>
        <w:tc>
          <w:tcPr>
            <w:tcW w:w="3060" w:type="dxa"/>
            <w:vAlign w:val="bottom"/>
            <w:tcBorders>
              <w:bottom w:val="single" w:sz="8" w:color="auto"/>
              <w:right w:val="single" w:sz="8" w:color="auto"/>
            </w:tcBorders>
            <w:gridSpan w:val="2"/>
          </w:tcPr>
          <w:p>
            <w:pPr>
              <w:jc w:val="center"/>
              <w:ind w:right="780"/>
              <w:spacing w:after="0"/>
              <w:rPr>
                <w:sz w:val="20"/>
                <w:szCs w:val="20"/>
                <w:color w:val="auto"/>
              </w:rPr>
            </w:pPr>
            <w:r>
              <w:rPr>
                <w:rFonts w:ascii="Arial" w:cs="Arial" w:eastAsia="Arial" w:hAnsi="Arial"/>
                <w:sz w:val="17"/>
                <w:szCs w:val="17"/>
                <w:b w:val="1"/>
                <w:bCs w:val="1"/>
                <w:color w:val="auto"/>
              </w:rPr>
              <w:t>TSLX</w:t>
            </w:r>
          </w:p>
        </w:tc>
        <w:tc>
          <w:tcPr>
            <w:tcW w:w="400" w:type="dxa"/>
            <w:vAlign w:val="bottom"/>
            <w:tcBorders>
              <w:bottom w:val="single" w:sz="8" w:color="auto"/>
            </w:tcBorders>
          </w:tcPr>
          <w:p>
            <w:pPr>
              <w:spacing w:after="0"/>
              <w:rPr>
                <w:sz w:val="21"/>
                <w:szCs w:val="21"/>
                <w:color w:val="auto"/>
              </w:rPr>
            </w:pPr>
          </w:p>
        </w:tc>
        <w:tc>
          <w:tcPr>
            <w:tcW w:w="3380" w:type="dxa"/>
            <w:vAlign w:val="bottom"/>
            <w:tcBorders>
              <w:bottom w:val="single" w:sz="8" w:color="auto"/>
              <w:right w:val="single" w:sz="8" w:color="auto"/>
            </w:tcBorders>
            <w:gridSpan w:val="2"/>
          </w:tcPr>
          <w:p>
            <w:pPr>
              <w:jc w:val="center"/>
              <w:ind w:right="355"/>
              <w:spacing w:after="0"/>
              <w:rPr>
                <w:sz w:val="20"/>
                <w:szCs w:val="20"/>
                <w:color w:val="auto"/>
              </w:rPr>
            </w:pPr>
            <w:r>
              <w:rPr>
                <w:rFonts w:ascii="Arial" w:cs="Arial" w:eastAsia="Arial" w:hAnsi="Arial"/>
                <w:sz w:val="17"/>
                <w:szCs w:val="17"/>
                <w:b w:val="1"/>
                <w:bCs w:val="1"/>
                <w:color w:val="auto"/>
                <w:w w:val="90"/>
              </w:rPr>
              <w:t>The New York Stock Exchange</w:t>
            </w:r>
          </w:p>
        </w:tc>
        <w:tc>
          <w:tcPr>
            <w:tcW w:w="0" w:type="dxa"/>
            <w:vAlign w:val="bottom"/>
          </w:tcPr>
          <w:p>
            <w:pPr>
              <w:spacing w:after="0"/>
              <w:rPr>
                <w:sz w:val="1"/>
                <w:szCs w:val="1"/>
                <w:color w:val="auto"/>
              </w:rPr>
            </w:pPr>
          </w:p>
        </w:tc>
      </w:tr>
      <w:tr>
        <w:trPr>
          <w:trHeight w:val="248"/>
        </w:trPr>
        <w:tc>
          <w:tcPr>
            <w:tcW w:w="8040" w:type="dxa"/>
            <w:vAlign w:val="bottom"/>
            <w:gridSpan w:val="5"/>
          </w:tcPr>
          <w:p>
            <w:pPr>
              <w:jc w:val="center"/>
              <w:ind w:left="3300"/>
              <w:spacing w:after="0"/>
              <w:rPr>
                <w:sz w:val="20"/>
                <w:szCs w:val="20"/>
                <w:color w:val="auto"/>
              </w:rPr>
            </w:pPr>
            <w:r>
              <w:rPr>
                <w:rFonts w:ascii="Arial" w:cs="Arial" w:eastAsia="Arial" w:hAnsi="Arial"/>
                <w:sz w:val="17"/>
                <w:szCs w:val="17"/>
                <w:b w:val="1"/>
                <w:bCs w:val="1"/>
                <w:color w:val="auto"/>
                <w:w w:val="89"/>
              </w:rPr>
              <w:t>Securities registered pursuant to Section 12(g) of the Act:</w:t>
            </w:r>
          </w:p>
        </w:tc>
        <w:tc>
          <w:tcPr>
            <w:tcW w:w="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60" w:type="dxa"/>
            <w:vAlign w:val="bottom"/>
            <w:gridSpan w:val="3"/>
          </w:tcPr>
          <w:p>
            <w:pPr>
              <w:jc w:val="center"/>
              <w:ind w:right="1200"/>
              <w:spacing w:after="0"/>
              <w:rPr>
                <w:sz w:val="20"/>
                <w:szCs w:val="20"/>
                <w:color w:val="auto"/>
              </w:rPr>
            </w:pPr>
            <w:r>
              <w:rPr>
                <w:rFonts w:ascii="Arial" w:cs="Arial" w:eastAsia="Arial" w:hAnsi="Arial"/>
                <w:sz w:val="17"/>
                <w:szCs w:val="17"/>
                <w:b w:val="1"/>
                <w:bCs w:val="1"/>
                <w:color w:val="auto"/>
                <w:w w:val="89"/>
              </w:rPr>
              <w:t>None</w:t>
            </w:r>
          </w:p>
        </w:tc>
        <w:tc>
          <w:tcPr>
            <w:tcW w:w="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60" w:type="dxa"/>
            <w:vAlign w:val="bottom"/>
            <w:gridSpan w:val="3"/>
          </w:tcPr>
          <w:p>
            <w:pPr>
              <w:jc w:val="center"/>
              <w:ind w:right="1200"/>
              <w:spacing w:after="0"/>
              <w:rPr>
                <w:sz w:val="20"/>
                <w:szCs w:val="20"/>
                <w:color w:val="auto"/>
              </w:rPr>
            </w:pPr>
            <w:r>
              <w:rPr>
                <w:rFonts w:ascii="Arial" w:cs="Arial" w:eastAsia="Arial" w:hAnsi="Arial"/>
                <w:sz w:val="17"/>
                <w:szCs w:val="17"/>
                <w:b w:val="1"/>
                <w:bCs w:val="1"/>
                <w:color w:val="auto"/>
                <w:w w:val="89"/>
              </w:rPr>
              <w:t>(Title of class)</w:t>
            </w:r>
          </w:p>
        </w:tc>
        <w:tc>
          <w:tcPr>
            <w:tcW w:w="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4580" w:type="dxa"/>
            <w:vAlign w:val="bottom"/>
            <w:gridSpan w:val="2"/>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180" w:type="dxa"/>
            <w:vAlign w:val="bottom"/>
            <w:gridSpan w:val="2"/>
          </w:tcPr>
          <w:p>
            <w:pPr>
              <w:spacing w:after="0"/>
              <w:rPr>
                <w:sz w:val="7"/>
                <w:szCs w:val="7"/>
                <w:color w:val="auto"/>
              </w:rPr>
            </w:pPr>
          </w:p>
        </w:tc>
        <w:tc>
          <w:tcPr>
            <w:tcW w:w="880" w:type="dxa"/>
            <w:vAlign w:val="bottom"/>
            <w:vMerge w:val="restart"/>
          </w:tcPr>
          <w:p>
            <w:pPr>
              <w:ind w:left="16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6"/>
                <w:szCs w:val="16"/>
                <w:color w:val="auto"/>
              </w:rPr>
              <w:t>☒</w:t>
            </w:r>
          </w:p>
        </w:tc>
        <w:tc>
          <w:tcPr>
            <w:tcW w:w="250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8040" w:type="dxa"/>
            <w:vAlign w:val="bottom"/>
            <w:gridSpan w:val="5"/>
          </w:tcPr>
          <w:p>
            <w:pPr>
              <w:spacing w:after="0"/>
              <w:rPr>
                <w:sz w:val="20"/>
                <w:szCs w:val="20"/>
                <w:color w:val="auto"/>
              </w:rPr>
            </w:pPr>
            <w:r>
              <w:rPr>
                <w:rFonts w:ascii="Arial" w:cs="Arial" w:eastAsia="Arial" w:hAnsi="Arial"/>
                <w:sz w:val="17"/>
                <w:szCs w:val="17"/>
                <w:color w:val="auto"/>
                <w:w w:val="91"/>
              </w:rPr>
              <w:t>Indicate by check mark if the registrant is a well-known seasoned issuer, as defined in Rule 405 of the Securities Act.</w:t>
            </w:r>
          </w:p>
        </w:tc>
        <w:tc>
          <w:tcPr>
            <w:tcW w:w="880" w:type="dxa"/>
            <w:vAlign w:val="bottom"/>
            <w:vMerge w:val="continue"/>
          </w:tcPr>
          <w:p>
            <w:pPr>
              <w:spacing w:after="0"/>
              <w:rPr>
                <w:sz w:val="22"/>
                <w:szCs w:val="22"/>
                <w:color w:val="auto"/>
              </w:rPr>
            </w:pPr>
          </w:p>
        </w:tc>
        <w:tc>
          <w:tcPr>
            <w:tcW w:w="2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920" w:type="dxa"/>
            <w:vAlign w:val="bottom"/>
            <w:gridSpan w:val="6"/>
          </w:tcPr>
          <w:p>
            <w:pPr>
              <w:spacing w:after="0" w:line="196" w:lineRule="exact"/>
              <w:rPr>
                <w:sz w:val="20"/>
                <w:szCs w:val="20"/>
                <w:color w:val="auto"/>
              </w:rPr>
            </w:pPr>
            <w:r>
              <w:rPr>
                <w:rFonts w:ascii="Arial" w:cs="Arial" w:eastAsia="Arial" w:hAnsi="Arial"/>
                <w:sz w:val="17"/>
                <w:szCs w:val="17"/>
                <w:color w:val="auto"/>
                <w:w w:val="93"/>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250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right="180"/>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26" w:lineRule="exact"/>
        <w:rPr>
          <w:sz w:val="24"/>
          <w:szCs w:val="24"/>
          <w:color w:val="auto"/>
        </w:rPr>
      </w:pPr>
    </w:p>
    <w:p>
      <w:pPr>
        <w:ind w:right="100"/>
        <w:spacing w:after="0" w:line="23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5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500" w:type="dxa"/>
        <w:tblCellMar>
          <w:top w:w="0" w:type="dxa"/>
          <w:left w:w="0" w:type="dxa"/>
          <w:bottom w:w="0" w:type="dxa"/>
          <w:right w:w="0" w:type="dxa"/>
        </w:tblCellMar>
      </w:tblPr>
      <w:tr>
        <w:trPr>
          <w:trHeight w:val="283"/>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14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700"/>
              <w:spacing w:after="0"/>
              <w:rPr>
                <w:sz w:val="20"/>
                <w:szCs w:val="20"/>
                <w:color w:val="auto"/>
              </w:rPr>
            </w:pPr>
            <w:r>
              <w:rPr>
                <w:rFonts w:ascii="Arial" w:cs="Arial" w:eastAsia="Arial" w:hAnsi="Arial"/>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00" w:type="dxa"/>
            <w:vAlign w:val="bottom"/>
          </w:tcPr>
          <w:p>
            <w:pPr>
              <w:ind w:left="700"/>
              <w:spacing w:after="0"/>
              <w:rPr>
                <w:sz w:val="20"/>
                <w:szCs w:val="20"/>
                <w:color w:val="auto"/>
              </w:rPr>
            </w:pPr>
            <w:r>
              <w:rPr>
                <w:rFonts w:ascii="Arial" w:cs="Arial" w:eastAsia="Arial" w:hAnsi="Arial"/>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196" w:lineRule="exact"/>
        <w:tabs>
          <w:tab w:leader="none" w:pos="7200" w:val="left"/>
          <w:tab w:leader="none" w:pos="79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7"/>
          <w:szCs w:val="17"/>
          <w:color w:val="auto"/>
        </w:rPr>
        <w:tab/>
        <w:t xml:space="preserve">NO </w:t>
      </w:r>
      <w:r>
        <w:rPr>
          <w:rFonts w:ascii="MS PGothic" w:cs="MS PGothic" w:eastAsia="MS PGothic" w:hAnsi="MS PGothic"/>
          <w:sz w:val="16"/>
          <w:szCs w:val="16"/>
          <w:color w:val="auto"/>
        </w:rPr>
        <w:t>☒</w:t>
      </w:r>
    </w:p>
    <w:p>
      <w:pPr>
        <w:spacing w:after="0" w:line="77" w:lineRule="exact"/>
        <w:rPr>
          <w:sz w:val="24"/>
          <w:szCs w:val="24"/>
          <w:color w:val="auto"/>
        </w:rPr>
      </w:pPr>
    </w:p>
    <w:p>
      <w:pPr>
        <w:jc w:val="both"/>
        <w:ind w:right="60"/>
        <w:spacing w:after="0" w:line="261" w:lineRule="auto"/>
        <w:rPr>
          <w:sz w:val="20"/>
          <w:szCs w:val="20"/>
          <w:color w:val="auto"/>
        </w:rPr>
      </w:pPr>
      <w:r>
        <w:rPr>
          <w:rFonts w:ascii="Arial" w:cs="Arial" w:eastAsia="Arial" w:hAnsi="Arial"/>
          <w:sz w:val="17"/>
          <w:szCs w:val="17"/>
          <w:color w:val="auto"/>
        </w:rPr>
        <w:t>The aggregate market value of the voting stock held by non-affiliates of the registrant on June 30, 2019, based on the closing price on that date of $19.60 on The New York Stock Exchange, was approximately $1,237,412,949. The number of shares of the registrant’s common stock, $.01 par value per share, outstanding at February 19, 2020 was 66,719,061.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43815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3" w:lineRule="exact"/>
        <w:rPr>
          <w:sz w:val="24"/>
          <w:szCs w:val="24"/>
          <w:color w:val="auto"/>
        </w:rPr>
      </w:pPr>
    </w:p>
    <w:p>
      <w:pPr>
        <w:ind w:left="3760"/>
        <w:spacing w:after="0"/>
        <w:rPr>
          <w:sz w:val="20"/>
          <w:szCs w:val="20"/>
          <w:color w:val="auto"/>
        </w:rPr>
      </w:pPr>
      <w:r>
        <w:rPr>
          <w:rFonts w:ascii="Arial" w:cs="Arial" w:eastAsia="Arial" w:hAnsi="Arial"/>
          <w:sz w:val="17"/>
          <w:szCs w:val="17"/>
          <w:b w:val="1"/>
          <w:bCs w:val="1"/>
          <w:color w:val="auto"/>
        </w:rPr>
        <w:t>DOCUMENTS INCORPORATED BY REFERENCE</w:t>
      </w:r>
    </w:p>
    <w:p>
      <w:pPr>
        <w:spacing w:after="0" w:line="67" w:lineRule="exact"/>
        <w:rPr>
          <w:sz w:val="24"/>
          <w:szCs w:val="24"/>
          <w:color w:val="auto"/>
        </w:rPr>
      </w:pPr>
    </w:p>
    <w:p>
      <w:pPr>
        <w:spacing w:after="0"/>
        <w:rPr>
          <w:sz w:val="20"/>
          <w:szCs w:val="20"/>
          <w:color w:val="auto"/>
        </w:rPr>
      </w:pPr>
      <w:r>
        <w:rPr>
          <w:rFonts w:ascii="Arial" w:cs="Arial" w:eastAsia="Arial" w:hAnsi="Arial"/>
          <w:sz w:val="17"/>
          <w:szCs w:val="17"/>
          <w:color w:val="auto"/>
        </w:rPr>
        <w:t>Portions of the Registrant’s proxy statement for the 2020 annual meeting of stockholders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826135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80" w:type="dxa"/>
            <w:vAlign w:val="bottom"/>
            <w:gridSpan w:val="10"/>
          </w:tcPr>
          <w:p>
            <w:pPr>
              <w:jc w:val="center"/>
              <w:ind w:right="3100"/>
              <w:spacing w:after="0"/>
              <w:rPr>
                <w:sz w:val="20"/>
                <w:szCs w:val="20"/>
                <w:color w:val="auto"/>
              </w:rPr>
            </w:pPr>
            <w:r>
              <w:rPr>
                <w:rFonts w:ascii="Arial" w:cs="Arial" w:eastAsia="Arial" w:hAnsi="Arial"/>
                <w:sz w:val="18"/>
                <w:szCs w:val="18"/>
                <w:b w:val="1"/>
                <w:bCs w:val="1"/>
                <w:color w:val="auto"/>
              </w:rPr>
              <w:t>TPG SPECIALTY LENDING, INC.</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80" w:type="dxa"/>
            <w:vAlign w:val="bottom"/>
            <w:gridSpan w:val="11"/>
          </w:tcPr>
          <w:p>
            <w:pPr>
              <w:jc w:val="center"/>
              <w:ind w:right="2280"/>
              <w:spacing w:after="0"/>
              <w:rPr>
                <w:sz w:val="20"/>
                <w:szCs w:val="20"/>
                <w:color w:val="auto"/>
              </w:rPr>
            </w:pPr>
            <w:r>
              <w:rPr>
                <w:rFonts w:ascii="Arial" w:cs="Arial" w:eastAsia="Arial" w:hAnsi="Arial"/>
                <w:sz w:val="18"/>
                <w:szCs w:val="18"/>
                <w:b w:val="1"/>
                <w:bCs w:val="1"/>
                <w:color w:val="auto"/>
                <w:w w:val="93"/>
              </w:rPr>
              <w:t>Index to Annual Report on Form 10-K for</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9"/>
          </w:tcPr>
          <w:p>
            <w:pPr>
              <w:jc w:val="center"/>
              <w:ind w:right="3380"/>
              <w:spacing w:after="0"/>
              <w:rPr>
                <w:sz w:val="20"/>
                <w:szCs w:val="20"/>
                <w:color w:val="auto"/>
              </w:rPr>
            </w:pPr>
            <w:r>
              <w:rPr>
                <w:rFonts w:ascii="Arial" w:cs="Arial" w:eastAsia="Arial" w:hAnsi="Arial"/>
                <w:sz w:val="18"/>
                <w:szCs w:val="18"/>
                <w:b w:val="1"/>
                <w:bCs w:val="1"/>
                <w:color w:val="auto"/>
                <w:w w:val="90"/>
              </w:rPr>
              <w:t>Year Ended December 31, 2019</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66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vMerge w:val="continue"/>
          </w:tcPr>
          <w:p>
            <w:pPr>
              <w:spacing w:after="0"/>
              <w:rPr>
                <w:sz w:val="13"/>
                <w:szCs w:val="13"/>
                <w:color w:val="auto"/>
              </w:rPr>
            </w:pPr>
          </w:p>
        </w:tc>
        <w:tc>
          <w:tcPr>
            <w:tcW w:w="66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6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1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14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Unresolved Staff Comments</w:t>
              </w:r>
            </w:hyperlink>
          </w:p>
        </w:tc>
        <w:tc>
          <w:tcPr>
            <w:tcW w:w="7080" w:type="dxa"/>
            <w:vAlign w:val="bottom"/>
            <w:gridSpan w:val="11"/>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Properties</w:t>
              </w:r>
            </w:hyperlink>
          </w:p>
        </w:tc>
        <w:tc>
          <w:tcPr>
            <w:tcW w:w="8400" w:type="dxa"/>
            <w:vAlign w:val="bottom"/>
            <w:gridSpan w:val="19"/>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Legal Proceedings</w:t>
              </w:r>
            </w:hyperlink>
          </w:p>
        </w:tc>
        <w:tc>
          <w:tcPr>
            <w:tcW w:w="7800" w:type="dxa"/>
            <w:vAlign w:val="bottom"/>
            <w:gridSpan w:val="1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140" w:type="dxa"/>
            <w:vAlign w:val="bottom"/>
            <w:gridSpan w:val="2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18"/>
        </w:trPr>
        <w:tc>
          <w:tcPr>
            <w:tcW w:w="1260" w:type="dxa"/>
            <w:vAlign w:val="bottom"/>
            <w:gridSpan w:val="5"/>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600" w:type="dxa"/>
            <w:vAlign w:val="bottom"/>
            <w:gridSpan w:val="3"/>
          </w:tcPr>
          <w:p>
            <w:pPr>
              <w:spacing w:after="0"/>
              <w:rPr>
                <w:sz w:val="17"/>
                <w:szCs w:val="17"/>
                <w:color w:val="auto"/>
              </w:rPr>
            </w:pPr>
          </w:p>
        </w:tc>
        <w:tc>
          <w:tcPr>
            <w:tcW w:w="9140" w:type="dxa"/>
            <w:vAlign w:val="bottom"/>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Market for Registrant’s Common Equity, Related Stockholder Matters and Issuer Purchases of Equity Securities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914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Quantitative and Qualitative Disclosures About Market Risk</w:t>
              </w:r>
            </w:hyperlink>
          </w:p>
        </w:tc>
        <w:tc>
          <w:tcPr>
            <w:tcW w:w="2680" w:type="dxa"/>
            <w:vAlign w:val="bottom"/>
            <w:gridSpan w:val="4"/>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EE"/>
            </w:tcBorders>
            <w:gridSpan w:val="15"/>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Financial Statements and Supplementary Data</w:t>
              </w:r>
            </w:hyperlink>
          </w:p>
        </w:tc>
        <w:tc>
          <w:tcPr>
            <w:tcW w:w="4780" w:type="dxa"/>
            <w:vAlign w:val="bottom"/>
            <w:gridSpan w:val="6"/>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9140" w:type="dxa"/>
            <w:vAlign w:val="bottom"/>
            <w:gridSpan w:val="21"/>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Changes in and Disagreements with Accountants on Accounting and Financial Disclosure</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2660" w:type="dxa"/>
            <w:vAlign w:val="bottom"/>
            <w:gridSpan w:val="3"/>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9140" w:type="dxa"/>
            <w:vAlign w:val="bottom"/>
            <w:gridSpan w:val="21"/>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Other Information</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18"/>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PART III</w:t>
              </w:r>
            </w:hyperlink>
          </w:p>
        </w:tc>
        <w:tc>
          <w:tcPr>
            <w:tcW w:w="5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Directors, Executive Officers and Corporate Governance</w:t>
              </w:r>
            </w:hyperlink>
          </w:p>
        </w:tc>
        <w:tc>
          <w:tcPr>
            <w:tcW w:w="5040" w:type="dxa"/>
            <w:vAlign w:val="bottom"/>
            <w:gridSpan w:val="8"/>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9140" w:type="dxa"/>
            <w:vAlign w:val="bottom"/>
            <w:gridSpan w:val="21"/>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Executive Compensation</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Security Ownership of Certain Beneficial Owners and Management and Related Stockholder Matters</w:t>
              </w:r>
            </w:hyperlink>
          </w:p>
        </w:tc>
        <w:tc>
          <w:tcPr>
            <w:tcW w:w="1840" w:type="dxa"/>
            <w:vAlign w:val="bottom"/>
            <w:gridSpan w:val="2"/>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Certain Relationships and Related Transactions, and Director Independence</w:t>
              </w:r>
            </w:hyperlink>
          </w:p>
        </w:tc>
        <w:tc>
          <w:tcPr>
            <w:tcW w:w="3680" w:type="dxa"/>
            <w:vAlign w:val="bottom"/>
            <w:gridSpan w:val="5"/>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140" w:type="dxa"/>
            <w:vAlign w:val="bottom"/>
            <w:gridSpan w:val="21"/>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Principal Accountant Fees and Services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18"/>
        </w:trPr>
        <w:tc>
          <w:tcPr>
            <w:tcW w:w="1260" w:type="dxa"/>
            <w:vAlign w:val="bottom"/>
            <w:gridSpan w:val="5"/>
          </w:tcPr>
          <w:p>
            <w:pPr>
              <w:spacing w:after="0"/>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5"/>
              </w:rPr>
              <w:t>ITEM 15.</w:t>
            </w:r>
          </w:p>
        </w:tc>
        <w:tc>
          <w:tcPr>
            <w:tcW w:w="540" w:type="dxa"/>
            <w:vAlign w:val="bottom"/>
            <w:gridSpan w:val="2"/>
          </w:tcPr>
          <w:p>
            <w:pPr>
              <w:spacing w:after="0"/>
              <w:rPr>
                <w:sz w:val="17"/>
                <w:szCs w:val="17"/>
                <w:color w:val="auto"/>
              </w:rPr>
            </w:pPr>
          </w:p>
        </w:tc>
        <w:tc>
          <w:tcPr>
            <w:tcW w:w="9140" w:type="dxa"/>
            <w:vAlign w:val="bottom"/>
            <w:gridSpan w:val="21"/>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Exhibits and Financial Statement Schedules</w:t>
              </w:r>
            </w:hyperlink>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30">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6"/>
          </w:tcPr>
          <w:p>
            <w:pPr>
              <w:spacing w:after="0"/>
              <w:rPr>
                <w:sz w:val="17"/>
                <w:szCs w:val="17"/>
                <w:color w:val="auto"/>
              </w:rPr>
            </w:pPr>
          </w:p>
        </w:tc>
        <w:tc>
          <w:tcPr>
            <w:tcW w:w="5980" w:type="dxa"/>
            <w:vAlign w:val="bottom"/>
            <w:gridSpan w:val="9"/>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885"/>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60" w:type="dxa"/>
            <w:vAlign w:val="bottom"/>
            <w:gridSpan w:val="16"/>
          </w:tcPr>
          <w:p>
            <w:pPr>
              <w:jc w:val="center"/>
              <w:ind w:left="335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5"/>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report and elsewhere in our filings with the SEC.</w:t>
      </w:r>
    </w:p>
    <w:p>
      <w:pPr>
        <w:spacing w:after="0" w:line="23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In this Annual Report, except where the context suggests otherwise, the terms “TSL,” “TSLX,” “we,” “us,” “our,” and “the Company” refer to TPG Specialty Lending, Inc. The term “Adviser” refers to TSL Advisers, LLC, a Delaware limited liability company. The term “TSSP” refers to TPG Sixth Street Partners. The term “TPG” refers to TPG Global, LLC and its affiliates.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60" w:firstLine="259"/>
        <w:spacing w:after="0" w:line="270"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2019, we have originated more than $12.5 billion aggregate principal amount of investments and retained approximately $6.3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2019, our core portfolio companies, which exclude certain investments that fall outside of our typical borrower profile and represent 77.2% of our total investments based on fair value, had weighted average annual revenue of $113.9 million and weighted average annual EBITDA of $34.5 million.</w:t>
      </w:r>
    </w:p>
    <w:p>
      <w:pPr>
        <w:spacing w:after="0" w:line="182"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70"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We have operated as a business development company, or a BDC, since we began our investment activities in July 2011. In conducting our investment activities, we believe that we benefit from the significant scale and resources of our Adviser and its affiliates.</w:t>
      </w:r>
    </w:p>
    <w:p>
      <w:pPr>
        <w:spacing w:after="0" w:line="170"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December 31, 2019, based on fair value our portfolio consisted of 96.5% first-lien debt investments, 0.6% second-lien debt investments, 0.1% mezzanine investments, and 2.8% equity and other investments. As of December 31, 2019, 99.2% of our debt investments based on fair value bore interest at floating rates (when including investment specific hedges), with 93.5% of these subject to interest rate floors, which we believe helps act as a portfolio-wide hedge against inflation. As of December 31, 2019 we had investments in 63 portfolio companies, with an average investment size of approximately $35.7 million based on fair value. As of December 31, 2019, the largest single investment based on fair value represented 4.0% of our total investment portfolio.</w:t>
      </w:r>
    </w:p>
    <w:p>
      <w:pPr>
        <w:spacing w:after="0" w:line="183"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As of December 31, 2019, our portfolio was invested across 19 different industries. The largest industries in our portfolio as of December 31, 2019 were business services, retail and consumer products, and financial services (primarily payment processing and financing technology companies), which represented, as a percentage of our portfolio, 16.8%, 14.9%, and 13.7% respectively, based on fair value.</w:t>
      </w:r>
    </w:p>
    <w:p>
      <w:pPr>
        <w:spacing w:after="0" w:line="181" w:lineRule="exact"/>
        <w:rPr>
          <w:sz w:val="20"/>
          <w:szCs w:val="20"/>
          <w:color w:val="auto"/>
        </w:rPr>
      </w:pPr>
    </w:p>
    <w:p>
      <w:pPr>
        <w:ind w:right="180" w:firstLine="259"/>
        <w:spacing w:after="0" w:line="257" w:lineRule="auto"/>
        <w:rPr>
          <w:sz w:val="20"/>
          <w:szCs w:val="20"/>
          <w:color w:val="auto"/>
        </w:rPr>
      </w:pPr>
      <w:r>
        <w:rPr>
          <w:rFonts w:ascii="Arial" w:cs="Arial" w:eastAsia="Arial" w:hAnsi="Arial"/>
          <w:sz w:val="18"/>
          <w:szCs w:val="18"/>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regulated investment company, or RIC, under Subchapter M of the Internal Revenue Code of 1986, as amended, which we refer to as the Code. As a consequence of our BDC and RIC elections, our portfolio is and will continue to be subject to diversification and other requirements to maintain such status elections.</w:t>
      </w:r>
    </w:p>
    <w:p>
      <w:pPr>
        <w:spacing w:after="0" w:line="188"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our ratio of total assets (less total liabilities other than indebtedness) to total indebtedness plus preferred stock is at least 150%. In determining whether to borrow money, we analyze the maturity, covenant package and rate structure of the proposed borrowings, as well as the risks of those borrowings compared to our investment outlook. The use of borrowed funds or the proceeds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both"/>
        <w:ind w:right="360"/>
        <w:spacing w:after="0" w:line="259" w:lineRule="auto"/>
        <w:rPr>
          <w:sz w:val="20"/>
          <w:szCs w:val="20"/>
          <w:color w:val="auto"/>
        </w:rPr>
      </w:pPr>
      <w:r>
        <w:rPr>
          <w:rFonts w:ascii="Arial" w:cs="Arial" w:eastAsia="Arial" w:hAnsi="Arial"/>
          <w:sz w:val="18"/>
          <w:szCs w:val="18"/>
          <w:color w:val="auto"/>
        </w:rPr>
        <w:t>of preferred stock offerings to make investments has its own specific set of benefits and risks, and all of the costs of borrowing funds or issuing preferred stock are borne by us, and ultimately the holders of our common stock. See “</w:t>
      </w:r>
      <w:r>
        <w:rPr>
          <w:rFonts w:ascii="Arial" w:cs="Arial" w:eastAsia="Arial" w:hAnsi="Arial"/>
          <w:sz w:val="18"/>
          <w:szCs w:val="18"/>
          <w:i w:val="1"/>
          <w:iCs w:val="1"/>
          <w:color w:val="auto"/>
        </w:rPr>
        <w:t>ITEM 1A. Risk Factors</w:t>
      </w:r>
      <w:r>
        <w:rPr>
          <w:rFonts w:ascii="Arial" w:cs="Arial" w:eastAsia="Arial" w:hAnsi="Arial"/>
          <w:sz w:val="18"/>
          <w:szCs w:val="18"/>
          <w:color w:val="auto"/>
        </w:rPr>
        <w:t>—</w:t>
      </w:r>
      <w:r>
        <w:rPr>
          <w:rFonts w:ascii="Arial" w:cs="Arial" w:eastAsia="Arial" w:hAnsi="Arial"/>
          <w:sz w:val="18"/>
          <w:szCs w:val="18"/>
          <w:i w:val="1"/>
          <w:iCs w:val="1"/>
          <w:color w:val="auto"/>
        </w:rPr>
        <w:t>Risks Related to Our Business and Structure—We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borrow money, which magnifies the potential for gain or loss and increases the risk of investing in us.” </w:t>
      </w:r>
      <w:r>
        <w:rPr>
          <w:rFonts w:ascii="Arial" w:cs="Arial" w:eastAsia="Arial" w:hAnsi="Arial"/>
          <w:sz w:val="18"/>
          <w:szCs w:val="18"/>
          <w:color w:val="auto"/>
        </w:rPr>
        <w:t>See also “</w:t>
      </w:r>
      <w:r>
        <w:rPr>
          <w:rFonts w:ascii="Arial" w:cs="Arial" w:eastAsia="Arial" w:hAnsi="Arial"/>
          <w:sz w:val="18"/>
          <w:szCs w:val="18"/>
          <w:i w:val="1"/>
          <w:iCs w:val="1"/>
          <w:color w:val="auto"/>
        </w:rPr>
        <w:t>Regulation as a Business Development Company—Senior Securities.</w:t>
      </w:r>
      <w:r>
        <w:rPr>
          <w:rFonts w:ascii="Arial" w:cs="Arial" w:eastAsia="Arial" w:hAnsi="Arial"/>
          <w:sz w:val="18"/>
          <w:szCs w:val="18"/>
          <w:color w:val="auto"/>
        </w:rPr>
        <w: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operations comprise only a single reportable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our Adviser, and TSSP</w:t>
      </w:r>
    </w:p>
    <w:p>
      <w:pPr>
        <w:spacing w:after="0" w:line="121"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a dedicated team of investment professionals predominately focused on us,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TPG Sixth Street Partners, or “TSSP”.</w:t>
      </w:r>
    </w:p>
    <w:p>
      <w:pPr>
        <w:spacing w:after="0" w:line="178"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TPG Sixth Street Partners (TSSP) is a global finance and investment business with approximately $33 billion of assets under management as of September 30, 2019. TSSP’s core platforms include TPG Specialty Lending, TSL Europe (TSLE), which is aimed at European middle-market loan originations, TSSP Adjacent Opportunities (TAO), which has the flexibility to invest across all of TSSP’s private credit market investments, TSSP Opportunities Partners (TOP), which focuses on actively managed opportunistic investments across the credit cycle, TPG Institutional Credit Partners (TICP), which is the firm’s “public-side” credit investment platform focused on investment opportunities in broadly syndicated leveraged loan markets, and TSSP Capital Solutions (TCS),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250 investment and operating professionals. As of December 31, 2019, thirty four (34) of these personnel are dedicated to our business, including twenty six (26) investment professionals.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TSSP was established in 2009 as a strategic partnership with TPG, a global alternative asset management company.</w:t>
      </w:r>
    </w:p>
    <w:p>
      <w:pPr>
        <w:spacing w:after="0" w:line="225"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Our Adviser consults with TSSP in connection with a substantial number of our investments. The TSSP platform provides us with the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TSSP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9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TSSP)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89"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See “</w:t>
      </w:r>
      <w:r>
        <w:rPr>
          <w:rFonts w:ascii="Arial" w:cs="Arial" w:eastAsia="Arial" w:hAnsi="Arial"/>
          <w:sz w:val="18"/>
          <w:szCs w:val="18"/>
          <w:i w:val="1"/>
          <w:iCs w:val="1"/>
          <w:color w:val="auto"/>
        </w:rPr>
        <w:t>Regulation as a Business Development Company—Transactions with our</w:t>
      </w:r>
      <w:r>
        <w:rPr>
          <w:rFonts w:ascii="Arial" w:cs="Arial" w:eastAsia="Arial" w:hAnsi="Arial"/>
          <w:sz w:val="18"/>
          <w:szCs w:val="18"/>
          <w:color w:val="auto"/>
        </w:rPr>
        <w:t xml:space="preserve"> </w:t>
      </w:r>
      <w:r>
        <w:rPr>
          <w:rFonts w:ascii="Arial" w:cs="Arial" w:eastAsia="Arial" w:hAnsi="Arial"/>
          <w:sz w:val="18"/>
          <w:szCs w:val="18"/>
          <w:i w:val="1"/>
          <w:iCs w:val="1"/>
          <w:color w:val="auto"/>
        </w:rPr>
        <w:t>affiliates.”</w:t>
      </w:r>
    </w:p>
    <w:p>
      <w:pPr>
        <w:spacing w:after="0" w:line="188"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 w:name="page6"/>
    <w:bookmarkEnd w:id="5"/>
    <w:p>
      <w:pPr>
        <w:ind w:right="640" w:firstLine="259"/>
        <w:spacing w:after="0" w:line="342" w:lineRule="auto"/>
        <w:rPr>
          <w:sz w:val="20"/>
          <w:szCs w:val="20"/>
          <w:color w:val="auto"/>
        </w:rPr>
      </w:pPr>
      <w:r>
        <w:rPr>
          <w:rFonts w:ascii="Arial" w:cs="Arial" w:eastAsia="Arial" w:hAnsi="Arial"/>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24"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w:t>
      </w:r>
      <w:r>
        <w:rPr>
          <w:rFonts w:ascii="Arial" w:cs="Arial" w:eastAsia="Arial" w:hAnsi="Arial"/>
          <w:sz w:val="17"/>
          <w:szCs w:val="17"/>
          <w:i w:val="1"/>
          <w:iCs w:val="1"/>
          <w:color w:val="auto"/>
        </w:rPr>
        <w:t>Management Agreements—Investment Advisory</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 Administration Agreement; License Agreement</w:t>
      </w:r>
      <w:r>
        <w:rPr>
          <w:rFonts w:ascii="Arial" w:cs="Arial" w:eastAsia="Arial" w:hAnsi="Arial"/>
          <w:sz w:val="17"/>
          <w:szCs w:val="17"/>
          <w:color w:val="auto"/>
        </w:rPr>
        <w:t>.” Our Board monitors the mix and performance of our investments over time and seeks to satisfy</w:t>
      </w:r>
      <w:r>
        <w:rPr>
          <w:rFonts w:ascii="Arial" w:cs="Arial" w:eastAsia="Arial" w:hAnsi="Arial"/>
          <w:sz w:val="17"/>
          <w:szCs w:val="17"/>
          <w:i w:val="1"/>
          <w:iCs w:val="1"/>
          <w:color w:val="auto"/>
        </w:rPr>
        <w:t xml:space="preserve"> </w:t>
      </w:r>
      <w:r>
        <w:rPr>
          <w:rFonts w:ascii="Arial" w:cs="Arial" w:eastAsia="Arial" w:hAnsi="Arial"/>
          <w:sz w:val="17"/>
          <w:szCs w:val="17"/>
          <w:color w:val="auto"/>
        </w:rPr>
        <w:t>itself that the Adviser is acting in our interests and that our fee structure appropriately incentivizes the Adviser to do so.</w:t>
      </w:r>
    </w:p>
    <w:p>
      <w:pPr>
        <w:spacing w:after="0" w:line="173"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In November 2019, our Board renewed the Investment Advisory Agreement. Unless earlier terminated, the Investment Advisory Agreement will remain in effect until November 2020, and may be extended subject to required approvals.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Decision Process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investment approach involves, among other things:</w:t>
      </w:r>
    </w:p>
    <w:p>
      <w:pPr>
        <w:spacing w:after="0" w:line="117" w:lineRule="exact"/>
        <w:rPr>
          <w:sz w:val="20"/>
          <w:szCs w:val="20"/>
          <w:color w:val="auto"/>
        </w:rPr>
      </w:pPr>
    </w:p>
    <w:p>
      <w:pPr>
        <w:ind w:left="520" w:hanging="255"/>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assessment of the markets, overall macroeconomic environment and how the assessment may impact industry and investment selection;</w:t>
      </w:r>
    </w:p>
    <w:p>
      <w:pPr>
        <w:spacing w:after="0" w:line="128" w:lineRule="exact"/>
        <w:rPr>
          <w:rFonts w:ascii="Arial" w:cs="Arial" w:eastAsia="Arial" w:hAnsi="Arial"/>
          <w:sz w:val="17"/>
          <w:szCs w:val="17"/>
          <w:color w:val="auto"/>
        </w:rPr>
      </w:pPr>
    </w:p>
    <w:p>
      <w:pPr>
        <w:ind w:left="520" w:hanging="25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ind w:right="160" w:firstLine="259"/>
        <w:spacing w:after="0" w:line="308" w:lineRule="auto"/>
        <w:rPr>
          <w:sz w:val="20"/>
          <w:szCs w:val="20"/>
          <w:color w:val="auto"/>
        </w:rPr>
      </w:pPr>
      <w:r>
        <w:rPr>
          <w:rFonts w:ascii="Arial" w:cs="Arial" w:eastAsia="Arial" w:hAnsi="Arial"/>
          <w:sz w:val="17"/>
          <w:szCs w:val="17"/>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38" w:lineRule="exact"/>
        <w:rPr>
          <w:sz w:val="20"/>
          <w:szCs w:val="20"/>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and Sourcing</w:t>
      </w:r>
    </w:p>
    <w:p>
      <w:pPr>
        <w:spacing w:after="0" w:line="11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of contacts. We also identify opportunities through our Adviser’s relationships with TSSP.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Process</w:t>
      </w:r>
    </w:p>
    <w:p>
      <w:pPr>
        <w:spacing w:after="0" w:line="117"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79" w:lineRule="exact"/>
        <w:rPr>
          <w:sz w:val="20"/>
          <w:szCs w:val="20"/>
          <w:color w:val="auto"/>
        </w:rPr>
      </w:pPr>
    </w:p>
    <w:p>
      <w:pPr>
        <w:ind w:left="5660" w:right="1240" w:hanging="5395"/>
        <w:spacing w:after="0" w:line="528" w:lineRule="auto"/>
        <w:tabs>
          <w:tab w:leader="none" w:pos="512"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understanding the purpose of the capital requirement, the key personnel and variables, as well as the sources and uses of the proceeds;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ind w:left="520" w:right="340" w:hanging="255"/>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performing a detailed review of historical financial performance, including performance through various economic cycles, and the quality of earnings;</w:t>
      </w:r>
    </w:p>
    <w:p>
      <w:pPr>
        <w:spacing w:after="0" w:line="140" w:lineRule="exact"/>
        <w:rPr>
          <w:rFonts w:ascii="Arial" w:cs="Arial" w:eastAsia="Arial" w:hAnsi="Arial"/>
          <w:sz w:val="16"/>
          <w:szCs w:val="16"/>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conducting a competitive analysis, and comparing the company to its main competitors on an operating, financial, market share and valuation basis;</w:t>
      </w:r>
    </w:p>
    <w:p>
      <w:pPr>
        <w:spacing w:after="0" w:line="140" w:lineRule="exact"/>
        <w:rPr>
          <w:rFonts w:ascii="Arial" w:cs="Arial" w:eastAsia="Arial" w:hAnsi="Arial"/>
          <w:sz w:val="16"/>
          <w:szCs w:val="16"/>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leveraging TSSP internal resources with institutional knowledge of the company’s business;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 Investment Process</w:t>
      </w:r>
    </w:p>
    <w:p>
      <w:pPr>
        <w:spacing w:after="0" w:line="117"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Formal Commitment</w:t>
      </w:r>
    </w:p>
    <w:p>
      <w:pPr>
        <w:spacing w:after="0" w:line="117"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Approval of an investment requires the approval of the Investment Review Committee.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Monitoring</w:t>
      </w:r>
    </w:p>
    <w:p>
      <w:pPr>
        <w:spacing w:after="0" w:line="11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Adviser has a number of methods of evaluating and monitoring the performance of our investments, which may include the following:</w:t>
      </w:r>
    </w:p>
    <w:p>
      <w:pPr>
        <w:spacing w:after="0" w:line="117" w:lineRule="exact"/>
        <w:rPr>
          <w:sz w:val="20"/>
          <w:szCs w:val="20"/>
          <w:color w:val="auto"/>
        </w:rPr>
      </w:pPr>
    </w:p>
    <w:p>
      <w:pPr>
        <w:ind w:left="520" w:hanging="25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jc w:val="both"/>
        <w:ind w:left="520" w:right="780" w:hanging="255"/>
        <w:spacing w:after="0" w:line="264"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 w:name="page8"/>
    <w:bookmarkEnd w:id="7"/>
    <w:p>
      <w:pPr>
        <w:ind w:left="520" w:right="280" w:hanging="255"/>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360" w:hanging="255"/>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140" w:hanging="255"/>
        <w:spacing w:after="0" w:line="255"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5" w:lineRule="exact"/>
        <w:rPr>
          <w:rFonts w:ascii="Arial" w:cs="Arial" w:eastAsia="Arial" w:hAnsi="Arial"/>
          <w:sz w:val="18"/>
          <w:szCs w:val="18"/>
          <w:color w:val="auto"/>
        </w:rPr>
      </w:pPr>
    </w:p>
    <w:p>
      <w:pPr>
        <w:ind w:left="520" w:right="100" w:hanging="255"/>
        <w:spacing w:after="0" w:line="279"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580" w:firstLine="259"/>
        <w:spacing w:after="0" w:line="277" w:lineRule="auto"/>
        <w:rPr>
          <w:sz w:val="20"/>
          <w:szCs w:val="20"/>
          <w:color w:val="auto"/>
        </w:rPr>
      </w:pPr>
      <w:r>
        <w:rPr>
          <w:rFonts w:ascii="Arial" w:cs="Arial" w:eastAsia="Arial" w:hAnsi="Arial"/>
          <w:sz w:val="18"/>
          <w:szCs w:val="18"/>
          <w:color w:val="auto"/>
        </w:rPr>
        <w:t xml:space="preserve">For more information on the investment performance ratings of our portfolio, see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and TSSP, as well as certain other persons appointed by the Adviser from time to time. Our Investment Team and the Investment Review Committee are supported by and have access to the investment professionals, analytical capabilities and support personnel of TSSP.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and unsecured loans and investments in corporate bonds and equity and other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Investments</w:t>
      </w:r>
    </w:p>
    <w:p>
      <w:pPr>
        <w:spacing w:after="0" w:line="117"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69" w:lineRule="exact"/>
        <w:rPr>
          <w:sz w:val="20"/>
          <w:szCs w:val="20"/>
          <w:color w:val="auto"/>
        </w:rPr>
      </w:pPr>
    </w:p>
    <w:p>
      <w:pPr>
        <w:ind w:left="520" w:right="100" w:hanging="255"/>
        <w:spacing w:after="0" w:line="261"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 first-priority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71" w:lineRule="exact"/>
        <w:rPr>
          <w:rFonts w:ascii="Arial" w:cs="Arial" w:eastAsia="Arial" w:hAnsi="Arial"/>
          <w:sz w:val="18"/>
          <w:szCs w:val="18"/>
          <w:color w:val="auto"/>
        </w:rPr>
      </w:pPr>
    </w:p>
    <w:p>
      <w:pPr>
        <w:ind w:left="520" w:hanging="255"/>
        <w:spacing w:after="0" w:line="282"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 collateral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subject to the first-priority security interest.</w:t>
      </w:r>
    </w:p>
    <w:p>
      <w:pPr>
        <w:spacing w:after="0" w:line="53" w:lineRule="exact"/>
        <w:rPr>
          <w:rFonts w:ascii="Arial" w:cs="Arial" w:eastAsia="Arial" w:hAnsi="Arial"/>
          <w:sz w:val="18"/>
          <w:szCs w:val="18"/>
          <w:color w:val="auto"/>
        </w:rPr>
      </w:pPr>
    </w:p>
    <w:p>
      <w:pPr>
        <w:ind w:left="520" w:right="60" w:hanging="255"/>
        <w:spacing w:after="0" w:line="292" w:lineRule="auto"/>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“Last out” first-lien loans. </w:t>
      </w:r>
      <w:r>
        <w:rPr>
          <w:rFonts w:ascii="Arial" w:cs="Arial" w:eastAsia="Arial" w:hAnsi="Arial"/>
          <w:sz w:val="16"/>
          <w:szCs w:val="16"/>
          <w:color w:val="auto"/>
        </w:rPr>
        <w:t>“Last out” first-lien loans have a secondary priority behind super-senior “first out” first-lien loans in the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ind w:left="520" w:right="60" w:hanging="255"/>
        <w:spacing w:after="0" w:line="266"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“Unitranche” loans. </w:t>
      </w:r>
      <w:r>
        <w:rPr>
          <w:rFonts w:ascii="Arial" w:cs="Arial" w:eastAsia="Arial" w:hAnsi="Arial"/>
          <w:sz w:val="18"/>
          <w:szCs w:val="18"/>
          <w:color w:val="auto"/>
        </w:rPr>
        <w:t>Unitranche loans combine features of first-lien, second-lien and mezzanine debt, generally in a first-lien position. In many cases,</w:t>
      </w:r>
      <w:r>
        <w:rPr>
          <w:rFonts w:ascii="Arial" w:cs="Arial" w:eastAsia="Arial" w:hAnsi="Arial"/>
          <w:sz w:val="18"/>
          <w:szCs w:val="18"/>
          <w:b w:val="1"/>
          <w:bCs w:val="1"/>
          <w:color w:val="auto"/>
        </w:rPr>
        <w:t xml:space="preserve"> </w:t>
      </w:r>
      <w:r>
        <w:rPr>
          <w:rFonts w:ascii="Arial" w:cs="Arial" w:eastAsia="Arial" w:hAnsi="Arial"/>
          <w:sz w:val="18"/>
          <w:szCs w:val="18"/>
          <w:color w:val="auto"/>
        </w:rPr>
        <w:t>we may provide the borrower most, if not all, of the capital structure above the equity. The primary advantages to the borrower are the ability to negotiate the entire debt financing with one lender and the elimination of intercreditor issues.</w:t>
      </w:r>
    </w:p>
    <w:p>
      <w:pPr>
        <w:spacing w:after="0" w:line="68" w:lineRule="exact"/>
        <w:rPr>
          <w:rFonts w:ascii="Arial" w:cs="Arial" w:eastAsia="Arial" w:hAnsi="Arial"/>
          <w:sz w:val="18"/>
          <w:szCs w:val="18"/>
          <w:color w:val="auto"/>
        </w:rPr>
      </w:pPr>
    </w:p>
    <w:p>
      <w:pPr>
        <w:ind w:left="520" w:right="180" w:hanging="255"/>
        <w:spacing w:after="0" w:line="258"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 behind</w:t>
      </w:r>
      <w:r>
        <w:rPr>
          <w:rFonts w:ascii="Arial" w:cs="Arial" w:eastAsia="Arial" w:hAnsi="Arial"/>
          <w:sz w:val="18"/>
          <w:szCs w:val="18"/>
          <w:b w:val="1"/>
          <w:bCs w:val="1"/>
          <w:color w:val="auto"/>
        </w:rPr>
        <w:t xml:space="preserve"> </w:t>
      </w:r>
      <w:r>
        <w:rPr>
          <w:rFonts w:ascii="Arial" w:cs="Arial" w:eastAsia="Arial" w:hAnsi="Arial"/>
          <w:sz w:val="18"/>
          <w:szCs w:val="18"/>
          <w:color w:val="auto"/>
        </w:rPr>
        <w:t>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75" w:lineRule="exact"/>
        <w:rPr>
          <w:rFonts w:ascii="Arial" w:cs="Arial" w:eastAsia="Arial" w:hAnsi="Arial"/>
          <w:sz w:val="18"/>
          <w:szCs w:val="18"/>
          <w:color w:val="auto"/>
        </w:rPr>
      </w:pPr>
    </w:p>
    <w:p>
      <w:pPr>
        <w:ind w:left="520" w:right="80" w:hanging="255"/>
        <w:spacing w:after="0" w:line="291"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“Mezzanine” and “Unsecured” debt. </w:t>
      </w:r>
      <w:r>
        <w:rPr>
          <w:rFonts w:ascii="Arial" w:cs="Arial" w:eastAsia="Arial" w:hAnsi="Arial"/>
          <w:sz w:val="16"/>
          <w:szCs w:val="16"/>
          <w:color w:val="auto"/>
        </w:rPr>
        <w:t>Structurally, mezzanine debt usually ranks subordinate in priority of payment to first-lien and second-lien debt</w:t>
      </w:r>
      <w:r>
        <w:rPr>
          <w:rFonts w:ascii="Arial" w:cs="Arial" w:eastAsia="Arial" w:hAnsi="Arial"/>
          <w:sz w:val="16"/>
          <w:szCs w:val="16"/>
          <w:b w:val="1"/>
          <w:bCs w:val="1"/>
          <w:color w:val="auto"/>
        </w:rPr>
        <w:t xml:space="preserve"> </w:t>
      </w:r>
      <w:r>
        <w:rPr>
          <w:rFonts w:ascii="Arial" w:cs="Arial" w:eastAsia="Arial" w:hAnsi="Arial"/>
          <w:sz w:val="16"/>
          <w:szCs w:val="16"/>
          <w:color w:val="auto"/>
        </w:rPr>
        <w:t>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64"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62" w:lineRule="exact"/>
        <w:rPr>
          <w:sz w:val="20"/>
          <w:szCs w:val="20"/>
          <w:color w:val="auto"/>
        </w:rPr>
      </w:pPr>
    </w:p>
    <w:p>
      <w:pPr>
        <w:ind w:left="520" w:hanging="255"/>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28" w:lineRule="exact"/>
        <w:rPr>
          <w:rFonts w:ascii="Arial" w:cs="Arial" w:eastAsia="Arial" w:hAnsi="Arial"/>
          <w:sz w:val="17"/>
          <w:szCs w:val="17"/>
          <w:color w:val="auto"/>
        </w:rPr>
      </w:pPr>
    </w:p>
    <w:p>
      <w:pPr>
        <w:ind w:left="520" w:right="20" w:hanging="255"/>
        <w:spacing w:after="0" w:line="259"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and Other Investments</w:t>
      </w:r>
    </w:p>
    <w:p>
      <w:pPr>
        <w:spacing w:after="0" w:line="117" w:lineRule="exact"/>
        <w:rPr>
          <w:sz w:val="20"/>
          <w:szCs w:val="20"/>
          <w:color w:val="auto"/>
        </w:rPr>
      </w:pPr>
    </w:p>
    <w:p>
      <w:pPr>
        <w:jc w:val="both"/>
        <w:ind w:right="640" w:firstLine="259"/>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As of December 31, 2019 and 2018, we had made investments with an aggregate fair value of $2,245.9 million and $1,706.0 million, respectively, in 63 and 46 portfolio companies, respectively.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consisted of the following at December 31,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2019</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460" w:type="dxa"/>
            <w:vAlign w:val="bottom"/>
            <w:gridSpan w:val="2"/>
          </w:tcPr>
          <w:p>
            <w:pPr>
              <w:ind w:left="1140"/>
              <w:spacing w:after="0"/>
              <w:rPr>
                <w:sz w:val="20"/>
                <w:szCs w:val="20"/>
                <w:color w:val="auto"/>
              </w:rPr>
            </w:pPr>
            <w:r>
              <w:rPr>
                <w:rFonts w:ascii="Arial" w:cs="Arial" w:eastAsia="Arial" w:hAnsi="Arial"/>
                <w:sz w:val="14"/>
                <w:szCs w:val="14"/>
                <w:color w:val="auto"/>
              </w:rPr>
              <w:t>($ in millions)</w:t>
            </w:r>
          </w:p>
        </w:tc>
        <w:tc>
          <w:tcPr>
            <w:tcW w:w="3180" w:type="dxa"/>
            <w:vAlign w:val="bottom"/>
            <w:gridSpan w:val="3"/>
          </w:tcPr>
          <w:p>
            <w:pPr>
              <w:ind w:left="200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Gain (Loss)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2,134.1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0" w:type="dxa"/>
            <w:vAlign w:val="bottom"/>
            <w:vMerge w:val="restart"/>
          </w:tcPr>
          <w:p>
            <w:pPr>
              <w:jc w:val="right"/>
              <w:ind w:right="619"/>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9" w:name="page10"/>
    <w:bookmarkEnd w:id="9"/>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2018</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72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780" w:type="dxa"/>
            <w:vAlign w:val="bottom"/>
            <w:gridSpan w:val="3"/>
          </w:tcPr>
          <w:p>
            <w:pPr>
              <w:ind w:left="160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6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6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vMerge w:val="continue"/>
            <w:shd w:val="clear" w:color="auto" w:fill="CFF0FC"/>
          </w:tcPr>
          <w:p>
            <w:pPr>
              <w:spacing w:after="0"/>
              <w:rPr>
                <w:sz w:val="19"/>
                <w:szCs w:val="19"/>
                <w:color w:val="auto"/>
              </w:rPr>
            </w:pPr>
          </w:p>
        </w:tc>
        <w:tc>
          <w:tcPr>
            <w:tcW w:w="16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1,716.4</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58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December 31, 2019 and 2018 was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3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Business services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Chemicals</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0.3%</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Communications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9.2%</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Electronics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13.7%</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Healthcare</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Internet services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c>
          <w:tcPr>
            <w:tcW w:w="16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Marketing services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Office products</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0.5%</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Real Estate</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Retail and consumer products</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14.9%</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Transportation</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vMerge w:val="continue"/>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We classify the industries of our portfolio companies by end-market (such as healthcare, and business services) and not by the product or services (such as software) directed to those end-markets.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December 31, 2019 and 2018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December 31, 2019</w:t>
            </w: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2018</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4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tcPr>
          <w:p>
            <w:pPr>
              <w:ind w:left="240"/>
              <w:spacing w:after="0"/>
              <w:rPr>
                <w:sz w:val="20"/>
                <w:szCs w:val="20"/>
                <w:color w:val="auto"/>
              </w:rPr>
            </w:pPr>
            <w:r>
              <w:rPr>
                <w:rFonts w:ascii="Arial" w:cs="Arial" w:eastAsia="Arial" w:hAnsi="Arial"/>
                <w:sz w:val="18"/>
                <w:szCs w:val="18"/>
                <w:color w:val="auto"/>
              </w:rPr>
              <w:t>Midwest</w:t>
            </w:r>
          </w:p>
        </w:tc>
        <w:tc>
          <w:tcPr>
            <w:tcW w:w="5000" w:type="dxa"/>
            <w:vAlign w:val="bottom"/>
            <w:gridSpan w:val="3"/>
          </w:tcPr>
          <w:p>
            <w:pPr>
              <w:jc w:val="right"/>
              <w:ind w:right="180"/>
              <w:spacing w:after="0"/>
              <w:rPr>
                <w:sz w:val="20"/>
                <w:szCs w:val="20"/>
                <w:color w:val="auto"/>
              </w:rPr>
            </w:pPr>
            <w:r>
              <w:rPr>
                <w:rFonts w:ascii="Arial" w:cs="Arial" w:eastAsia="Arial" w:hAnsi="Arial"/>
                <w:sz w:val="18"/>
                <w:szCs w:val="18"/>
                <w:color w:val="auto"/>
              </w:rPr>
              <w:t>16.9%</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50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15.8%</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tcPr>
          <w:p>
            <w:pPr>
              <w:ind w:left="240"/>
              <w:spacing w:after="0"/>
              <w:rPr>
                <w:sz w:val="20"/>
                <w:szCs w:val="20"/>
                <w:color w:val="auto"/>
              </w:rPr>
            </w:pPr>
            <w:r>
              <w:rPr>
                <w:rFonts w:ascii="Arial" w:cs="Arial" w:eastAsia="Arial" w:hAnsi="Arial"/>
                <w:sz w:val="18"/>
                <w:szCs w:val="18"/>
                <w:color w:val="auto"/>
              </w:rPr>
              <w:t>South</w:t>
            </w:r>
          </w:p>
        </w:tc>
        <w:tc>
          <w:tcPr>
            <w:tcW w:w="5000" w:type="dxa"/>
            <w:vAlign w:val="bottom"/>
            <w:gridSpan w:val="3"/>
          </w:tcPr>
          <w:p>
            <w:pPr>
              <w:jc w:val="right"/>
              <w:ind w:right="180"/>
              <w:spacing w:after="0"/>
              <w:rPr>
                <w:sz w:val="20"/>
                <w:szCs w:val="20"/>
                <w:color w:val="auto"/>
              </w:rPr>
            </w:pPr>
            <w:r>
              <w:rPr>
                <w:rFonts w:ascii="Arial" w:cs="Arial" w:eastAsia="Arial" w:hAnsi="Arial"/>
                <w:sz w:val="18"/>
                <w:szCs w:val="18"/>
                <w:color w:val="auto"/>
              </w:rPr>
              <w:t>19.2%</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50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38.8%</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Australia</w:t>
            </w:r>
          </w:p>
        </w:tc>
        <w:tc>
          <w:tcPr>
            <w:tcW w:w="5000" w:type="dxa"/>
            <w:vAlign w:val="bottom"/>
            <w:gridSpan w:val="3"/>
          </w:tcPr>
          <w:p>
            <w:pPr>
              <w:jc w:val="right"/>
              <w:ind w:right="180"/>
              <w:spacing w:after="0"/>
              <w:rPr>
                <w:sz w:val="20"/>
                <w:szCs w:val="20"/>
                <w:color w:val="auto"/>
              </w:rPr>
            </w:pPr>
            <w:r>
              <w:rPr>
                <w:rFonts w:ascii="Arial" w:cs="Arial" w:eastAsia="Arial" w:hAnsi="Arial"/>
                <w:sz w:val="18"/>
                <w:szCs w:val="18"/>
                <w:color w:val="auto"/>
              </w:rPr>
              <w:t>1.6%</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Bermuda</w:t>
            </w:r>
          </w:p>
        </w:tc>
        <w:tc>
          <w:tcPr>
            <w:tcW w:w="50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Canada</w:t>
            </w:r>
          </w:p>
        </w:tc>
        <w:tc>
          <w:tcPr>
            <w:tcW w:w="342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3420" w:type="dxa"/>
            <w:vAlign w:val="bottom"/>
            <w:vMerge w:val="restart"/>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2700" w:type="dxa"/>
            <w:vAlign w:val="bottom"/>
            <w:vMerge w:val="continue"/>
            <w:shd w:val="clear" w:color="auto" w:fill="CFF0FC"/>
          </w:tcPr>
          <w:p>
            <w:pPr>
              <w:spacing w:after="0"/>
              <w:rPr>
                <w:sz w:val="19"/>
                <w:szCs w:val="19"/>
                <w:color w:val="auto"/>
              </w:rPr>
            </w:pPr>
          </w:p>
        </w:tc>
        <w:tc>
          <w:tcPr>
            <w:tcW w:w="3420" w:type="dxa"/>
            <w:vAlign w:val="bottom"/>
            <w:vMerge w:val="continue"/>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tcBorders>
              <w:top w:val="single" w:sz="8" w:color="CFF0FC"/>
            </w:tcBorders>
          </w:tcPr>
          <w:p>
            <w:pPr>
              <w:spacing w:after="0" w:line="20" w:lineRule="exact"/>
              <w:rPr>
                <w:sz w:val="1"/>
                <w:szCs w:val="1"/>
                <w:color w:val="auto"/>
              </w:rPr>
            </w:pPr>
          </w:p>
        </w:tc>
        <w:tc>
          <w:tcPr>
            <w:tcW w:w="3420" w:type="dxa"/>
            <w:vAlign w:val="bottom"/>
            <w:tcBorders>
              <w:top w:val="single" w:sz="8" w:color="CFF0FC"/>
              <w:bottom w:val="single" w:sz="8" w:color="CFF0FC"/>
            </w:tcBorders>
            <w:vMerge w:val="restart"/>
          </w:tcPr>
          <w:p>
            <w:pPr>
              <w:jc w:val="right"/>
              <w:ind w:right="1390"/>
              <w:spacing w:after="0"/>
              <w:rPr>
                <w:sz w:val="20"/>
                <w:szCs w:val="20"/>
                <w:color w:val="auto"/>
              </w:rPr>
            </w:pPr>
            <w:r>
              <w:rPr>
                <w:rFonts w:ascii="Arial" w:cs="Arial" w:eastAsia="Arial" w:hAnsi="Arial"/>
                <w:sz w:val="18"/>
                <w:szCs w:val="18"/>
                <w:color w:val="auto"/>
              </w:rPr>
              <w:t>10</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Investment Commitments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2019 and 2018, we had the following commitments to fund investments in current portfolio companies: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2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c>
          <w:tcPr>
            <w:tcW w:w="26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480" w:type="dxa"/>
            <w:vAlign w:val="bottom"/>
            <w:tcBorders>
              <w:top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AppStar Financial, LLC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AvidXchange, Inc. - Delayed Draw</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BlueSnap, Inc.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Caris Life Sciences, Ltd. - Delayed Draw</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ClearCompany, LLC - Delayed Draw</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Clinicient, Inc.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DaySmart Holdings, LLC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DaySmart Holdings, LLC - Delayed Draw</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Dye &amp; Durham Corp.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Energy Alloys, LLC - Delayed Draw</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Ferrellgas, L.P.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Frontline Technologies Group, LLC - Delayed Draw</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 Treasury SS, LLC - Delayed Draw</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Gainsight, Inc. - Delayed Draw</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Government Brands, LLC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Integration Appliance, Inc.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IntelePeer Holdings, Inc. - Delayed Draw</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Kyriba Corp. - Delayed Draw</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Kyriba Corp.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Lithium Technologies, LLC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Lucidworks, Inc.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MD America Energy, LLC - Delayed Draw</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Motus, LLC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PageUp People, Ltd.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PayLease, LLC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PayScale Holdings, Inc. - Delayed Draw</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PrimeRevenue, Inc.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ResMan, LLC - Delayed Draw</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ResMan, LLC - Revolver</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Sovos Compliance, LLC - Delayed Draw</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TherapeuticsMD, Inc. - Delayed Draw A1</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TherapeuticsMD, Inc. - Delayed Draw A2</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Valant Medical Solutions, Inc. - Delayed Draw</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Revolver</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480" w:type="dxa"/>
            <w:vAlign w:val="bottom"/>
            <w:tcBorders>
              <w:top w:val="single" w:sz="8" w:color="auto"/>
              <w:bottom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As of December 31, 2019 and 2018, we did not have any unfunded commitments to fund investments to new borrowers that were not current portfolio companies as of such date.</w:t>
      </w:r>
    </w:p>
    <w:p>
      <w:pPr>
        <w:spacing w:after="0" w:line="170" w:lineRule="exact"/>
        <w:rPr>
          <w:sz w:val="20"/>
          <w:szCs w:val="20"/>
          <w:color w:val="auto"/>
        </w:rPr>
      </w:pPr>
    </w:p>
    <w:p>
      <w:pPr>
        <w:jc w:val="both"/>
        <w:ind w:right="300" w:firstLine="259"/>
        <w:spacing w:after="0" w:line="342" w:lineRule="auto"/>
        <w:rPr>
          <w:sz w:val="20"/>
          <w:szCs w:val="20"/>
          <w:color w:val="auto"/>
        </w:rPr>
      </w:pPr>
      <w:r>
        <w:rPr>
          <w:rFonts w:ascii="Arial" w:cs="Arial" w:eastAsia="Arial" w:hAnsi="Arial"/>
          <w:sz w:val="16"/>
          <w:szCs w:val="16"/>
          <w:color w:val="auto"/>
        </w:rPr>
        <w:t>From time to time, we may become a party to certain legal proceedings incidental to the normal course of our business. As of December 31, 2019, management is not aware of any material pending or threatened litigation that would require accounting recognition or financial statement disclosure.</w:t>
      </w:r>
    </w:p>
    <w:p>
      <w:pPr>
        <w:spacing w:after="0" w:line="1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490" w:right="5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240" w:firstLine="259"/>
        <w:spacing w:after="0" w:line="255" w:lineRule="auto"/>
        <w:rPr>
          <w:sz w:val="20"/>
          <w:szCs w:val="20"/>
          <w:color w:val="auto"/>
        </w:rPr>
      </w:pPr>
      <w:r>
        <w:rPr>
          <w:rFonts w:ascii="Arial" w:cs="Arial" w:eastAsia="Arial" w:hAnsi="Arial"/>
          <w:sz w:val="18"/>
          <w:szCs w:val="18"/>
          <w:color w:val="auto"/>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Arial" w:cs="Arial" w:eastAsia="Arial" w:hAnsi="Arial"/>
          <w:sz w:val="18"/>
          <w:szCs w:val="18"/>
          <w:i w:val="1"/>
          <w:iCs w:val="1"/>
          <w:color w:val="auto"/>
        </w:rPr>
        <w:t>ITEM 1A. RISK FACTORS—Risks Related to Our Business and Structure—We operate in a highly</w:t>
      </w:r>
      <w:r>
        <w:rPr>
          <w:rFonts w:ascii="Arial" w:cs="Arial" w:eastAsia="Arial" w:hAnsi="Arial"/>
          <w:sz w:val="18"/>
          <w:szCs w:val="18"/>
          <w:color w:val="auto"/>
        </w:rPr>
        <w:t xml:space="preserve"> </w:t>
      </w:r>
      <w:r>
        <w:rPr>
          <w:rFonts w:ascii="Arial" w:cs="Arial" w:eastAsia="Arial" w:hAnsi="Arial"/>
          <w:sz w:val="18"/>
          <w:szCs w:val="18"/>
          <w:i w:val="1"/>
          <w:iCs w:val="1"/>
          <w:color w:val="auto"/>
        </w:rPr>
        <w:t>competitive market for investment opportunities.</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and Borrowings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anticipate generating cash in the future from cash flows from operations, including interest received on our cash and cash equivalents,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securities and other high-quality debt investments that mature in one year or less, and through issuances of common stock.</w:t>
      </w:r>
    </w:p>
    <w:p>
      <w:pPr>
        <w:spacing w:after="0" w:line="211" w:lineRule="exact"/>
        <w:rPr>
          <w:sz w:val="20"/>
          <w:szCs w:val="20"/>
          <w:color w:val="auto"/>
        </w:rPr>
      </w:pPr>
    </w:p>
    <w:p>
      <w:pPr>
        <w:jc w:val="both"/>
        <w:ind w:right="40" w:firstLine="259"/>
        <w:spacing w:after="0" w:line="286" w:lineRule="auto"/>
        <w:rPr>
          <w:sz w:val="20"/>
          <w:szCs w:val="20"/>
          <w:color w:val="auto"/>
        </w:rPr>
      </w:pPr>
      <w:r>
        <w:rPr>
          <w:rFonts w:ascii="Arial" w:cs="Arial" w:eastAsia="Arial" w:hAnsi="Arial"/>
          <w:sz w:val="17"/>
          <w:szCs w:val="17"/>
          <w:color w:val="auto"/>
        </w:rPr>
        <w:t>Additionally, we are permitted, under specified conditions, to issue multiple classes of indebtedness and one class of shares senior to our common stock if our asset coverage, as defined in the 1940 Act, is at least equal to 150% immediately after each such issuance. As of December 31, 2019 and 2018, our asset coverage was 200.4% and 270.5%, respectively. See “</w:t>
      </w:r>
      <w:r>
        <w:rPr>
          <w:rFonts w:ascii="Arial" w:cs="Arial" w:eastAsia="Arial" w:hAnsi="Arial"/>
          <w:sz w:val="17"/>
          <w:szCs w:val="17"/>
          <w:i w:val="1"/>
          <w:iCs w:val="1"/>
          <w:color w:val="auto"/>
        </w:rPr>
        <w:t>Regulation as a Business Development Company—Senior Securities</w:t>
      </w:r>
      <w:r>
        <w:rPr>
          <w:rFonts w:ascii="Arial" w:cs="Arial" w:eastAsia="Arial" w:hAnsi="Arial"/>
          <w:sz w:val="17"/>
          <w:szCs w:val="17"/>
          <w:color w:val="auto"/>
        </w:rPr>
        <w:t>” below.</w:t>
      </w:r>
    </w:p>
    <w:p>
      <w:pPr>
        <w:spacing w:after="0" w:line="166"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debt obligations consisted of the following as of December 31, 2019 and 2018:</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3"/>
              </w:rPr>
              <w:t>Aggregate Principal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Outstanding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75"/>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15"/>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5"/>
                <w:szCs w:val="15"/>
                <w:color w:val="auto"/>
              </w:rPr>
            </w:pPr>
          </w:p>
        </w:tc>
      </w:tr>
      <w:tr>
        <w:trPr>
          <w:trHeight w:val="219"/>
        </w:trPr>
        <w:tc>
          <w:tcPr>
            <w:tcW w:w="2800" w:type="dxa"/>
            <w:vAlign w:val="bottom"/>
            <w:gridSpan w:val="3"/>
          </w:tcPr>
          <w:p>
            <w:pPr>
              <w:spacing w:after="0"/>
              <w:rPr>
                <w:sz w:val="20"/>
                <w:szCs w:val="20"/>
                <w:color w:val="auto"/>
              </w:rPr>
            </w:pPr>
            <w:r>
              <w:rPr>
                <w:rFonts w:ascii="Arial" w:cs="Arial" w:eastAsia="Arial" w:hAnsi="Arial"/>
                <w:sz w:val="14"/>
                <w:szCs w:val="14"/>
                <w:color w:val="auto"/>
              </w:rPr>
              <w:t>($ in millions)</w:t>
            </w:r>
          </w:p>
        </w:tc>
        <w:tc>
          <w:tcPr>
            <w:tcW w:w="2220" w:type="dxa"/>
            <w:vAlign w:val="bottom"/>
            <w:gridSpan w:val="3"/>
          </w:tcPr>
          <w:p>
            <w:pPr>
              <w:ind w:left="960"/>
              <w:spacing w:after="0"/>
              <w:rPr>
                <w:sz w:val="20"/>
                <w:szCs w:val="20"/>
                <w:color w:val="auto"/>
              </w:rPr>
            </w:pPr>
            <w:r>
              <w:rPr>
                <w:rFonts w:ascii="Arial" w:cs="Arial" w:eastAsia="Arial" w:hAnsi="Arial"/>
                <w:sz w:val="14"/>
                <w:szCs w:val="14"/>
                <w:b w:val="1"/>
                <w:bCs w:val="1"/>
                <w:color w:val="auto"/>
                <w:w w:val="95"/>
              </w:rPr>
              <w:t>Amount Committed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237"/>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 xml:space="preserve">Available </w:t>
            </w:r>
            <w:r>
              <w:rPr>
                <w:rFonts w:ascii="Arial" w:cs="Arial" w:eastAsia="Arial" w:hAnsi="Arial"/>
                <w:sz w:val="12"/>
                <w:szCs w:val="12"/>
                <w:b w:val="1"/>
                <w:bCs w:val="1"/>
                <w:color w:val="auto"/>
                <w:w w:val="97"/>
              </w:rPr>
              <w:t>(1)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(2)(3)</w:t>
            </w:r>
          </w:p>
        </w:tc>
      </w:tr>
      <w:tr>
        <w:trPr>
          <w:trHeight w:val="223"/>
        </w:trPr>
        <w:tc>
          <w:tcPr>
            <w:tcW w:w="20" w:type="dxa"/>
            <w:vAlign w:val="bottom"/>
          </w:tcPr>
          <w:p>
            <w:pPr>
              <w:spacing w:after="0"/>
              <w:rPr>
                <w:sz w:val="19"/>
                <w:szCs w:val="19"/>
                <w:color w:val="auto"/>
              </w:rPr>
            </w:pPr>
          </w:p>
        </w:tc>
        <w:tc>
          <w:tcPr>
            <w:tcW w:w="2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9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495.7</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24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2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2024</w:t>
            </w:r>
          </w:p>
        </w:tc>
        <w:tc>
          <w:tcPr>
            <w:tcW w:w="24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9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7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9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1,867.5</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available may be subject to limitations related to the borrowing base under the Revolving Credit Facility and asset coverage requirements.</w:t>
      </w:r>
    </w:p>
    <w:p>
      <w:pPr>
        <w:spacing w:after="0" w:line="46" w:lineRule="exact"/>
        <w:rPr>
          <w:rFonts w:ascii="Arial" w:cs="Arial" w:eastAsia="Arial" w:hAnsi="Arial"/>
          <w:sz w:val="16"/>
          <w:szCs w:val="16"/>
          <w:color w:val="auto"/>
        </w:rPr>
      </w:pPr>
    </w:p>
    <w:p>
      <w:pPr>
        <w:ind w:left="520" w:right="34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$10.0 million, $3.1 million, $2.0 million and $6.9 million, respectively.</w:t>
      </w:r>
    </w:p>
    <w:p>
      <w:pPr>
        <w:ind w:left="52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net of $1.8 million, which represents a change in the carrying value of the 2024 Notes resulting from a hedge accounting relationship.</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3"/>
              </w:rPr>
              <w:t>Aggregate Principal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Outstanding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275"/>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5"/>
                <w:szCs w:val="15"/>
                <w:color w:val="auto"/>
              </w:rPr>
            </w:pPr>
          </w:p>
        </w:tc>
      </w:tr>
      <w:tr>
        <w:trPr>
          <w:trHeight w:val="194"/>
        </w:trPr>
        <w:tc>
          <w:tcPr>
            <w:tcW w:w="2800" w:type="dxa"/>
            <w:vAlign w:val="bottom"/>
            <w:gridSpan w:val="3"/>
          </w:tcPr>
          <w:p>
            <w:pPr>
              <w:spacing w:after="0"/>
              <w:rPr>
                <w:sz w:val="20"/>
                <w:szCs w:val="20"/>
                <w:color w:val="auto"/>
              </w:rPr>
            </w:pPr>
            <w:r>
              <w:rPr>
                <w:rFonts w:ascii="Arial" w:cs="Arial" w:eastAsia="Arial" w:hAnsi="Arial"/>
                <w:sz w:val="14"/>
                <w:szCs w:val="14"/>
                <w:color w:val="auto"/>
              </w:rPr>
              <w:t>($ in millions)</w:t>
            </w:r>
          </w:p>
        </w:tc>
        <w:tc>
          <w:tcPr>
            <w:tcW w:w="2220" w:type="dxa"/>
            <w:vAlign w:val="bottom"/>
            <w:gridSpan w:val="3"/>
          </w:tcPr>
          <w:p>
            <w:pPr>
              <w:ind w:left="960"/>
              <w:spacing w:after="0"/>
              <w:rPr>
                <w:sz w:val="20"/>
                <w:szCs w:val="20"/>
                <w:color w:val="auto"/>
              </w:rPr>
            </w:pPr>
            <w:r>
              <w:rPr>
                <w:rFonts w:ascii="Arial" w:cs="Arial" w:eastAsia="Arial" w:hAnsi="Arial"/>
                <w:sz w:val="14"/>
                <w:szCs w:val="14"/>
                <w:b w:val="1"/>
                <w:bCs w:val="1"/>
                <w:color w:val="auto"/>
                <w:w w:val="95"/>
              </w:rPr>
              <w:t>Amount Committed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237"/>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 xml:space="preserve">Available </w:t>
            </w:r>
            <w:r>
              <w:rPr>
                <w:rFonts w:ascii="Arial" w:cs="Arial" w:eastAsia="Arial" w:hAnsi="Arial"/>
                <w:sz w:val="12"/>
                <w:szCs w:val="12"/>
                <w:b w:val="1"/>
                <w:bCs w:val="1"/>
                <w:color w:val="auto"/>
                <w:w w:val="97"/>
              </w:rPr>
              <w:t>(1)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20" w:type="dxa"/>
            <w:vAlign w:val="bottom"/>
          </w:tcPr>
          <w:p>
            <w:pPr>
              <w:spacing w:after="0"/>
              <w:rPr>
                <w:sz w:val="19"/>
                <w:szCs w:val="19"/>
                <w:color w:val="auto"/>
              </w:rPr>
            </w:pPr>
          </w:p>
        </w:tc>
        <w:tc>
          <w:tcPr>
            <w:tcW w:w="2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9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24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2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24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9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7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9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available may be subject to limitations related to the borrowing base under the Revolving Credit Facility and asset coverage requirements.</w:t>
      </w:r>
    </w:p>
    <w:p>
      <w:pPr>
        <w:spacing w:after="0" w:line="46" w:lineRule="exact"/>
        <w:rPr>
          <w:rFonts w:ascii="Arial" w:cs="Arial" w:eastAsia="Arial" w:hAnsi="Arial"/>
          <w:sz w:val="16"/>
          <w:szCs w:val="16"/>
          <w:color w:val="auto"/>
        </w:rPr>
      </w:pPr>
    </w:p>
    <w:p>
      <w:pPr>
        <w:ind w:left="520" w:right="340" w:hanging="512"/>
        <w:spacing w:after="0" w:line="261"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$8.7 million, $5.6 million and $2.7 million,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color w:val="auto"/>
        </w:rPr>
        <w:t>For the years ended December 31, 2019, 2018 and 2017, the components of interest expense were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24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December 31, 2019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December 31, 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December 31, 2017</w:t>
            </w:r>
          </w:p>
        </w:tc>
      </w:tr>
      <w:tr>
        <w:trPr>
          <w:trHeight w:val="223"/>
        </w:trPr>
        <w:tc>
          <w:tcPr>
            <w:tcW w:w="20" w:type="dxa"/>
            <w:vAlign w:val="bottom"/>
          </w:tcPr>
          <w:p>
            <w:pPr>
              <w:spacing w:after="0"/>
              <w:rPr>
                <w:sz w:val="19"/>
                <w:szCs w:val="19"/>
                <w:color w:val="auto"/>
              </w:rPr>
            </w:pPr>
          </w:p>
        </w:tc>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Commitment fees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r>
      <w:tr>
        <w:trPr>
          <w:trHeight w:val="263"/>
        </w:trPr>
        <w:tc>
          <w:tcPr>
            <w:tcW w:w="20" w:type="dxa"/>
            <w:vAlign w:val="bottom"/>
          </w:tcPr>
          <w:p>
            <w:pPr>
              <w:spacing w:after="0"/>
              <w:rPr>
                <w:sz w:val="22"/>
                <w:szCs w:val="22"/>
                <w:color w:val="auto"/>
              </w:rPr>
            </w:pPr>
          </w:p>
        </w:tc>
        <w:tc>
          <w:tcPr>
            <w:tcW w:w="3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3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Borders>
              <w:bottom w:val="single" w:sz="8" w:color="CFF0FC"/>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645.1</w:t>
            </w:r>
          </w:p>
        </w:tc>
        <w:tc>
          <w:tcPr>
            <w:tcW w:w="180" w:type="dxa"/>
            <w:vAlign w:val="bottom"/>
            <w:shd w:val="clear" w:color="auto" w:fill="CFF0FC"/>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43"/>
        </w:trPr>
        <w:tc>
          <w:tcPr>
            <w:tcW w:w="2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For more information on our debt, see “</w:t>
      </w:r>
      <w:r>
        <w:rPr>
          <w:rFonts w:ascii="Arial" w:cs="Arial" w:eastAsia="Arial" w:hAnsi="Arial"/>
          <w:sz w:val="18"/>
          <w:szCs w:val="18"/>
          <w:i w:val="1"/>
          <w:iCs w:val="1"/>
          <w:color w:val="auto"/>
        </w:rPr>
        <w:t>ITEM 7.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OPERATIONS——Financial Condition, Liquidity and Capital Resources.</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0" w:lineRule="exact"/>
        <w:rPr>
          <w:sz w:val="20"/>
          <w:szCs w:val="20"/>
          <w:color w:val="auto"/>
        </w:rPr>
      </w:pPr>
    </w:p>
    <w:p>
      <w:pPr>
        <w:ind w:left="520" w:hanging="255"/>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40" w:firstLine="259"/>
        <w:spacing w:after="0" w:line="276" w:lineRule="auto"/>
        <w:rPr>
          <w:sz w:val="20"/>
          <w:szCs w:val="20"/>
          <w:color w:val="auto"/>
        </w:rPr>
      </w:pPr>
      <w:r>
        <w:rPr>
          <w:rFonts w:ascii="Arial" w:cs="Arial" w:eastAsia="Arial" w:hAnsi="Arial"/>
          <w:sz w:val="17"/>
          <w:szCs w:val="17"/>
          <w:color w:val="auto"/>
        </w:rPr>
        <w:t xml:space="preserve">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excise tax entirely. In that event, we will be liable for the excise tax only on the amount by which we do not meet the foregoing distribution requirement. </w:t>
      </w:r>
      <w:r>
        <w:rPr>
          <w:rFonts w:ascii="Arial" w:cs="Arial" w:eastAsia="Arial" w:hAnsi="Arial"/>
          <w:sz w:val="17"/>
          <w:szCs w:val="17"/>
          <w:i w:val="1"/>
          <w:iCs w:val="1"/>
          <w:color w:val="auto"/>
        </w:rPr>
        <w:t>See “ITEM 1A. RISK FACTORS—Risks Related to Our Business and Structure—We will be subject to corporate-level income tax if</w:t>
      </w:r>
      <w:r>
        <w:rPr>
          <w:rFonts w:ascii="Arial" w:cs="Arial" w:eastAsia="Arial" w:hAnsi="Arial"/>
          <w:sz w:val="17"/>
          <w:szCs w:val="17"/>
          <w:color w:val="auto"/>
        </w:rPr>
        <w:t xml:space="preserve"> </w:t>
      </w:r>
      <w:r>
        <w:rPr>
          <w:rFonts w:ascii="Arial" w:cs="Arial" w:eastAsia="Arial" w:hAnsi="Arial"/>
          <w:sz w:val="17"/>
          <w:szCs w:val="17"/>
          <w:i w:val="1"/>
          <w:iCs w:val="1"/>
          <w:color w:val="auto"/>
        </w:rPr>
        <w:t>we are unable to maintain our qualification as a RIC under Subchapter M of the Code.”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Reinvestment Plan</w:t>
      </w:r>
    </w:p>
    <w:p>
      <w:pPr>
        <w:spacing w:after="0" w:line="117"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right="60" w:firstLine="259"/>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ind w:right="20" w:firstLine="259"/>
        <w:spacing w:after="0" w:line="289" w:lineRule="auto"/>
        <w:rPr>
          <w:sz w:val="20"/>
          <w:szCs w:val="20"/>
          <w:color w:val="auto"/>
        </w:rPr>
      </w:pPr>
      <w:r>
        <w:rPr>
          <w:rFonts w:ascii="Arial" w:cs="Arial" w:eastAsia="Arial" w:hAnsi="Arial"/>
          <w:sz w:val="16"/>
          <w:szCs w:val="16"/>
          <w:color w:val="auto"/>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67"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3"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Arial" w:cs="Arial" w:eastAsia="Arial" w:hAnsi="Arial"/>
          <w:sz w:val="17"/>
          <w:szCs w:val="17"/>
          <w:i w:val="1"/>
          <w:iCs w:val="1"/>
          <w:color w:val="auto"/>
        </w:rPr>
        <w:t>Investment Advisory Agreement; Administration Agreement; License Agreement</w:t>
      </w:r>
      <w:r>
        <w:rPr>
          <w:rFonts w:ascii="Arial" w:cs="Arial" w:eastAsia="Arial" w:hAnsi="Arial"/>
          <w:sz w:val="17"/>
          <w:szCs w:val="17"/>
          <w:color w:val="auto"/>
        </w:rPr>
        <w:t>”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117" w:lineRule="exact"/>
        <w:rPr>
          <w:sz w:val="20"/>
          <w:szCs w:val="20"/>
          <w:color w:val="auto"/>
        </w:rPr>
      </w:pPr>
    </w:p>
    <w:p>
      <w:pPr>
        <w:ind w:right="640" w:firstLine="259"/>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Under the Investment Advisory Agreement, the Adviser:</w:t>
      </w:r>
    </w:p>
    <w:p>
      <w:pPr>
        <w:spacing w:after="0" w:line="117" w:lineRule="exact"/>
        <w:rPr>
          <w:sz w:val="20"/>
          <w:szCs w:val="20"/>
          <w:color w:val="auto"/>
        </w:rPr>
      </w:pPr>
    </w:p>
    <w:p>
      <w:pPr>
        <w:ind w:left="520" w:hanging="255"/>
        <w:spacing w:after="0"/>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determines the composition of our portfolio, the nature and timing of the changes to our portfolio and the manner of implementing those changes;</w:t>
      </w:r>
    </w:p>
    <w:p>
      <w:pPr>
        <w:spacing w:after="0" w:line="128" w:lineRule="exact"/>
        <w:rPr>
          <w:rFonts w:ascii="Arial" w:cs="Arial" w:eastAsia="Arial" w:hAnsi="Arial"/>
          <w:sz w:val="17"/>
          <w:szCs w:val="17"/>
          <w:color w:val="auto"/>
        </w:rPr>
      </w:pPr>
    </w:p>
    <w:p>
      <w:pPr>
        <w:ind w:left="520" w:right="680" w:hanging="255"/>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closes, monitors and administers the investments we make, including the exercise of any rights in our capacity as a lender or equity holder; and</w:t>
      </w:r>
    </w:p>
    <w:p>
      <w:pPr>
        <w:spacing w:after="0" w:line="128" w:lineRule="exact"/>
        <w:rPr>
          <w:rFonts w:ascii="Arial" w:cs="Arial" w:eastAsia="Arial" w:hAnsi="Arial"/>
          <w:sz w:val="17"/>
          <w:szCs w:val="17"/>
          <w:color w:val="auto"/>
        </w:rPr>
      </w:pPr>
    </w:p>
    <w:p>
      <w:pPr>
        <w:ind w:left="520" w:right="120" w:hanging="255"/>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ind w:right="100" w:firstLine="259"/>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or the “Management Fee,” and may also pay certain incentive fees, or “Incentive Fees”.</w:t>
      </w:r>
    </w:p>
    <w:p>
      <w:pPr>
        <w:spacing w:after="0" w:line="170"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right="540" w:firstLine="259"/>
        <w:spacing w:after="0" w:line="277" w:lineRule="auto"/>
        <w:rPr>
          <w:sz w:val="20"/>
          <w:szCs w:val="20"/>
          <w:color w:val="auto"/>
        </w:rPr>
      </w:pPr>
      <w:r>
        <w:rPr>
          <w:rFonts w:ascii="Arial" w:cs="Arial" w:eastAsia="Arial" w:hAnsi="Arial"/>
          <w:sz w:val="18"/>
          <w:szCs w:val="18"/>
          <w:color w:val="auto"/>
        </w:rPr>
        <w:t>For each of the years ended December 31, 2019, 2018, and 2017, Management Fees (gross of waivers) were $30.1 million, $28.6 million and $24.3 million, respectively.</w:t>
      </w:r>
    </w:p>
    <w:p>
      <w:pPr>
        <w:spacing w:after="0" w:line="170"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The Adviser did not waive any Management Fees for the year ended December 31, 2019. For the years ended December 31, 2018 and 2017, Management Fees of less than $0.1 million were waived consisting solely of Management Fees attributable to our ownership of shares of common stock in Triangle Capital Corp. (the “TCAP Shares”). As of June 30, 2018 we had fully exited our position in the TCAP Shares.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225"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As of December 31, 2019, no Management Fees have been waived pursuant to the Leverage Waiver.</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120" w:hanging="255"/>
        <w:spacing w:after="0" w:line="291"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9" w:lineRule="exact"/>
        <w:rPr>
          <w:rFonts w:ascii="Arial" w:cs="Arial" w:eastAsia="Arial" w:hAnsi="Arial"/>
          <w:sz w:val="16"/>
          <w:szCs w:val="16"/>
          <w:color w:val="auto"/>
        </w:rPr>
      </w:pPr>
    </w:p>
    <w:p>
      <w:pPr>
        <w:ind w:left="520" w:right="20"/>
        <w:spacing w:after="0" w:line="273" w:lineRule="auto"/>
        <w:rPr>
          <w:rFonts w:ascii="Arial" w:cs="Arial" w:eastAsia="Arial" w:hAnsi="Arial"/>
          <w:sz w:val="16"/>
          <w:szCs w:val="16"/>
          <w:color w:val="auto"/>
        </w:rPr>
      </w:pPr>
      <w:r>
        <w:rPr>
          <w:rFonts w:ascii="Arial" w:cs="Arial" w:eastAsia="Arial" w:hAnsi="Arial"/>
          <w:sz w:val="17"/>
          <w:szCs w:val="17"/>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 or loss.</w:t>
      </w:r>
    </w:p>
    <w:p>
      <w:pPr>
        <w:spacing w:after="0" w:line="70" w:lineRule="exact"/>
        <w:rPr>
          <w:rFonts w:ascii="Arial" w:cs="Arial" w:eastAsia="Arial" w:hAnsi="Arial"/>
          <w:sz w:val="16"/>
          <w:szCs w:val="16"/>
          <w:color w:val="auto"/>
        </w:rPr>
      </w:pPr>
    </w:p>
    <w:p>
      <w:pPr>
        <w:ind w:left="520" w:right="60" w:hanging="255"/>
        <w:spacing w:after="0" w:line="270"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capital gains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2" w:lineRule="exact"/>
        <w:rPr>
          <w:sz w:val="20"/>
          <w:szCs w:val="20"/>
          <w:color w:val="auto"/>
        </w:rPr>
      </w:pPr>
    </w:p>
    <w:p>
      <w:pPr>
        <w:ind w:right="60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firstLine="259"/>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70"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For the years ended December 31, 2019, 2018 and 2017, Incentive Fees (gross of waivers) were $27.2 million, $30.5 million and $25.5 million, respectively, all of which were realized and payable to the Adviser. For the years ended December 31, 2019, 2018 and 2017, no Incentive Fees were accrued related to capital gains.</w:t>
      </w:r>
    </w:p>
    <w:p>
      <w:pPr>
        <w:spacing w:after="0" w:line="181"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The Adviser voluntarily waived the Incentive Fees attributable to pre-Incentive Fee net investment income accrued by the Company as a result of our ownership of the TCAP Shares. The Adviser did not waive any part of the Capital Gains Fee attributable to our ownership of the TCAP Shares and, accordingly, any realized capital gains or losses and unrealized capital losses with respect to the TCAP Shares were applied against our cumulative realized capital gains on which the Capital Gains Fee is calculated.</w:t>
      </w:r>
    </w:p>
    <w:p>
      <w:pPr>
        <w:spacing w:after="0" w:line="187"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The Adviser did not waive any Incentive Fees for the year ended December 31, 2019. For the years ended December 31 2018 and 2017, Incentive Fees of less than $0.1 million were waived consisting solely of Incentive Fees attributable to our ownership of the TCAP Shares. Any waived Incentive Fees are not subject to recoupment by the Adviser.</w:t>
      </w:r>
    </w:p>
    <w:p>
      <w:pPr>
        <w:spacing w:after="0" w:line="181" w:lineRule="exact"/>
        <w:rPr>
          <w:sz w:val="20"/>
          <w:szCs w:val="20"/>
          <w:color w:val="auto"/>
        </w:rPr>
      </w:pPr>
    </w:p>
    <w:p>
      <w:pPr>
        <w:ind w:right="480" w:firstLine="259"/>
        <w:spacing w:after="0" w:line="264" w:lineRule="auto"/>
        <w:rPr>
          <w:sz w:val="20"/>
          <w:szCs w:val="20"/>
          <w:color w:val="auto"/>
        </w:rPr>
      </w:pPr>
      <w:r>
        <w:rPr>
          <w:rFonts w:ascii="Arial" w:cs="Arial" w:eastAsia="Arial" w:hAnsi="Arial"/>
          <w:sz w:val="18"/>
          <w:szCs w:val="18"/>
          <w:color w:val="auto"/>
        </w:rPr>
        <w:t>Since our IPO, with the exception of its waiver of Management Fees and certain Incentive Fees attributable to our ownership of certain portfolio companies, including the TCAP Shares, the Adviser has not waived its right to receive any Management Fees or Incentive Fees payable pursuant to the Investment Advisory Agreement.</w:t>
      </w:r>
    </w:p>
    <w:p>
      <w:pPr>
        <w:spacing w:after="0" w:line="181" w:lineRule="exact"/>
        <w:rPr>
          <w:sz w:val="20"/>
          <w:szCs w:val="20"/>
          <w:color w:val="auto"/>
        </w:rPr>
      </w:pPr>
    </w:p>
    <w:p>
      <w:pPr>
        <w:ind w:right="340" w:firstLine="259"/>
        <w:spacing w:after="0" w:line="312" w:lineRule="auto"/>
        <w:rPr>
          <w:sz w:val="20"/>
          <w:szCs w:val="20"/>
          <w:color w:val="auto"/>
        </w:rPr>
      </w:pPr>
      <w:r>
        <w:rPr>
          <w:rFonts w:ascii="Arial" w:cs="Arial" w:eastAsia="Arial" w:hAnsi="Arial"/>
          <w:sz w:val="16"/>
          <w:szCs w:val="16"/>
          <w:color w:val="auto"/>
        </w:rPr>
        <w:t>In November 2019, the Board renewed the Investment Advisory Agreement. Unless earlier terminated as described below, the Investment Advisory Agreement will remain in effect until November 2020,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7"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right="80" w:firstLine="259"/>
        <w:spacing w:after="0" w:line="254" w:lineRule="auto"/>
        <w:rPr>
          <w:sz w:val="20"/>
          <w:szCs w:val="20"/>
          <w:color w:val="auto"/>
        </w:rPr>
      </w:pPr>
      <w:r>
        <w:rPr>
          <w:rFonts w:ascii="Arial" w:cs="Arial" w:eastAsia="Arial" w:hAnsi="Arial"/>
          <w:sz w:val="18"/>
          <w:szCs w:val="18"/>
          <w:color w:val="auto"/>
        </w:rPr>
        <w:t xml:space="preserve">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 </w:t>
      </w:r>
      <w:r>
        <w:rPr>
          <w:rFonts w:ascii="Arial" w:cs="Arial" w:eastAsia="Arial" w:hAnsi="Arial"/>
          <w:sz w:val="18"/>
          <w:szCs w:val="18"/>
          <w:i w:val="1"/>
          <w:iCs w:val="1"/>
          <w:color w:val="auto"/>
        </w:rPr>
        <w:t>Payment of Our Expenses</w:t>
      </w:r>
      <w:r>
        <w:rPr>
          <w:rFonts w:ascii="Arial" w:cs="Arial" w:eastAsia="Arial" w:hAnsi="Arial"/>
          <w:sz w:val="18"/>
          <w:szCs w:val="18"/>
          <w:color w:val="auto"/>
        </w:rPr>
        <w:t>” below. In addition, the Adviser is permitted to delegate its duties under the Administration Agreement to affiliates or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we pay or reimburse the Adviser expenses incurred by any such affiliates or third parties for work done on our behalf. For the years ended December 31, 2019, 2018, and 2017, we incurred expenses of $4.2 million, $3.4 million, and $3.5 million, respectively, for administrative services payable under the terms of the Administration Agreement.</w:t>
      </w:r>
    </w:p>
    <w:p>
      <w:pPr>
        <w:spacing w:after="0" w:line="192"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In November 2019, the Board renewed the Administration Agreement. Unless earlier terminated as described below, the Administration Agreement will remain in effect until November 2020,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ind w:right="220"/>
        <w:spacing w:after="0" w:line="277" w:lineRule="auto"/>
        <w:rPr>
          <w:sz w:val="20"/>
          <w:szCs w:val="20"/>
          <w:color w:val="auto"/>
        </w:rPr>
      </w:pPr>
      <w:r>
        <w:rPr>
          <w:rFonts w:ascii="Arial" w:cs="Arial" w:eastAsia="Arial" w:hAnsi="Arial"/>
          <w:sz w:val="18"/>
          <w:szCs w:val="18"/>
          <w:color w:val="auto"/>
        </w:rPr>
        <w:t>basis, to our business and affairs). Directors who are not affiliated with the Adviser receive compensation for their services and reimbursement of expenses incurred to attend meetings.</w:t>
      </w:r>
    </w:p>
    <w:p>
      <w:pPr>
        <w:spacing w:after="0" w:line="170"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80" w:lineRule="exact"/>
        <w:rPr>
          <w:sz w:val="20"/>
          <w:szCs w:val="20"/>
          <w:color w:val="auto"/>
        </w:rPr>
      </w:pPr>
    </w:p>
    <w:p>
      <w:pPr>
        <w:ind w:right="300" w:firstLine="259"/>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both"/>
        <w:ind w:right="220" w:firstLine="259"/>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152400</wp:posOffset>
            </wp:positionV>
            <wp:extent cx="4562475" cy="883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6247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940" w:hanging="156"/>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260" w:right="390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940" w:hanging="156"/>
        <w:spacing w:after="0"/>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940" w:hanging="156"/>
        <w:spacing w:after="0"/>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0.513%</w:t>
      </w:r>
    </w:p>
    <w:p>
      <w:pPr>
        <w:spacing w:after="0" w:line="102" w:lineRule="exact"/>
        <w:rPr>
          <w:rFonts w:ascii="Arial" w:cs="Arial" w:eastAsia="Arial" w:hAnsi="Arial"/>
          <w:sz w:val="18"/>
          <w:szCs w:val="18"/>
          <w:color w:val="auto"/>
        </w:rPr>
      </w:pPr>
    </w:p>
    <w:p>
      <w:pPr>
        <w:ind w:left="520" w:hanging="255"/>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1.5% annualized Management Fee. For the purposes of these examples the Management Fee is assumed to be based on net assets, rather than gross assets.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117" w:lineRule="exact"/>
        <w:rPr>
          <w:rFonts w:ascii="Arial" w:cs="Arial" w:eastAsia="Arial" w:hAnsi="Arial"/>
          <w:sz w:val="18"/>
          <w:szCs w:val="18"/>
          <w:color w:val="auto"/>
        </w:rPr>
      </w:pPr>
    </w:p>
    <w:p>
      <w:pPr>
        <w:ind w:left="520" w:hanging="255"/>
        <w:spacing w:after="0" w:line="291"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1.5% in any calendar quarter and is not applied once the Adviser has received</w:t>
      </w:r>
    </w:p>
    <w:p>
      <w:pPr>
        <w:ind w:left="520" w:right="60"/>
        <w:spacing w:after="0" w:line="290" w:lineRule="auto"/>
        <w:rPr>
          <w:rFonts w:ascii="Arial" w:cs="Arial" w:eastAsia="Arial" w:hAnsi="Arial"/>
          <w:sz w:val="16"/>
          <w:szCs w:val="16"/>
          <w:color w:val="auto"/>
        </w:rPr>
      </w:pPr>
      <w:r>
        <w:rPr>
          <w:rFonts w:ascii="Arial" w:cs="Arial" w:eastAsia="Arial" w:hAnsi="Arial"/>
          <w:sz w:val="17"/>
          <w:szCs w:val="17"/>
          <w:color w:val="auto"/>
        </w:rPr>
        <w:t>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The hypothetical amount of pre-Incentive Fee net investment income shown is based on a percentage of total net assets.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520" w:right="40" w:hanging="255"/>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73" w:lineRule="exact"/>
        <w:rPr>
          <w:rFonts w:ascii="Arial" w:cs="Arial" w:eastAsia="Arial" w:hAnsi="Arial"/>
          <w:sz w:val="18"/>
          <w:szCs w:val="18"/>
          <w:color w:val="auto"/>
        </w:rPr>
      </w:pPr>
    </w:p>
    <w:p>
      <w:pPr>
        <w:ind w:left="520" w:right="40" w:hanging="255"/>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62" w:lineRule="exact"/>
        <w:rPr>
          <w:rFonts w:ascii="Arial" w:cs="Arial" w:eastAsia="Arial" w:hAnsi="Arial"/>
          <w:sz w:val="18"/>
          <w:szCs w:val="18"/>
          <w:color w:val="auto"/>
        </w:rPr>
      </w:pPr>
    </w:p>
    <w:p>
      <w:pPr>
        <w:ind w:left="520" w:right="520" w:hanging="255"/>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ind w:left="520" w:right="80" w:hanging="255"/>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62" w:lineRule="exact"/>
        <w:rPr>
          <w:rFonts w:ascii="Arial" w:cs="Arial" w:eastAsia="Arial" w:hAnsi="Arial"/>
          <w:sz w:val="18"/>
          <w:szCs w:val="18"/>
          <w:color w:val="auto"/>
        </w:rPr>
      </w:pPr>
    </w:p>
    <w:p>
      <w:pPr>
        <w:ind w:left="520" w:right="260" w:hanging="255"/>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Year 6: Investment B sold for $16 million, FMV of Investment E determined to be $8 million and FMV of Investment F determined to be $15 million.</w:t>
      </w:r>
    </w:p>
    <w:p>
      <w:pPr>
        <w:spacing w:after="0" w:line="140" w:lineRule="exact"/>
        <w:rPr>
          <w:rFonts w:ascii="Arial" w:cs="Arial" w:eastAsia="Arial" w:hAnsi="Arial"/>
          <w:sz w:val="16"/>
          <w:szCs w:val="16"/>
          <w:color w:val="auto"/>
        </w:rPr>
      </w:pPr>
    </w:p>
    <w:p>
      <w:pPr>
        <w:ind w:left="520" w:hanging="255"/>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Cumulative</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Cumulative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Unrealized</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Realized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Investment</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Investment</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Investment</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Investment</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Investment</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71"/>
        </w:trPr>
        <w:tc>
          <w:tcPr>
            <w:tcW w:w="9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w:t>
            </w:r>
          </w:p>
        </w:tc>
        <w:tc>
          <w:tcPr>
            <w:tcW w:w="18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B</w:t>
            </w:r>
          </w:p>
        </w:tc>
        <w:tc>
          <w:tcPr>
            <w:tcW w:w="18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w:t>
            </w:r>
          </w:p>
        </w:tc>
        <w:tc>
          <w:tcPr>
            <w:tcW w:w="2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D</w:t>
            </w:r>
          </w:p>
        </w:tc>
        <w:tc>
          <w:tcPr>
            <w:tcW w:w="2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E</w:t>
            </w:r>
          </w:p>
        </w:tc>
        <w:tc>
          <w:tcPr>
            <w:tcW w:w="18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F</w:t>
            </w:r>
          </w:p>
        </w:tc>
        <w:tc>
          <w:tcPr>
            <w:tcW w:w="1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Depreciation</w:t>
            </w:r>
          </w:p>
        </w:tc>
        <w:tc>
          <w:tcPr>
            <w:tcW w:w="2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200"/>
        </w:trPr>
        <w:tc>
          <w:tcPr>
            <w:tcW w:w="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Year 1</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million</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million</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million</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million</w:t>
            </w: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shd w:val="clear" w:color="auto" w:fill="CFF0FC"/>
          </w:tcPr>
          <w:p>
            <w:pPr>
              <w:spacing w:after="0"/>
              <w:rPr>
                <w:sz w:val="8"/>
                <w:szCs w:val="8"/>
                <w:color w:val="auto"/>
              </w:rPr>
            </w:pP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(cost basis)</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(cost basis)</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(cost basis)</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(cost basis)</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4"/>
        </w:trPr>
        <w:tc>
          <w:tcPr>
            <w:tcW w:w="960" w:type="dxa"/>
            <w:vAlign w:val="bottom"/>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22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960" w:type="dxa"/>
            <w:vAlign w:val="bottom"/>
            <w:vMerge w:val="restart"/>
          </w:tcPr>
          <w:p>
            <w:pPr>
              <w:spacing w:after="0"/>
              <w:rPr>
                <w:sz w:val="20"/>
                <w:szCs w:val="20"/>
                <w:color w:val="auto"/>
              </w:rPr>
            </w:pPr>
            <w:r>
              <w:rPr>
                <w:rFonts w:ascii="Arial" w:cs="Arial" w:eastAsia="Arial" w:hAnsi="Arial"/>
                <w:sz w:val="16"/>
                <w:szCs w:val="16"/>
                <w:color w:val="auto"/>
              </w:rPr>
              <w:t>Year 2</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$20 million</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$8 million</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$12 million</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$10 million</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$10 million</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(sale price)</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$2 million</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$10 million</w:t>
            </w:r>
          </w:p>
        </w:tc>
        <w:tc>
          <w:tcPr>
            <w:tcW w:w="0" w:type="dxa"/>
            <w:vAlign w:val="bottom"/>
          </w:tcPr>
          <w:p>
            <w:pPr>
              <w:spacing w:after="0"/>
              <w:rPr>
                <w:sz w:val="1"/>
                <w:szCs w:val="1"/>
                <w:color w:val="auto"/>
              </w:rPr>
            </w:pPr>
          </w:p>
        </w:tc>
      </w:tr>
      <w:tr>
        <w:trPr>
          <w:trHeight w:val="111"/>
        </w:trPr>
        <w:tc>
          <w:tcPr>
            <w:tcW w:w="9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Year 3 (IPO)</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 million</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 million</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 million</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 million</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shd w:val="clear" w:color="auto" w:fill="CFF0FC"/>
          </w:tcPr>
          <w:p>
            <w:pPr>
              <w:spacing w:after="0"/>
              <w:rPr>
                <w:sz w:val="8"/>
                <w:szCs w:val="8"/>
                <w:color w:val="auto"/>
              </w:rPr>
            </w:pP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 at IPO</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 at IPO</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 at IPO</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$2 million</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 million</w:t>
            </w:r>
          </w:p>
        </w:tc>
        <w:tc>
          <w:tcPr>
            <w:tcW w:w="0" w:type="dxa"/>
            <w:vAlign w:val="bottom"/>
          </w:tcPr>
          <w:p>
            <w:pPr>
              <w:spacing w:after="0"/>
              <w:rPr>
                <w:sz w:val="1"/>
                <w:szCs w:val="1"/>
                <w:color w:val="auto"/>
              </w:rPr>
            </w:pPr>
          </w:p>
        </w:tc>
      </w:tr>
      <w:tr>
        <w:trPr>
          <w:trHeight w:val="114"/>
        </w:trPr>
        <w:tc>
          <w:tcPr>
            <w:tcW w:w="960" w:type="dxa"/>
            <w:vAlign w:val="bottom"/>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22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960" w:type="dxa"/>
            <w:vAlign w:val="bottom"/>
            <w:vMerge w:val="restart"/>
          </w:tcPr>
          <w:p>
            <w:pPr>
              <w:spacing w:after="0"/>
              <w:rPr>
                <w:sz w:val="20"/>
                <w:szCs w:val="20"/>
                <w:color w:val="auto"/>
              </w:rPr>
            </w:pPr>
            <w:r>
              <w:rPr>
                <w:rFonts w:ascii="Arial" w:cs="Arial" w:eastAsia="Arial" w:hAnsi="Arial"/>
                <w:sz w:val="16"/>
                <w:szCs w:val="16"/>
                <w:color w:val="auto"/>
              </w:rPr>
              <w:t>Year 4</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$10 million</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$16 million</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$12 million</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$14 million</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$10 million</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(sale price)</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(cost basis)</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$12 million</w:t>
            </w:r>
          </w:p>
        </w:tc>
        <w:tc>
          <w:tcPr>
            <w:tcW w:w="0" w:type="dxa"/>
            <w:vAlign w:val="bottom"/>
          </w:tcPr>
          <w:p>
            <w:pPr>
              <w:spacing w:after="0"/>
              <w:rPr>
                <w:sz w:val="1"/>
                <w:szCs w:val="1"/>
                <w:color w:val="auto"/>
              </w:rPr>
            </w:pPr>
          </w:p>
        </w:tc>
      </w:tr>
      <w:tr>
        <w:trPr>
          <w:trHeight w:val="111"/>
        </w:trPr>
        <w:tc>
          <w:tcPr>
            <w:tcW w:w="9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Year 5</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 million</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 million</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 million</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 million</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shd w:val="clear" w:color="auto" w:fill="CFF0FC"/>
          </w:tcPr>
          <w:p>
            <w:pPr>
              <w:spacing w:after="0"/>
              <w:rPr>
                <w:sz w:val="8"/>
                <w:szCs w:val="8"/>
                <w:color w:val="auto"/>
              </w:rPr>
            </w:pP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(sale price)</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w:t>
            </w:r>
          </w:p>
        </w:tc>
        <w:tc>
          <w:tcPr>
            <w:tcW w:w="12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$22 million</w:t>
            </w:r>
          </w:p>
        </w:tc>
        <w:tc>
          <w:tcPr>
            <w:tcW w:w="0" w:type="dxa"/>
            <w:vAlign w:val="bottom"/>
          </w:tcPr>
          <w:p>
            <w:pPr>
              <w:spacing w:after="0"/>
              <w:rPr>
                <w:sz w:val="1"/>
                <w:szCs w:val="1"/>
                <w:color w:val="auto"/>
              </w:rPr>
            </w:pPr>
          </w:p>
        </w:tc>
      </w:tr>
      <w:tr>
        <w:trPr>
          <w:trHeight w:val="114"/>
        </w:trPr>
        <w:tc>
          <w:tcPr>
            <w:tcW w:w="960" w:type="dxa"/>
            <w:vAlign w:val="bottom"/>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22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960" w:type="dxa"/>
            <w:vAlign w:val="bottom"/>
            <w:vMerge w:val="restart"/>
          </w:tcPr>
          <w:p>
            <w:pPr>
              <w:spacing w:after="0"/>
              <w:rPr>
                <w:sz w:val="20"/>
                <w:szCs w:val="20"/>
                <w:color w:val="auto"/>
              </w:rPr>
            </w:pPr>
            <w:r>
              <w:rPr>
                <w:rFonts w:ascii="Arial" w:cs="Arial" w:eastAsia="Arial" w:hAnsi="Arial"/>
                <w:sz w:val="16"/>
                <w:szCs w:val="16"/>
                <w:color w:val="auto"/>
              </w:rPr>
              <w:t>Year 6</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$16 million</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$8 million</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$15 million</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(sale price)</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FMV</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$2 million</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$28 million</w:t>
            </w:r>
          </w:p>
        </w:tc>
        <w:tc>
          <w:tcPr>
            <w:tcW w:w="0" w:type="dxa"/>
            <w:vAlign w:val="bottom"/>
          </w:tcPr>
          <w:p>
            <w:pPr>
              <w:spacing w:after="0"/>
              <w:rPr>
                <w:sz w:val="1"/>
                <w:szCs w:val="1"/>
                <w:color w:val="auto"/>
              </w:rPr>
            </w:pPr>
          </w:p>
        </w:tc>
      </w:tr>
      <w:tr>
        <w:trPr>
          <w:trHeight w:val="111"/>
        </w:trPr>
        <w:tc>
          <w:tcPr>
            <w:tcW w:w="9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Year 7</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 million</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 million</w:t>
            </w: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shd w:val="clear" w:color="auto" w:fill="CFF0FC"/>
          </w:tcPr>
          <w:p>
            <w:pPr>
              <w:spacing w:after="0"/>
              <w:rPr>
                <w:sz w:val="8"/>
                <w:szCs w:val="8"/>
                <w:color w:val="auto"/>
              </w:rPr>
            </w:pP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(sale price)</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FMV</w:t>
            </w:r>
          </w:p>
        </w:tc>
        <w:tc>
          <w:tcPr>
            <w:tcW w:w="12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$2 million</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$28 million</w:t>
            </w:r>
          </w:p>
        </w:tc>
        <w:tc>
          <w:tcPr>
            <w:tcW w:w="0" w:type="dxa"/>
            <w:vAlign w:val="bottom"/>
          </w:tcPr>
          <w:p>
            <w:pPr>
              <w:spacing w:after="0"/>
              <w:rPr>
                <w:sz w:val="1"/>
                <w:szCs w:val="1"/>
                <w:color w:val="auto"/>
              </w:rPr>
            </w:pPr>
          </w:p>
        </w:tc>
      </w:tr>
      <w:tr>
        <w:trPr>
          <w:trHeight w:val="114"/>
        </w:trPr>
        <w:tc>
          <w:tcPr>
            <w:tcW w:w="960" w:type="dxa"/>
            <w:vAlign w:val="bottom"/>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22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102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960" w:type="dxa"/>
            <w:vAlign w:val="bottom"/>
            <w:vMerge w:val="restart"/>
          </w:tcPr>
          <w:p>
            <w:pPr>
              <w:spacing w:after="0"/>
              <w:rPr>
                <w:sz w:val="20"/>
                <w:szCs w:val="20"/>
                <w:color w:val="auto"/>
              </w:rPr>
            </w:pPr>
            <w:r>
              <w:rPr>
                <w:rFonts w:ascii="Arial" w:cs="Arial" w:eastAsia="Arial" w:hAnsi="Arial"/>
                <w:sz w:val="16"/>
                <w:szCs w:val="16"/>
                <w:color w:val="auto"/>
              </w:rPr>
              <w:t>Year 8</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$18 million</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960" w:type="dxa"/>
            <w:vAlign w:val="bottom"/>
            <w:vMerge w:val="continue"/>
          </w:tcPr>
          <w:p>
            <w:pPr>
              <w:spacing w:after="0"/>
              <w:rPr>
                <w:sz w:val="8"/>
                <w:szCs w:val="8"/>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(sale price)</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$2 million</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$36 million</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rFonts w:ascii="Arial" w:cs="Arial" w:eastAsia="Arial" w:hAnsi="Arial"/>
          <w:sz w:val="18"/>
          <w:szCs w:val="18"/>
          <w:color w:val="auto"/>
        </w:rPr>
      </w:pPr>
    </w:p>
    <w:p>
      <w:pPr>
        <w:ind w:left="520" w:right="1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rFonts w:ascii="Arial" w:cs="Arial" w:eastAsia="Arial" w:hAnsi="Arial"/>
          <w:sz w:val="18"/>
          <w:szCs w:val="18"/>
          <w:color w:val="auto"/>
        </w:rPr>
      </w:pPr>
    </w:p>
    <w:p>
      <w:pPr>
        <w:ind w:left="520" w:right="1000"/>
        <w:spacing w:after="0" w:line="308" w:lineRule="auto"/>
        <w:rPr>
          <w:rFonts w:ascii="Arial" w:cs="Arial" w:eastAsia="Arial" w:hAnsi="Arial"/>
          <w:sz w:val="18"/>
          <w:szCs w:val="18"/>
          <w:color w:val="auto"/>
        </w:rPr>
      </w:pPr>
      <w:r>
        <w:rPr>
          <w:rFonts w:ascii="Arial" w:cs="Arial" w:eastAsia="Arial" w:hAnsi="Arial"/>
          <w:sz w:val="17"/>
          <w:szCs w:val="17"/>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7"/>
          <w:szCs w:val="17"/>
          <w:b w:val="1"/>
          <w:bCs w:val="1"/>
          <w:color w:val="auto"/>
        </w:rPr>
        <w:t>$0.00</w:t>
      </w:r>
    </w:p>
    <w:p>
      <w:pPr>
        <w:spacing w:after="0" w:line="38" w:lineRule="exact"/>
        <w:rPr>
          <w:rFonts w:ascii="Arial" w:cs="Arial" w:eastAsia="Arial" w:hAnsi="Arial"/>
          <w:sz w:val="18"/>
          <w:szCs w:val="18"/>
          <w:color w:val="auto"/>
        </w:rPr>
      </w:pPr>
    </w:p>
    <w:p>
      <w:pPr>
        <w:ind w:left="520" w:right="1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rFonts w:ascii="Arial" w:cs="Arial" w:eastAsia="Arial" w:hAnsi="Arial"/>
          <w:sz w:val="18"/>
          <w:szCs w:val="18"/>
          <w:color w:val="auto"/>
        </w:rPr>
      </w:pPr>
    </w:p>
    <w:p>
      <w:pPr>
        <w:ind w:left="520" w:right="2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$12 million Total Gain Amount)) = </w:t>
      </w:r>
      <w:r>
        <w:rPr>
          <w:rFonts w:ascii="Arial" w:cs="Arial" w:eastAsia="Arial" w:hAnsi="Arial"/>
          <w:sz w:val="18"/>
          <w:szCs w:val="18"/>
          <w:b w:val="1"/>
          <w:bCs w:val="1"/>
          <w:color w:val="auto"/>
        </w:rPr>
        <w:t>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rFonts w:ascii="Arial" w:cs="Arial" w:eastAsia="Arial" w:hAnsi="Arial"/>
          <w:sz w:val="18"/>
          <w:szCs w:val="18"/>
          <w:color w:val="auto"/>
        </w:rPr>
      </w:pPr>
    </w:p>
    <w:p>
      <w:pPr>
        <w:ind w:left="520" w:right="2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8"/>
          <w:szCs w:val="18"/>
          <w:b w:val="1"/>
          <w:bCs w:val="1"/>
          <w:color w:val="auto"/>
        </w:rPr>
        <w:t>15.68%</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rFonts w:ascii="Arial" w:cs="Arial" w:eastAsia="Arial" w:hAnsi="Arial"/>
          <w:sz w:val="18"/>
          <w:szCs w:val="18"/>
          <w:color w:val="auto"/>
        </w:rPr>
      </w:pPr>
    </w:p>
    <w:p>
      <w:pPr>
        <w:ind w:left="520" w:right="1000"/>
        <w:spacing w:after="0" w:line="342" w:lineRule="auto"/>
        <w:rPr>
          <w:rFonts w:ascii="Arial" w:cs="Arial" w:eastAsia="Arial" w:hAnsi="Arial"/>
          <w:sz w:val="18"/>
          <w:szCs w:val="18"/>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15"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rFonts w:ascii="Arial" w:cs="Arial" w:eastAsia="Arial" w:hAnsi="Arial"/>
          <w:sz w:val="18"/>
          <w:szCs w:val="18"/>
          <w:color w:val="auto"/>
        </w:rPr>
      </w:pPr>
    </w:p>
    <w:p>
      <w:pPr>
        <w:ind w:left="520" w:right="3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8"/>
          <w:szCs w:val="18"/>
          <w:b w:val="1"/>
          <w:bCs w:val="1"/>
          <w:color w:val="auto"/>
        </w:rPr>
        <w:t>$0.00</w:t>
      </w:r>
    </w:p>
    <w:p>
      <w:pPr>
        <w:spacing w:after="0" w:line="62"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8"/>
          <w:szCs w:val="18"/>
          <w:b w:val="1"/>
          <w:bCs w:val="1"/>
          <w:color w:val="auto"/>
        </w:rPr>
        <w:t>16.07%</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rFonts w:ascii="Arial" w:cs="Arial" w:eastAsia="Arial" w:hAnsi="Arial"/>
          <w:sz w:val="18"/>
          <w:szCs w:val="18"/>
          <w:color w:val="auto"/>
        </w:rPr>
      </w:pPr>
    </w:p>
    <w:p>
      <w:pPr>
        <w:ind w:left="520" w:right="380"/>
        <w:spacing w:after="0" w:line="308" w:lineRule="auto"/>
        <w:rPr>
          <w:rFonts w:ascii="Arial" w:cs="Arial" w:eastAsia="Arial" w:hAnsi="Arial"/>
          <w:sz w:val="18"/>
          <w:szCs w:val="18"/>
          <w:color w:val="auto"/>
        </w:rPr>
      </w:pPr>
      <w:r>
        <w:rPr>
          <w:rFonts w:ascii="Arial" w:cs="Arial" w:eastAsia="Arial" w:hAnsi="Arial"/>
          <w:sz w:val="17"/>
          <w:szCs w:val="17"/>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7"/>
          <w:szCs w:val="17"/>
          <w:b w:val="1"/>
          <w:bCs w:val="1"/>
          <w:color w:val="auto"/>
        </w:rPr>
        <w:t>$1.39 million</w:t>
      </w:r>
    </w:p>
    <w:p>
      <w:pPr>
        <w:spacing w:after="0" w:line="38"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($20 million Post-IPO Gain Amount divided by $36 million Total Gain Amount)) = </w:t>
      </w:r>
      <w:r>
        <w:rPr>
          <w:rFonts w:ascii="Arial" w:cs="Arial" w:eastAsia="Arial" w:hAnsi="Arial"/>
          <w:sz w:val="18"/>
          <w:szCs w:val="18"/>
          <w:b w:val="1"/>
          <w:bCs w:val="1"/>
          <w:color w:val="auto"/>
        </w:rPr>
        <w:t>16.39%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Our Expenses</w:t>
      </w:r>
    </w:p>
    <w:p>
      <w:pPr>
        <w:spacing w:after="0" w:line="117" w:lineRule="exact"/>
        <w:rPr>
          <w:sz w:val="20"/>
          <w:szCs w:val="20"/>
          <w:color w:val="auto"/>
        </w:rPr>
      </w:pPr>
    </w:p>
    <w:p>
      <w:pPr>
        <w:ind w:right="360" w:firstLine="259"/>
        <w:spacing w:after="0" w:line="264" w:lineRule="auto"/>
        <w:rPr>
          <w:sz w:val="20"/>
          <w:szCs w:val="20"/>
          <w:color w:val="auto"/>
        </w:rPr>
      </w:pPr>
      <w:r>
        <w:rPr>
          <w:rFonts w:ascii="Arial" w:cs="Arial" w:eastAsia="Arial" w:hAnsi="Arial"/>
          <w:sz w:val="18"/>
          <w:szCs w:val="18"/>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80" w:hanging="255"/>
        <w:spacing w:after="0" w:line="26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0" w:name="page21"/>
    <w:bookmarkEnd w:id="20"/>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hanging="255"/>
        <w:spacing w:after="0" w:line="302" w:lineRule="auto"/>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right="320" w:hanging="255"/>
        <w:spacing w:after="0" w:line="342" w:lineRule="auto"/>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Duration and Termination</w:t>
      </w:r>
    </w:p>
    <w:p>
      <w:pPr>
        <w:spacing w:after="0" w:line="117" w:lineRule="exact"/>
        <w:rPr>
          <w:sz w:val="20"/>
          <w:szCs w:val="20"/>
          <w:color w:val="auto"/>
        </w:rPr>
      </w:pPr>
    </w:p>
    <w:p>
      <w:pPr>
        <w:ind w:right="140" w:firstLine="259"/>
        <w:spacing w:after="0" w:line="290"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2020,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directors of the Board who are not “interested persons” of us, the Adviser or any of our or its respective affiliates, as defined in the 1940 Act (known as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Arial" w:cs="Arial" w:eastAsia="Arial" w:hAnsi="Arial"/>
          <w:sz w:val="16"/>
          <w:szCs w:val="16"/>
          <w:i w:val="1"/>
          <w:iCs w:val="1"/>
          <w:color w:val="auto"/>
        </w:rPr>
        <w:t>ITEM 1A. RISK FACTORS—Risks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Our Business and Structure—We are dependent upon management personnel of the Adviser, TSSP, and their affiliates for our future success</w:t>
      </w:r>
      <w:r>
        <w:rPr>
          <w:rFonts w:ascii="Arial" w:cs="Arial" w:eastAsia="Arial" w:hAnsi="Arial"/>
          <w:sz w:val="16"/>
          <w:szCs w:val="16"/>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right="20" w:firstLine="259"/>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2019. In its consideration of the Investment Advisory Agreement at the time of approval and renewal, the Board focused on information it had received relating to, among other things:</w:t>
      </w:r>
    </w:p>
    <w:p>
      <w:pPr>
        <w:spacing w:after="0" w:line="79" w:lineRule="exact"/>
        <w:rPr>
          <w:sz w:val="20"/>
          <w:szCs w:val="20"/>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investment and financial performance on a standalone basis and against a comparative universe of peers;</w:t>
      </w:r>
    </w:p>
    <w:p>
      <w:pPr>
        <w:spacing w:after="0" w:line="117" w:lineRule="exact"/>
        <w:rPr>
          <w:rFonts w:ascii="Arial" w:cs="Arial" w:eastAsia="Arial" w:hAnsi="Arial"/>
          <w:sz w:val="18"/>
          <w:szCs w:val="18"/>
          <w:color w:val="auto"/>
        </w:rPr>
      </w:pPr>
    </w:p>
    <w:p>
      <w:pPr>
        <w:ind w:left="520" w:right="120" w:hanging="255"/>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expense ratio compared to BDCs with similar investment objectives;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existing and potential sources of indirect income to the Adviser from its relationships with us and the profitability of those income sources;</w:t>
      </w:r>
    </w:p>
    <w:p>
      <w:pPr>
        <w:spacing w:after="0" w:line="128" w:lineRule="exact"/>
        <w:rPr>
          <w:rFonts w:ascii="Arial" w:cs="Arial" w:eastAsia="Arial" w:hAnsi="Arial"/>
          <w:sz w:val="17"/>
          <w:szCs w:val="17"/>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about the services to be performed and the personnel performing those services under 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organizational and functional capabilities and financial condition of the Adviser and its respective affiliates;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jc w:val="both"/>
        <w:ind w:right="260" w:firstLine="259"/>
        <w:spacing w:after="0" w:line="264"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 No one factor was given greater weight than any others, but rather the Board considered all factors collectively as a whole.</w:t>
      </w:r>
    </w:p>
    <w:p>
      <w:pPr>
        <w:spacing w:after="0" w:line="181"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121"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180" w:firstLine="259"/>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right="60" w:firstLine="259"/>
        <w:spacing w:after="0" w:line="271" w:lineRule="auto"/>
        <w:rPr>
          <w:sz w:val="20"/>
          <w:szCs w:val="20"/>
          <w:color w:val="auto"/>
        </w:rPr>
      </w:pPr>
      <w:r>
        <w:rPr>
          <w:rFonts w:ascii="Arial" w:cs="Arial" w:eastAsia="Arial" w:hAnsi="Arial"/>
          <w:sz w:val="17"/>
          <w:szCs w:val="17"/>
          <w:color w:val="auto"/>
        </w:rPr>
        <w:t>As a BDC, we are permitted, under specified conditions, to issue multiple classes of indebtedness and one class of shares senior to our common stock if our asset coverage, as defined in the 1940 Act, is at least equal to 150% immediately after any borrowing or issuance (prior to October 9, 2018, our minimum asset coverage requirement was 200%). See “</w:t>
      </w:r>
      <w:r>
        <w:rPr>
          <w:rFonts w:ascii="Arial" w:cs="Arial" w:eastAsia="Arial" w:hAnsi="Arial"/>
          <w:sz w:val="17"/>
          <w:szCs w:val="17"/>
          <w:i w:val="1"/>
          <w:iCs w:val="1"/>
          <w:color w:val="auto"/>
        </w:rPr>
        <w:t>—Senior Securities</w:t>
      </w:r>
      <w:r>
        <w:rPr>
          <w:rFonts w:ascii="Arial" w:cs="Arial" w:eastAsia="Arial" w:hAnsi="Arial"/>
          <w:sz w:val="17"/>
          <w:szCs w:val="17"/>
          <w:color w:val="auto"/>
        </w:rPr>
        <w:t>” for more information.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Risks Related to Our Business and Structure—We borrow money, which magnifies the potential for gain or loss and increases the risk of investing in us</w:t>
      </w:r>
      <w:r>
        <w:rPr>
          <w:rFonts w:ascii="Arial" w:cs="Arial" w:eastAsia="Arial" w:hAnsi="Arial"/>
          <w:sz w:val="17"/>
          <w:szCs w:val="17"/>
          <w:color w:val="auto"/>
        </w:rPr>
        <w:t>.” As</w:t>
      </w:r>
      <w:r>
        <w:rPr>
          <w:rFonts w:ascii="Arial" w:cs="Arial" w:eastAsia="Arial" w:hAnsi="Arial"/>
          <w:sz w:val="17"/>
          <w:szCs w:val="17"/>
          <w:i w:val="1"/>
          <w:iCs w:val="1"/>
          <w:color w:val="auto"/>
        </w:rPr>
        <w:t xml:space="preserve"> </w:t>
      </w:r>
      <w:r>
        <w:rPr>
          <w:rFonts w:ascii="Arial" w:cs="Arial" w:eastAsia="Arial" w:hAnsi="Arial"/>
          <w:sz w:val="17"/>
          <w:szCs w:val="17"/>
          <w:color w:val="auto"/>
        </w:rPr>
        <w:t>of December 31, 2019 and 2018, our asset coverage was 200.4% and 270.5% respectively.</w:t>
      </w:r>
    </w:p>
    <w:p>
      <w:pPr>
        <w:spacing w:after="0" w:line="179"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color w:val="auto"/>
        </w:rPr>
        <w:t>We do not anticipate any substantial change in the nature of our business.</w:t>
      </w:r>
    </w:p>
    <w:p>
      <w:pPr>
        <w:spacing w:after="0" w:line="225" w:lineRule="exact"/>
        <w:rPr>
          <w:sz w:val="20"/>
          <w:szCs w:val="20"/>
          <w:color w:val="auto"/>
        </w:rPr>
      </w:pPr>
    </w:p>
    <w:p>
      <w:pPr>
        <w:ind w:right="120" w:firstLine="259"/>
        <w:spacing w:after="0" w:line="273" w:lineRule="auto"/>
        <w:rPr>
          <w:sz w:val="20"/>
          <w:szCs w:val="20"/>
          <w:color w:val="auto"/>
        </w:rPr>
      </w:pPr>
      <w:r>
        <w:rPr>
          <w:rFonts w:ascii="Arial" w:cs="Arial" w:eastAsia="Arial" w:hAnsi="Arial"/>
          <w:sz w:val="17"/>
          <w:szCs w:val="17"/>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“—Regulated Investment Company Classification” for more information.</w:t>
      </w:r>
    </w:p>
    <w:p>
      <w:pPr>
        <w:spacing w:after="0" w:line="178" w:lineRule="exact"/>
        <w:rPr>
          <w:sz w:val="20"/>
          <w:szCs w:val="20"/>
          <w:color w:val="auto"/>
        </w:rPr>
      </w:pPr>
    </w:p>
    <w:p>
      <w:pPr>
        <w:ind w:right="300" w:firstLine="259"/>
        <w:spacing w:after="0" w:line="259"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7"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See “ITEM 1A.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June 14, 2019, we are currently permitted to sell or otherwise issue shares of our common stock at a price below our then-current net asset value per share, subject to the approval of our Board and certain other conditions. Such stockholder approval expires on June 14, 2020. We may in the future seek such approval again;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a BDC, we are subject to certain risks and uncertainties. See “</w:t>
      </w:r>
      <w:r>
        <w:rPr>
          <w:rFonts w:ascii="Arial" w:cs="Arial" w:eastAsia="Arial" w:hAnsi="Arial"/>
          <w:sz w:val="17"/>
          <w:szCs w:val="17"/>
          <w:i w:val="1"/>
          <w:iCs w:val="1"/>
          <w:color w:val="auto"/>
        </w:rPr>
        <w:t>ITEM 1A. RISK FACTORS—Risks Related to Our Business and Structure.</w:t>
      </w:r>
      <w:r>
        <w:rPr>
          <w:rFonts w:ascii="Arial" w:cs="Arial" w:eastAsia="Arial" w:hAnsi="Arial"/>
          <w:sz w:val="17"/>
          <w:szCs w:val="17"/>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our Affiliates</w:t>
      </w:r>
    </w:p>
    <w:p>
      <w:pPr>
        <w:spacing w:after="0" w:line="117"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certain of our affiliates (including affiliates of TSSP)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89"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right="460" w:firstLine="259"/>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16" w:lineRule="exact"/>
        <w:rPr>
          <w:sz w:val="20"/>
          <w:szCs w:val="20"/>
          <w:color w:val="auto"/>
        </w:rPr>
      </w:pPr>
    </w:p>
    <w:p>
      <w:pPr>
        <w:ind w:left="520" w:right="340" w:hanging="255"/>
        <w:spacing w:after="0" w:line="277"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investment will not benefit any affiliate other than the affiliate participating in the investment, and as otherwise permitted by the order.</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13. CERTAIN RELATIONSHIPS AND RELATED TRANSACTIONS, AND DIRECTOR INDEPENDENCE.</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Assets</w:t>
      </w:r>
    </w:p>
    <w:p>
      <w:pPr>
        <w:spacing w:after="0" w:line="11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73" w:lineRule="exact"/>
        <w:rPr>
          <w:sz w:val="20"/>
          <w:szCs w:val="20"/>
          <w:color w:val="auto"/>
        </w:rPr>
      </w:pPr>
    </w:p>
    <w:p>
      <w:pPr>
        <w:ind w:left="520" w:right="20" w:hanging="255"/>
        <w:spacing w:after="0" w:line="288"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w:t>
      </w:r>
    </w:p>
    <w:p>
      <w:pPr>
        <w:ind w:left="520"/>
        <w:spacing w:after="0"/>
        <w:rPr>
          <w:rFonts w:ascii="Arial" w:cs="Arial" w:eastAsia="Arial" w:hAnsi="Arial"/>
          <w:sz w:val="16"/>
          <w:szCs w:val="16"/>
          <w:color w:val="auto"/>
        </w:rPr>
      </w:pPr>
      <w:r>
        <w:rPr>
          <w:rFonts w:ascii="Arial" w:cs="Arial" w:eastAsia="Arial" w:hAnsi="Arial"/>
          <w:sz w:val="18"/>
          <w:szCs w:val="18"/>
          <w:color w:val="auto"/>
        </w:rPr>
        <w:t>1940 Act as any issuer which:</w:t>
      </w:r>
    </w:p>
    <w:p>
      <w:pPr>
        <w:spacing w:after="0" w:line="102" w:lineRule="exact"/>
        <w:rPr>
          <w:rFonts w:ascii="Arial" w:cs="Arial" w:eastAsia="Arial" w:hAnsi="Arial"/>
          <w:sz w:val="16"/>
          <w:szCs w:val="16"/>
          <w:color w:val="auto"/>
        </w:rPr>
      </w:pPr>
    </w:p>
    <w:p>
      <w:pPr>
        <w:ind w:left="780" w:hanging="259"/>
        <w:spacing w:after="0"/>
        <w:tabs>
          <w:tab w:leader="none" w:pos="7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17" w:lineRule="exact"/>
        <w:rPr>
          <w:rFonts w:ascii="Arial" w:cs="Arial" w:eastAsia="Arial" w:hAnsi="Arial"/>
          <w:sz w:val="18"/>
          <w:szCs w:val="18"/>
          <w:color w:val="auto"/>
        </w:rPr>
      </w:pPr>
    </w:p>
    <w:p>
      <w:pPr>
        <w:ind w:left="780" w:right="220" w:hanging="259"/>
        <w:spacing w:after="0" w:line="277" w:lineRule="auto"/>
        <w:tabs>
          <w:tab w:leader="none" w:pos="7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17" w:lineRule="exact"/>
        <w:rPr>
          <w:rFonts w:ascii="Arial" w:cs="Arial" w:eastAsia="Arial" w:hAnsi="Arial"/>
          <w:sz w:val="18"/>
          <w:szCs w:val="18"/>
          <w:color w:val="auto"/>
        </w:rPr>
      </w:pPr>
    </w:p>
    <w:p>
      <w:pPr>
        <w:ind w:left="1300" w:hanging="266"/>
        <w:spacing w:after="0"/>
        <w:tabs>
          <w:tab w:leader="none" w:pos="1300" w:val="left"/>
        </w:tabs>
        <w:numPr>
          <w:ilvl w:val="2"/>
          <w:numId w:val="30"/>
        </w:numPr>
        <w:rPr>
          <w:rFonts w:ascii="Arial" w:cs="Arial" w:eastAsia="Arial" w:hAnsi="Arial"/>
          <w:sz w:val="16"/>
          <w:szCs w:val="16"/>
          <w:color w:val="auto"/>
        </w:rPr>
      </w:pPr>
      <w:r>
        <w:rPr>
          <w:rFonts w:ascii="Arial" w:cs="Arial" w:eastAsia="Arial" w:hAnsi="Arial"/>
          <w:sz w:val="16"/>
          <w:szCs w:val="16"/>
          <w:color w:val="auto"/>
        </w:rPr>
        <w:t>has an equity market capitalization of less than $250 million or does not have any class of securities listed on a national securities exchange;</w:t>
      </w:r>
    </w:p>
    <w:p>
      <w:pPr>
        <w:spacing w:after="0" w:line="140" w:lineRule="exact"/>
        <w:rPr>
          <w:rFonts w:ascii="Arial" w:cs="Arial" w:eastAsia="Arial" w:hAnsi="Arial"/>
          <w:sz w:val="16"/>
          <w:szCs w:val="16"/>
          <w:color w:val="auto"/>
        </w:rPr>
      </w:pPr>
    </w:p>
    <w:p>
      <w:pPr>
        <w:ind w:left="1300" w:right="80" w:hanging="266"/>
        <w:spacing w:after="0" w:line="264" w:lineRule="auto"/>
        <w:tabs>
          <w:tab w:leader="none" w:pos="13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73" w:lineRule="exact"/>
        <w:rPr>
          <w:rFonts w:ascii="Arial" w:cs="Arial" w:eastAsia="Arial" w:hAnsi="Arial"/>
          <w:sz w:val="18"/>
          <w:szCs w:val="18"/>
          <w:color w:val="auto"/>
        </w:rPr>
      </w:pPr>
    </w:p>
    <w:p>
      <w:pPr>
        <w:ind w:left="1300" w:hanging="266"/>
        <w:spacing w:after="0"/>
        <w:tabs>
          <w:tab w:leader="none" w:pos="1300" w:val="left"/>
        </w:tabs>
        <w:numPr>
          <w:ilvl w:val="2"/>
          <w:numId w:val="30"/>
        </w:numPr>
        <w:rPr>
          <w:rFonts w:ascii="Arial" w:cs="Arial" w:eastAsia="Arial" w:hAnsi="Arial"/>
          <w:sz w:val="17"/>
          <w:szCs w:val="17"/>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28" w:lineRule="exact"/>
        <w:rPr>
          <w:rFonts w:ascii="Arial" w:cs="Arial" w:eastAsia="Arial" w:hAnsi="Arial"/>
          <w:sz w:val="17"/>
          <w:szCs w:val="17"/>
          <w:color w:val="auto"/>
        </w:rPr>
      </w:pPr>
    </w:p>
    <w:p>
      <w:pPr>
        <w:ind w:left="520" w:hanging="255"/>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17" w:lineRule="exact"/>
        <w:rPr>
          <w:rFonts w:ascii="Arial" w:cs="Arial" w:eastAsia="Arial" w:hAnsi="Arial"/>
          <w:sz w:val="18"/>
          <w:szCs w:val="18"/>
          <w:color w:val="auto"/>
        </w:rPr>
      </w:pPr>
    </w:p>
    <w:p>
      <w:pPr>
        <w:ind w:left="520" w:right="120" w:hanging="255"/>
        <w:spacing w:after="0" w:line="312"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38" w:lineRule="exact"/>
        <w:rPr>
          <w:rFonts w:ascii="Arial" w:cs="Arial" w:eastAsia="Arial" w:hAnsi="Arial"/>
          <w:sz w:val="16"/>
          <w:szCs w:val="16"/>
          <w:color w:val="auto"/>
        </w:rPr>
      </w:pPr>
    </w:p>
    <w:p>
      <w:pPr>
        <w:ind w:left="520" w:right="260" w:hanging="255"/>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2" w:lineRule="exact"/>
        <w:rPr>
          <w:rFonts w:ascii="Arial" w:cs="Arial" w:eastAsia="Arial" w:hAnsi="Arial"/>
          <w:sz w:val="18"/>
          <w:szCs w:val="18"/>
          <w:color w:val="auto"/>
        </w:rPr>
      </w:pPr>
    </w:p>
    <w:p>
      <w:pPr>
        <w:ind w:left="520" w:right="380" w:hanging="255"/>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Managerial Assistance to Portfolio Companies</w:t>
      </w:r>
    </w:p>
    <w:p>
      <w:pPr>
        <w:spacing w:after="0" w:line="117"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11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Small Business Credit Availability Act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88" w:lineRule="exact"/>
        <w:rPr>
          <w:sz w:val="20"/>
          <w:szCs w:val="20"/>
          <w:color w:val="auto"/>
        </w:rPr>
      </w:pPr>
    </w:p>
    <w:p>
      <w:pPr>
        <w:ind w:right="160" w:firstLine="259"/>
        <w:spacing w:after="0" w:line="279" w:lineRule="auto"/>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1"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as defined in the 1940 Act, is at least equal to 150% immediately after any borrowing or issuance. In addition, while any preferred stock or publicly-traded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18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The 1940 Act imposes limitations on a BDC’s issuance of preferred stock, which is considered a “senior security” and thus is subject to the 150% asset coverage requirement described above.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2019 and 2018, our asset coverage was 200.4% and 270.5%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As required by the Advisers Act and the 1940 Act, we and the Adviser have adopted codes of ethics which apply to, among others, our and our Adviser’s executive officers, including our Chief Executive Officer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Policies and Procedures</w:t>
      </w:r>
    </w:p>
    <w:p>
      <w:pPr>
        <w:spacing w:after="0" w:line="117" w:lineRule="exact"/>
        <w:rPr>
          <w:sz w:val="20"/>
          <w:szCs w:val="20"/>
          <w:color w:val="auto"/>
        </w:rPr>
      </w:pPr>
    </w:p>
    <w:p>
      <w:pPr>
        <w:ind w:right="380" w:firstLine="259"/>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Sarbanes-Oxley Act of 2002</w:t>
      </w:r>
    </w:p>
    <w:p>
      <w:pPr>
        <w:spacing w:after="0" w:line="117"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62" w:lineRule="exact"/>
        <w:rPr>
          <w:sz w:val="20"/>
          <w:szCs w:val="20"/>
          <w:color w:val="auto"/>
        </w:rPr>
      </w:pPr>
    </w:p>
    <w:p>
      <w:pPr>
        <w:ind w:left="520" w:right="120" w:hanging="255"/>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certify the accuracy of the financial statements contained in our periodic reports;</w:t>
      </w:r>
    </w:p>
    <w:p>
      <w:pPr>
        <w:spacing w:after="0" w:line="62" w:lineRule="exact"/>
        <w:rPr>
          <w:rFonts w:ascii="Arial" w:cs="Arial" w:eastAsia="Arial" w:hAnsi="Arial"/>
          <w:sz w:val="18"/>
          <w:szCs w:val="18"/>
          <w:color w:val="auto"/>
        </w:rPr>
      </w:pPr>
    </w:p>
    <w:p>
      <w:pPr>
        <w:ind w:left="520" w:right="840" w:hanging="255"/>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62" w:lineRule="exact"/>
        <w:rPr>
          <w:rFonts w:ascii="Arial" w:cs="Arial" w:eastAsia="Arial" w:hAnsi="Arial"/>
          <w:sz w:val="18"/>
          <w:szCs w:val="18"/>
          <w:color w:val="auto"/>
        </w:rPr>
      </w:pPr>
    </w:p>
    <w:p>
      <w:pPr>
        <w:ind w:left="520" w:right="180" w:hanging="255"/>
        <w:spacing w:after="0" w:line="342"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15" w:lineRule="exact"/>
        <w:rPr>
          <w:rFonts w:ascii="Arial" w:cs="Arial" w:eastAsia="Arial" w:hAnsi="Arial"/>
          <w:sz w:val="16"/>
          <w:szCs w:val="16"/>
          <w:color w:val="auto"/>
        </w:rPr>
      </w:pPr>
    </w:p>
    <w:p>
      <w:pPr>
        <w:jc w:val="both"/>
        <w:ind w:left="520" w:right="120" w:hanging="255"/>
        <w:spacing w:after="0" w:line="286"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6"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NYSE Corporate Governance Rules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NYSE has adopted corporate governance rules that listed companies must comply with. We believe we are in compliance with these rules.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Policies and Procedures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Principles</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ind w:right="120"/>
        <w:spacing w:after="0" w:line="255" w:lineRule="auto"/>
        <w:rPr>
          <w:sz w:val="20"/>
          <w:szCs w:val="20"/>
          <w:color w:val="auto"/>
        </w:rPr>
      </w:pPr>
      <w:r>
        <w:rPr>
          <w:rFonts w:ascii="Arial" w:cs="Arial" w:eastAsia="Arial" w:hAnsi="Arial"/>
          <w:sz w:val="18"/>
          <w:szCs w:val="18"/>
          <w:color w:val="auto"/>
        </w:rPr>
        <w:t>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93"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Obligations</w:t>
      </w:r>
    </w:p>
    <w:p>
      <w:pPr>
        <w:spacing w:after="0" w:line="117"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We make available on our website (www.tpgspecialtylending.com) our proxy statements, our annual reports on Form 10-K, quarterly reports on Form 10-Q and our current reports on Form 8-K that we file with the SEC.</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SEC also maintains a website (www.sec.gov) that contains this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Regulated Investment Company Classification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a BDC, we have elected to be treated as a RIC for U.S. federal income tax purposes.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17" w:lineRule="exact"/>
        <w:rPr>
          <w:sz w:val="20"/>
          <w:szCs w:val="20"/>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17" w:lineRule="exact"/>
        <w:rPr>
          <w:rFonts w:ascii="Arial" w:cs="Arial" w:eastAsia="Arial" w:hAnsi="Arial"/>
          <w:sz w:val="18"/>
          <w:szCs w:val="18"/>
          <w:color w:val="auto"/>
        </w:rPr>
      </w:pPr>
    </w:p>
    <w:p>
      <w:pPr>
        <w:ind w:left="520" w:right="60" w:hanging="255"/>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17" w:lineRule="exact"/>
        <w:rPr>
          <w:rFonts w:ascii="Arial" w:cs="Arial" w:eastAsia="Arial" w:hAnsi="Arial"/>
          <w:sz w:val="18"/>
          <w:szCs w:val="18"/>
          <w:color w:val="auto"/>
        </w:rPr>
      </w:pPr>
    </w:p>
    <w:p>
      <w:pPr>
        <w:ind w:left="780" w:right="300" w:hanging="259"/>
        <w:spacing w:after="0" w:line="286" w:lineRule="auto"/>
        <w:tabs>
          <w:tab w:leader="none" w:pos="7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57" w:lineRule="exact"/>
        <w:rPr>
          <w:rFonts w:ascii="Arial" w:cs="Arial" w:eastAsia="Arial" w:hAnsi="Arial"/>
          <w:sz w:val="17"/>
          <w:szCs w:val="17"/>
          <w:color w:val="auto"/>
        </w:rPr>
      </w:pPr>
    </w:p>
    <w:p>
      <w:pPr>
        <w:ind w:left="780" w:right="20" w:hanging="259"/>
        <w:spacing w:after="0" w:line="264" w:lineRule="auto"/>
        <w:tabs>
          <w:tab w:leader="none" w:pos="7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81"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0" w:lineRule="exact"/>
        <w:rPr>
          <w:sz w:val="20"/>
          <w:szCs w:val="20"/>
          <w:color w:val="auto"/>
        </w:rPr>
      </w:pPr>
    </w:p>
    <w:p>
      <w:pPr>
        <w:ind w:left="780" w:hanging="25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17" w:lineRule="exact"/>
        <w:rPr>
          <w:rFonts w:ascii="Arial" w:cs="Arial" w:eastAsia="Arial" w:hAnsi="Arial"/>
          <w:sz w:val="18"/>
          <w:szCs w:val="18"/>
          <w:color w:val="auto"/>
        </w:rPr>
      </w:pPr>
    </w:p>
    <w:p>
      <w:pPr>
        <w:ind w:left="780" w:right="80" w:hanging="259"/>
        <w:spacing w:after="0" w:line="277"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180" w:firstLine="259"/>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We generally expect to distribute substantially all of our earnings on a quarterly basis, but will reinvest dividends on behalf of those investors that do not elect to receive their dividends in cash. See “—</w:t>
      </w:r>
      <w:r>
        <w:rPr>
          <w:rFonts w:ascii="Arial" w:cs="Arial" w:eastAsia="Arial" w:hAnsi="Arial"/>
          <w:sz w:val="16"/>
          <w:szCs w:val="16"/>
          <w:i w:val="1"/>
          <w:iCs w:val="1"/>
          <w:color w:val="auto"/>
        </w:rPr>
        <w:t>Dividend Policy</w:t>
      </w:r>
      <w:r>
        <w:rPr>
          <w:rFonts w:ascii="Arial" w:cs="Arial" w:eastAsia="Arial" w:hAnsi="Arial"/>
          <w:sz w:val="16"/>
          <w:szCs w:val="16"/>
          <w:color w:val="auto"/>
        </w:rPr>
        <w:t>” and “—</w:t>
      </w:r>
      <w:r>
        <w:rPr>
          <w:rFonts w:ascii="Arial" w:cs="Arial" w:eastAsia="Arial" w:hAnsi="Arial"/>
          <w:sz w:val="16"/>
          <w:szCs w:val="16"/>
          <w:i w:val="1"/>
          <w:iCs w:val="1"/>
          <w:color w:val="auto"/>
        </w:rPr>
        <w:t>Dividend Reinvestment Plan</w:t>
      </w:r>
      <w:r>
        <w:rPr>
          <w:rFonts w:ascii="Arial" w:cs="Arial" w:eastAsia="Arial" w:hAnsi="Arial"/>
          <w:sz w:val="16"/>
          <w:szCs w:val="16"/>
          <w:color w:val="auto"/>
        </w:rPr>
        <w:t>” for a description of our dividend policy and obligations. One or more of the considerations described below, however, could result in the deferral of dividend distributions until the end of the fiscal year:</w:t>
      </w:r>
    </w:p>
    <w:p>
      <w:pPr>
        <w:spacing w:after="0" w:line="39" w:lineRule="exact"/>
        <w:rPr>
          <w:sz w:val="20"/>
          <w:szCs w:val="20"/>
          <w:color w:val="auto"/>
        </w:rPr>
      </w:pPr>
    </w:p>
    <w:p>
      <w:pPr>
        <w:ind w:left="520" w:right="180" w:hanging="255"/>
        <w:spacing w:after="0" w:line="312"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38" w:lineRule="exact"/>
        <w:rPr>
          <w:rFonts w:ascii="Arial" w:cs="Arial" w:eastAsia="Arial" w:hAnsi="Arial"/>
          <w:sz w:val="16"/>
          <w:szCs w:val="16"/>
          <w:color w:val="auto"/>
        </w:rPr>
      </w:pPr>
    </w:p>
    <w:p>
      <w:pPr>
        <w:ind w:left="520" w:right="240" w:hanging="255"/>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70"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180" w:firstLine="259"/>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6"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and their affiliates for our future success.</w:t>
      </w:r>
    </w:p>
    <w:p>
      <w:pPr>
        <w:spacing w:after="0" w:line="117" w:lineRule="exact"/>
        <w:rPr>
          <w:sz w:val="20"/>
          <w:szCs w:val="20"/>
          <w:color w:val="auto"/>
        </w:rPr>
      </w:pPr>
    </w:p>
    <w:p>
      <w:pPr>
        <w:ind w:right="140" w:firstLine="259"/>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ind w:right="260" w:firstLine="259"/>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1940 Act imposes numerous constraints on the operations of BDCs. See “</w:t>
      </w:r>
      <w:r>
        <w:rPr>
          <w:rFonts w:ascii="Arial" w:cs="Arial" w:eastAsia="Arial" w:hAnsi="Arial"/>
          <w:sz w:val="16"/>
          <w:szCs w:val="16"/>
          <w:i w:val="1"/>
          <w:iCs w:val="1"/>
          <w:color w:val="auto"/>
        </w:rPr>
        <w:t>ITEM 1. BUSINESS—Regulation as a Business Development Company</w:t>
      </w:r>
      <w:r>
        <w:rPr>
          <w:rFonts w:ascii="Arial" w:cs="Arial" w:eastAsia="Arial" w:hAnsi="Arial"/>
          <w:sz w:val="16"/>
          <w:szCs w:val="16"/>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54"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1"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71"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9"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right="40" w:firstLine="259"/>
        <w:spacing w:after="0" w:line="286"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June 14, 2019, we are currently permitted to sell or otherwise issue shares of our common stock at a price below our then-current net asset value per share, subject to the approval of our Board and certain other conditions. Such stockholder approval expires on June 14, 2020.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9" w:name="page30"/>
    <w:bookmarkEnd w:id="29"/>
    <w:p>
      <w:pPr>
        <w:ind w:firstLine="259"/>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Arial" w:cs="Arial" w:eastAsia="Arial" w:hAnsi="Arial"/>
          <w:sz w:val="16"/>
          <w:szCs w:val="16"/>
          <w:i w:val="1"/>
          <w:iCs w:val="1"/>
          <w:color w:val="auto"/>
        </w:rPr>
        <w:t>—Risks Related to Our</w:t>
      </w:r>
      <w:r>
        <w:rPr>
          <w:rFonts w:ascii="Arial" w:cs="Arial" w:eastAsia="Arial" w:hAnsi="Arial"/>
          <w:sz w:val="16"/>
          <w:szCs w:val="16"/>
          <w:color w:val="auto"/>
        </w:rPr>
        <w:t xml:space="preserve"> </w:t>
      </w:r>
      <w:r>
        <w:rPr>
          <w:rFonts w:ascii="Arial" w:cs="Arial" w:eastAsia="Arial" w:hAnsi="Arial"/>
          <w:sz w:val="16"/>
          <w:szCs w:val="16"/>
          <w:i w:val="1"/>
          <w:iCs w:val="1"/>
          <w:color w:val="auto"/>
        </w:rPr>
        <w:t>Portfolio Company Investments</w:t>
      </w:r>
      <w:r>
        <w:rPr>
          <w:rFonts w:ascii="Arial" w:cs="Arial" w:eastAsia="Arial" w:hAnsi="Arial"/>
          <w:sz w:val="16"/>
          <w:szCs w:val="16"/>
          <w:b w:val="1"/>
          <w:bCs w:val="1"/>
          <w:color w:val="auto"/>
        </w:rPr>
        <w:t>—</w:t>
      </w:r>
      <w:r>
        <w:rPr>
          <w:rFonts w:ascii="Arial" w:cs="Arial" w:eastAsia="Arial" w:hAnsi="Arial"/>
          <w:sz w:val="16"/>
          <w:szCs w:val="16"/>
          <w:i w:val="1"/>
          <w:iCs w:val="1"/>
          <w:color w:val="auto"/>
        </w:rPr>
        <w:t>We may securitize certain of our investments, which may subject us to certain structured financing risks</w:t>
      </w:r>
      <w:r>
        <w:rPr>
          <w:rFonts w:ascii="Arial" w:cs="Arial" w:eastAsia="Arial" w:hAnsi="Arial"/>
          <w:sz w:val="16"/>
          <w:szCs w:val="16"/>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100" w:firstLine="259"/>
        <w:spacing w:after="0" w:line="288"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Arial" w:cs="Arial" w:eastAsia="Arial" w:hAnsi="Arial"/>
          <w:sz w:val="16"/>
          <w:szCs w:val="16"/>
          <w:i w:val="1"/>
          <w:iCs w:val="1"/>
          <w:color w:val="auto"/>
        </w:rPr>
        <w:t>—Risks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Our Business and Structure—Even in the event the value of your investment declines, the Management Fee and, in certain circumstances, the Incentive Fee will still be payable to the Adviser</w:t>
      </w:r>
      <w:r>
        <w:rPr>
          <w:rFonts w:ascii="Arial" w:cs="Arial" w:eastAsia="Arial" w:hAnsi="Arial"/>
          <w:sz w:val="16"/>
          <w:szCs w:val="16"/>
          <w:color w:val="auto"/>
        </w:rPr>
        <w:t>.” The amount of leverage that we employ will depend on our Adviser’s and our Board’s assessment of</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and other factors at the time of any proposed borrowing. We cannot assure you that we will be able to obtain credit at all or on terms acceptable to us.</w:t>
      </w:r>
    </w:p>
    <w:p>
      <w:pPr>
        <w:spacing w:after="0" w:line="169" w:lineRule="exact"/>
        <w:rPr>
          <w:sz w:val="20"/>
          <w:szCs w:val="20"/>
          <w:color w:val="auto"/>
        </w:rPr>
      </w:pPr>
    </w:p>
    <w:p>
      <w:pPr>
        <w:ind w:right="20" w:firstLine="259"/>
        <w:spacing w:after="0" w:line="254" w:lineRule="auto"/>
        <w:rPr>
          <w:sz w:val="20"/>
          <w:szCs w:val="20"/>
          <w:color w:val="auto"/>
        </w:rPr>
      </w:pPr>
      <w:r>
        <w:rPr>
          <w:rFonts w:ascii="Arial" w:cs="Arial" w:eastAsia="Arial" w:hAnsi="Arial"/>
          <w:sz w:val="18"/>
          <w:szCs w:val="18"/>
          <w:color w:val="auto"/>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92" w:lineRule="exact"/>
        <w:rPr>
          <w:sz w:val="20"/>
          <w:szCs w:val="20"/>
          <w:color w:val="auto"/>
        </w:rPr>
      </w:pPr>
    </w:p>
    <w:p>
      <w:pPr>
        <w:ind w:right="260" w:firstLine="259"/>
        <w:spacing w:after="0" w:line="276" w:lineRule="auto"/>
        <w:rPr>
          <w:sz w:val="20"/>
          <w:szCs w:val="20"/>
          <w:color w:val="auto"/>
        </w:rPr>
      </w:pPr>
      <w:r>
        <w:rPr>
          <w:rFonts w:ascii="Arial" w:cs="Arial" w:eastAsia="Arial" w:hAnsi="Arial"/>
          <w:sz w:val="17"/>
          <w:szCs w:val="17"/>
          <w:color w:val="auto"/>
        </w:rPr>
        <w:t>As of December 31, 2019, we had $1,118.2 million of outstanding indebtedness, which had an annualized interest cost of 4.4% under the terms of our debt, excluding fees (such as fees on undrawn amounts and amortization of upfront fees) and giving effect to the swap-adjusted interest rates on our 2022 Convertible Notes, 2023 Notes and 2024 Notes. As of December 31, 2019, as adjusted to give effect to the interest rate swaps, the interest rate on the 2022 Convertible Notes was three-month LIBOR plus 2.11% (on a weighted-average basis), the interest rate on the 2023 Notes was three-month LIBOR plus 1.99%, and the interest rate on the 2024 Notes was three-month LIBOR plus 2.25%.</w:t>
      </w:r>
    </w:p>
    <w:p>
      <w:pPr>
        <w:spacing w:after="0" w:line="173"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2.2%.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right="220" w:firstLine="259"/>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Effects of Leverage Based on Actual Amount of Borrowings Incurred by us as of December 31,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6"/>
          </w:tcPr>
          <w:p>
            <w:pPr>
              <w:jc w:val="center"/>
              <w:ind w:left="682"/>
              <w:spacing w:after="0"/>
              <w:rPr>
                <w:sz w:val="20"/>
                <w:szCs w:val="20"/>
                <w:color w:val="auto"/>
              </w:rPr>
            </w:pPr>
            <w:r>
              <w:rPr>
                <w:rFonts w:ascii="Arial" w:cs="Arial" w:eastAsia="Arial" w:hAnsi="Arial"/>
                <w:sz w:val="14"/>
                <w:szCs w:val="14"/>
                <w:b w:val="1"/>
                <w:bCs w:val="1"/>
                <w:color w:val="auto"/>
                <w:w w:val="94"/>
              </w:rPr>
              <w:t>Assumed Return on Our Portfolio</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-10%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-5%</w:t>
            </w:r>
          </w:p>
        </w:tc>
        <w:tc>
          <w:tcPr>
            <w:tcW w:w="320" w:type="dxa"/>
            <w:vAlign w:val="bottom"/>
          </w:tcPr>
          <w:p>
            <w:pPr>
              <w:spacing w:after="0"/>
              <w:rPr>
                <w:sz w:val="12"/>
                <w:szCs w:val="12"/>
                <w:color w:val="auto"/>
              </w:rPr>
            </w:pPr>
          </w:p>
        </w:tc>
        <w:tc>
          <w:tcPr>
            <w:tcW w:w="17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 xml:space="preserve">(net of expenses) </w:t>
            </w:r>
            <w:r>
              <w:rPr>
                <w:rFonts w:ascii="Arial" w:cs="Arial" w:eastAsia="Arial" w:hAnsi="Arial"/>
                <w:sz w:val="12"/>
                <w:szCs w:val="12"/>
                <w:b w:val="1"/>
                <w:bCs w:val="1"/>
                <w:color w:val="auto"/>
                <w:w w:val="88"/>
              </w:rPr>
              <w:t>(1)</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85"/>
                <w:shd w:val="clear" w:color="auto" w:fill="CCEEFF"/>
              </w:rPr>
              <w:t xml:space="preserve">Corresponding return to stockholder </w:t>
            </w:r>
            <w:r>
              <w:rPr>
                <w:rFonts w:ascii="Arial" w:cs="Arial" w:eastAsia="Arial" w:hAnsi="Arial"/>
                <w:sz w:val="15"/>
                <w:szCs w:val="15"/>
                <w:color w:val="auto"/>
                <w:w w:val="85"/>
                <w:shd w:val="clear" w:color="auto" w:fill="CCEEFF"/>
              </w:rPr>
              <w:t>(2)</w:t>
            </w:r>
          </w:p>
        </w:tc>
        <w:tc>
          <w:tcPr>
            <w:tcW w:w="2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-24.8%</w:t>
            </w: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-14.6%</w:t>
            </w: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shd w:val="clear" w:color="auto" w:fill="CCEEFF"/>
              </w:rPr>
              <w:t>-4.4%</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shd w:val="clear" w:color="auto" w:fill="CCEEFF"/>
              </w:rPr>
              <w:t>5.8%</w:t>
            </w: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shd w:val="clear" w:color="auto" w:fill="CCEEFF"/>
              </w:rPr>
              <w:t>16.0%</w:t>
            </w:r>
          </w:p>
        </w:tc>
        <w:tc>
          <w:tcPr>
            <w:tcW w:w="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160" w:hanging="512"/>
        <w:spacing w:after="0" w:line="271"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2019. As a result, it has not been updated to take into account any changes in assets or leverage since December 31, 2019.</w:t>
      </w:r>
    </w:p>
    <w:p>
      <w:pPr>
        <w:ind w:left="520" w:right="80" w:hanging="512"/>
        <w:spacing w:after="0" w:line="253"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order to compute the “Corresponding return to stockholder,” the “Assumed Return on Our Portfolio” is multiplied by the total value of our assets at December 31, 2019 to obtain an assumed return to us. From this amount, the interest expense (calculated by multiplying the weighted average stated interest rate of 4.4% by the approximately $1,118.2 million of principal debt outstanding) is subtracted to determine the return available to stockholders. The return available to stockholders is then divided by the total value of our net assets as of December 31, 2019 to determine the “Corresponding return to stockholder.”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allows us to incur additional leverage.</w:t>
      </w:r>
    </w:p>
    <w:p>
      <w:pPr>
        <w:spacing w:after="0" w:line="117" w:lineRule="exact"/>
        <w:rPr>
          <w:sz w:val="20"/>
          <w:szCs w:val="20"/>
          <w:color w:val="auto"/>
        </w:rPr>
      </w:pPr>
    </w:p>
    <w:p>
      <w:pPr>
        <w:ind w:right="260" w:firstLine="259"/>
        <w:spacing w:after="0" w:line="302"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54" w:lineRule="exact"/>
        <w:rPr>
          <w:sz w:val="20"/>
          <w:szCs w:val="20"/>
          <w:color w:val="auto"/>
        </w:rPr>
      </w:pPr>
    </w:p>
    <w:p>
      <w:pPr>
        <w:ind w:right="160" w:firstLine="259"/>
        <w:spacing w:after="0" w:line="279" w:lineRule="auto"/>
        <w:rPr>
          <w:sz w:val="20"/>
          <w:szCs w:val="20"/>
          <w:color w:val="auto"/>
        </w:rPr>
      </w:pPr>
      <w:r>
        <w:rPr>
          <w:rFonts w:ascii="Arial" w:cs="Arial" w:eastAsia="Arial" w:hAnsi="Arial"/>
          <w:sz w:val="17"/>
          <w:szCs w:val="17"/>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67" w:lineRule="exact"/>
        <w:rPr>
          <w:sz w:val="20"/>
          <w:szCs w:val="20"/>
          <w:color w:val="auto"/>
        </w:rPr>
      </w:pPr>
    </w:p>
    <w:p>
      <w:pPr>
        <w:ind w:right="120" w:firstLine="259"/>
        <w:spacing w:after="0" w:line="261" w:lineRule="auto"/>
        <w:rPr>
          <w:sz w:val="20"/>
          <w:szCs w:val="20"/>
          <w:color w:val="auto"/>
        </w:rPr>
      </w:pPr>
      <w:r>
        <w:rPr>
          <w:rFonts w:ascii="Arial" w:cs="Arial" w:eastAsia="Arial" w:hAnsi="Arial"/>
          <w:sz w:val="18"/>
          <w:szCs w:val="18"/>
          <w:color w:val="auto"/>
        </w:rPr>
        <w:t>As a result, you may face increased investment risk. We may not be able to implement our strategy to utilize additional leverage successfully. See “</w:t>
      </w:r>
      <w:r>
        <w:rPr>
          <w:rFonts w:ascii="Arial" w:cs="Arial" w:eastAsia="Arial" w:hAnsi="Arial"/>
          <w:sz w:val="18"/>
          <w:szCs w:val="18"/>
          <w:b w:val="1"/>
          <w:bCs w:val="1"/>
          <w:color w:val="auto"/>
        </w:rPr>
        <w:t>—</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operate in a highly competitive environment for investment opportunities</w:t>
      </w:r>
      <w:r>
        <w:rPr>
          <w:rFonts w:ascii="Arial" w:cs="Arial" w:eastAsia="Arial" w:hAnsi="Arial"/>
          <w:sz w:val="18"/>
          <w:szCs w:val="18"/>
          <w:color w:val="auto"/>
        </w:rPr>
        <w:t>.” Any impact on returns or equity or our business associated with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may not outweigh the additional risk. See “</w:t>
      </w:r>
      <w:r>
        <w:rPr>
          <w:rFonts w:ascii="Arial" w:cs="Arial" w:eastAsia="Arial" w:hAnsi="Arial"/>
          <w:sz w:val="18"/>
          <w:szCs w:val="18"/>
          <w:b w:val="1"/>
          <w:bCs w:val="1"/>
          <w:color w:val="auto"/>
        </w:rPr>
        <w:t>—</w:t>
      </w:r>
      <w:r>
        <w:rPr>
          <w:rFonts w:ascii="Arial" w:cs="Arial" w:eastAsia="Arial" w:hAnsi="Arial"/>
          <w:sz w:val="18"/>
          <w:szCs w:val="18"/>
          <w:i w:val="1"/>
          <w:iCs w:val="1"/>
          <w:color w:val="auto"/>
        </w:rPr>
        <w:t>We borrow money, which magnifies the potential for gain or loss and increases the risk of investing in</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ind w:right="40" w:firstLine="259"/>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65"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right="180" w:firstLine="259"/>
        <w:spacing w:after="0" w:line="255" w:lineRule="auto"/>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93" w:lineRule="exact"/>
        <w:rPr>
          <w:sz w:val="20"/>
          <w:szCs w:val="20"/>
          <w:color w:val="auto"/>
        </w:rPr>
      </w:pPr>
    </w:p>
    <w:p>
      <w:pPr>
        <w:ind w:right="180" w:firstLine="259"/>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ind w:right="160" w:firstLine="259"/>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right="160" w:firstLine="259"/>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ind w:right="100" w:firstLine="259"/>
        <w:spacing w:after="0" w:line="291"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jc w:val="both"/>
        <w:ind w:right="140" w:firstLine="259"/>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46" w:lineRule="exact"/>
        <w:rPr>
          <w:sz w:val="20"/>
          <w:szCs w:val="20"/>
          <w:color w:val="auto"/>
        </w:rPr>
      </w:pPr>
    </w:p>
    <w:p>
      <w:pPr>
        <w:ind w:left="520" w:hanging="255"/>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17" w:lineRule="exact"/>
        <w:rPr>
          <w:rFonts w:ascii="Arial" w:cs="Arial" w:eastAsia="Arial" w:hAnsi="Arial"/>
          <w:sz w:val="18"/>
          <w:szCs w:val="18"/>
          <w:color w:val="auto"/>
        </w:rPr>
      </w:pPr>
    </w:p>
    <w:p>
      <w:pPr>
        <w:ind w:left="520" w:right="60" w:hanging="255"/>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225" w:lineRule="exact"/>
        <w:rPr>
          <w:sz w:val="20"/>
          <w:szCs w:val="20"/>
          <w:color w:val="auto"/>
        </w:rPr>
      </w:pPr>
    </w:p>
    <w:p>
      <w:pPr>
        <w:ind w:right="420" w:firstLine="259"/>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46" w:lineRule="exact"/>
        <w:rPr>
          <w:sz w:val="20"/>
          <w:szCs w:val="20"/>
          <w:color w:val="auto"/>
        </w:rPr>
      </w:pPr>
    </w:p>
    <w:p>
      <w:pPr>
        <w:ind w:left="520" w:right="100" w:hanging="255"/>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62" w:lineRule="exact"/>
        <w:rPr>
          <w:rFonts w:ascii="Arial" w:cs="Arial" w:eastAsia="Arial" w:hAnsi="Arial"/>
          <w:sz w:val="18"/>
          <w:szCs w:val="18"/>
          <w:color w:val="auto"/>
        </w:rPr>
      </w:pPr>
    </w:p>
    <w:p>
      <w:pPr>
        <w:ind w:left="520" w:right="360" w:hanging="255"/>
        <w:spacing w:after="0" w:line="312" w:lineRule="auto"/>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As of December 31, 2019 and 2018, we elected to retain approximately $106 million and $80 million of taxable income and capital gains, respectively, in order to provide us with additional liquidity and we recorded an expense of $3.8 million and $3.4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Arial" w:cs="Arial" w:eastAsia="Arial" w:hAnsi="Arial"/>
          <w:sz w:val="18"/>
          <w:szCs w:val="18"/>
          <w:i w:val="1"/>
          <w:iCs w:val="1"/>
          <w:color w:val="auto"/>
        </w:rPr>
        <w:t>ITEM 1. BUSINESS—Regulation as a Business Development Company—Regulated Investment Company Classification</w:t>
      </w:r>
      <w:r>
        <w:rPr>
          <w:rFonts w:ascii="Arial" w:cs="Arial" w:eastAsia="Arial" w:hAnsi="Arial"/>
          <w:sz w:val="18"/>
          <w:szCs w:val="18"/>
          <w:color w:val="auto"/>
        </w:rPr>
        <w:t>” for more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TSSP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33" w:name="page34"/>
    <w:bookmarkEnd w:id="33"/>
    <w:p>
      <w:pPr>
        <w:spacing w:after="0" w:line="286" w:lineRule="auto"/>
        <w:rPr>
          <w:sz w:val="20"/>
          <w:szCs w:val="20"/>
          <w:color w:val="auto"/>
        </w:rPr>
      </w:pPr>
      <w:r>
        <w:rPr>
          <w:rFonts w:ascii="Arial" w:cs="Arial" w:eastAsia="Arial" w:hAnsi="Arial"/>
          <w:sz w:val="17"/>
          <w:szCs w:val="17"/>
          <w:color w:val="auto"/>
        </w:rPr>
        <w:t>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66" w:lineRule="exact"/>
        <w:rPr>
          <w:sz w:val="20"/>
          <w:szCs w:val="20"/>
          <w:color w:val="auto"/>
        </w:rPr>
      </w:pPr>
    </w:p>
    <w:p>
      <w:pPr>
        <w:ind w:right="160" w:firstLine="259"/>
        <w:spacing w:after="0" w:line="271" w:lineRule="auto"/>
        <w:rPr>
          <w:sz w:val="20"/>
          <w:szCs w:val="20"/>
          <w:color w:val="auto"/>
        </w:rPr>
      </w:pPr>
      <w:r>
        <w:rPr>
          <w:rFonts w:ascii="Arial" w:cs="Arial" w:eastAsia="Arial" w:hAnsi="Arial"/>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has organized a separate investment vehicle, TSL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179" w:lineRule="exact"/>
        <w:rPr>
          <w:sz w:val="20"/>
          <w:szCs w:val="20"/>
          <w:color w:val="auto"/>
        </w:rPr>
      </w:pPr>
    </w:p>
    <w:p>
      <w:pPr>
        <w:ind w:right="40" w:firstLine="259"/>
        <w:spacing w:after="0" w:line="269" w:lineRule="auto"/>
        <w:rPr>
          <w:sz w:val="20"/>
          <w:szCs w:val="20"/>
          <w:color w:val="auto"/>
        </w:rPr>
      </w:pPr>
      <w:r>
        <w:rPr>
          <w:rFonts w:ascii="Arial" w:cs="Arial" w:eastAsia="Arial" w:hAnsi="Arial"/>
          <w:sz w:val="17"/>
          <w:szCs w:val="17"/>
          <w:color w:val="auto"/>
        </w:rPr>
        <w:t>On December 16, 2014, we were granted an exemptive order from the SEC that, if certain conditions are met, allows us to co-invest with certain of our affiliates (including affiliates of TSSP)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those affiliates must be the same as those applicable to us. If the Adviser, TSSP and their affiliates were to determine that an investment is appropriate both for us and for one or more other affiliated vehicles, we would only be able to make the investment in conjunction with another vehicle to the extent the exemptive order granted to us by the SEC permits us to do so or the investment is otherwise permitted under relevant SEC guidance.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 We cannot assure you when or whether we will apply for any other exemptive relief in the future and whether such orders will be obtained.</w:t>
      </w:r>
    </w:p>
    <w:p>
      <w:pPr>
        <w:spacing w:after="0" w:line="29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Our Adviser can resign on 60 days’ notice. We may not be able to find a suitable replacement within that time, resulting in a disruption in our operations and a loss of the benefits from our relationship with TSSP. Any new investment advisory agreement would require stockholder approval.</w:t>
      </w:r>
    </w:p>
    <w:p>
      <w:pPr>
        <w:spacing w:after="0" w:line="16" w:lineRule="exact"/>
        <w:rPr>
          <w:sz w:val="20"/>
          <w:szCs w:val="20"/>
          <w:color w:val="auto"/>
        </w:rPr>
      </w:pPr>
    </w:p>
    <w:p>
      <w:pPr>
        <w:ind w:firstLine="259"/>
        <w:spacing w:after="0" w:line="253" w:lineRule="auto"/>
        <w:rPr>
          <w:sz w:val="20"/>
          <w:szCs w:val="20"/>
          <w:color w:val="auto"/>
        </w:rPr>
      </w:pPr>
      <w:r>
        <w:rPr>
          <w:rFonts w:ascii="Arial" w:cs="Arial" w:eastAsia="Arial" w:hAnsi="Arial"/>
          <w:sz w:val="18"/>
          <w:szCs w:val="18"/>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9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81" w:lineRule="exact"/>
        <w:rPr>
          <w:sz w:val="20"/>
          <w:szCs w:val="20"/>
          <w:color w:val="auto"/>
        </w:rPr>
      </w:pPr>
    </w:p>
    <w:p>
      <w:pPr>
        <w:ind w:right="60" w:firstLine="259"/>
        <w:spacing w:after="0" w:line="312" w:lineRule="auto"/>
        <w:rPr>
          <w:sz w:val="20"/>
          <w:szCs w:val="20"/>
          <w:color w:val="auto"/>
        </w:rPr>
      </w:pPr>
      <w:r>
        <w:rPr>
          <w:rFonts w:ascii="Arial" w:cs="Arial" w:eastAsia="Arial" w:hAnsi="Arial"/>
          <w:sz w:val="16"/>
          <w:szCs w:val="16"/>
          <w:color w:val="auto"/>
        </w:rPr>
        <w:t>In addition, if the Adviser resigns or is terminated, we would lose the benefits of our relationship with TSSP, including insights into our existing portfolio, market expertise, sector and macroeconomic views and due diligence capabilities, as well as any investment opportunities referred to us. We also would no longer be able to use TPG’s name and logo because our license agreement would terminate upon the termination of the Investment Advisory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A modification in the strategic partnership between TSSP and TPG may adversely affect our business.</w:t>
      </w:r>
    </w:p>
    <w:p>
      <w:pPr>
        <w:spacing w:after="0" w:line="117" w:lineRule="exact"/>
        <w:rPr>
          <w:sz w:val="20"/>
          <w:szCs w:val="20"/>
          <w:color w:val="auto"/>
        </w:rPr>
      </w:pPr>
    </w:p>
    <w:p>
      <w:pPr>
        <w:ind w:right="100" w:firstLine="259"/>
        <w:spacing w:after="0" w:line="302" w:lineRule="auto"/>
        <w:rPr>
          <w:sz w:val="20"/>
          <w:szCs w:val="20"/>
          <w:color w:val="auto"/>
        </w:rPr>
      </w:pPr>
      <w:r>
        <w:rPr>
          <w:rFonts w:ascii="Arial" w:cs="Arial" w:eastAsia="Arial" w:hAnsi="Arial"/>
          <w:sz w:val="16"/>
          <w:szCs w:val="16"/>
          <w:color w:val="auto"/>
        </w:rPr>
        <w:t>Our Adviser is managed through TPG Sixth Street Partners. TSSP was founded in 2009 in a strategic partnership with TPG. TSSP and TPG are currently in discussions to modify the nature of their current strategic partnership. Any such modification is not expected to change the governance or personnel of, or our relationship with, our Adviser or TSSP. TSSP and the Adviser do not rely on TPG to provide any services directly to us under the Investment Advisory Agreement and Administration Agreement, including, but not limited to, sourcing of investments, underwriting or asset management.</w:t>
      </w:r>
    </w:p>
    <w:p>
      <w:pPr>
        <w:spacing w:after="0" w:line="154"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We expect that our Adviser will continue to utilize certain limited services (such as certain information technology services utilized by the Adviser on our behalf) that are currently provided by TPG. In the event an agreement between TSSP and TPG is reached, we expect that these limited services would continue to be provided to our Adviser by TPG as transition services over a multi-year period.</w:t>
      </w:r>
    </w:p>
    <w:p>
      <w:pPr>
        <w:spacing w:after="0" w:line="181"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To date, no formal agreement between TSSP and TPG has been reached and there is no guarantee that an agreement will be finalized. In the event of any modification in the nature of the partnership between TSSP and TPG, there could be an adverse effect on our business, as our investors or business partners may view our business differently as a result of the change, and as we will, over time, rely exclusively on TSSP and our Adviser to provide those limited services described above that are currently provided to them by TPG. Our license to use the TPG name and logo could also be affected.</w:t>
      </w:r>
    </w:p>
    <w:p>
      <w:pPr>
        <w:spacing w:after="0" w:line="2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firstLine="259"/>
        <w:spacing w:after="0" w:line="288"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320" w:firstLine="259"/>
        <w:spacing w:after="0" w:line="279" w:lineRule="auto"/>
        <w:rPr>
          <w:sz w:val="20"/>
          <w:szCs w:val="20"/>
          <w:color w:val="auto"/>
        </w:rPr>
      </w:pPr>
      <w:r>
        <w:rPr>
          <w:rFonts w:ascii="Arial" w:cs="Arial" w:eastAsia="Arial" w:hAnsi="Arial"/>
          <w:sz w:val="17"/>
          <w:szCs w:val="17"/>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5" w:name="page36"/>
    <w:bookmarkEnd w:id="35"/>
    <w:p>
      <w:pPr>
        <w:ind w:right="20"/>
        <w:spacing w:after="0" w:line="264"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73" w:lineRule="exact"/>
        <w:rPr>
          <w:sz w:val="20"/>
          <w:szCs w:val="20"/>
          <w:color w:val="auto"/>
        </w:rPr>
      </w:pPr>
    </w:p>
    <w:p>
      <w:pPr>
        <w:ind w:firstLine="259"/>
        <w:spacing w:after="0" w:line="253" w:lineRule="auto"/>
        <w:rPr>
          <w:sz w:val="20"/>
          <w:szCs w:val="20"/>
          <w:color w:val="auto"/>
        </w:rPr>
      </w:pPr>
      <w:r>
        <w:rPr>
          <w:rFonts w:ascii="Arial" w:cs="Arial" w:eastAsia="Arial" w:hAnsi="Arial"/>
          <w:sz w:val="18"/>
          <w:szCs w:val="18"/>
          <w:color w:val="auto"/>
        </w:rPr>
        <w:t>We are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Matters impacting our internal control may cause us to be unable to report our financial information on a timely basis and thereby subject us to adverse regulatory consequences, including sanctions by the SEC or violations of applicable stock exchange listing rules, and result in a breach of the covenants under the agreements governing any of our financing arrangements.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300" w:firstLine="259"/>
        <w:spacing w:after="0" w:line="259"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right="40" w:firstLine="259"/>
        <w:spacing w:after="0" w:line="267" w:lineRule="auto"/>
        <w:rPr>
          <w:sz w:val="20"/>
          <w:szCs w:val="20"/>
          <w:color w:val="auto"/>
        </w:rPr>
      </w:pPr>
      <w:r>
        <w:rPr>
          <w:rFonts w:ascii="Arial" w:cs="Arial" w:eastAsia="Arial" w:hAnsi="Arial"/>
          <w:sz w:val="17"/>
          <w:szCs w:val="17"/>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Our business is highly dependent on the communications and information systems of the Adviser, its affiliates and third parties, including certain limited TPG-provided services (such as certain information technology services utilized by the Adviser on our behalf). Further, in the ordinary course of our business we or the Adviser engage certain third party service providers to provide us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6" w:name="page37"/>
    <w:bookmarkEnd w:id="36"/>
    <w:p>
      <w:pPr>
        <w:ind w:right="40"/>
        <w:spacing w:after="0" w:line="279" w:lineRule="auto"/>
        <w:rPr>
          <w:sz w:val="20"/>
          <w:szCs w:val="20"/>
          <w:color w:val="auto"/>
        </w:rPr>
      </w:pPr>
      <w:r>
        <w:rPr>
          <w:rFonts w:ascii="Arial" w:cs="Arial" w:eastAsia="Arial" w:hAnsi="Arial"/>
          <w:sz w:val="17"/>
          <w:szCs w:val="17"/>
          <w:color w:val="auto"/>
        </w:rPr>
        <w:t>with services necessary for our business. Any failure or interruption of those systems or services, including as a result of the termination or suspension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63" w:lineRule="exact"/>
        <w:rPr>
          <w:sz w:val="20"/>
          <w:szCs w:val="20"/>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outages due to idiosyncratic issues at specific providers;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73" w:lineRule="exact"/>
        <w:rPr>
          <w:sz w:val="20"/>
          <w:szCs w:val="20"/>
          <w:color w:val="auto"/>
        </w:rPr>
      </w:pPr>
    </w:p>
    <w:p>
      <w:pPr>
        <w:ind w:right="20" w:firstLine="259"/>
        <w:spacing w:after="0" w:line="286" w:lineRule="auto"/>
        <w:rPr>
          <w:sz w:val="20"/>
          <w:szCs w:val="20"/>
          <w:color w:val="auto"/>
        </w:rPr>
      </w:pPr>
      <w:r>
        <w:rPr>
          <w:rFonts w:ascii="Arial" w:cs="Arial" w:eastAsia="Arial" w:hAnsi="Arial"/>
          <w:sz w:val="16"/>
          <w:szCs w:val="16"/>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75"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31" w:lineRule="exact"/>
        <w:rPr>
          <w:sz w:val="20"/>
          <w:szCs w:val="20"/>
          <w:color w:val="auto"/>
        </w:rPr>
      </w:pPr>
    </w:p>
    <w:p>
      <w:pPr>
        <w:ind w:right="20" w:firstLine="259"/>
        <w:spacing w:after="0" w:line="269" w:lineRule="auto"/>
        <w:rPr>
          <w:sz w:val="20"/>
          <w:szCs w:val="20"/>
          <w:color w:val="auto"/>
        </w:rPr>
      </w:pPr>
      <w:r>
        <w:rPr>
          <w:rFonts w:ascii="Arial" w:cs="Arial" w:eastAsia="Arial" w:hAnsi="Arial"/>
          <w:sz w:val="17"/>
          <w:szCs w:val="17"/>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Arial" w:cs="Arial" w:eastAsia="Arial" w:hAnsi="Arial"/>
          <w:sz w:val="17"/>
          <w:szCs w:val="17"/>
          <w:i w:val="1"/>
          <w:iCs w:val="1"/>
          <w:color w:val="auto"/>
        </w:rPr>
        <w:t>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our Portfolio Company Investments.</w:t>
      </w:r>
      <w:r>
        <w:rPr>
          <w:rFonts w:ascii="Arial" w:cs="Arial" w:eastAsia="Arial" w:hAnsi="Arial"/>
          <w:sz w:val="17"/>
          <w:szCs w:val="17"/>
          <w:color w:val="auto"/>
        </w:rPr>
        <w:t>”</w:t>
      </w:r>
    </w:p>
    <w:p>
      <w:pPr>
        <w:spacing w:after="0" w:line="223"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interest rates of our debt investments to our portfolio companies and our indebtedness that extend beyond 2021 might be subject to change based on recent regulatory changes.</w:t>
      </w:r>
    </w:p>
    <w:p>
      <w:pPr>
        <w:spacing w:after="0" w:line="62"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LIBOR, the London Interbank Offered Rate, is the basic rate of interest used in lending transactions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portfolio company is calculated using LIBOR. The terms of our debt investments generally include minimum interest rate floors which are calculated based on LIBOR. Amounts drawn under the Revolving Credit Facility also currently bear interest at LIBOR plus a margin, and obligations under interest rate swaps we enter into are referenced to LIBOR.</w:t>
      </w:r>
    </w:p>
    <w:p>
      <w:pPr>
        <w:spacing w:after="0" w:line="173" w:lineRule="exact"/>
        <w:rPr>
          <w:sz w:val="20"/>
          <w:szCs w:val="20"/>
          <w:color w:val="auto"/>
        </w:rPr>
      </w:pPr>
    </w:p>
    <w:p>
      <w:pPr>
        <w:ind w:right="100" w:firstLine="259"/>
        <w:spacing w:after="0" w:line="272" w:lineRule="auto"/>
        <w:rPr>
          <w:sz w:val="20"/>
          <w:szCs w:val="20"/>
          <w:color w:val="auto"/>
        </w:rPr>
      </w:pPr>
      <w:r>
        <w:rPr>
          <w:rFonts w:ascii="Arial" w:cs="Arial" w:eastAsia="Arial" w:hAnsi="Arial"/>
          <w:sz w:val="17"/>
          <w:szCs w:val="17"/>
          <w:color w:val="auto"/>
        </w:rPr>
        <w:t>On July 27, 2017, the United Kingdom’s Financial Conduct Authority, which regulates LIBOR, announced that it intends to phase out LIBOR by the end of 2021. It is unclear if at that time LIBOR will cease to exist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called the Secured Overnight Financing Rate (“SOFR”). The first publication of SOFR was released in April 2018. Whether or not SOFR attains market traction as a LIBOR replacement remains a question and the future of LIBOR at this time is uncertain. Because of this uncertainty, we cannot reasonably estimate the expected impact of a transition away from LIBOR to our business.</w:t>
      </w:r>
    </w:p>
    <w:p>
      <w:pPr>
        <w:spacing w:after="0" w:line="178"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If LIBOR ceases to exist or degrades to the degree that it is no longer representative of the underlying market, we may need to renegotiate the credit agreements extending beyond 2021 with our portfolio companies that utilize LIBOR as a factor in determining the interest rate, in order to replace LIBOR with the new standard that is established, which may have an adverse effect on our ability to receive attractive returns. In addition, if LIBOR ceases to exist or degrades to the degree that it is no longer representative of the underlying market, we may need to renegotiate certain terms of our Revolving Credit Facility to replace LIBOR with the new standard that is established in its place. If we are unable to do so, amounts drawn under the Revolving Credit Facility may bear interest at a higher rate, which would increase the cost of our borrowings and, in turn, affect our return on capital. If LIBOR ceases to exist or degrades to the degree that it is no longer representative of the underlying market, we will also have to renegotiate the terms of any outstanding interest rate swaps.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enacted Tax Cuts and Jobs Act may adversely affect our business.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recently enacted Tax Cuts and Jobs Act (“Tax Reform”) has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The changes to interest deductibility, utility of net operating losses and other provisions of Tax Reform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on the loan market and about its tax consequences of an investment in 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right="60" w:firstLine="259"/>
        <w:spacing w:after="0" w:line="271" w:lineRule="auto"/>
        <w:rPr>
          <w:sz w:val="20"/>
          <w:szCs w:val="20"/>
          <w:color w:val="auto"/>
        </w:rPr>
      </w:pPr>
      <w:r>
        <w:rPr>
          <w:rFonts w:ascii="Arial" w:cs="Arial" w:eastAsia="Arial" w:hAnsi="Arial"/>
          <w:sz w:val="17"/>
          <w:szCs w:val="17"/>
          <w:color w:val="auto"/>
        </w:rPr>
        <w:t>The U.S. and global capital markets experienced extreme volatility and disruption in recent years, leading to recessionary conditions and depressed levels of consumer and commercial spending. For instance, political uncertainty resulting from recent events, including changes to U.S. trade policies and the impact of the United Kingdom’s exit from the European Union in January 2020 (“Brexit”), has led to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219"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80" w:lineRule="exact"/>
        <w:rPr>
          <w:sz w:val="20"/>
          <w:szCs w:val="20"/>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Due to federal budget deficit concerns, S&amp;P downgraded the federal government’s credit rating from AAA to AA+ for the first time in history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August 5, 2011. Further, Moody’s and Fitch warned that they may downgrade the federal government’s credit rating. Further downgrades or warnings by S&amp;P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other rating agencies, and the government’s credit and deficit concerns in general, could cause interest rates and borrowing costs to rise, which may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negatively impact both the perception of credit risk associated with our debt portfolio and our ability to access the debt markets on favorable terms.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 a decreased credit rating could create broader financial turmoil and uncertainty, which may weigh heavily on our financial performance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value of our common stock. Also, to the extent uncertainty regarding any economic recovery in Europe and Brexit continue to negatively impact consumer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confidence and consumer credit factors, our business and results of operations could be significantly and adversely affected.</w:t>
      </w:r>
    </w:p>
    <w:p>
      <w:pPr>
        <w:spacing w:after="0" w:line="211"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after raising the target range for the federal funds rate in 2017 and 2018, the Federal Reserve lowered the target rate three times in 2019. Further changes in key economic indicators, such as the unemployment rate or inflation, could lead to changes to the target range for the federal funds rate that may cause instability or may negatively impact our ability to access the debt markets on favorable terms.</w:t>
      </w:r>
    </w:p>
    <w:p>
      <w:pPr>
        <w:spacing w:after="0" w:line="182" w:lineRule="exact"/>
        <w:rPr>
          <w:sz w:val="20"/>
          <w:szCs w:val="20"/>
          <w:color w:val="auto"/>
        </w:rPr>
      </w:pPr>
    </w:p>
    <w:p>
      <w:pPr>
        <w:ind w:right="120" w:firstLine="259"/>
        <w:spacing w:after="0" w:line="290" w:lineRule="auto"/>
        <w:rPr>
          <w:sz w:val="20"/>
          <w:szCs w:val="20"/>
          <w:color w:val="auto"/>
        </w:rPr>
      </w:pPr>
      <w:r>
        <w:rPr>
          <w:rFonts w:ascii="Arial" w:cs="Arial" w:eastAsia="Arial" w:hAnsi="Arial"/>
          <w:sz w:val="16"/>
          <w:szCs w:val="16"/>
          <w:color w:val="auto"/>
        </w:rPr>
        <w:t>As a result of the 2018 U.S. election, the Republican Party currently controls the executive branch of government and the Senate, while the Democratic Party controls the House. This political division between the Senate and House makes it unclear what legislation may be adopted that could significantly affect the regulation of U.S. financial markets. Areas subject to potential change, amendment or repeal include the Wall Street Reform and Consumer Protection Act, or the Dodd-Frank Act, and the authority of the Federal Reserve and the Financial Stability Oversight Council. These or other regulatory changes could result in greater competition from banks and other lenders with which we compete for lending and other investment opportunities. 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78"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firstLine="259"/>
        <w:spacing w:after="0" w:line="253" w:lineRule="auto"/>
        <w:rPr>
          <w:sz w:val="20"/>
          <w:szCs w:val="20"/>
          <w:color w:val="auto"/>
        </w:rPr>
      </w:pPr>
      <w:r>
        <w:rPr>
          <w:rFonts w:ascii="Arial" w:cs="Arial" w:eastAsia="Arial" w:hAnsi="Arial"/>
          <w:sz w:val="18"/>
          <w:szCs w:val="18"/>
          <w:i w:val="1"/>
          <w:iCs w:val="1"/>
          <w:color w:val="auto"/>
        </w:rPr>
        <w:t>First-Lien Debt</w:t>
      </w:r>
      <w:r>
        <w:rPr>
          <w:rFonts w:ascii="Arial" w:cs="Arial" w:eastAsia="Arial" w:hAnsi="Arial"/>
          <w:sz w:val="18"/>
          <w:szCs w:val="18"/>
          <w:color w:val="auto"/>
        </w:rPr>
        <w:t>. When we make a first-lien loan, we generally take a security interest in the available assets of the portfolio company, including the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7"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i w:val="1"/>
          <w:iCs w:val="1"/>
          <w:color w:val="auto"/>
        </w:rPr>
        <w:t>Second-Lien and Mezzanine Debt</w:t>
      </w:r>
      <w:r>
        <w:rPr>
          <w:rFonts w:ascii="Arial" w:cs="Arial" w:eastAsia="Arial" w:hAnsi="Arial"/>
          <w:sz w:val="18"/>
          <w:szCs w:val="18"/>
          <w:color w:val="auto"/>
        </w:rPr>
        <w:t>. 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i w:val="1"/>
          <w:iCs w:val="1"/>
          <w:color w:val="auto"/>
        </w:rPr>
        <w:t xml:space="preserve">Equity and Other Investments. </w:t>
      </w:r>
      <w:r>
        <w:rPr>
          <w:rFonts w:ascii="Arial" w:cs="Arial" w:eastAsia="Arial" w:hAnsi="Arial"/>
          <w:sz w:val="18"/>
          <w:szCs w:val="18"/>
          <w:color w:val="auto"/>
        </w:rPr>
        <w:t>When we invest in first-lien debt, second-lien debt or mezzanine debt, we may acquire equity securities, such as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117" w:lineRule="exact"/>
        <w:rPr>
          <w:sz w:val="20"/>
          <w:szCs w:val="20"/>
          <w:color w:val="auto"/>
        </w:rPr>
      </w:pPr>
    </w:p>
    <w:p>
      <w:pPr>
        <w:ind w:left="520" w:right="480" w:hanging="255"/>
        <w:spacing w:after="0" w:line="26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73" w:lineRule="exact"/>
        <w:rPr>
          <w:rFonts w:ascii="Arial" w:cs="Arial" w:eastAsia="Arial" w:hAnsi="Arial"/>
          <w:sz w:val="18"/>
          <w:szCs w:val="18"/>
          <w:color w:val="auto"/>
        </w:rPr>
      </w:pPr>
    </w:p>
    <w:p>
      <w:pPr>
        <w:ind w:left="520" w:right="120" w:hanging="255"/>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left="520" w:right="120" w:hanging="255"/>
        <w:spacing w:after="0" w:line="264"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17" w:lineRule="exact"/>
        <w:rPr>
          <w:sz w:val="20"/>
          <w:szCs w:val="20"/>
          <w:color w:val="auto"/>
        </w:rPr>
      </w:pPr>
    </w:p>
    <w:p>
      <w:pPr>
        <w:ind w:left="520" w:right="60" w:hanging="255"/>
        <w:spacing w:after="0" w:line="264"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73" w:lineRule="exact"/>
        <w:rPr>
          <w:rFonts w:ascii="Arial" w:cs="Arial" w:eastAsia="Arial" w:hAnsi="Arial"/>
          <w:sz w:val="18"/>
          <w:szCs w:val="18"/>
          <w:color w:val="auto"/>
        </w:rPr>
      </w:pPr>
    </w:p>
    <w:p>
      <w:pPr>
        <w:ind w:left="520" w:right="140" w:hanging="255"/>
        <w:spacing w:after="0" w:line="342"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15" w:lineRule="exact"/>
        <w:rPr>
          <w:rFonts w:ascii="Arial" w:cs="Arial" w:eastAsia="Arial" w:hAnsi="Arial"/>
          <w:sz w:val="16"/>
          <w:szCs w:val="16"/>
          <w:color w:val="auto"/>
        </w:rPr>
      </w:pPr>
    </w:p>
    <w:p>
      <w:pPr>
        <w:jc w:val="both"/>
        <w:ind w:left="520" w:right="180" w:hanging="255"/>
        <w:spacing w:after="0" w:line="264"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3" w:lineRule="exact"/>
        <w:rPr>
          <w:rFonts w:ascii="Arial" w:cs="Arial" w:eastAsia="Arial" w:hAnsi="Arial"/>
          <w:sz w:val="18"/>
          <w:szCs w:val="18"/>
          <w:color w:val="auto"/>
        </w:rPr>
      </w:pPr>
    </w:p>
    <w:p>
      <w:pPr>
        <w:ind w:left="520" w:right="160" w:hanging="255"/>
        <w:spacing w:after="0" w:line="264"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73" w:lineRule="exact"/>
        <w:rPr>
          <w:rFonts w:ascii="Arial" w:cs="Arial" w:eastAsia="Arial" w:hAnsi="Arial"/>
          <w:sz w:val="18"/>
          <w:szCs w:val="18"/>
          <w:color w:val="auto"/>
        </w:rPr>
      </w:pPr>
    </w:p>
    <w:p>
      <w:pPr>
        <w:ind w:left="520" w:right="280" w:hanging="255"/>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62" w:lineRule="exact"/>
        <w:rPr>
          <w:rFonts w:ascii="Arial" w:cs="Arial" w:eastAsia="Arial" w:hAnsi="Arial"/>
          <w:sz w:val="18"/>
          <w:szCs w:val="18"/>
          <w:color w:val="auto"/>
        </w:rPr>
      </w:pPr>
    </w:p>
    <w:p>
      <w:pPr>
        <w:ind w:left="520" w:hanging="255"/>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62" w:lineRule="exact"/>
        <w:rPr>
          <w:rFonts w:ascii="Arial" w:cs="Arial" w:eastAsia="Arial" w:hAnsi="Arial"/>
          <w:sz w:val="18"/>
          <w:szCs w:val="18"/>
          <w:color w:val="auto"/>
        </w:rPr>
      </w:pPr>
    </w:p>
    <w:p>
      <w:pPr>
        <w:ind w:left="520" w:right="120" w:hanging="255"/>
        <w:spacing w:after="0" w:line="308"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38" w:lineRule="exact"/>
        <w:rPr>
          <w:rFonts w:ascii="Arial" w:cs="Arial" w:eastAsia="Arial" w:hAnsi="Arial"/>
          <w:sz w:val="17"/>
          <w:szCs w:val="17"/>
          <w:color w:val="auto"/>
        </w:rPr>
      </w:pPr>
    </w:p>
    <w:p>
      <w:pPr>
        <w:ind w:left="520" w:right="60" w:hanging="255"/>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78" w:lineRule="exact"/>
        <w:rPr>
          <w:sz w:val="20"/>
          <w:szCs w:val="20"/>
          <w:color w:val="auto"/>
        </w:rPr>
      </w:pPr>
    </w:p>
    <w:p>
      <w:pPr>
        <w:ind w:right="140" w:firstLine="259"/>
        <w:spacing w:after="0" w:line="254"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2" w:lineRule="exact"/>
        <w:rPr>
          <w:sz w:val="20"/>
          <w:szCs w:val="20"/>
          <w:color w:val="auto"/>
        </w:rPr>
      </w:pPr>
    </w:p>
    <w:p>
      <w:pPr>
        <w:ind w:right="20" w:firstLine="259"/>
        <w:spacing w:after="0" w:line="286" w:lineRule="auto"/>
        <w:rPr>
          <w:sz w:val="20"/>
          <w:szCs w:val="20"/>
          <w:color w:val="auto"/>
        </w:rPr>
      </w:pPr>
      <w:r>
        <w:rPr>
          <w:rFonts w:ascii="Arial" w:cs="Arial" w:eastAsia="Arial" w:hAnsi="Arial"/>
          <w:sz w:val="17"/>
          <w:szCs w:val="17"/>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jc w:val="both"/>
        <w:ind w:right="200" w:firstLine="259"/>
        <w:spacing w:after="0" w:line="276" w:lineRule="auto"/>
        <w:rPr>
          <w:sz w:val="20"/>
          <w:szCs w:val="20"/>
          <w:color w:val="auto"/>
        </w:rPr>
      </w:pPr>
      <w:r>
        <w:rPr>
          <w:rFonts w:ascii="Arial" w:cs="Arial" w:eastAsia="Arial" w:hAnsi="Arial"/>
          <w:sz w:val="17"/>
          <w:szCs w:val="17"/>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40" w:firstLine="259"/>
        <w:spacing w:after="0" w:line="312" w:lineRule="auto"/>
        <w:rPr>
          <w:sz w:val="20"/>
          <w:szCs w:val="20"/>
          <w:color w:val="auto"/>
        </w:rPr>
      </w:pPr>
      <w:r>
        <w:rPr>
          <w:rFonts w:ascii="Arial" w:cs="Arial" w:eastAsia="Arial" w:hAnsi="Arial"/>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47" w:lineRule="exact"/>
        <w:rPr>
          <w:sz w:val="20"/>
          <w:szCs w:val="20"/>
          <w:color w:val="auto"/>
        </w:rPr>
      </w:pPr>
    </w:p>
    <w:p>
      <w:pPr>
        <w:ind w:right="100" w:firstLine="259"/>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9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58" w:lineRule="exact"/>
        <w:rPr>
          <w:sz w:val="20"/>
          <w:szCs w:val="20"/>
          <w:color w:val="auto"/>
        </w:rPr>
      </w:pPr>
    </w:p>
    <w:p>
      <w:pPr>
        <w:ind w:right="100" w:firstLine="259"/>
        <w:spacing w:after="0" w:line="308" w:lineRule="auto"/>
        <w:rPr>
          <w:sz w:val="20"/>
          <w:szCs w:val="20"/>
          <w:color w:val="auto"/>
        </w:rPr>
      </w:pPr>
      <w:r>
        <w:rPr>
          <w:rFonts w:ascii="Arial" w:cs="Arial" w:eastAsia="Arial" w:hAnsi="Arial"/>
          <w:sz w:val="17"/>
          <w:szCs w:val="17"/>
          <w:color w:val="auto"/>
        </w:rPr>
        <w:t>A CLO or other securitization vehicle, if created, also would likely be consolidated in our financial statements and consequently affect our asset coverage ratio, which may limit our ability to incur additional leverage. See “</w:t>
      </w:r>
      <w:r>
        <w:rPr>
          <w:rFonts w:ascii="Arial" w:cs="Arial" w:eastAsia="Arial" w:hAnsi="Arial"/>
          <w:sz w:val="17"/>
          <w:szCs w:val="17"/>
          <w:i w:val="1"/>
          <w:iCs w:val="1"/>
          <w:color w:val="auto"/>
        </w:rPr>
        <w:t>ITEM 1. BUSINESS – Regulation as a Business Development Company.”</w:t>
      </w:r>
    </w:p>
    <w:p>
      <w:pPr>
        <w:spacing w:after="0" w:line="25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6" w:lineRule="exact"/>
        <w:rPr>
          <w:sz w:val="20"/>
          <w:szCs w:val="20"/>
          <w:color w:val="auto"/>
        </w:rPr>
      </w:pPr>
    </w:p>
    <w:p>
      <w:pPr>
        <w:ind w:right="260" w:firstLine="259"/>
        <w:spacing w:after="0" w:line="259" w:lineRule="auto"/>
        <w:rPr>
          <w:sz w:val="20"/>
          <w:szCs w:val="20"/>
          <w:color w:val="auto"/>
        </w:rPr>
      </w:pPr>
      <w:r>
        <w:rPr>
          <w:rFonts w:ascii="Arial" w:cs="Arial" w:eastAsia="Arial" w:hAnsi="Arial"/>
          <w:sz w:val="18"/>
          <w:szCs w:val="18"/>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ind w:right="40"/>
        <w:spacing w:after="0" w:line="264" w:lineRule="auto"/>
        <w:rPr>
          <w:sz w:val="20"/>
          <w:szCs w:val="20"/>
          <w:color w:val="auto"/>
        </w:rPr>
      </w:pPr>
      <w:r>
        <w:rPr>
          <w:rFonts w:ascii="Arial" w:cs="Arial" w:eastAsia="Arial" w:hAnsi="Arial"/>
          <w:sz w:val="18"/>
          <w:szCs w:val="18"/>
          <w:color w:val="auto"/>
        </w:rPr>
        <w:t>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58"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Arial" w:cs="Arial" w:eastAsia="Arial" w:hAnsi="Arial"/>
          <w:sz w:val="16"/>
          <w:szCs w:val="16"/>
          <w:i w:val="1"/>
          <w:iCs w:val="1"/>
          <w:color w:val="auto"/>
        </w:rPr>
        <w:t>—Risks Related to Economic Conditions—</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Uncertainty about financial stability could have a significant adverse effect on our business, results of operations and financial condition.</w:t>
      </w:r>
      <w:r>
        <w:rPr>
          <w:rFonts w:ascii="Arial" w:cs="Arial" w:eastAsia="Arial" w:hAnsi="Arial"/>
          <w:sz w:val="16"/>
          <w:szCs w:val="16"/>
          <w:color w:val="auto"/>
        </w:rPr>
        <w:t>”</w:t>
      </w:r>
    </w:p>
    <w:p>
      <w:pPr>
        <w:spacing w:after="0" w:line="167"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Arial" w:cs="Arial" w:eastAsia="Arial" w:hAnsi="Arial"/>
          <w:sz w:val="18"/>
          <w:szCs w:val="18"/>
          <w:i w:val="1"/>
          <w:iCs w:val="1"/>
          <w:color w:val="auto"/>
        </w:rPr>
        <w:t>—Risks Related to Our Portfolio Company Investments—We expose ourselves to</w:t>
      </w:r>
      <w:r>
        <w:rPr>
          <w:rFonts w:ascii="Arial" w:cs="Arial" w:eastAsia="Arial" w:hAnsi="Arial"/>
          <w:sz w:val="18"/>
          <w:szCs w:val="18"/>
          <w:color w:val="auto"/>
        </w:rPr>
        <w:t xml:space="preserve"> </w:t>
      </w:r>
      <w:r>
        <w:rPr>
          <w:rFonts w:ascii="Arial" w:cs="Arial" w:eastAsia="Arial" w:hAnsi="Arial"/>
          <w:sz w:val="18"/>
          <w:szCs w:val="18"/>
          <w:i w:val="1"/>
          <w:iCs w:val="1"/>
          <w:color w:val="auto"/>
        </w:rPr>
        <w:t>risks when we engage in hedging transactions.</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2"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7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to:</w:t>
      </w:r>
    </w:p>
    <w:p>
      <w:pPr>
        <w:spacing w:after="0" w:line="129" w:lineRule="exact"/>
        <w:rPr>
          <w:sz w:val="20"/>
          <w:szCs w:val="20"/>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4" w:name="page45"/>
    <w:bookmarkEnd w:id="44"/>
    <w:p>
      <w:pPr>
        <w:ind w:right="160" w:firstLine="259"/>
        <w:spacing w:after="0" w:line="302"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9"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decision by TSSP, our Adviser or their affiliates to allocate an opportunity to another entity could cause us to forgo an investment opportunity that we otherwise would have made. We also generally will be unable to invest in any issuer in which TSSP and its other affiliates or a fund managed by TSSP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54" w:lineRule="exact"/>
        <w:rPr>
          <w:sz w:val="20"/>
          <w:szCs w:val="20"/>
          <w:color w:val="auto"/>
        </w:rPr>
      </w:pPr>
    </w:p>
    <w:p>
      <w:pPr>
        <w:ind w:right="80" w:firstLine="259"/>
        <w:spacing w:after="0" w:line="291" w:lineRule="auto"/>
        <w:rPr>
          <w:sz w:val="20"/>
          <w:szCs w:val="20"/>
          <w:color w:val="auto"/>
        </w:rPr>
      </w:pPr>
      <w:r>
        <w:rPr>
          <w:rFonts w:ascii="Arial" w:cs="Arial" w:eastAsia="Arial" w:hAnsi="Arial"/>
          <w:sz w:val="16"/>
          <w:szCs w:val="16"/>
          <w:color w:val="auto"/>
        </w:rPr>
        <w:t>On December 16, 2014, we were granted an exemptive order from the SEC that allows us to co-invest, subject to certain conditions, with certain of our affiliates (including affiliates of TSSP)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order or in the limited circumstances otherwise currently permitted by regulatory guidance.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or strategic investments that we pursue are subject to risks and uncertainties.</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8" w:lineRule="exact"/>
        <w:rPr>
          <w:sz w:val="20"/>
          <w:szCs w:val="20"/>
          <w:color w:val="auto"/>
        </w:rPr>
      </w:pPr>
    </w:p>
    <w:p>
      <w:pPr>
        <w:ind w:right="100" w:firstLine="259"/>
        <w:spacing w:after="0" w:line="293" w:lineRule="auto"/>
        <w:rPr>
          <w:sz w:val="20"/>
          <w:szCs w:val="20"/>
          <w:color w:val="auto"/>
        </w:rPr>
      </w:pPr>
      <w:r>
        <w:rPr>
          <w:rFonts w:ascii="Arial" w:cs="Arial" w:eastAsia="Arial" w:hAnsi="Arial"/>
          <w:sz w:val="16"/>
          <w:szCs w:val="16"/>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65"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5" w:name="page46"/>
    <w:bookmarkEnd w:id="45"/>
    <w:p>
      <w:pPr>
        <w:ind w:right="1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right="120" w:firstLine="259"/>
        <w:spacing w:after="0" w:line="291" w:lineRule="auto"/>
        <w:rPr>
          <w:sz w:val="20"/>
          <w:szCs w:val="20"/>
          <w:color w:val="auto"/>
        </w:rPr>
      </w:pPr>
      <w:r>
        <w:rPr>
          <w:rFonts w:ascii="Arial" w:cs="Arial" w:eastAsia="Arial" w:hAnsi="Arial"/>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could also have negative impacts on both the U.K. economy and the economies of other countries in Europe. In addition, interest income derived from loans to foreign companies is not eligible to be distributed to our non-U.S. stockholders free from withholding taxes.</w:t>
      </w:r>
    </w:p>
    <w:p>
      <w:pPr>
        <w:spacing w:after="0" w:line="167"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259"/>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73"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We also have the ability to borrow in certain foreign currencies under the second amended and restated senior secured revolving credit agreement, as amended, with Truist Bank (as a successor by merger to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93"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73"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2022 Convertible Notes, 2023 Notes, and 2024 Notes which bear interest at fixed rates,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ind w:firstLine="259"/>
        <w:spacing w:after="0" w:line="270" w:lineRule="auto"/>
        <w:rPr>
          <w:sz w:val="20"/>
          <w:szCs w:val="20"/>
          <w:color w:val="auto"/>
        </w:rPr>
      </w:pPr>
      <w:r>
        <w:rPr>
          <w:rFonts w:ascii="Arial" w:cs="Arial" w:eastAsia="Arial" w:hAnsi="Arial"/>
          <w:sz w:val="17"/>
          <w:szCs w:val="17"/>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Arial" w:cs="Arial" w:eastAsia="Arial" w:hAnsi="Arial"/>
          <w:sz w:val="17"/>
          <w:szCs w:val="17"/>
          <w:i w:val="1"/>
          <w:iCs w:val="1"/>
          <w:color w:val="auto"/>
        </w:rPr>
        <w:t>—Risks Related to Our Portfolio</w:t>
      </w:r>
      <w:r>
        <w:rPr>
          <w:rFonts w:ascii="Arial" w:cs="Arial" w:eastAsia="Arial" w:hAnsi="Arial"/>
          <w:sz w:val="17"/>
          <w:szCs w:val="17"/>
          <w:color w:val="auto"/>
        </w:rPr>
        <w:t xml:space="preserve"> </w:t>
      </w:r>
      <w:r>
        <w:rPr>
          <w:rFonts w:ascii="Arial" w:cs="Arial" w:eastAsia="Arial" w:hAnsi="Arial"/>
          <w:sz w:val="17"/>
          <w:szCs w:val="17"/>
          <w:i w:val="1"/>
          <w:iCs w:val="1"/>
          <w:color w:val="auto"/>
        </w:rPr>
        <w:t>Company Investments—The new market structure applicable to derivatives imposed by the Dodd-Frank Act may affect our ability to use over-the-counter (“OTC”) derivatives for hedging purposes</w:t>
      </w:r>
      <w:r>
        <w:rPr>
          <w:rFonts w:ascii="Arial" w:cs="Arial" w:eastAsia="Arial" w:hAnsi="Arial"/>
          <w:sz w:val="17"/>
          <w:szCs w:val="17"/>
          <w:color w:val="auto"/>
        </w:rPr>
        <w:t>.” See also “</w:t>
      </w:r>
      <w:r>
        <w:rPr>
          <w:rFonts w:ascii="Arial" w:cs="Arial" w:eastAsia="Arial" w:hAnsi="Arial"/>
          <w:sz w:val="17"/>
          <w:szCs w:val="17"/>
          <w:i w:val="1"/>
          <w:iCs w:val="1"/>
          <w:color w:val="auto"/>
        </w:rPr>
        <w:t>—Risks Related to Our Portfolio Company Investments—We are exposed to risks associated with changes in interest rates</w:t>
      </w:r>
      <w:r>
        <w:rPr>
          <w:rFonts w:ascii="Arial" w:cs="Arial" w:eastAsia="Arial" w:hAnsi="Arial"/>
          <w:sz w:val="17"/>
          <w:szCs w:val="17"/>
          <w:color w:val="auto"/>
        </w:rPr>
        <w:t>” and “</w:t>
      </w:r>
      <w:r>
        <w:rPr>
          <w:rFonts w:ascii="Arial" w:cs="Arial" w:eastAsia="Arial" w:hAnsi="Arial"/>
          <w:sz w:val="17"/>
          <w:szCs w:val="17"/>
          <w:i w:val="1"/>
          <w:iCs w:val="1"/>
          <w:color w:val="auto"/>
        </w:rPr>
        <w:t>ITEM 7. MANAGEMENT’S DISCUSSION AND ANALYSIS OF FINANCIAL CONDITION AND RESULTS OF OPERATIONS —Results of Operations—Hedging</w:t>
      </w:r>
      <w:r>
        <w:rPr>
          <w:rFonts w:ascii="Arial" w:cs="Arial" w:eastAsia="Arial" w:hAnsi="Arial"/>
          <w:sz w:val="17"/>
          <w:szCs w:val="17"/>
          <w:color w:val="auto"/>
        </w:rPr>
        <w:t>.”</w:t>
      </w:r>
    </w:p>
    <w:p>
      <w:pPr>
        <w:spacing w:after="0" w:line="178"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Finally, the SEC has reissued a proposed rule, Rule 18f-4, that if adopted would potentially constrain our ability to use swaps and other derivatives. Among other requirements, the proposed rule could potentially force us to reduce our use of derivatives if the value-at-risk of our investment portfolio including our swap or derivative positions, exceeds 150 percent of a “designated reference index” that is unleveraged and reflects the market or asset classes in which we invest. If we could not identify a suitable reference index, our value-at-risk would not be permitted to exceed 15% of our net assets. In addition, we may be required under the proposed rule to establish a risk management program for our use of swaps or other derivative positions. We cannot assure you when or if the proposed rule will be adopted by the SEC, and if adopted, whether the final rule will similarly constrain our ability to utilize swaps and derivatives in the future.</w:t>
      </w: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new market structure applicable to derivatives imposed by the Dodd-Frank Act may affect our ability to use over-the-counter (“OTC”) derivatives for hedging purposes.</w:t>
      </w:r>
    </w:p>
    <w:p>
      <w:pPr>
        <w:spacing w:after="0" w:line="62" w:lineRule="exact"/>
        <w:rPr>
          <w:sz w:val="20"/>
          <w:szCs w:val="20"/>
          <w:color w:val="auto"/>
        </w:rPr>
      </w:pPr>
    </w:p>
    <w:p>
      <w:pPr>
        <w:jc w:val="both"/>
        <w:ind w:right="280" w:firstLine="259"/>
        <w:spacing w:after="0" w:line="312" w:lineRule="auto"/>
        <w:rPr>
          <w:sz w:val="20"/>
          <w:szCs w:val="20"/>
          <w:color w:val="auto"/>
        </w:rPr>
      </w:pPr>
      <w:r>
        <w:rPr>
          <w:rFonts w:ascii="Arial" w:cs="Arial" w:eastAsia="Arial" w:hAnsi="Arial"/>
          <w:sz w:val="16"/>
          <w:szCs w:val="16"/>
          <w:color w:val="auto"/>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187" w:lineRule="exact"/>
        <w:rPr>
          <w:sz w:val="20"/>
          <w:szCs w:val="20"/>
          <w:color w:val="auto"/>
        </w:rPr>
      </w:pPr>
    </w:p>
    <w:p>
      <w:pPr>
        <w:ind w:firstLine="259"/>
        <w:spacing w:after="0" w:line="287" w:lineRule="auto"/>
        <w:rPr>
          <w:sz w:val="20"/>
          <w:szCs w:val="20"/>
          <w:color w:val="auto"/>
        </w:rPr>
      </w:pPr>
      <w:r>
        <w:rPr>
          <w:rFonts w:ascii="Arial" w:cs="Arial" w:eastAsia="Arial" w:hAnsi="Arial"/>
          <w:sz w:val="16"/>
          <w:szCs w:val="16"/>
          <w:color w:val="auto"/>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(such as the interest rate swaps we entered into in connection with certain investments in portfolio companies and our 2022 Convertible Notes, 2023 Notes, and 2024 Notes)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that are not cleared. The margin requirements for cleared and uncleared OTC derivatives may require that our Adviser, in order to maintain its exemption from commodity pool operator (“CPO”) registration under the CFTC No-Action Letter 12-40 (as codified by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173" w:lineRule="exact"/>
        <w:rPr>
          <w:sz w:val="20"/>
          <w:szCs w:val="20"/>
          <w:color w:val="auto"/>
        </w:rPr>
      </w:pPr>
    </w:p>
    <w:p>
      <w:pPr>
        <w:ind w:right="280" w:firstLine="259"/>
        <w:spacing w:after="0" w:line="273" w:lineRule="auto"/>
        <w:rPr>
          <w:sz w:val="20"/>
          <w:szCs w:val="20"/>
          <w:color w:val="auto"/>
        </w:rPr>
      </w:pPr>
      <w:r>
        <w:rPr>
          <w:rFonts w:ascii="Arial" w:cs="Arial" w:eastAsia="Arial" w:hAnsi="Arial"/>
          <w:sz w:val="17"/>
          <w:szCs w:val="17"/>
          <w:color w:val="auto"/>
        </w:rPr>
        <w:t>The Dodd-Frank Act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5638165</wp:posOffset>
            </wp:positionH>
            <wp:positionV relativeFrom="paragraph">
              <wp:posOffset>-768985</wp:posOffset>
            </wp:positionV>
            <wp:extent cx="285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Our Adviser has been granted relief under a no-action letter, known as Letter 12-40, issued by the staff of the CFTC. Letter 12-40 relieves our Adviser from registering with the CFTC as the commodity pool operator of us, so long as we:</w:t>
      </w:r>
    </w:p>
    <w:p>
      <w:pPr>
        <w:spacing w:after="0" w:line="62" w:lineRule="exact"/>
        <w:rPr>
          <w:sz w:val="20"/>
          <w:szCs w:val="20"/>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right="40" w:firstLine="259"/>
        <w:spacing w:after="0" w:line="255" w:lineRule="auto"/>
        <w:rPr>
          <w:sz w:val="20"/>
          <w:szCs w:val="20"/>
          <w:color w:val="auto"/>
        </w:rPr>
      </w:pPr>
      <w:r>
        <w:rPr>
          <w:rFonts w:ascii="Arial" w:cs="Arial" w:eastAsia="Arial" w:hAnsi="Arial"/>
          <w:sz w:val="18"/>
          <w:szCs w:val="18"/>
          <w:color w:val="auto"/>
        </w:rPr>
        <w:t>Letter 12-40 has been superseded by recently finalized rules. Pursuant to such recently finalized rules, we will file with the National Futures Association (the “NFA”) a notice of exclusion from registration with the CFTC as a CPO pursuant to CFTC Rule 4.5, which generally imposes the same conditions as Letter 12-40 on us. If we were unable to satisfy the conditions of CFTC Rule 4.5 in the future, our Adviser may be subject to registration with the CFTC as a CPO.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right="60" w:firstLine="259"/>
        <w:spacing w:after="0" w:line="288" w:lineRule="auto"/>
        <w:rPr>
          <w:sz w:val="20"/>
          <w:szCs w:val="20"/>
          <w:color w:val="auto"/>
        </w:rPr>
      </w:pPr>
      <w:r>
        <w:rPr>
          <w:rFonts w:ascii="Arial" w:cs="Arial" w:eastAsia="Arial" w:hAnsi="Arial"/>
          <w:sz w:val="16"/>
          <w:szCs w:val="16"/>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Arial" w:cs="Arial" w:eastAsia="Arial" w:hAnsi="Arial"/>
          <w:sz w:val="16"/>
          <w:szCs w:val="16"/>
          <w:i w:val="1"/>
          <w:iCs w:val="1"/>
          <w:color w:val="auto"/>
        </w:rPr>
        <w:t>ITEM 1. BUSINESS—Regulation as a</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Development Company</w:t>
      </w:r>
      <w:r>
        <w:rPr>
          <w:rFonts w:ascii="Arial" w:cs="Arial" w:eastAsia="Arial" w:hAnsi="Arial"/>
          <w:sz w:val="16"/>
          <w:szCs w:val="16"/>
          <w:color w:val="auto"/>
        </w:rPr>
        <w:t>—</w:t>
      </w:r>
      <w:r>
        <w:rPr>
          <w:rFonts w:ascii="Arial" w:cs="Arial" w:eastAsia="Arial" w:hAnsi="Arial"/>
          <w:sz w:val="16"/>
          <w:szCs w:val="16"/>
          <w:i w:val="1"/>
          <w:iCs w:val="1"/>
          <w:color w:val="auto"/>
        </w:rPr>
        <w:t>Regulated Investment Company Classification</w:t>
      </w:r>
      <w:r>
        <w:rPr>
          <w:rFonts w:ascii="Arial" w:cs="Arial" w:eastAsia="Arial" w:hAnsi="Arial"/>
          <w:sz w:val="16"/>
          <w:szCs w:val="16"/>
          <w:color w:val="auto"/>
        </w:rPr>
        <w:t>” for more information.</w:t>
      </w:r>
    </w:p>
    <w:p>
      <w:pPr>
        <w:spacing w:after="0" w:line="27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right="20" w:firstLine="259"/>
        <w:spacing w:after="0" w:line="290" w:lineRule="auto"/>
        <w:rPr>
          <w:sz w:val="20"/>
          <w:szCs w:val="20"/>
          <w:color w:val="auto"/>
        </w:rPr>
      </w:pPr>
      <w:r>
        <w:rPr>
          <w:rFonts w:ascii="Arial" w:cs="Arial" w:eastAsia="Arial" w:hAnsi="Arial"/>
          <w:sz w:val="16"/>
          <w:szCs w:val="16"/>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not deductible by individuals, trusts or estates for taxable years beginning after December 31, 2017 and before January 1, 2026.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payment-in-kind interest.</w:t>
      </w:r>
    </w:p>
    <w:p>
      <w:pPr>
        <w:spacing w:after="0" w:line="117"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81"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81" w:lineRule="exact"/>
        <w:rPr>
          <w:sz w:val="20"/>
          <w:szCs w:val="20"/>
          <w:color w:val="auto"/>
        </w:rPr>
      </w:pPr>
    </w:p>
    <w:p>
      <w:pPr>
        <w:ind w:right="240" w:firstLine="259"/>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47" w:lineRule="exact"/>
        <w:rPr>
          <w:sz w:val="20"/>
          <w:szCs w:val="20"/>
          <w:color w:val="auto"/>
        </w:rPr>
      </w:pPr>
    </w:p>
    <w:p>
      <w:pPr>
        <w:ind w:right="60" w:firstLine="259"/>
        <w:spacing w:after="0" w:line="312" w:lineRule="auto"/>
        <w:rPr>
          <w:sz w:val="20"/>
          <w:szCs w:val="20"/>
          <w:color w:val="auto"/>
        </w:rPr>
      </w:pPr>
      <w:r>
        <w:rPr>
          <w:rFonts w:ascii="Arial" w:cs="Arial" w:eastAsia="Arial" w:hAnsi="Arial"/>
          <w:sz w:val="16"/>
          <w:szCs w:val="16"/>
          <w:color w:val="auto"/>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8" w:name="page49"/>
    <w:bookmarkEnd w:id="48"/>
    <w:p>
      <w:pPr>
        <w:ind w:right="60" w:firstLine="259"/>
        <w:spacing w:after="0" w:line="342" w:lineRule="auto"/>
        <w:rPr>
          <w:sz w:val="20"/>
          <w:szCs w:val="20"/>
          <w:color w:val="auto"/>
        </w:rPr>
      </w:pPr>
      <w:r>
        <w:rPr>
          <w:rFonts w:ascii="Arial" w:cs="Arial" w:eastAsia="Arial" w:hAnsi="Arial"/>
          <w:sz w:val="16"/>
          <w:szCs w:val="16"/>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140" w:firstLine="259"/>
        <w:spacing w:after="0" w:line="255" w:lineRule="auto"/>
        <w:rPr>
          <w:sz w:val="20"/>
          <w:szCs w:val="20"/>
          <w:color w:val="auto"/>
        </w:rPr>
      </w:pPr>
      <w:r>
        <w:rPr>
          <w:rFonts w:ascii="Arial" w:cs="Arial" w:eastAsia="Arial" w:hAnsi="Arial"/>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Arial" w:cs="Arial" w:eastAsia="Arial" w:hAnsi="Arial"/>
          <w:sz w:val="18"/>
          <w:szCs w:val="18"/>
          <w:i w:val="1"/>
          <w:iCs w:val="1"/>
          <w:color w:val="auto"/>
        </w:rPr>
        <w:t>—Risks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Portfolio Company Investments—There are certain risks associated with holding debt obligations that have original issue discount or payment-in-kind interest</w:t>
      </w:r>
      <w:r>
        <w:rPr>
          <w:rFonts w:ascii="Arial" w:cs="Arial" w:eastAsia="Arial" w:hAnsi="Arial"/>
          <w:sz w:val="18"/>
          <w:szCs w:val="18"/>
          <w:color w:val="auto"/>
        </w:rPr>
        <w:t>.”</w:t>
      </w:r>
    </w:p>
    <w:p>
      <w:pPr>
        <w:spacing w:after="0" w:line="188"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73"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2" w:lineRule="exact"/>
        <w:rPr>
          <w:sz w:val="20"/>
          <w:szCs w:val="20"/>
          <w:color w:val="auto"/>
        </w:rPr>
      </w:pPr>
    </w:p>
    <w:p>
      <w:pPr>
        <w:ind w:left="520" w:right="100" w:hanging="255"/>
        <w:spacing w:after="0" w:line="277"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17" w:lineRule="exact"/>
        <w:rPr>
          <w:rFonts w:ascii="Arial" w:cs="Arial" w:eastAsia="Arial" w:hAnsi="Arial"/>
          <w:sz w:val="18"/>
          <w:szCs w:val="18"/>
          <w:color w:val="auto"/>
        </w:rPr>
      </w:pPr>
    </w:p>
    <w:p>
      <w:pPr>
        <w:ind w:left="520" w:hanging="255"/>
        <w:spacing w:after="0" w:line="277"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sales of our securities convertible into or exchangeable or exercisable for our common stock or the conversion of such securities, including our 2022 Convertible Notes;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concerns regarding U.S. and global tariffs and trade policy;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fluctuations in base interest rates, such as LIBOR, EURIBOR, the Federal Funds Rate or the Prime Rate;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public health epidemics on the global economy, such as the coronavirus currently impacting China;</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right="300" w:firstLine="259"/>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right="20" w:firstLine="259"/>
        <w:spacing w:after="0" w:line="254" w:lineRule="auto"/>
        <w:rPr>
          <w:sz w:val="20"/>
          <w:szCs w:val="20"/>
          <w:color w:val="auto"/>
        </w:rPr>
      </w:pPr>
      <w:r>
        <w:rPr>
          <w:rFonts w:ascii="Arial" w:cs="Arial" w:eastAsia="Arial" w:hAnsi="Arial"/>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w:t>
      </w:r>
      <w:r>
        <w:rPr>
          <w:rFonts w:ascii="Arial" w:cs="Arial" w:eastAsia="Arial" w:hAnsi="Arial"/>
          <w:sz w:val="18"/>
          <w:szCs w:val="18"/>
          <w:i w:val="1"/>
          <w:iCs w:val="1"/>
          <w:color w:val="auto"/>
        </w:rPr>
        <w:t>“—Risks Related to Our Business and Structure—Regulations governing our operation as a BDC affect our ability to, and the way in</w:t>
      </w:r>
      <w:r>
        <w:rPr>
          <w:rFonts w:ascii="Arial" w:cs="Arial" w:eastAsia="Arial" w:hAnsi="Arial"/>
          <w:sz w:val="18"/>
          <w:szCs w:val="18"/>
          <w:color w:val="auto"/>
        </w:rPr>
        <w:t xml:space="preserve"> </w:t>
      </w:r>
      <w:r>
        <w:rPr>
          <w:rFonts w:ascii="Arial" w:cs="Arial" w:eastAsia="Arial" w:hAnsi="Arial"/>
          <w:sz w:val="18"/>
          <w:szCs w:val="18"/>
          <w:i w:val="1"/>
          <w:iCs w:val="1"/>
          <w:color w:val="auto"/>
        </w:rPr>
        <w:t>which we, raise additional capital.”</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the 2022 Convertible Notes.</w:t>
      </w:r>
    </w:p>
    <w:p>
      <w:pPr>
        <w:spacing w:after="0" w:line="117"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Our 2022 Convertible Notes are convertible into shares of our common stock beginning on February 1, 2022, or earlier, under certain circumstances. Upon conversion of our 2022 Convertible Notes, we have the choice to pay or deliver, as the case may be, at our election, cash, shares of our common stock or a combination of cash and shares of our common stock. The estimated adjusted conversion price of the 2022 Convertible Notes is $20.66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2022 Convertible Notes and any dividends paid on our common stock will also be paid on shares issued in connection with such conversion after such issuance.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Arial" w:cs="Arial" w:eastAsia="Arial" w:hAnsi="Arial"/>
          <w:sz w:val="18"/>
          <w:szCs w:val="18"/>
          <w:i w:val="1"/>
          <w:iCs w:val="1"/>
          <w:color w:val="auto"/>
        </w:rPr>
        <w:t>“ITEM 1. BUSINESS—Dividend Policy</w:t>
      </w:r>
      <w:r>
        <w:rPr>
          <w:rFonts w:ascii="Arial" w:cs="Arial" w:eastAsia="Arial" w:hAnsi="Arial"/>
          <w:sz w:val="18"/>
          <w:szCs w:val="18"/>
          <w:color w:val="auto"/>
        </w:rPr>
        <w:t>” and “</w:t>
      </w:r>
      <w:r>
        <w:rPr>
          <w:rFonts w:ascii="Arial" w:cs="Arial" w:eastAsia="Arial" w:hAnsi="Arial"/>
          <w:sz w:val="18"/>
          <w:szCs w:val="18"/>
          <w:i w:val="1"/>
          <w:iCs w:val="1"/>
          <w:color w:val="auto"/>
        </w:rPr>
        <w:t>ITEM 1. BUSINESS—Dividend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Reinvestment Plan</w:t>
      </w:r>
      <w:r>
        <w:rPr>
          <w:rFonts w:ascii="Arial" w:cs="Arial" w:eastAsia="Arial" w:hAnsi="Arial"/>
          <w:sz w:val="18"/>
          <w:szCs w:val="18"/>
          <w:color w:val="auto"/>
        </w:rPr>
        <w:t>” for a description of our dividend policy and obligations.</w:t>
      </w:r>
    </w:p>
    <w:p>
      <w:pPr>
        <w:spacing w:after="0" w:line="188"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right="280" w:firstLine="259"/>
        <w:spacing w:after="0" w:line="312" w:lineRule="auto"/>
        <w:rPr>
          <w:sz w:val="20"/>
          <w:szCs w:val="20"/>
          <w:color w:val="auto"/>
        </w:rPr>
      </w:pPr>
      <w:r>
        <w:rPr>
          <w:rFonts w:ascii="Arial" w:cs="Arial" w:eastAsia="Arial" w:hAnsi="Arial"/>
          <w:sz w:val="16"/>
          <w:szCs w:val="16"/>
          <w:color w:val="auto"/>
        </w:rPr>
        <w:t>We have entered into an agreement with Goldman Sachs &amp; Co. LLC, which we refer to as the Company 10b5-1 Plan, in accordance with Rules 10b5-1 and 10b-18 under the Exchange Act, under which Goldman Sachs &amp; Co. LLC, as agent for us, will buy up to $50 million of our common stock in the aggregate during the period ending on the earlier of the date on which all the capital committed to the plan has been exhausted or May 31, 2020.</w:t>
      </w:r>
    </w:p>
    <w:p>
      <w:pPr>
        <w:spacing w:after="0" w:line="147"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May 2, 2019, the Board authorized an amendment to the Company 10b5-1 Plan to, among other things, revise the market prices at which Goldman Sachs &amp; Co. LLC, as our agent, is required to repurchase shares of common stock on our behalf from just below our most recently reported net asset value per share to just below 1.05 times the most recently reported net asset value per share, less the amount of any supplemental dividend declared for that quarter but not yet reflected in the most recently reported net asset value per share (including any updates, corrections or adjustments publicly announced by us to any previously announced net asset value per share or supplemental dividend). Under the Company 10b5-1 Plan, the agent will increase the volume of purchases made as the price of our common stock declines, subject to volume restrictions.</w:t>
      </w:r>
    </w:p>
    <w:p>
      <w:pPr>
        <w:spacing w:after="0" w:line="178"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1"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maintain our principal executive office at 2100 McKinney Avenue, Suite 1500, Dallas, Texas 75201. We do not own any real estate.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91" w:right="31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Range of Common Stock</w:t>
      </w:r>
    </w:p>
    <w:p>
      <w:pPr>
        <w:spacing w:after="0" w:line="117" w:lineRule="exact"/>
        <w:rPr>
          <w:sz w:val="20"/>
          <w:szCs w:val="20"/>
          <w:color w:val="auto"/>
        </w:rPr>
      </w:pPr>
    </w:p>
    <w:p>
      <w:pPr>
        <w:jc w:val="both"/>
        <w:ind w:right="220" w:firstLine="259"/>
        <w:spacing w:after="0" w:line="312" w:lineRule="auto"/>
        <w:rPr>
          <w:sz w:val="20"/>
          <w:szCs w:val="20"/>
          <w:color w:val="auto"/>
        </w:rPr>
      </w:pPr>
      <w:r>
        <w:rPr>
          <w:rFonts w:ascii="Arial" w:cs="Arial" w:eastAsia="Arial" w:hAnsi="Arial"/>
          <w:sz w:val="16"/>
          <w:szCs w:val="16"/>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w:t>
      </w:r>
      <w:r>
        <w:rPr>
          <w:rFonts w:ascii="Arial" w:cs="Arial" w:eastAsia="Arial" w:hAnsi="Arial"/>
          <w:sz w:val="16"/>
          <w:szCs w:val="16"/>
          <w:i w:val="1"/>
          <w:iCs w:val="1"/>
          <w:color w:val="auto"/>
        </w:rPr>
        <w:t>ITEM 1A. RISK FACTORS—Risks Related to our Securities—We cannot assure you that the market price of shares of our common stock will not decline</w:t>
      </w:r>
      <w:r>
        <w:rPr>
          <w:rFonts w:ascii="Arial" w:cs="Arial" w:eastAsia="Arial" w:hAnsi="Arial"/>
          <w:sz w:val="16"/>
          <w:szCs w:val="16"/>
          <w:color w:val="auto"/>
        </w:rPr>
        <w: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February 19, 2020, there were approximately 5 holders of record of our common stock (including Cede &amp; Co.).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Performance Graph</w:t>
      </w:r>
    </w:p>
    <w:p>
      <w:pPr>
        <w:spacing w:after="0" w:line="117"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The following graph compares the total return on our common stock from December 31, 2014 (the date of our IPO) to December 31, 2019 with that of the Standard &amp; Poor’s BDC Index, the Standard &amp; Poor’s 500 Stock Index, the S&amp;P LSTA Leveraged Loan Index (“Leverage Loan Index”), and the Bloomberg Barclays US Corporate High Yield Total Return Index (“High Yield Bond Index”). This graph assumes that on December 31, 2014, $100 was invested in our common stock, the Standard &amp; Poor’s BDC Index, the Standard &amp; Poor’s 500 Stock Index, the Leverage Loan Index and the High Yield Bond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performance included in the below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183515</wp:posOffset>
            </wp:positionV>
            <wp:extent cx="5728335" cy="32588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2833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since we commenced operations. The report of our independent registered public accounting firm, KPMG LLP, on the senior securities table as of December 31, 2019 is attached as an exhibit to this annual report on Form 10-K.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Total Amount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8"/>
              </w:rPr>
              <w:t>Involuntary</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Exclusive of Treasury</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Asset Coverage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8"/>
              </w:rPr>
              <w:t>Liquidating</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Class and Year/Period</w:t>
            </w:r>
          </w:p>
        </w:tc>
        <w:tc>
          <w:tcPr>
            <w:tcW w:w="16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 xml:space="preserve">Securities </w:t>
            </w:r>
            <w:r>
              <w:rPr>
                <w:rFonts w:ascii="Arial" w:cs="Arial" w:eastAsia="Arial" w:hAnsi="Arial"/>
                <w:sz w:val="12"/>
                <w:szCs w:val="12"/>
                <w:b w:val="1"/>
                <w:bCs w:val="1"/>
                <w:color w:val="auto"/>
                <w:w w:val="91"/>
              </w:rPr>
              <w:t>(1)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Preference Per</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391"/>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552"/>
              <w:spacing w:after="0"/>
              <w:rPr>
                <w:sz w:val="20"/>
                <w:szCs w:val="20"/>
                <w:color w:val="auto"/>
              </w:rPr>
            </w:pPr>
            <w:r>
              <w:rPr>
                <w:rFonts w:ascii="Arial" w:cs="Arial" w:eastAsia="Arial" w:hAnsi="Arial"/>
                <w:sz w:val="14"/>
                <w:szCs w:val="14"/>
                <w:b w:val="1"/>
                <w:bCs w:val="1"/>
                <w:color w:val="auto"/>
              </w:rPr>
              <w:t>Per Unit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Unit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0" w:type="dxa"/>
            <w:vAlign w:val="bottom"/>
          </w:tcPr>
          <w:p>
            <w:pPr>
              <w:spacing w:after="0"/>
              <w:rPr>
                <w:sz w:val="1"/>
                <w:szCs w:val="1"/>
                <w:color w:val="auto"/>
              </w:rPr>
            </w:pPr>
          </w:p>
        </w:tc>
      </w:tr>
      <w:tr>
        <w:trPr>
          <w:trHeight w:val="223"/>
        </w:trPr>
        <w:tc>
          <w:tcPr>
            <w:tcW w:w="3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Revolving Credit Facilities</w:t>
            </w:r>
          </w:p>
        </w:tc>
        <w:tc>
          <w:tcPr>
            <w:tcW w:w="1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December 31, 2019</w:t>
            </w:r>
          </w:p>
        </w:tc>
        <w:tc>
          <w:tcPr>
            <w:tcW w:w="76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495.7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2,004.1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940" w:type="dxa"/>
            <w:vAlign w:val="bottom"/>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ind w:left="13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December 31, 2017</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2,355.3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940" w:type="dxa"/>
            <w:vAlign w:val="bottom"/>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ind w:left="13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December 31, 2015</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2,257.3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940" w:type="dxa"/>
            <w:vAlign w:val="bottom"/>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2014</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ind w:left="13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December 31, 2013</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2,329.5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940" w:type="dxa"/>
            <w:vAlign w:val="bottom"/>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2012</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ind w:left="13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December 31, 2011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2,116.7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940" w:type="dxa"/>
            <w:vAlign w:val="bottom"/>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1"/>
        </w:trPr>
        <w:tc>
          <w:tcPr>
            <w:tcW w:w="3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Convertible Senior Notes</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due 2019</w:t>
            </w: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December 31, 2019</w:t>
            </w:r>
          </w:p>
        </w:tc>
        <w:tc>
          <w:tcPr>
            <w:tcW w:w="76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940" w:type="dxa"/>
            <w:vAlign w:val="bottom"/>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ind w:left="13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December 31, 2017</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2,355.3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940" w:type="dxa"/>
            <w:vAlign w:val="bottom"/>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ind w:left="13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December 31, 2015</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2,257.3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940" w:type="dxa"/>
            <w:vAlign w:val="bottom"/>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2014</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ind w:left="13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1"/>
        </w:trPr>
        <w:tc>
          <w:tcPr>
            <w:tcW w:w="3160" w:type="dxa"/>
            <w:vAlign w:val="bottom"/>
          </w:tcPr>
          <w:p>
            <w:pPr>
              <w:spacing w:after="0"/>
              <w:rPr>
                <w:sz w:val="20"/>
                <w:szCs w:val="20"/>
                <w:color w:val="auto"/>
              </w:rPr>
            </w:pPr>
            <w:r>
              <w:rPr>
                <w:rFonts w:ascii="Arial" w:cs="Arial" w:eastAsia="Arial" w:hAnsi="Arial"/>
                <w:sz w:val="18"/>
                <w:szCs w:val="18"/>
                <w:b w:val="1"/>
                <w:bCs w:val="1"/>
                <w:color w:val="auto"/>
              </w:rPr>
              <w:t>Convertible Senior Notes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Arial" w:cs="Arial" w:eastAsia="Arial" w:hAnsi="Arial"/>
                <w:sz w:val="18"/>
                <w:szCs w:val="18"/>
                <w:b w:val="1"/>
                <w:bCs w:val="1"/>
                <w:color w:val="auto"/>
              </w:rPr>
              <w:t>due 2022</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760" w:type="dxa"/>
            <w:vAlign w:val="bottom"/>
            <w:gridSpan w:val="2"/>
            <w:shd w:val="clear" w:color="auto" w:fill="CFF0FC"/>
          </w:tcPr>
          <w:p>
            <w:pPr>
              <w:jc w:val="right"/>
              <w:ind w:right="44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2,004.1</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ind w:left="13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December 31, 2018</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2,705.2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940" w:type="dxa"/>
            <w:vAlign w:val="bottom"/>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ind w:left="13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760" w:type="dxa"/>
            <w:vAlign w:val="bottom"/>
            <w:gridSpan w:val="2"/>
            <w:shd w:val="clear" w:color="auto" w:fill="CFF0FC"/>
          </w:tcPr>
          <w:p>
            <w:pPr>
              <w:jc w:val="right"/>
              <w:ind w:right="44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2,004.1</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ind w:left="13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December 31, 2018</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2,705.2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940" w:type="dxa"/>
            <w:vAlign w:val="bottom"/>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2024 Notes</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December 31, 2019</w:t>
            </w:r>
          </w:p>
        </w:tc>
        <w:tc>
          <w:tcPr>
            <w:tcW w:w="76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297.2</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2,004.1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940" w:type="dxa"/>
            <w:vAlign w:val="bottom"/>
          </w:tcPr>
          <w:p>
            <w:pPr>
              <w:ind w:left="16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right="260" w:hanging="512"/>
        <w:spacing w:after="0" w:line="258"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and hedge accounting relationships, at the end of the period presented.</w:t>
      </w:r>
    </w:p>
    <w:p>
      <w:pPr>
        <w:spacing w:after="0" w:line="1" w:lineRule="exact"/>
        <w:rPr>
          <w:rFonts w:ascii="Arial" w:cs="Arial" w:eastAsia="Arial" w:hAnsi="Arial"/>
          <w:sz w:val="18"/>
          <w:szCs w:val="18"/>
          <w:color w:val="auto"/>
        </w:rPr>
      </w:pPr>
    </w:p>
    <w:p>
      <w:pPr>
        <w:ind w:left="520" w:right="20" w:hanging="512"/>
        <w:spacing w:after="0" w:line="250"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520" w:right="80" w:hanging="512"/>
        <w:spacing w:after="0" w:line="265"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The table below sets forth our selected consolidated historical financial data for the periods indicated. The selected consolidated financial data for the years ended December 31, 2019, 2018, 2017, 2016 and 2015 have been derived from our audited consolidated financial statements, which are included elsewhere in this Form 10-K and our SEC filings.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54" w:name="page55"/>
    <w:bookmarkEnd w:id="54"/>
    <w:p>
      <w:pPr>
        <w:ind w:right="60" w:firstLine="259"/>
        <w:spacing w:after="0" w:line="264" w:lineRule="auto"/>
        <w:rPr>
          <w:sz w:val="20"/>
          <w:szCs w:val="20"/>
          <w:color w:val="auto"/>
        </w:rPr>
      </w:pPr>
      <w:r>
        <w:rPr>
          <w:rFonts w:ascii="Arial" w:cs="Arial" w:eastAsia="Arial" w:hAnsi="Arial"/>
          <w:sz w:val="18"/>
          <w:szCs w:val="18"/>
          <w:color w:val="auto"/>
        </w:rPr>
        <w:t>The selected consolidated financial information and other data presented below should be read in conjunction with the information contained in “</w:t>
      </w:r>
      <w:r>
        <w:rPr>
          <w:rFonts w:ascii="Arial" w:cs="Arial" w:eastAsia="Arial" w:hAnsi="Arial"/>
          <w:sz w:val="18"/>
          <w:szCs w:val="18"/>
          <w:i w:val="1"/>
          <w:iCs w:val="1"/>
          <w:color w:val="auto"/>
        </w:rPr>
        <w:t>ITEM 7.</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the audited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the notes thereto included elsewhere in this annual report on Form 10-K.</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0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 except per share amounts)</w:t>
            </w:r>
          </w:p>
        </w:tc>
        <w:tc>
          <w:tcPr>
            <w:tcW w:w="4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left="132"/>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b w:val="1"/>
                <w:bCs w:val="1"/>
                <w:color w:val="auto"/>
              </w:rPr>
              <w:t>Income</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 Income</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261.9</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Expenses</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Net Investment Income Before Income Taxes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147.3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143.9</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Total Change in Net Unrealized Gain (Loss)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24.3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Net Realized Gain (Loss)</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119.0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w w:val="99"/>
              </w:rPr>
              <w:t xml:space="preserve">Earnings per common share—basic and diluted </w:t>
            </w:r>
            <w:r>
              <w:rPr>
                <w:rFonts w:ascii="Arial" w:cs="Arial" w:eastAsia="Arial" w:hAnsi="Arial"/>
                <w:sz w:val="15"/>
                <w:szCs w:val="15"/>
                <w:color w:val="auto"/>
                <w:w w:val="99"/>
              </w:rPr>
              <w:t>(1)</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5"/>
              </w:rPr>
              <w:t>2.34</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40" w:type="dxa"/>
            <w:vAlign w:val="bottom"/>
            <w:vMerge w:val="restart"/>
          </w:tcPr>
          <w:p>
            <w:pPr>
              <w:spacing w:after="0"/>
              <w:rPr>
                <w:sz w:val="20"/>
                <w:szCs w:val="20"/>
                <w:color w:val="auto"/>
              </w:rPr>
            </w:pPr>
            <w:r>
              <w:rPr>
                <w:rFonts w:ascii="Arial" w:cs="Arial" w:eastAsia="Arial" w:hAnsi="Arial"/>
                <w:sz w:val="14"/>
                <w:szCs w:val="14"/>
                <w:color w:val="auto"/>
              </w:rPr>
              <w:t>($ in millions, except per share amounts)</w:t>
            </w: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6"/>
          </w:tcPr>
          <w:p>
            <w:pPr>
              <w:jc w:val="right"/>
              <w:ind w:right="840"/>
              <w:spacing w:after="0"/>
              <w:rPr>
                <w:sz w:val="20"/>
                <w:szCs w:val="20"/>
                <w:color w:val="auto"/>
              </w:rPr>
            </w:pPr>
            <w:r>
              <w:rPr>
                <w:rFonts w:ascii="Arial" w:cs="Arial" w:eastAsia="Arial" w:hAnsi="Arial"/>
                <w:sz w:val="14"/>
                <w:szCs w:val="14"/>
                <w:b w:val="1"/>
                <w:bCs w:val="1"/>
                <w:color w:val="auto"/>
              </w:rPr>
              <w:t>For the Year Ended December 31,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40" w:type="dxa"/>
            <w:vAlign w:val="bottom"/>
            <w:tcBorders>
              <w:bottom w:val="single" w:sz="8" w:color="CFF0FC"/>
            </w:tcBorders>
            <w:vMerge w:val="continue"/>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2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w:t>
            </w:r>
          </w:p>
        </w:tc>
        <w:tc>
          <w:tcPr>
            <w:tcW w:w="4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4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1,706.0</w:t>
            </w:r>
          </w:p>
        </w:tc>
        <w:tc>
          <w:tcPr>
            <w:tcW w:w="2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1,693.7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Total assets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2,280.9</w:t>
            </w:r>
          </w:p>
        </w:tc>
        <w:tc>
          <w:tcPr>
            <w:tcW w:w="4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9"/>
              </w:rPr>
              <w:t>1,730.3</w:t>
            </w:r>
          </w:p>
        </w:tc>
        <w:tc>
          <w:tcPr>
            <w:tcW w:w="24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1,720.2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1,094.5</w:t>
            </w:r>
          </w:p>
        </w:tc>
        <w:tc>
          <w:tcPr>
            <w:tcW w:w="4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2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Total liabilities</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1,161.6</w:t>
            </w:r>
          </w:p>
        </w:tc>
        <w:tc>
          <w:tcPr>
            <w:tcW w:w="4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667.1</w:t>
            </w:r>
          </w:p>
        </w:tc>
        <w:tc>
          <w:tcPr>
            <w:tcW w:w="24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net assets</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1,119.3</w:t>
            </w:r>
          </w:p>
        </w:tc>
        <w:tc>
          <w:tcPr>
            <w:tcW w:w="4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1,063.2</w:t>
            </w:r>
          </w:p>
        </w:tc>
        <w:tc>
          <w:tcPr>
            <w:tcW w:w="2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16.83</w:t>
            </w:r>
          </w:p>
        </w:tc>
        <w:tc>
          <w:tcPr>
            <w:tcW w:w="4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16.25</w:t>
            </w:r>
          </w:p>
        </w:tc>
        <w:tc>
          <w:tcPr>
            <w:tcW w:w="24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Data:</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Number of portfolio companies at year end</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per share</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4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5"/>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yield of debt and income</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at fair value </w:t>
            </w:r>
            <w:r>
              <w:rPr>
                <w:rFonts w:ascii="Arial" w:cs="Arial" w:eastAsia="Arial" w:hAnsi="Arial"/>
                <w:sz w:val="15"/>
                <w:szCs w:val="15"/>
                <w:color w:val="auto"/>
              </w:rPr>
              <w:t>(3)</w:t>
            </w:r>
          </w:p>
        </w:tc>
        <w:tc>
          <w:tcPr>
            <w:tcW w:w="4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Weighted average yield of debt and income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 xml:space="preserve">producing securities at amortized cost </w:t>
            </w:r>
            <w:r>
              <w:rPr>
                <w:rFonts w:ascii="Arial" w:cs="Arial" w:eastAsia="Arial" w:hAnsi="Arial"/>
                <w:sz w:val="15"/>
                <w:szCs w:val="15"/>
                <w:color w:val="auto"/>
              </w:rPr>
              <w:t>(3)</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5"/>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Fair value of debt investments as a percentage of</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principal</w:t>
            </w:r>
          </w:p>
        </w:tc>
        <w:tc>
          <w:tcPr>
            <w:tcW w:w="4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99.8%</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99.4%</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98.5%</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Weighted average fair value of debt investments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as a percentage of call price</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96.2%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23"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 Generally Accepted Accounting Principles (“U.S. GAAP”) requires that total return be calculated as the change in net asset value per share during the period plus declared dividends per share, divided by the beginning net asset value per share. Our total return set forth in the table above for the years ended December 31, 2019, 2018, 2017, 2016, and 2015 reflects the Adviser’s waivers of its right to receive a portion of the Management Fee and Incentive Fees with respect to our ownership of shares of common stock of Triangle Capital Corp. and Oxford Square Capital Corp. The Management Fee, excluding the effects of the waivers, would have been $28.6 million, $24.3 million, $24.3 million, and $21.3 million for the years ended December 31, 2018, 2017, 2016, and 2015, respectively. The Incentive Fee excluding the effects of the waiver would have been $30.5 million, $25.5 million, $22.7 million, and $20.2 million for the years ended December 31, 2018, 2017, 2016, and 2015, respectively. The Adviser did not waive any Management Fees or Incentive Fees for the year ended December 31, 2019. The corresponding impact on the total return calculation is not material.</w:t>
      </w:r>
    </w:p>
    <w:p>
      <w:pPr>
        <w:spacing w:after="0" w:line="4" w:lineRule="exact"/>
        <w:rPr>
          <w:rFonts w:ascii="Arial" w:cs="Arial" w:eastAsia="Arial" w:hAnsi="Arial"/>
          <w:sz w:val="18"/>
          <w:szCs w:val="18"/>
          <w:color w:val="auto"/>
        </w:rPr>
      </w:pPr>
    </w:p>
    <w:p>
      <w:pPr>
        <w:ind w:left="520" w:right="20" w:hanging="512"/>
        <w:spacing w:after="0" w:line="252"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5" w:name="page56"/>
    <w:bookmarkEnd w:id="55"/>
    <w:p>
      <w:pPr>
        <w:ind w:right="138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ind w:right="80" w:firstLine="259"/>
        <w:spacing w:after="0" w:line="286" w:lineRule="auto"/>
        <w:rPr>
          <w:sz w:val="20"/>
          <w:szCs w:val="20"/>
          <w:color w:val="auto"/>
        </w:rPr>
      </w:pPr>
      <w:r>
        <w:rPr>
          <w:rFonts w:ascii="Arial" w:cs="Arial" w:eastAsia="Arial" w:hAnsi="Arial"/>
          <w:sz w:val="17"/>
          <w:szCs w:val="17"/>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60" w:firstLine="259"/>
        <w:spacing w:after="0" w:line="259"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previously used to support our asset-backed credit facility, and TSL MR, LLC, a Delaware limited liability company, in which we hold certain investments.</w:t>
      </w:r>
    </w:p>
    <w:p>
      <w:pPr>
        <w:spacing w:after="0" w:line="187"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00" w:hanging="255"/>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in current market conditions, if our common stock is trading below our then-current net asset value per share, it is in the best interest of our stockholders for us to reinvest in our portfolio and increase our leverage ratio through share repurchases.</w:t>
      </w:r>
    </w:p>
    <w:p>
      <w:pPr>
        <w:spacing w:after="0" w:line="158" w:lineRule="exact"/>
        <w:rPr>
          <w:sz w:val="20"/>
          <w:szCs w:val="20"/>
          <w:color w:val="auto"/>
        </w:rPr>
      </w:pPr>
    </w:p>
    <w:p>
      <w:pPr>
        <w:ind w:right="60" w:firstLine="259"/>
        <w:spacing w:after="0" w:line="270"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as currently in effect requires Goldman Sachs &amp; Co. LLC, as our agent, to repurchase shares of common stock on our behalf when the market price per share is just below 1.05x the most recently reported net asset value per share in our public financial statements or publicly announced by us, less the amount of any supplemental dividend that has been publicly announced by us but that has yet to be reflected in the net asset value per share most recently reported in our public financial statements (including any updates, corrections or adjustments publicly announced by us to any such net asset value per share or supplemental dividend). Under the Company 10b5-1 Plan, the agent will increase the volume of purchases made as the price of our common stock declines, subject to volume restrictions. The timing and amount of any stock repurchases depend on the terms and conditions of the Company 10b5-1 Plan, the market price of our common stock and trading volumes, and no assurance can be given that any particular amount of common stock will be repurchased.</w:t>
      </w:r>
    </w:p>
    <w:p>
      <w:pPr>
        <w:spacing w:after="0" w:line="182" w:lineRule="exact"/>
        <w:rPr>
          <w:sz w:val="20"/>
          <w:szCs w:val="20"/>
          <w:color w:val="auto"/>
        </w:rPr>
      </w:pPr>
    </w:p>
    <w:p>
      <w:pPr>
        <w:jc w:val="both"/>
        <w:ind w:right="380" w:firstLine="259"/>
        <w:spacing w:after="0" w:line="264" w:lineRule="auto"/>
        <w:rPr>
          <w:sz w:val="20"/>
          <w:szCs w:val="20"/>
          <w:color w:val="auto"/>
        </w:rPr>
      </w:pPr>
      <w:r>
        <w:rPr>
          <w:rFonts w:ascii="Arial" w:cs="Arial" w:eastAsia="Arial" w:hAnsi="Arial"/>
          <w:sz w:val="18"/>
          <w:szCs w:val="18"/>
          <w:color w:val="auto"/>
        </w:rPr>
        <w:t>On November 5, 2019, the Board authorized the extension of the termination date of the Company 10b5-1 Plan to May 31, 2020. Unless extended or terminated by the Board, the Company 10b5-1 Plan will be in effect through the earlier of May 31, 2020 or such time as the current approved repurchase amount of up to $50 million has been fully utilized, subject to certain conditions.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40" w:firstLine="259"/>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2019, we have originated more than $12.5 billion aggregate principal amount of investments and retained approximately $6.3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42" w:right="259" w:bottom="1440" w:gutter="0" w:footer="0" w:header="0"/>
        </w:sectPr>
      </w:pPr>
    </w:p>
    <w:bookmarkStart w:id="56" w:name="page57"/>
    <w:bookmarkEnd w:id="56"/>
    <w:p>
      <w:pPr>
        <w:ind w:right="8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2019, our core portfolio companies, which excludes certain investments that fall outside of our typical borrower profile and represent 77.2% of our total investments based on fair value, had weighted average annual revenue of $113.9 million and weighted average annual EBITDA of $34.5 million.</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1" w:lineRule="exact"/>
        <w:rPr>
          <w:sz w:val="20"/>
          <w:szCs w:val="20"/>
          <w:color w:val="auto"/>
        </w:rPr>
      </w:pPr>
    </w:p>
    <w:p>
      <w:pPr>
        <w:ind w:right="220" w:firstLine="259"/>
        <w:spacing w:after="0" w:line="342"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As of December 31, 2019, the largest single investment based on fair value represented 4.0% of our total investment portfolio.</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2019, the average investment size in each of our portfolio companies was approximately $35.7 million based on fair value.</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2019, the largest industry represented 16.8% of our total investment portfolio based on fair value.</w:t>
      </w:r>
    </w:p>
    <w:p>
      <w:pPr>
        <w:spacing w:after="0" w:line="225"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December 31, 2019,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97.1% of our portfolio was invested in secured debt, including 96.5%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2019, the weighted average term on new investment commitments in new portfolio companies was 4.6 years.</w:t>
      </w:r>
    </w:p>
    <w:p>
      <w:pPr>
        <w:spacing w:after="0" w:line="178"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60" w:firstLine="259"/>
        <w:spacing w:after="0" w:line="288"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of December 31, 2019, we had call protection on 87.8% of our debt investments based on fair value, with weighted average call prices of 105.5% for the first year, 103.1% for the second year and 101.1% for the third year, in each case from the date of the initial investment. As of December 31, 2019,</w:t>
      </w:r>
    </w:p>
    <w:p>
      <w:pPr>
        <w:ind w:right="140"/>
        <w:spacing w:after="0" w:line="261" w:lineRule="auto"/>
        <w:rPr>
          <w:sz w:val="20"/>
          <w:szCs w:val="20"/>
          <w:color w:val="auto"/>
        </w:rPr>
      </w:pPr>
      <w:r>
        <w:rPr>
          <w:rFonts w:ascii="Arial" w:cs="Arial" w:eastAsia="Arial" w:hAnsi="Arial"/>
          <w:sz w:val="18"/>
          <w:szCs w:val="18"/>
          <w:color w:val="auto"/>
        </w:rPr>
        <w:t>99.2% of our debt investments based on fair value bore interest at floating rates (when including investment specific hedges), with 93.5% of these subject to interest rate floors, which we believe helps act as a portfolio-wide hedge against inflation.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Relationship with our Adviser and TSSP</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TPG Sixth Street Partners, or TSSP.</w:t>
      </w:r>
    </w:p>
    <w:p>
      <w:pPr>
        <w:spacing w:after="0" w:line="193" w:lineRule="exact"/>
        <w:rPr>
          <w:sz w:val="20"/>
          <w:szCs w:val="20"/>
          <w:color w:val="auto"/>
        </w:rPr>
      </w:pPr>
    </w:p>
    <w:p>
      <w:pPr>
        <w:ind w:right="140" w:firstLine="259"/>
        <w:spacing w:after="0" w:line="289" w:lineRule="auto"/>
        <w:rPr>
          <w:sz w:val="20"/>
          <w:szCs w:val="20"/>
          <w:color w:val="auto"/>
        </w:rPr>
      </w:pPr>
      <w:r>
        <w:rPr>
          <w:rFonts w:ascii="Arial" w:cs="Arial" w:eastAsia="Arial" w:hAnsi="Arial"/>
          <w:sz w:val="16"/>
          <w:szCs w:val="16"/>
          <w:color w:val="auto"/>
        </w:rPr>
        <w:t>TSSP is a global finance and investment business with approximately $33 billion of assets under management as of September 30, 2019. TSSP’s core platforms include TPG Specialty Lending, TSL Europe (TSLE), which is aimed at European middle-market loan originations, TSSP Adjacent Opportunities (TAO), which has the flexibility to invest across all of TSSP’s private credit market investments, TSSP Opportunities Partners (TOP), which focuses on actively managed opportunistic investments across the credit cycle, TPG Institutional Credit Partners (TICP), which is the firm’s “public-side” credit investment platform focused on investment opportunities in broadly syndicated leveraged loan markets, and TSSP Capital Solutions (TCS),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250 investment and operating professionals. As of December 31, 2019, thirty four (34) of these personnel are dedicated to our business, including twenty six (26) investment professionals.</w:t>
      </w:r>
    </w:p>
    <w:p>
      <w:pPr>
        <w:spacing w:after="0" w:line="167" w:lineRule="exact"/>
        <w:rPr>
          <w:sz w:val="20"/>
          <w:szCs w:val="20"/>
          <w:color w:val="auto"/>
        </w:rPr>
      </w:pPr>
    </w:p>
    <w:p>
      <w:pPr>
        <w:ind w:right="60" w:firstLine="259"/>
        <w:spacing w:after="0" w:line="273" w:lineRule="auto"/>
        <w:rPr>
          <w:sz w:val="20"/>
          <w:szCs w:val="20"/>
          <w:color w:val="auto"/>
        </w:rPr>
      </w:pPr>
      <w:r>
        <w:rPr>
          <w:rFonts w:ascii="Arial" w:cs="Arial" w:eastAsia="Arial" w:hAnsi="Arial"/>
          <w:sz w:val="17"/>
          <w:szCs w:val="17"/>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TSSP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8"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TSSP)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89"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18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20" w:firstLine="259"/>
        <w:spacing w:after="0" w:line="312"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7"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40" w:firstLine="259"/>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December 31, 2019, 99.2% of these investments based on fair value bore interest at a floating rate (when including investment specific hedges), with 93.5% of these subject to interest rate floors. Interest on debt investments is generally payable quarterly or semiannually. Some of our investments provide for deferred interest payments or PIK interest. For the year ended December 31, 2019, 3.0% of our total investment income was comprised of PIK interest.</w:t>
      </w:r>
    </w:p>
    <w:p>
      <w:pPr>
        <w:spacing w:after="0" w:line="193" w:lineRule="exact"/>
        <w:rPr>
          <w:sz w:val="20"/>
          <w:szCs w:val="20"/>
          <w:color w:val="auto"/>
        </w:rPr>
      </w:pPr>
    </w:p>
    <w:p>
      <w:pPr>
        <w:ind w:right="100" w:firstLine="259"/>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2022 Convertible Notes, 2023 Notes and 2024 Notes, after taking into account the effect of the interest rate swaps we have entered into in connection with these securities, all bear interest at floating rates. Macro trends in base interest rates like LIBOR or other alternate reference rates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00" w:firstLine="259"/>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60" w:hanging="255"/>
        <w:spacing w:after="0" w:line="264"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hanging="255"/>
        <w:spacing w:after="0" w:line="302"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right="320" w:hanging="255"/>
        <w:spacing w:after="0" w:line="342"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0" w:name="page61"/>
    <w:bookmarkEnd w:id="60"/>
    <w:p>
      <w:pPr>
        <w:ind w:right="120" w:firstLine="259"/>
        <w:spacing w:after="0" w:line="290" w:lineRule="auto"/>
        <w:rPr>
          <w:sz w:val="20"/>
          <w:szCs w:val="20"/>
          <w:color w:val="auto"/>
        </w:rPr>
      </w:pPr>
      <w:r>
        <w:rPr>
          <w:rFonts w:ascii="Arial" w:cs="Arial" w:eastAsia="Arial" w:hAnsi="Arial"/>
          <w:sz w:val="16"/>
          <w:szCs w:val="16"/>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420" w:firstLine="259"/>
        <w:spacing w:after="0" w:line="286" w:lineRule="auto"/>
        <w:rPr>
          <w:sz w:val="20"/>
          <w:szCs w:val="20"/>
          <w:color w:val="auto"/>
        </w:rPr>
      </w:pPr>
      <w:r>
        <w:rPr>
          <w:rFonts w:ascii="Arial" w:cs="Arial" w:eastAsia="Arial" w:hAnsi="Arial"/>
          <w:sz w:val="17"/>
          <w:szCs w:val="17"/>
          <w:color w:val="auto"/>
        </w:rPr>
        <w:t>The limited number of dedicated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66" w:lineRule="exact"/>
        <w:rPr>
          <w:sz w:val="20"/>
          <w:szCs w:val="20"/>
          <w:color w:val="auto"/>
        </w:rPr>
      </w:pPr>
    </w:p>
    <w:p>
      <w:pPr>
        <w:ind w:right="18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20" w:firstLine="259"/>
        <w:spacing w:after="0" w:line="286" w:lineRule="auto"/>
        <w:rPr>
          <w:sz w:val="20"/>
          <w:szCs w:val="20"/>
          <w:color w:val="auto"/>
        </w:rPr>
      </w:pPr>
      <w:r>
        <w:rPr>
          <w:rFonts w:ascii="Arial" w:cs="Arial" w:eastAsia="Arial" w:hAnsi="Arial"/>
          <w:sz w:val="17"/>
          <w:szCs w:val="17"/>
          <w:color w:val="auto"/>
        </w:rPr>
        <w:t>As of December 31, 2019, our portfolio based on fair value consisted of 96.5% first-lien debt investments, 0.6% second-lien debt investments, 0.1% mezzanine investments and 2.8% equity and other investments. As of December 31, 2018, our portfolio based on fair value consisted of 96.9% first-lien debt investments, 0.2% second-lien debt investments, 0.2% mezzanine investments, and 2.7% equity and other investments.</w:t>
      </w:r>
    </w:p>
    <w:p>
      <w:pPr>
        <w:spacing w:after="0" w:line="166" w:lineRule="exact"/>
        <w:rPr>
          <w:sz w:val="20"/>
          <w:szCs w:val="20"/>
          <w:color w:val="auto"/>
        </w:rPr>
      </w:pPr>
    </w:p>
    <w:p>
      <w:pPr>
        <w:ind w:right="60" w:firstLine="259"/>
        <w:spacing w:after="0" w:line="312" w:lineRule="auto"/>
        <w:rPr>
          <w:sz w:val="20"/>
          <w:szCs w:val="20"/>
          <w:color w:val="auto"/>
        </w:rPr>
      </w:pPr>
      <w:r>
        <w:rPr>
          <w:rFonts w:ascii="Arial" w:cs="Arial" w:eastAsia="Arial" w:hAnsi="Arial"/>
          <w:sz w:val="16"/>
          <w:szCs w:val="16"/>
          <w:color w:val="auto"/>
        </w:rPr>
        <w:t>As of December 31, 2019 and December 31, 2018, our weighted average total yield of debt and income producing securities at fair value (which includes interest income and amortization of fees and discounts) was 10.5% and 11.6%, respectively, and our weighted average total yield of debt and income-producing securities at amortized cost (which includes interest income and amortization of fees and discounts) was 10.7% and 11.7%, respectively.</w:t>
      </w:r>
    </w:p>
    <w:p>
      <w:pPr>
        <w:spacing w:after="0" w:line="14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As of December 31, 2019 and December 31, 2018, we had investments in 63 and 46 portfolio companies, respectively, with an aggregate fair value of $2,245.9 million and $1,706.0 million, respectively.</w:t>
      </w:r>
    </w:p>
    <w:p>
      <w:pPr>
        <w:spacing w:after="0" w:line="170" w:lineRule="exact"/>
        <w:rPr>
          <w:sz w:val="20"/>
          <w:szCs w:val="20"/>
          <w:color w:val="auto"/>
        </w:rPr>
      </w:pPr>
    </w:p>
    <w:p>
      <w:pPr>
        <w:ind w:right="400" w:firstLine="259"/>
        <w:spacing w:after="0" w:line="308" w:lineRule="auto"/>
        <w:rPr>
          <w:sz w:val="20"/>
          <w:szCs w:val="20"/>
          <w:color w:val="auto"/>
        </w:rPr>
      </w:pPr>
      <w:r>
        <w:rPr>
          <w:rFonts w:ascii="Arial" w:cs="Arial" w:eastAsia="Arial" w:hAnsi="Arial"/>
          <w:sz w:val="17"/>
          <w:szCs w:val="17"/>
          <w:color w:val="auto"/>
        </w:rPr>
        <w:t>For the year ended December 31, 2019, the principal amount of new investments funded was $1,087.6 million in 32 new portfolio companies and 14 existing portfolio companies. For this period, we had $575.2 million aggregate principal amount in exits and repayments.</w:t>
      </w:r>
    </w:p>
    <w:p>
      <w:pPr>
        <w:spacing w:after="0" w:line="147" w:lineRule="exact"/>
        <w:rPr>
          <w:sz w:val="20"/>
          <w:szCs w:val="20"/>
          <w:color w:val="auto"/>
        </w:rPr>
      </w:pPr>
    </w:p>
    <w:p>
      <w:pPr>
        <w:ind w:right="540" w:firstLine="259"/>
        <w:spacing w:after="0" w:line="308" w:lineRule="auto"/>
        <w:rPr>
          <w:sz w:val="20"/>
          <w:szCs w:val="20"/>
          <w:color w:val="auto"/>
        </w:rPr>
      </w:pPr>
      <w:r>
        <w:rPr>
          <w:rFonts w:ascii="Arial" w:cs="Arial" w:eastAsia="Arial" w:hAnsi="Arial"/>
          <w:sz w:val="17"/>
          <w:szCs w:val="17"/>
          <w:color w:val="auto"/>
        </w:rPr>
        <w:t>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1" w:name="page62"/>
    <w:bookmarkEnd w:id="61"/>
    <w:p>
      <w:pPr>
        <w:ind w:right="600" w:firstLine="259"/>
        <w:spacing w:after="0" w:line="308" w:lineRule="auto"/>
        <w:rPr>
          <w:sz w:val="20"/>
          <w:szCs w:val="20"/>
          <w:color w:val="auto"/>
        </w:rPr>
      </w:pPr>
      <w:r>
        <w:rPr>
          <w:rFonts w:ascii="Arial" w:cs="Arial" w:eastAsia="Arial" w:hAnsi="Arial"/>
          <w:sz w:val="17"/>
          <w:szCs w:val="17"/>
          <w:color w:val="auto"/>
        </w:rPr>
        <w:t>For the year ended December 31, 2017, the principal amount of new investments funded was $989.3 million in 22 new portfolio companies and 12 existing portfolio companies. For this period, we had $951.5 million aggregate principal amount in exits and repayments.</w:t>
      </w:r>
    </w:p>
    <w:p>
      <w:pPr>
        <w:spacing w:after="0" w:line="14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Our investment activity for the years ended December 31, 2019, 2018 and 2017 is presented below (information presented herein is at par value unless otherwise indicated).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4"/>
                <w:szCs w:val="14"/>
                <w:b w:val="1"/>
                <w:bCs w:val="1"/>
                <w:color w:val="auto"/>
              </w:rPr>
              <w:t>For the Year Ended December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7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3,007.0</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2,199.4</w:t>
            </w:r>
          </w:p>
        </w:tc>
        <w:tc>
          <w:tcPr>
            <w:tcW w:w="22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2,251.5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48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908.2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7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1,055.7</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798.2</w:t>
            </w:r>
          </w:p>
        </w:tc>
        <w:tc>
          <w:tcPr>
            <w:tcW w:w="22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1,087.6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816.9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7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567.1</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702.5</w:t>
            </w:r>
          </w:p>
        </w:tc>
        <w:tc>
          <w:tcPr>
            <w:tcW w:w="22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906.0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 new portfolio</w:t>
            </w: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companies</w:t>
            </w:r>
          </w:p>
        </w:tc>
        <w:tc>
          <w:tcPr>
            <w:tcW w:w="4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44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 new portfolio</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40"/>
              <w:spacing w:after="0"/>
              <w:rPr>
                <w:sz w:val="20"/>
                <w:szCs w:val="20"/>
                <w:color w:val="auto"/>
              </w:rPr>
            </w:pPr>
            <w:r>
              <w:rPr>
                <w:rFonts w:ascii="Arial" w:cs="Arial" w:eastAsia="Arial" w:hAnsi="Arial"/>
                <w:sz w:val="18"/>
                <w:szCs w:val="18"/>
                <w:b w:val="1"/>
                <w:bCs w:val="1"/>
                <w:color w:val="auto"/>
              </w:rPr>
              <w:t>companies</w:t>
            </w:r>
          </w:p>
        </w:tc>
        <w:tc>
          <w:tcPr>
            <w:tcW w:w="7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20"/>
                <w:szCs w:val="20"/>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20"/>
                <w:szCs w:val="20"/>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8"/>
              </w:rPr>
              <w:t>Weighted average term for new investment commitments in new</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portfolio companies (in years)</w:t>
            </w:r>
          </w:p>
        </w:tc>
        <w:tc>
          <w:tcPr>
            <w:tcW w:w="4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44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 at floating</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40"/>
              <w:spacing w:after="0"/>
              <w:rPr>
                <w:sz w:val="20"/>
                <w:szCs w:val="20"/>
                <w:color w:val="auto"/>
              </w:rPr>
            </w:pPr>
            <w:r>
              <w:rPr>
                <w:rFonts w:ascii="Arial" w:cs="Arial" w:eastAsia="Arial" w:hAnsi="Arial"/>
                <w:sz w:val="18"/>
                <w:szCs w:val="18"/>
                <w:b w:val="1"/>
                <w:bCs w:val="1"/>
                <w:color w:val="auto"/>
              </w:rPr>
              <w:t xml:space="preserve">rates </w:t>
            </w:r>
            <w:r>
              <w:rPr>
                <w:rFonts w:ascii="Arial" w:cs="Arial" w:eastAsia="Arial" w:hAnsi="Arial"/>
                <w:sz w:val="15"/>
                <w:szCs w:val="15"/>
                <w:b w:val="1"/>
                <w:bCs w:val="1"/>
                <w:color w:val="auto"/>
              </w:rPr>
              <w:t>(1)</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98.7%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b w:val="1"/>
                <w:bCs w:val="1"/>
                <w:color w:val="auto"/>
                <w:w w:val="99"/>
              </w:rPr>
              <w:t>Weighted average interest rate of new investment commitments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1"/>
        </w:trPr>
        <w:tc>
          <w:tcPr>
            <w:tcW w:w="5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 floating rate</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4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w w:val="97"/>
              </w:rPr>
              <w:t>Weighted average interest rate on investments sold or paid down</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20" w:right="80" w:hanging="512"/>
        <w:spacing w:after="0" w:line="277"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two fixed rate investments for the years ended December 31, 2019, 2018 and 2017 for which we entered into interest rate swap agreements to swap to floating rates.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2019 and 2018, our investments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vMerge w:val="restart"/>
          </w:tcPr>
          <w:p>
            <w:pPr>
              <w:ind w:left="580"/>
              <w:spacing w:after="0"/>
              <w:rPr>
                <w:sz w:val="20"/>
                <w:szCs w:val="20"/>
                <w:color w:val="auto"/>
              </w:rPr>
            </w:pPr>
            <w:r>
              <w:rPr>
                <w:rFonts w:ascii="Arial" w:cs="Arial" w:eastAsia="Arial" w:hAnsi="Arial"/>
                <w:sz w:val="14"/>
                <w:szCs w:val="14"/>
                <w:color w:val="auto"/>
              </w:rPr>
              <w:t>($ in millions)</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2018</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gridSpan w:val="2"/>
            <w:vMerge w:val="continue"/>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2,134.1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1,642.0</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1,716.4</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74"/>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62" w:name="page63"/>
    <w:bookmarkEnd w:id="62"/>
    <w:p>
      <w:pPr>
        <w:ind w:left="260"/>
        <w:spacing w:after="0"/>
        <w:rPr>
          <w:sz w:val="20"/>
          <w:szCs w:val="20"/>
          <w:color w:val="auto"/>
        </w:rPr>
      </w:pPr>
      <w:r>
        <w:rPr>
          <w:rFonts w:ascii="Arial" w:cs="Arial" w:eastAsia="Arial" w:hAnsi="Arial"/>
          <w:sz w:val="17"/>
          <w:szCs w:val="17"/>
          <w:color w:val="auto"/>
        </w:rPr>
        <w:t>The following tables show the fair value and amortized cost of our performing and non-accrual investments as of December 31, 2019 and 2018:</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5"/>
          </w:tcPr>
          <w:p>
            <w:pPr>
              <w:jc w:val="right"/>
              <w:ind w:right="95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5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5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5"/>
          </w:tcPr>
          <w:p>
            <w:pPr>
              <w:jc w:val="right"/>
              <w:ind w:right="95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Percentage</w:t>
            </w:r>
          </w:p>
        </w:tc>
        <w:tc>
          <w:tcPr>
            <w:tcW w:w="260" w:type="dxa"/>
            <w:vAlign w:val="bottom"/>
            <w:tcBorders>
              <w:bottom w:val="single" w:sz="8" w:color="CFF0FC"/>
            </w:tcBorders>
            <w:gridSpan w:val="2"/>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5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2,238.0</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1,716.4</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5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2"/>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5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2,238.0</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1,716.4</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line="255"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Arial" w:cs="Arial" w:eastAsia="Arial" w:hAnsi="Arial"/>
          <w:sz w:val="18"/>
          <w:szCs w:val="18"/>
          <w:i w:val="1"/>
          <w:iCs w:val="1"/>
          <w:color w:val="auto"/>
        </w:rPr>
        <w:t>“–Critical Accounting Policies –</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and Dividend Income Recognition.”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weighted average yields and interest rates of our performing debt investments at fair value as of December 31, 2019 and 2018 were as follows: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December 31, 2019</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2018</w:t>
            </w:r>
          </w:p>
        </w:tc>
      </w:tr>
      <w:tr>
        <w:trPr>
          <w:trHeight w:val="209"/>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1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15"/>
                <w:szCs w:val="15"/>
                <w:color w:val="auto"/>
              </w:rPr>
              <w:t>(1)</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21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(2)</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r>
    </w:tbl>
    <w:p>
      <w:pPr>
        <w:spacing w:after="0" w:line="202"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10.3% at December 31, 2019 and 11.3% at December 31, 2018.</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5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p>
    <w:p>
      <w:pPr>
        <w:spacing w:after="0" w:line="73" w:lineRule="exact"/>
        <w:rPr>
          <w:sz w:val="20"/>
          <w:szCs w:val="20"/>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00" w:hanging="255"/>
        <w:spacing w:after="0" w:line="277"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jc w:val="both"/>
        <w:ind w:left="520" w:right="760" w:hanging="255"/>
        <w:spacing w:after="0" w:line="264"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3" w:name="page64"/>
    <w:bookmarkEnd w:id="63"/>
    <w:p>
      <w:pPr>
        <w:ind w:left="520" w:right="300" w:hanging="255"/>
        <w:spacing w:after="0" w:line="264"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380" w:hanging="255"/>
        <w:spacing w:after="0" w:line="264"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160" w:hanging="255"/>
        <w:spacing w:after="0" w:line="255"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5" w:lineRule="exact"/>
        <w:rPr>
          <w:rFonts w:ascii="Arial" w:cs="Arial" w:eastAsia="Arial" w:hAnsi="Arial"/>
          <w:sz w:val="18"/>
          <w:szCs w:val="18"/>
          <w:color w:val="auto"/>
        </w:rPr>
      </w:pPr>
    </w:p>
    <w:p>
      <w:pPr>
        <w:ind w:left="520" w:right="40" w:hanging="255"/>
        <w:spacing w:after="0" w:line="279" w:lineRule="auto"/>
        <w:tabs>
          <w:tab w:leader="none" w:pos="5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2019 and 2018. Investment performance ratings are accurate only as of those dates and may change due to subsequent developments relating to a portfolio company’s business or financial condition, market conditions or developments, and other factors.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46"/>
        </w:trPr>
        <w:tc>
          <w:tcPr>
            <w:tcW w:w="3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Borders>
              <w:top w:val="single" w:sz="8" w:color="auto"/>
            </w:tcBorders>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60" w:type="dxa"/>
            <w:vAlign w:val="bottom"/>
          </w:tcPr>
          <w:p>
            <w:pPr>
              <w:spacing w:after="0"/>
              <w:rPr>
                <w:sz w:val="14"/>
                <w:szCs w:val="14"/>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Percentage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Fair Value</w:t>
            </w:r>
          </w:p>
        </w:tc>
        <w:tc>
          <w:tcPr>
            <w:tcW w:w="15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1"/>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1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 Portfolio</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 in millions)</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1,968.0</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1,531.4</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2,245.9</w:t>
            </w:r>
          </w:p>
        </w:tc>
        <w:tc>
          <w:tcPr>
            <w:tcW w:w="2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1,706.0</w:t>
            </w:r>
          </w:p>
        </w:tc>
        <w:tc>
          <w:tcPr>
            <w:tcW w:w="2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years ended December 31, 2019, 2018 and 2017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820" w:type="dxa"/>
            <w:vAlign w:val="bottom"/>
            <w:gridSpan w:val="2"/>
            <w:vMerge w:val="restart"/>
          </w:tcPr>
          <w:p>
            <w:pPr>
              <w:ind w:left="220"/>
              <w:spacing w:after="0"/>
              <w:rPr>
                <w:sz w:val="20"/>
                <w:szCs w:val="20"/>
                <w:color w:val="auto"/>
              </w:rPr>
            </w:pPr>
            <w:r>
              <w:rPr>
                <w:rFonts w:ascii="Arial" w:cs="Arial" w:eastAsia="Arial" w:hAnsi="Arial"/>
                <w:sz w:val="14"/>
                <w:szCs w:val="14"/>
                <w:color w:val="auto"/>
              </w:rPr>
              <w:t>($ in millions)</w:t>
            </w:r>
          </w:p>
        </w:tc>
        <w:tc>
          <w:tcPr>
            <w:tcW w:w="1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6"/>
              </w:rPr>
              <w:t>Year Ended December 31,</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820" w:type="dxa"/>
            <w:vAlign w:val="bottom"/>
            <w:gridSpan w:val="2"/>
            <w:vMerge w:val="continue"/>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14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251.5</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1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1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b w:val="1"/>
                <w:bCs w:val="1"/>
                <w:color w:val="auto"/>
                <w:w w:val="97"/>
              </w:rPr>
              <w:t>Net increase in net assets resulting from operations</w:t>
            </w:r>
          </w:p>
        </w:tc>
        <w:tc>
          <w:tcPr>
            <w:tcW w:w="14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48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482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0" w:type="dxa"/>
            <w:vAlign w:val="bottom"/>
          </w:tcPr>
          <w:p>
            <w:pPr>
              <w:jc w:val="right"/>
              <w:ind w:right="69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7"/>
          </w:tcPr>
          <w:p>
            <w:pPr>
              <w:jc w:val="right"/>
              <w:ind w:right="125"/>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980" w:type="dxa"/>
            <w:vAlign w:val="bottom"/>
            <w:tcBorders>
              <w:bottom w:val="single" w:sz="8" w:color="CFF0FC"/>
            </w:tcBorders>
            <w:vMerge w:val="continue"/>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Dividend income</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8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18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4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259"/>
        <w:spacing w:after="0" w:line="287" w:lineRule="auto"/>
        <w:rPr>
          <w:sz w:val="20"/>
          <w:szCs w:val="20"/>
          <w:color w:val="auto"/>
        </w:rPr>
      </w:pPr>
      <w:r>
        <w:rPr>
          <w:rFonts w:ascii="Arial" w:cs="Arial" w:eastAsia="Arial" w:hAnsi="Arial"/>
          <w:sz w:val="16"/>
          <w:szCs w:val="16"/>
          <w:color w:val="auto"/>
        </w:rPr>
        <w:t>Interest from investments, which includes amortization of upfront fees and prepayment fees, decreased from $249.9 million for the year ended December 31, 2018 to $237.2 million for the year ended December 31, 2019, primarily due to a decrease in accelerated amortization of upfront fees and prepayment fees due to fewer paydowns which was partially offset by an increase in the average portfolio size for the year ended December 31, 2019. Accelerated amortization of upfront fees, primarily from unscheduled paydowns, decreased from $13.4 million for the year ended December 31, 2018 to $6.7 million for the year ended December 31, 2019, and prepayment fees decreased from $25.6 million for the year ended December 31, 2018 to $12.0 million for the year ended December 31, 2019. The accelerated amortization and prepayment fees primarily resulted from full paydowns on 16 portfolio investments, partial paydowns on three portfolio investments, partial realizations on two portfolio investments and prepayment fees on 15 portfolio investments during the year ended December 31, 2018, and full paydowns on 13 portfolio investments, partial paydowns on five portfolio investments, and prepayment fees on 11 portfolio investments during the year ended December 31, 2019. Dividend income increased from $0.2 million for the year ended December 31, 2018 to $0.4 million for the year ended December 31, 2019 due to increased investment in dividend yielding securities in 2019. Other income increased from $11.8 million for the year ended December 31, 2018 to $13.9 million for the year ended December 31, 2019, primarily due to higher amendment fees earned during 2019.</w:t>
      </w:r>
    </w:p>
    <w:p>
      <w:pPr>
        <w:spacing w:after="0" w:line="173" w:lineRule="exact"/>
        <w:rPr>
          <w:sz w:val="20"/>
          <w:szCs w:val="20"/>
          <w:color w:val="auto"/>
        </w:rPr>
      </w:pPr>
    </w:p>
    <w:p>
      <w:pPr>
        <w:ind w:right="40" w:firstLine="259"/>
        <w:spacing w:after="0" w:line="269"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$200.7 million for the year ended December 31, 2017 to $249.9 million for the year ended December 31, 2018, primarily due to an increase in the average size of our investment portfolio which increased from $1.6 billion for the year ended December 31, 2017 to $1.9 billion for the year ended December 31, 2018. Accelerated amortization of upfront fees, primarily from unscheduled paydowns, decreased from $21.1 million for the year ended December 31, 2017 to $13.4 million for the year ended December 31, 2018, and prepayment fees increased from $12.8 million for the year ended December 31, 2017 to $25.6 million for the year ended December 31, 2018. The accelerated amortization and prepayment fees primarily resulted from full paydowns on 22 portfolio investments, partial paydowns on seven portfolio investments and prepayment fees on 12 portfolio investments during the year ended December 31, 2017, and full paydowns on 16 portfolio investments, partial paydowns on three portfolio investments, partial realizations on two portfolio investments and prepayment fees on 15 portfolio investments during the year ended December 31, 2018. Dividend income decreased from $0.4 million for the year ended December 31, 2017 to $0.2 million for the year ended December 31, 2018 due to a partial realization of dividend yielding investments in 2018. Other income increased from $9.8 million for the year ended December 31, 2017 to $11.8 million for the year ended December 31, 2018, primarily due to higher commitment and other fees earned during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years ended December 31, 2019, 2018 and 2017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6"/>
          </w:tcPr>
          <w:p>
            <w:pPr>
              <w:jc w:val="right"/>
              <w:ind w:right="145"/>
              <w:spacing w:after="0"/>
              <w:rPr>
                <w:sz w:val="20"/>
                <w:szCs w:val="20"/>
                <w:color w:val="auto"/>
              </w:rPr>
            </w:pPr>
            <w:r>
              <w:rPr>
                <w:rFonts w:ascii="Arial" w:cs="Arial" w:eastAsia="Arial" w:hAnsi="Arial"/>
                <w:sz w:val="14"/>
                <w:szCs w:val="14"/>
                <w:b w:val="1"/>
                <w:bCs w:val="1"/>
                <w:color w:val="auto"/>
              </w:rPr>
              <w:t>For the Year Ended December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40" w:type="dxa"/>
            <w:vAlign w:val="bottom"/>
            <w:gridSpan w:val="2"/>
            <w:vMerge w:val="restart"/>
          </w:tcPr>
          <w:p>
            <w:pPr>
              <w:ind w:left="580"/>
              <w:spacing w:after="0"/>
              <w:rPr>
                <w:sz w:val="20"/>
                <w:szCs w:val="20"/>
                <w:color w:val="auto"/>
              </w:rPr>
            </w:pPr>
            <w:r>
              <w:rPr>
                <w:rFonts w:ascii="Arial" w:cs="Arial" w:eastAsia="Arial" w:hAnsi="Arial"/>
                <w:sz w:val="14"/>
                <w:szCs w:val="14"/>
                <w:color w:val="auto"/>
              </w:rPr>
              <w:t>($ in millions)</w:t>
            </w:r>
          </w:p>
        </w:tc>
        <w:tc>
          <w:tcPr>
            <w:tcW w:w="1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140" w:type="dxa"/>
            <w:vAlign w:val="bottom"/>
            <w:gridSpan w:val="2"/>
            <w:vMerge w:val="continue"/>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1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4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4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 investment</w:t>
            </w: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(net of waivers)</w:t>
            </w: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4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4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Directors fees</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1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4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b w:val="1"/>
                <w:bCs w:val="1"/>
                <w:color w:val="auto"/>
              </w:rPr>
              <w:t>Net Expenses</w:t>
            </w:r>
          </w:p>
        </w:tc>
        <w:tc>
          <w:tcPr>
            <w:tcW w:w="12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4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4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65" w:name="page66"/>
    <w:bookmarkEnd w:id="65"/>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Interest expense, including other debt financing expenses, increased from $42.8 million for the year ended December 31, 2018 to $49.1 million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2019. This increase was primarily due to an increase in the average debt outstanding for the year ended December 31, 2018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$874.3 million to $913.4 million for the year ended December 31, 2019 and an increase in our average interest rate on debt outstanding due to a change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mix of our debt financing sources. The average interest rate on our debt outstanding increased from 4.1% for the year ended December 31, 2018 to 4.4%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year ended December 31, 2019 due to a change in the mix of our debt financing sources and a change in LIBOR. For the years ended December 31,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2019, weighted average one-month LIBOR for the year was 2.0% and 2.2%, respectively.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Interest expense, including other debt financing expenses, increased from $27.4 million for the year ended December 31, 2017 to $42.8 million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2018. This increase was primarily due to an increase in the average debt outstanding for the year ended December 31, 2017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$645.1 million to $874.3 million for the year ended December 31, 2018 and an increase in our average interest rate on debt outstanding due to a change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mix of our debt financing sources. The average interest rate on our debt outstanding increased from 3.3% for the year ended December 31, 2017 to 4.1%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2018 due to the increase in LIBOR and a change in the mix of our debt financing sources.</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Management Fees (net of waivers) increased from $28.5 million for the year ended December 31, 2018 to $30.1 million for the year ended December 31, 2019. Management Fees (gross of waivers) increased from $28.5 million for the year ended December 31, 2018 to $30.1 million for the year ended December 31, 2019 due to average total assets increasing from $1.9 billion for the year ended December 31, 2018 to $2.1 billion for the year ended December 31, 2019. Management Fees waived were less than $0.1 million for the year ended December 31, 2018 consisting solely of Management Fees attributable to our ownership of TCAP shares. The Adviser did not waive any Management Fees for the year ended December 31, 2019.</w:t>
      </w:r>
    </w:p>
    <w:p>
      <w:pPr>
        <w:spacing w:after="0" w:line="158" w:lineRule="exact"/>
        <w:rPr>
          <w:sz w:val="20"/>
          <w:szCs w:val="20"/>
          <w:color w:val="auto"/>
        </w:rPr>
      </w:pPr>
    </w:p>
    <w:p>
      <w:pPr>
        <w:ind w:right="80" w:firstLine="259"/>
        <w:spacing w:after="0" w:line="297" w:lineRule="auto"/>
        <w:rPr>
          <w:sz w:val="20"/>
          <w:szCs w:val="20"/>
          <w:color w:val="auto"/>
        </w:rPr>
      </w:pPr>
      <w:r>
        <w:rPr>
          <w:rFonts w:ascii="Arial" w:cs="Arial" w:eastAsia="Arial" w:hAnsi="Arial"/>
          <w:sz w:val="16"/>
          <w:szCs w:val="16"/>
          <w:color w:val="auto"/>
        </w:rPr>
        <w:t>Management Fees (net of waivers) increased from $24.3 million for the year ended December 31, 2017 to $28.5 million for the year ended December 31, 2018. Management Fees (gross of waivers) increased from $24.3 million for the year ended December 31, 2017 to $28.5 million for the year ended December 31, 2018 due to average total assets increasing from $1.6 billion for the year ended December 31, 2017 to $1.9 billion for the year ended December 31, 2018. Management Fees waived remained flat at less than $0.1 million for the years ended December 31, 2017 and December 31, 2018. Management Fees waived during the years ended December 31, 2017 and December 31, 2018 were solely attributable to our ownership of TCAP Shares.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Incentive Fees (net of waivers) related to pre-Incentive Fee net investment income decreased from $30.5 million for the year ended December 31, 2018 to $27.2 million for the year ended December 31, 2019. This decrease resulted primarily from a decrease in interest from investments received during the year ended December 31, 2019 and the related decrease in net investment income. For the year ended December 31, 2018, Incentive Fees related to pre-Incentive Fee net investment income of less than $0.1 million were waived, consisting solely of Incentive Fees attributable to our ownership of the TCAP Shares. There were no Incentive Fees related to pre-incentive Fee net investment income waived for the year ended December 31, 2019. There were no Incentive Fees related to net capital gains and losses for the year ended December 31, 2018 and the year ended December 31, 2019 due to cumulative realized and unrealized losses on our investments.</w:t>
      </w:r>
    </w:p>
    <w:p>
      <w:pPr>
        <w:spacing w:after="0" w:line="189"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Incentive Fees (net of waivers) related to pre-Incentive Fee net investment income increased from $25.5 million for the year ended December 31, 2017 to $30.5 million for the year ended December 31, 2018. This increase resulted primarily from an increase in interest from investments received during the year ended December 31, 2018 and the related increase in net investment income. Incentive Fees waived related to pre-Incentive Fee net investment income remained less than $0.1 million for the years ended December 31, 2017 and 2018, consisting solely of Incentive Fees attributable to our ownership of the TCAP Shares. There were no Incentive Fees related to capital gains and losses for the year ended December 31, 2017 and the year ended December 31, 2018 due to cumulative realized and unrealized losses on our investments.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Incentive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240" w:firstLine="259"/>
        <w:spacing w:after="0" w:line="259" w:lineRule="auto"/>
        <w:rPr>
          <w:sz w:val="20"/>
          <w:szCs w:val="20"/>
          <w:color w:val="auto"/>
        </w:rPr>
      </w:pPr>
      <w:r>
        <w:rPr>
          <w:rFonts w:ascii="Arial" w:cs="Arial" w:eastAsia="Arial" w:hAnsi="Arial"/>
          <w:sz w:val="18"/>
          <w:szCs w:val="18"/>
          <w:color w:val="auto"/>
        </w:rPr>
        <w:t>Professional fees decreased from $7.2 million for the year ended December 31, 2018 to $6.5 million for the year ended December 31, 2019 due to recognition of remaining non-recurring expenses associated with the initial shelf registration statement in 2018 that were previously recorded as deferred financing cost. Other general and administrative fees increased from $5.2 million for the year ended December 31, 2018 to $5.9 million for the year ended December 31,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6" w:name="page67"/>
    <w:bookmarkEnd w:id="66"/>
    <w:p>
      <w:pPr>
        <w:ind w:right="340" w:firstLine="259"/>
        <w:spacing w:after="0" w:line="259" w:lineRule="auto"/>
        <w:rPr>
          <w:sz w:val="20"/>
          <w:szCs w:val="20"/>
          <w:color w:val="auto"/>
        </w:rPr>
      </w:pPr>
      <w:r>
        <w:rPr>
          <w:rFonts w:ascii="Arial" w:cs="Arial" w:eastAsia="Arial" w:hAnsi="Arial"/>
          <w:sz w:val="18"/>
          <w:szCs w:val="18"/>
          <w:color w:val="auto"/>
        </w:rPr>
        <w:t>Professional fees increased from $5.4 million for the year ended December 31, 2017 to $7.2 million for the year ended December 31, 2018 due to recognition in 2018 of remaining non-recurring expenses associated with the initial shelf registration statement that were previously recorded as deferred financing costs and costs associated with shareholder meetings. Other general and administrative fees increased from $4.8 million for the year ended December 31, 2017 to $5.2 million for the year ended December 31,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For the calendar years ended December 31, 2019, 2018 and 2017 we recorded a net expense of $3.8 million, $3.4 million and $2.8 million, respectively, for U.S. federal excise tax.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years ended December 31, 2019, 2018 and 2017:</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7"/>
          </w:tcPr>
          <w:p>
            <w:pPr>
              <w:jc w:val="right"/>
              <w:ind w:right="70"/>
              <w:spacing w:after="0"/>
              <w:rPr>
                <w:sz w:val="20"/>
                <w:szCs w:val="20"/>
                <w:color w:val="auto"/>
              </w:rPr>
            </w:pPr>
            <w:r>
              <w:rPr>
                <w:rFonts w:ascii="Arial" w:cs="Arial" w:eastAsia="Arial" w:hAnsi="Arial"/>
                <w:sz w:val="14"/>
                <w:szCs w:val="14"/>
                <w:b w:val="1"/>
                <w:bCs w:val="1"/>
                <w:color w:val="auto"/>
              </w:rPr>
              <w:t>For the Year Ended 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2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realized gains (losses) on investments</w:t>
            </w:r>
          </w:p>
        </w:tc>
        <w:tc>
          <w:tcPr>
            <w:tcW w:w="86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vMerge w:val="continue"/>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realized gains on foreign currency transactions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on foreign currency investments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realized gains on foreign currency borrowings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on interest rate swaps</w:t>
            </w:r>
          </w:p>
        </w:tc>
        <w:tc>
          <w:tcPr>
            <w:tcW w:w="8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Net Realized Gains (Losses)</w:t>
            </w:r>
          </w:p>
        </w:tc>
        <w:tc>
          <w:tcPr>
            <w:tcW w:w="860" w:type="dxa"/>
            <w:vAlign w:val="bottom"/>
          </w:tcPr>
          <w:p>
            <w:pPr>
              <w:spacing w:after="0"/>
              <w:rPr>
                <w:sz w:val="22"/>
                <w:szCs w:val="22"/>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Change in unrealized gains on investments</w:t>
            </w:r>
          </w:p>
        </w:tc>
        <w:tc>
          <w:tcPr>
            <w:tcW w:w="11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9"/>
                <w:szCs w:val="19"/>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losses on investments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(62.8)</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8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foreign currency</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borrowings</w:t>
            </w: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Unrealized gains (losses) on foreign</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120"/>
              <w:spacing w:after="0"/>
              <w:rPr>
                <w:sz w:val="20"/>
                <w:szCs w:val="20"/>
                <w:color w:val="auto"/>
              </w:rPr>
            </w:pPr>
            <w:r>
              <w:rPr>
                <w:rFonts w:ascii="Arial" w:cs="Arial" w:eastAsia="Arial" w:hAnsi="Arial"/>
                <w:sz w:val="18"/>
                <w:szCs w:val="18"/>
                <w:color w:val="auto"/>
              </w:rPr>
              <w:t>currency cash and forward contracts</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interest rate swaps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5"/>
        </w:trPr>
        <w:tc>
          <w:tcPr>
            <w:tcW w:w="52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8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ind w:left="12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11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8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For the year ended December 31, 2019, we had net realized gains on investments of $1.9 million and for the years ended December 31, 2018 and 2017, we had net realized losses on investments, $11.4 million and $14.3 million, respectively. For the years ended December 31, 2019, 2018, and 2017, we had net realized gains of $0.1 million, $0.2 million and less than $0.1 million, respectively, on foreign currency transactions, primarily as a result of translating foreign currency related to our non-USD denominated investments. For the years ended December 31, 2019, 2018 and 2017, we had net realized losses on foreign currency investments of $0.4 million, $2.2 million and $1.4 million, respectively. For the years ended December 31, 2019, 2018, and 2017 we had net realized gains on foreign currency borrowings of $0.4 million, $2.7 million and $1.7 million, respectively. For the year ended December 31, 2019 we had net realized gains of less than $0.1 million on interest rate swaps.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67" w:name="page68"/>
    <w:bookmarkEnd w:id="67"/>
    <w:p>
      <w:pPr>
        <w:ind w:right="60" w:firstLine="259"/>
        <w:spacing w:after="0" w:line="259" w:lineRule="auto"/>
        <w:rPr>
          <w:sz w:val="20"/>
          <w:szCs w:val="20"/>
          <w:color w:val="auto"/>
        </w:rPr>
      </w:pPr>
      <w:r>
        <w:rPr>
          <w:rFonts w:ascii="Arial" w:cs="Arial" w:eastAsia="Arial" w:hAnsi="Arial"/>
          <w:sz w:val="18"/>
          <w:szCs w:val="18"/>
          <w:color w:val="auto"/>
        </w:rPr>
        <w:t>For the year ended December 31, 2019 we had $45.6 million in unrealized gains on 53 portfolio company investments, which was offset by $27.3 million in unrealized losses on 23 portfolio company investments. Unrealized gains for the year ended December 31, 2019 resulted from an increase in fair value, primarily due to positive valuation adjustments and changes in credit spreads. Unrealized losses for the year ended December 31, 2019 resulted from the reversal of prior period unrealized gains and in some instances negative credit-related adjustments.</w:t>
      </w:r>
    </w:p>
    <w:p>
      <w:pPr>
        <w:spacing w:after="0" w:line="18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For the year ended December 31, 2018 we had $44.9 million in unrealized gains on 17 portfolio company investments, which was offset by $62.8 million in unrealized losses on 50 portfolio company investments. Unrealized gains for the year ended December 31, 2018 resulted from an increase in fair value, primarily due to reversal of prior period unrealized losses and positive valuation adjustments. Unrealized losses for the year ended December 31, 2018 resulted from the reversal of prior period unrealized gains on realized investments, widening credit spreads, and in some instances negative credit-related adjustments.</w:t>
      </w:r>
    </w:p>
    <w:p>
      <w:pPr>
        <w:spacing w:after="0" w:line="188"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For the year ended December 31, 2017 we had $66.7 million in unrealized gains on 43 portfolio company investments, which was offset by $48.9 million in unrealized losses on 32 portfolio company investments. Unrealized gains for the year ended December 31, 2017 resulted from an increase in fair value, primarily due to reversal of prior period unrealized losses, positive valuation adjustments and tightening credit spreads. Unrealized losses for the year ended December 31, 2017 resulted from the reversal of prior period unrealized gains on realized investments and in some instances negative credit-related adjustments.</w:t>
      </w:r>
    </w:p>
    <w:p>
      <w:pPr>
        <w:spacing w:after="0" w:line="188"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For the years ended December 31, 2019 and December 31, 2017 we had unrealized losses on foreign currency borrowings of $3.2 million and $11.5 million, respectively, primarily as a result of fluctuations in the AUD, CAD, GBP, and EUR exchange rates. For the year ended December 31, 2018, we had unrealized gains on foreign currency borrowings of $5.4 million, primarily as a result of fluctuations in the AUD, CAD, and EUR exchange rate. For the years ended December 31, 2019 and 2017, we had unrealized gains on foreign currency cash and forward contracts of less than $0.1 million and less than $0.1 million, respectively, primarily as a result of settling our foreign currency forward contracts. For the year ended December 31, 2018 we had unrealized losses on foreign currency cash and forward contracts of less than $0.1 million, primarily as a result of settling our foreign currency forward contracts. For the year ended December 31, 2019 we had unrealized gains on interest rate swaps of $9.2 million and for the years ended December 31, 2018 and 2017, we had unrealized losses on interest rate swaps of $1.7 million, and $1.0 million, respectively, due to fluctuations in interest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jc w:val="both"/>
        <w:ind w:right="220" w:firstLine="259"/>
        <w:spacing w:after="0" w:line="286" w:lineRule="auto"/>
        <w:rPr>
          <w:sz w:val="20"/>
          <w:szCs w:val="20"/>
          <w:color w:val="auto"/>
        </w:rPr>
      </w:pPr>
      <w:r>
        <w:rPr>
          <w:rFonts w:ascii="Arial" w:cs="Arial" w:eastAsia="Arial" w:hAnsi="Arial"/>
          <w:sz w:val="17"/>
          <w:szCs w:val="17"/>
          <w:color w:val="auto"/>
        </w:rPr>
        <w:t>Since we began investing in 2011 through December 31, 2019, weighted by capital invested, our exited investments have generated an average realized gross internal rate of return to us of 18.6% (based on total capital invested of $4.0 billion and total proceeds from these exited investments of $5.0 billion). Eighty-nine percent of these exited investments resulted in a realized gross internal rate of return to us of 10% or greater.</w:t>
      </w:r>
    </w:p>
    <w:p>
      <w:pPr>
        <w:spacing w:after="0" w:line="166"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60"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ind w:right="100" w:firstLine="259"/>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6" w:lineRule="exact"/>
        <w:rPr>
          <w:sz w:val="20"/>
          <w:szCs w:val="20"/>
          <w:color w:val="auto"/>
        </w:rPr>
      </w:pPr>
    </w:p>
    <w:p>
      <w:pPr>
        <w:jc w:val="both"/>
        <w:ind w:right="8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8" w:name="page69"/>
    <w:bookmarkEnd w:id="68"/>
    <w:p>
      <w:pPr>
        <w:ind w:right="240" w:firstLine="259"/>
        <w:spacing w:after="0" w:line="259" w:lineRule="auto"/>
        <w:rPr>
          <w:sz w:val="20"/>
          <w:szCs w:val="20"/>
          <w:color w:val="auto"/>
        </w:rPr>
      </w:pPr>
      <w:r>
        <w:rPr>
          <w:rFonts w:ascii="Arial" w:cs="Arial" w:eastAsia="Arial" w:hAnsi="Arial"/>
          <w:sz w:val="18"/>
          <w:szCs w:val="18"/>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117" w:lineRule="exact"/>
        <w:rPr>
          <w:sz w:val="20"/>
          <w:szCs w:val="20"/>
          <w:color w:val="auto"/>
        </w:rPr>
      </w:pPr>
    </w:p>
    <w:p>
      <w:pPr>
        <w:ind w:right="60" w:firstLine="259"/>
        <w:spacing w:after="0" w:line="271" w:lineRule="auto"/>
        <w:rPr>
          <w:sz w:val="20"/>
          <w:szCs w:val="20"/>
          <w:color w:val="auto"/>
        </w:rPr>
      </w:pPr>
      <w:r>
        <w:rPr>
          <w:rFonts w:ascii="Arial" w:cs="Arial" w:eastAsia="Arial" w:hAnsi="Arial"/>
          <w:sz w:val="17"/>
          <w:szCs w:val="17"/>
          <w:color w:val="auto"/>
        </w:rPr>
        <w:t>Our current approach to hedging the foreign currency exposure in our non-U.S. dollar denominated investments is primarily to borrow the par amount in local currency under our Revolving Credit Facility to fund these investments. For the years ended December 31, 2019 and 2017, we had $3.2 million and $11.5 million of unrealized losses, respectively, and for the year ended December 31, 2018 we had $5.4 million of unrealized gains on the translation of our non-U.S. dollar denominated debt into U.S. dollars; such amounts approximate the corresponding unrealized gains and losses on the translation of our non-U.S. dollar denominated investments into U.S. dollars for the years ended December 31, 2019, 2018 and 2017. See Note 2 for additional disclosure regarding our accounting for foreign currency. See Note 7 for additional disclosure regarding the amounts of outstanding debt denominated in each foreign currency at December 31, 2019. See our consolidated schedule of investments for additional disclosure regarding the foreign currency amounts (in both par and fair value) of our non-U.S. dollar denominated investments.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5"/>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right="20" w:firstLine="259"/>
        <w:spacing w:after="0" w:line="289" w:lineRule="auto"/>
        <w:rPr>
          <w:sz w:val="20"/>
          <w:szCs w:val="20"/>
          <w:color w:val="auto"/>
        </w:rPr>
      </w:pPr>
      <w:r>
        <w:rPr>
          <w:rFonts w:ascii="Arial" w:cs="Arial" w:eastAsia="Arial" w:hAnsi="Arial"/>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Arial" w:cs="Arial" w:eastAsia="Arial" w:hAnsi="Arial"/>
          <w:sz w:val="16"/>
          <w:szCs w:val="16"/>
          <w:i w:val="1"/>
          <w:iCs w:val="1"/>
          <w:color w:val="auto"/>
        </w:rPr>
        <w:t>Key Components of Our Results of Operations —Leverage</w:t>
      </w:r>
      <w:r>
        <w:rPr>
          <w:rFonts w:ascii="Arial" w:cs="Arial" w:eastAsia="Arial" w:hAnsi="Arial"/>
          <w:sz w:val="16"/>
          <w:szCs w:val="16"/>
          <w:color w:val="auto"/>
        </w:rPr>
        <w:t>” above. As of December 31, 2019, 2018 and 2017, our asset coverage ratio was 200.4%, 270.5%, and 235.5%,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67" w:lineRule="exact"/>
        <w:rPr>
          <w:sz w:val="20"/>
          <w:szCs w:val="20"/>
          <w:color w:val="auto"/>
        </w:rPr>
      </w:pPr>
    </w:p>
    <w:p>
      <w:pPr>
        <w:jc w:val="both"/>
        <w:ind w:right="380" w:firstLine="259"/>
        <w:spacing w:after="0" w:line="264" w:lineRule="auto"/>
        <w:rPr>
          <w:sz w:val="20"/>
          <w:szCs w:val="20"/>
          <w:color w:val="auto"/>
        </w:rPr>
      </w:pPr>
      <w:r>
        <w:rPr>
          <w:rFonts w:ascii="Arial" w:cs="Arial" w:eastAsia="Arial" w:hAnsi="Arial"/>
          <w:sz w:val="18"/>
          <w:szCs w:val="18"/>
          <w:color w:val="auto"/>
        </w:rPr>
        <w:t>Cash and cash equivalents as of December 31, 2019, taken together with cash available under our credit facilities, is expected to be sufficient for our investing activities and to conduct our operations in the near term. As of December 31, 2019, we had approximately $749.3 million of availability on our Revolving Credit Facility, subject to asset coverage limitations.</w:t>
      </w:r>
    </w:p>
    <w:p>
      <w:pPr>
        <w:spacing w:after="0" w:line="18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As of December 31, 2019, we had $14.1 million in cash and cash equivalents. During the year ended December 31, 2019, we used $378.0 million in cash for operating activities, primarily as a result of purchases and originations of investments of $1,118.1 billion and other operating activity of $36.5 million partially offset by repayments on investments of $622.0 million and an increase in net assets resulting from operations of $154.6 million. Lastly, cash provided in financing activities was $381.6 million during the period, primarily due to borrowings of $1,742.6 million (including the issuance of $300.0 million principal amount of our 2024 Notes), which were partially offset by paydowns on our Revolving Credit Facility of $1,255.2 million, dividends paid of $98.1 million, and deferred financing costs of $7.7 million.</w:t>
      </w:r>
    </w:p>
    <w:p>
      <w:pPr>
        <w:spacing w:after="0" w:line="193"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As of December 31, 2018, we had $10.6 million in cash and cash equivalents. During the year ended December 31, 2018, we provided $119.2 million in cash for operating activities, primarily as a result of proceeds from investments of $34.6 million, repayments on investments of $789.4 million, other operating activity of $14.4 million and an increase in net assets resulting from operations of $119.0 million, which was partially offset by funding portfolio investments of $838.2 million. Lastly, cash used in financing activities was $115.3 million during the period, primarily due to paydowns on our Revolving Credit Facility of $1,179.0 million, dividends paid of $95.9 million, and deferred financing costs of $7.8 million, which were partially offset by borrowings of $1,095.6 million (including the issuance of $150.0 million principal amount of our 2023 Notes and $57.5 million principal amount of our 2022 Convertible Notes in a reopening), and proceeds from issuance of common stock, net of offering and underwriting costs, of $71.8 million.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9" w:name="page70"/>
    <w:bookmarkEnd w:id="69"/>
    <w:p>
      <w:pPr>
        <w:ind w:right="140" w:firstLine="259"/>
        <w:spacing w:after="0" w:line="277" w:lineRule="auto"/>
        <w:rPr>
          <w:sz w:val="20"/>
          <w:szCs w:val="20"/>
          <w:color w:val="auto"/>
        </w:rPr>
      </w:pPr>
      <w:r>
        <w:rPr>
          <w:rFonts w:ascii="Arial" w:cs="Arial" w:eastAsia="Arial" w:hAnsi="Arial"/>
          <w:sz w:val="18"/>
          <w:szCs w:val="18"/>
          <w:color w:val="auto"/>
        </w:rPr>
        <w:t>As of December 31, 2019, we had $9.3 million of restricted cash pledged as collateral under our interest rate swap agreements, compared to $7.3 million as of December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On March 21, 2018, we issued 3,750,000 shares of common stock at $17.45 per share. Net of underwriting fees and offering costs, we received total cash proceeds of $63.0 million. Subsequent to the offering we issued an additional 522,224 shares in April 2018 pursuant to the overallotment option granted to underwriters and received, net of underwriting fees, total cash proceeds of $8.8 million.</w:t>
      </w:r>
    </w:p>
    <w:p>
      <w:pPr>
        <w:spacing w:after="0" w:line="181"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During the years ended December 31, 2019 and 2018, we also issued 1,111,774 and 893,392 shares of our common stock, respectively, to investors who have not opted out of our dividend reinvestment plan for proceeds of $21.1 million and $16.0 million, respectively. On January 15, 2020, we issued 194,470 shares of our common stock through our dividend reinvestment plan for proceeds of $4.0 million, which is not reflected in the number of shares issued for the year ended December 31, 2019 in this section or the consolidated financial statements for the year ended December 31, 2019.</w:t>
      </w:r>
    </w:p>
    <w:p>
      <w:pPr>
        <w:spacing w:after="0" w:line="154"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in current market conditions, if our common stock is trading below our then-current net asset value per share, it is in the best interest of our stockholders for us to reinvest in our portfolio and increase our leverage ratio through share repurchases.</w:t>
      </w:r>
    </w:p>
    <w:p>
      <w:pPr>
        <w:spacing w:after="0" w:line="158" w:lineRule="exact"/>
        <w:rPr>
          <w:sz w:val="20"/>
          <w:szCs w:val="20"/>
          <w:color w:val="auto"/>
        </w:rPr>
      </w:pPr>
    </w:p>
    <w:p>
      <w:pPr>
        <w:ind w:right="60" w:firstLine="259"/>
        <w:spacing w:after="0" w:line="270"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as currently in effect requires Goldman Sachs &amp; Co. LLC, as our agent, to repurchase shares of common stock on our behalf when the market price per share is just below 1.05x the most recently reported net asset value per share in our public financial statements or publicly announced by us, less the amount of any supplemental dividend that has been publicly announced by us but that has yet to be reflected in the net asset value per share most recently reported in our public financial statements (including any updates, corrections or adjustments publicly announced by us to any such net asset value per share or supplemental dividend). Under the Company 10b5-1 Plan, the agent will increase the volume of purchases made as the price of our common stock declines, subject to volume restrictions. The timing and amount of any stock repurchases depend on the terms and conditions of the Company 10b5-1 Plan, the market price of our common stock and trading volumes, and no assurance can be given that any particular amount of common stock will be repurchased.</w:t>
      </w:r>
    </w:p>
    <w:p>
      <w:pPr>
        <w:spacing w:after="0" w:line="182" w:lineRule="exact"/>
        <w:rPr>
          <w:sz w:val="20"/>
          <w:szCs w:val="20"/>
          <w:color w:val="auto"/>
        </w:rPr>
      </w:pPr>
    </w:p>
    <w:p>
      <w:pPr>
        <w:ind w:right="26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jc w:val="both"/>
        <w:ind w:right="380" w:firstLine="259"/>
        <w:spacing w:after="0" w:line="264" w:lineRule="auto"/>
        <w:rPr>
          <w:sz w:val="20"/>
          <w:szCs w:val="20"/>
          <w:color w:val="auto"/>
        </w:rPr>
      </w:pPr>
      <w:r>
        <w:rPr>
          <w:rFonts w:ascii="Arial" w:cs="Arial" w:eastAsia="Arial" w:hAnsi="Arial"/>
          <w:sz w:val="18"/>
          <w:szCs w:val="18"/>
          <w:color w:val="auto"/>
        </w:rPr>
        <w:t>On November 5, 2019, the Board authorized the extension of the termination date of the Company 10b5-1 Plan to May 31, 2020. Unless extended or terminated by the Board, the Company 10b5-1 Plan will be in effect through the earlier of May 31, 2020 or such time as the current approved repurchase amount of up to $50 million has been fully utilized, subject to certain conditions.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year ended December 31, 2019 and December 31, 2018 no shares were repurchased under the Company 10b5-1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December 31, 2019 and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3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3"/>
              </w:rPr>
              <w:t>Aggregate Principal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15"/>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5"/>
                <w:szCs w:val="15"/>
                <w:color w:val="auto"/>
              </w:rPr>
            </w:pPr>
          </w:p>
        </w:tc>
      </w:tr>
      <w:tr>
        <w:trPr>
          <w:trHeight w:val="219"/>
        </w:trPr>
        <w:tc>
          <w:tcPr>
            <w:tcW w:w="31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600" w:type="dxa"/>
            <w:vAlign w:val="bottom"/>
            <w:gridSpan w:val="3"/>
          </w:tcPr>
          <w:p>
            <w:pPr>
              <w:ind w:left="1340"/>
              <w:spacing w:after="0"/>
              <w:rPr>
                <w:sz w:val="20"/>
                <w:szCs w:val="20"/>
                <w:color w:val="auto"/>
              </w:rPr>
            </w:pPr>
            <w:r>
              <w:rPr>
                <w:rFonts w:ascii="Arial" w:cs="Arial" w:eastAsia="Arial" w:hAnsi="Arial"/>
                <w:sz w:val="14"/>
                <w:szCs w:val="14"/>
                <w:b w:val="1"/>
                <w:bCs w:val="1"/>
                <w:color w:val="auto"/>
                <w:w w:val="95"/>
              </w:rPr>
              <w:t>Amount Committed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75"/>
              <w:spacing w:after="0"/>
              <w:rPr>
                <w:sz w:val="20"/>
                <w:szCs w:val="20"/>
                <w:color w:val="auto"/>
              </w:rPr>
            </w:pPr>
            <w:r>
              <w:rPr>
                <w:rFonts w:ascii="Arial" w:cs="Arial" w:eastAsia="Arial" w:hAnsi="Arial"/>
                <w:sz w:val="14"/>
                <w:szCs w:val="14"/>
                <w:b w:val="1"/>
                <w:bCs w:val="1"/>
                <w:color w:val="auto"/>
                <w:w w:val="99"/>
              </w:rPr>
              <w:t xml:space="preserve">Available </w:t>
            </w:r>
            <w:r>
              <w:rPr>
                <w:rFonts w:ascii="Arial" w:cs="Arial" w:eastAsia="Arial" w:hAnsi="Arial"/>
                <w:sz w:val="12"/>
                <w:szCs w:val="12"/>
                <w:b w:val="1"/>
                <w:bCs w:val="1"/>
                <w:color w:val="auto"/>
                <w:w w:val="99"/>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(2)(3)</w:t>
            </w:r>
          </w:p>
        </w:tc>
      </w:tr>
      <w:tr>
        <w:trPr>
          <w:trHeight w:val="223"/>
        </w:trPr>
        <w:tc>
          <w:tcPr>
            <w:tcW w:w="3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3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28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2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FF0FC"/>
          </w:tcPr>
          <w:p>
            <w:pPr>
              <w:spacing w:after="0"/>
              <w:rPr>
                <w:sz w:val="19"/>
                <w:szCs w:val="19"/>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2024</w:t>
            </w:r>
          </w:p>
        </w:tc>
        <w:tc>
          <w:tcPr>
            <w:tcW w:w="2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13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FF0FC"/>
            </w:tcBorders>
          </w:tcPr>
          <w:p>
            <w:pPr>
              <w:spacing w:after="0"/>
              <w:rPr>
                <w:sz w:val="19"/>
                <w:szCs w:val="19"/>
                <w:color w:val="auto"/>
              </w:rPr>
            </w:pPr>
          </w:p>
        </w:tc>
      </w:tr>
      <w:tr>
        <w:trPr>
          <w:trHeight w:val="223"/>
        </w:trPr>
        <w:tc>
          <w:tcPr>
            <w:tcW w:w="31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3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left="5620" w:right="20" w:hanging="5612"/>
        <w:spacing w:after="0" w:line="528" w:lineRule="auto"/>
        <w:tabs>
          <w:tab w:leader="none" w:pos="5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0" w:name="page71"/>
    <w:bookmarkEnd w:id="70"/>
    <w:p>
      <w:pPr>
        <w:ind w:left="520" w:right="360" w:hanging="512"/>
        <w:spacing w:after="0" w:line="258"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$10.0 million, $3.1 million, $2.0 million and $6.9 million, respectively.</w:t>
      </w:r>
    </w:p>
    <w:p>
      <w:pPr>
        <w:spacing w:after="0" w:line="1"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net of $1.8 million, which represents a change in the carrying value of the 2024 Notes resulting from a hedge accounting relationship.</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3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3"/>
              </w:rPr>
              <w:t>Aggregate Principal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Outstanding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ind w:left="14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r>
      <w:tr>
        <w:trPr>
          <w:trHeight w:val="219"/>
        </w:trPr>
        <w:tc>
          <w:tcPr>
            <w:tcW w:w="31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600" w:type="dxa"/>
            <w:vAlign w:val="bottom"/>
            <w:gridSpan w:val="3"/>
          </w:tcPr>
          <w:p>
            <w:pPr>
              <w:ind w:left="1340"/>
              <w:spacing w:after="0"/>
              <w:rPr>
                <w:sz w:val="20"/>
                <w:szCs w:val="20"/>
                <w:color w:val="auto"/>
              </w:rPr>
            </w:pPr>
            <w:r>
              <w:rPr>
                <w:rFonts w:ascii="Arial" w:cs="Arial" w:eastAsia="Arial" w:hAnsi="Arial"/>
                <w:sz w:val="14"/>
                <w:szCs w:val="14"/>
                <w:b w:val="1"/>
                <w:bCs w:val="1"/>
                <w:color w:val="auto"/>
                <w:w w:val="95"/>
              </w:rPr>
              <w:t>Amount Committed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75"/>
              <w:spacing w:after="0"/>
              <w:rPr>
                <w:sz w:val="20"/>
                <w:szCs w:val="20"/>
                <w:color w:val="auto"/>
              </w:rPr>
            </w:pPr>
            <w:r>
              <w:rPr>
                <w:rFonts w:ascii="Arial" w:cs="Arial" w:eastAsia="Arial" w:hAnsi="Arial"/>
                <w:sz w:val="14"/>
                <w:szCs w:val="14"/>
                <w:b w:val="1"/>
                <w:bCs w:val="1"/>
                <w:color w:val="auto"/>
                <w:w w:val="99"/>
              </w:rPr>
              <w:t xml:space="preserve">Available </w:t>
            </w:r>
            <w:r>
              <w:rPr>
                <w:rFonts w:ascii="Arial" w:cs="Arial" w:eastAsia="Arial" w:hAnsi="Arial"/>
                <w:sz w:val="12"/>
                <w:szCs w:val="12"/>
                <w:b w:val="1"/>
                <w:bCs w:val="1"/>
                <w:color w:val="auto"/>
                <w:w w:val="99"/>
              </w:rPr>
              <w:t>(1)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31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3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28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2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FF0FC"/>
          </w:tcPr>
          <w:p>
            <w:pPr>
              <w:spacing w:after="0"/>
              <w:rPr>
                <w:sz w:val="19"/>
                <w:szCs w:val="19"/>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2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13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FF0FC"/>
            </w:tcBorders>
          </w:tcPr>
          <w:p>
            <w:pPr>
              <w:spacing w:after="0"/>
              <w:rPr>
                <w:sz w:val="19"/>
                <w:szCs w:val="19"/>
                <w:color w:val="auto"/>
              </w:rPr>
            </w:pPr>
          </w:p>
        </w:tc>
      </w:tr>
      <w:tr>
        <w:trPr>
          <w:trHeight w:val="223"/>
        </w:trPr>
        <w:tc>
          <w:tcPr>
            <w:tcW w:w="31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3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amount available may be subject to limitations related to the borrowing base under the Revolving Credit Facility and asset coverage requirements.</w:t>
      </w:r>
    </w:p>
    <w:p>
      <w:pPr>
        <w:spacing w:after="0" w:line="46" w:lineRule="exact"/>
        <w:rPr>
          <w:rFonts w:ascii="Arial" w:cs="Arial" w:eastAsia="Arial" w:hAnsi="Arial"/>
          <w:sz w:val="16"/>
          <w:szCs w:val="16"/>
          <w:color w:val="auto"/>
        </w:rPr>
      </w:pPr>
    </w:p>
    <w:p>
      <w:pPr>
        <w:ind w:left="520" w:right="360" w:hanging="512"/>
        <w:spacing w:after="0" w:line="261"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$8.7 million, $5.6 million and $2.7 million, respectively.</w:t>
      </w:r>
    </w:p>
    <w:p>
      <w:pPr>
        <w:spacing w:after="0" w:line="184"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As of December 31, 2019 and December 31, 2018,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400" w:firstLine="259"/>
        <w:spacing w:after="0" w:line="264" w:lineRule="auto"/>
        <w:rPr>
          <w:sz w:val="20"/>
          <w:szCs w:val="20"/>
          <w:color w:val="auto"/>
        </w:rPr>
      </w:pPr>
      <w:r>
        <w:rPr>
          <w:rFonts w:ascii="Arial" w:cs="Arial" w:eastAsia="Arial" w:hAnsi="Arial"/>
          <w:sz w:val="18"/>
          <w:szCs w:val="18"/>
          <w:color w:val="auto"/>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81" w:lineRule="exact"/>
        <w:rPr>
          <w:sz w:val="20"/>
          <w:szCs w:val="20"/>
          <w:color w:val="auto"/>
        </w:rPr>
      </w:pPr>
    </w:p>
    <w:p>
      <w:pPr>
        <w:ind w:right="40" w:firstLine="259"/>
        <w:spacing w:after="0" w:line="286" w:lineRule="auto"/>
        <w:rPr>
          <w:sz w:val="20"/>
          <w:szCs w:val="20"/>
          <w:color w:val="auto"/>
        </w:rPr>
      </w:pPr>
      <w:r>
        <w:rPr>
          <w:rFonts w:ascii="Arial" w:cs="Arial" w:eastAsia="Arial" w:hAnsi="Arial"/>
          <w:sz w:val="17"/>
          <w:szCs w:val="17"/>
          <w:color w:val="auto"/>
        </w:rPr>
        <w:t>As of December 31 2019, aggregate commitments under the facility were $1,245 million. Pursuant to an amendment to the Revolving Credit Facility dated as of January 31, 2020 (the “Ninth Amendment”), the aggregate commitments under the facility were increased to $1,315 million. The facility includes an uncommitted accordion feature that allows us, under certain circumstances, to increase the size of the facility to up to $1,750 million.</w:t>
      </w:r>
    </w:p>
    <w:p>
      <w:pPr>
        <w:spacing w:after="0" w:line="166" w:lineRule="exact"/>
        <w:rPr>
          <w:sz w:val="20"/>
          <w:szCs w:val="20"/>
          <w:color w:val="auto"/>
        </w:rPr>
      </w:pPr>
    </w:p>
    <w:p>
      <w:pPr>
        <w:ind w:right="200" w:firstLine="259"/>
        <w:spacing w:after="0" w:line="342" w:lineRule="auto"/>
        <w:rPr>
          <w:sz w:val="20"/>
          <w:szCs w:val="20"/>
          <w:color w:val="auto"/>
        </w:rPr>
      </w:pPr>
      <w:r>
        <w:rPr>
          <w:rFonts w:ascii="Arial" w:cs="Arial" w:eastAsia="Arial" w:hAnsi="Arial"/>
          <w:sz w:val="16"/>
          <w:szCs w:val="16"/>
          <w:color w:val="auto"/>
        </w:rPr>
        <w:t>Pursuant to the Ninth Amendment, the revolving period, during which period we, subject to certain conditions, may make borrowings under the facility, was extended from February 14, 2023 to January 31, 2024 and the stated maturity date was extended from February 14, 2024 to January 31, 2025.</w:t>
      </w:r>
    </w:p>
    <w:p>
      <w:pPr>
        <w:spacing w:after="0" w:line="124"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December 31, 2019, we had outstanding debt denominated in Australian dollars (AUD) of 52.5 million, Canadian dollars (CAD) of 131.4 million, and Euro (EUR) of 7.6 million on our Revolving Credit Facility, included in the Outstanding Principal amount in the table above.</w:t>
      </w:r>
    </w:p>
    <w:p>
      <w:pPr>
        <w:spacing w:after="0" w:line="181"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December 31, 2019 and December 31, 2018, we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LIBOR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93" w:lineRule="exact"/>
        <w:rPr>
          <w:sz w:val="20"/>
          <w:szCs w:val="20"/>
          <w:color w:val="auto"/>
        </w:rPr>
      </w:pPr>
    </w:p>
    <w:p>
      <w:pPr>
        <w:ind w:right="220" w:firstLine="259"/>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ind w:right="32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20" w:hanging="255"/>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20" w:right="60" w:hanging="255"/>
        <w:spacing w:after="0" w:line="264"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November 5, 2018;</w:t>
      </w:r>
    </w:p>
    <w:p>
      <w:pPr>
        <w:spacing w:after="0" w:line="117" w:lineRule="exact"/>
        <w:rPr>
          <w:rFonts w:ascii="Arial" w:cs="Arial" w:eastAsia="Arial" w:hAnsi="Arial"/>
          <w:sz w:val="18"/>
          <w:szCs w:val="18"/>
          <w:color w:val="auto"/>
        </w:rPr>
      </w:pPr>
    </w:p>
    <w:p>
      <w:pPr>
        <w:ind w:left="520" w:right="140" w:hanging="255"/>
        <w:spacing w:after="0" w:line="259"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20" w:right="240" w:hanging="255"/>
        <w:spacing w:after="0" w:line="342" w:lineRule="auto"/>
        <w:tabs>
          <w:tab w:leader="none" w:pos="5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Net proceeds received from our common stock issuance in March 2018 and net proceeds received from the issuance of the 2022 Convertible Notes, 2023 Notes and 2024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 June 2014, we issued in a private offering $115 million aggregate principal amount convertible notes due December 2019 (the “2019 Convertible Notes”). The 2019 Convertible Notes were issued in a private placement only to qualified institutional buyers pursuant to Rule 144A under the Securities Act. The 2019 Convertible Notes were unsecured and bore interest at a rate of 4.50% per year, payable semiannually. The 2019 Convertible Notes matured on December 15, 2019 and were fully repaid in cash. The swap transaction associated with the issuance of the 2019 Convertible Notes also matured on December 15,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jc w:val="both"/>
        <w:ind w:right="380" w:firstLine="259"/>
        <w:spacing w:after="0" w:line="288" w:lineRule="auto"/>
        <w:rPr>
          <w:sz w:val="20"/>
          <w:szCs w:val="20"/>
          <w:color w:val="auto"/>
        </w:rPr>
      </w:pPr>
      <w:r>
        <w:rPr>
          <w:rFonts w:ascii="Arial" w:cs="Arial" w:eastAsia="Arial" w:hAnsi="Arial"/>
          <w:sz w:val="16"/>
          <w:szCs w:val="16"/>
          <w:color w:val="auto"/>
        </w:rPr>
        <w:t>In February 2017, we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w:t>
      </w:r>
    </w:p>
    <w:p>
      <w:pPr>
        <w:spacing w:after="0" w:line="287" w:lineRule="auto"/>
        <w:rPr>
          <w:sz w:val="20"/>
          <w:szCs w:val="20"/>
          <w:color w:val="auto"/>
        </w:rPr>
      </w:pPr>
      <w:r>
        <w:rPr>
          <w:rFonts w:ascii="Arial" w:cs="Arial" w:eastAsia="Arial" w:hAnsi="Arial"/>
          <w:sz w:val="16"/>
          <w:szCs w:val="16"/>
          <w:color w:val="auto"/>
        </w:rPr>
        <w:t>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December 31, 2019, the estimated adjusted conversion price was approximately $20.66 per share of common stock. The sale of the 2022 Convertible Notes generated net proceeds of approximately $111.2 million. We used the net proceeds of the offering to pay down debt under the Revolving Credit Facility. In connection with the offering of 2022 Convertible Notes, we have entered into an interest rate swap to continue to align the interest rates of our liabilities with our investment portfolio, which consists of predominately floating rate loans. As a result of the swaps, our effective interest rate on the original issuance of 2022 Convertible Notes is three-month LIBOR plus 2.37%.</w:t>
      </w:r>
    </w:p>
    <w:p>
      <w:pPr>
        <w:spacing w:after="0" w:line="170"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In connection with the reopening of the 2022 Convertible Notes, we entered into interest rate swaps to continue to align the interest rates of its liabilities with its investment portfolio, which consists of predominantly floating rate loans. As a result of the additional swaps, our effective interest rate on the additional 2022 Convertible Notes is approximately three-month LIBOR plus 1.60%. See Note 5 for further information related to our interest rate swaps.</w:t>
      </w:r>
    </w:p>
    <w:p>
      <w:pPr>
        <w:spacing w:after="0" w:line="193"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Holders may convert their 2022 Convertible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2" w:name="page73"/>
    <w:bookmarkEnd w:id="72"/>
    <w:p>
      <w:pPr>
        <w:ind w:right="120"/>
        <w:spacing w:after="0" w:line="255" w:lineRule="auto"/>
        <w:rPr>
          <w:sz w:val="20"/>
          <w:szCs w:val="20"/>
          <w:color w:val="auto"/>
        </w:rPr>
      </w:pPr>
      <w:r>
        <w:rPr>
          <w:rFonts w:ascii="Arial" w:cs="Arial" w:eastAsia="Arial" w:hAnsi="Arial"/>
          <w:sz w:val="18"/>
          <w:szCs w:val="18"/>
          <w:color w:val="auto"/>
        </w:rPr>
        <w:t>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89"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2022 Convertible Notes are our unsecured obligations and rank senior in right of payment to our future indebtedness that is expressly subordinated in right of payment to the 2022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As of December 31, 2019, the principal amount of the 2022 Convertible Notes was exceeded by the value of the underlying shares multiplied by the per share closing price of our common stock. However, the conditions required for conversion prior to maturity had not been satisfied. As of December 31, 2018, the principal amount of the 2022 Convertible Notes exceeded the value of the underlying shares multiplied by the per share closing price of our common stock.</w:t>
      </w:r>
    </w:p>
    <w:p>
      <w:pPr>
        <w:spacing w:after="0" w:line="187"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indenture governing the 2022 Convertible Notes contains certain covenants, including covenants requiring us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December 31, 2019 and 2018, we were in compliance with the terms of the indenture governing the 2022 Convertible Notes.</w:t>
      </w:r>
    </w:p>
    <w:p>
      <w:pPr>
        <w:spacing w:after="0" w:line="171" w:lineRule="exact"/>
        <w:rPr>
          <w:sz w:val="20"/>
          <w:szCs w:val="20"/>
          <w:color w:val="auto"/>
        </w:rPr>
      </w:pPr>
    </w:p>
    <w:p>
      <w:pPr>
        <w:ind w:right="60" w:firstLine="259"/>
        <w:spacing w:after="0" w:line="270" w:lineRule="auto"/>
        <w:rPr>
          <w:sz w:val="20"/>
          <w:szCs w:val="20"/>
          <w:color w:val="auto"/>
        </w:rPr>
      </w:pPr>
      <w:r>
        <w:rPr>
          <w:rFonts w:ascii="Arial" w:cs="Arial" w:eastAsia="Arial" w:hAnsi="Arial"/>
          <w:sz w:val="17"/>
          <w:szCs w:val="17"/>
          <w:color w:val="auto"/>
        </w:rPr>
        <w:t>The 2022 Convertible Notes are accounted for in accordance with Accounting Standards Codification (“ASC”) 470-20. Upon conversion of any of the 2022 Convertible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 governing the 2022 Convertible Notes. We have determined that the embedded conversion options in the 2022 Convertible Notes are not required to be separately accounted for as a derivative under U.S. GAAP. In accounting for the 2022 Convertible Notes, we estimated at the time of issuance separate debt and equity components of the 2022 Convertible Notes. An original issue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200" w:firstLine="259"/>
        <w:spacing w:after="0" w:line="257"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8"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In connection with the 2023 Notes offering, we entered into an interest rate swap to continue to align the interest rates of our liabilities with our investment portfolio, which consists of predominately floating rate loans. As a result of the swap, our effective interest rate on the 2023 Notes is three-month LIBOR plus 1.99%.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and offering costs, were $293.1 million. We used the net proceeds of the 2024 Notes to repay outstanding indebtedness under the Revolving Credit Facility.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3" w:name="page74"/>
    <w:bookmarkEnd w:id="73"/>
    <w:p>
      <w:pPr>
        <w:ind w:firstLine="259"/>
        <w:spacing w:after="0" w:line="264" w:lineRule="auto"/>
        <w:rPr>
          <w:sz w:val="20"/>
          <w:szCs w:val="20"/>
          <w:color w:val="auto"/>
        </w:rPr>
      </w:pPr>
      <w:r>
        <w:rPr>
          <w:rFonts w:ascii="Arial" w:cs="Arial" w:eastAsia="Arial" w:hAnsi="Arial"/>
          <w:sz w:val="18"/>
          <w:szCs w:val="18"/>
          <w:color w:val="auto"/>
        </w:rPr>
        <w:t>In connection with the 2024 Notes offering, we entered into an interest rate swap to continue to align the interest rates of our liabilities with our investment portfolio, which consists of predominately floating rate loans. As a result of the swap, our effective interest rate on the 2024 Notes is three-month LIBOR plus 2.25%.</w:t>
      </w:r>
    </w:p>
    <w:p>
      <w:pPr>
        <w:spacing w:after="0" w:line="181" w:lineRule="exact"/>
        <w:rPr>
          <w:sz w:val="20"/>
          <w:szCs w:val="20"/>
          <w:color w:val="auto"/>
        </w:rPr>
      </w:pPr>
    </w:p>
    <w:p>
      <w:pPr>
        <w:ind w:right="240" w:firstLine="259"/>
        <w:spacing w:after="0" w:line="257" w:lineRule="auto"/>
        <w:rPr>
          <w:sz w:val="20"/>
          <w:szCs w:val="20"/>
          <w:color w:val="auto"/>
        </w:rPr>
      </w:pPr>
      <w:r>
        <w:rPr>
          <w:rFonts w:ascii="Arial" w:cs="Arial" w:eastAsia="Arial" w:hAnsi="Arial"/>
          <w:sz w:val="18"/>
          <w:szCs w:val="18"/>
          <w:color w:val="auto"/>
        </w:rPr>
        <w:t>On February 5, 2020, we issued $50.0 million aggregate principal amount of unsecured notes that mature on November 1, 2024 (the “Reopened 2024 Notes”). The Reopened 2024 Notes are a further issuance of, fungible with, rank equally in right of payment with and have the same terms (other than the issue date and the public offering price) as the initial issuance of 2024 Notes. Total proceeds from the issuance of the Reopened 2024 Notes, net of underwriting discounts and estimated offering costs, were approximately $50.1 million. We used the net proceeds of the 2024 Notes to repay outstanding indebtedness under the Revolving Credit Facility.</w:t>
      </w:r>
    </w:p>
    <w:p>
      <w:pPr>
        <w:spacing w:after="0" w:line="188"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In connection with the issuance of the Reopened 2024 Notes, we entered into an interest rate swap to continue to align the interest rates of our liabilities with our investment portfolio, which consists of predominantly floating rate loans. As a result of the swap, our effective interest rate on the Reopened 2024 Notes is three-month LIBOR plus 2.46%.</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December 31, 2019 and 2018, we had the following commitments to fund investments in current portfolio companies: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gridSpan w:val="2"/>
          </w:tcPr>
          <w:p>
            <w:pPr>
              <w:ind w:left="1720"/>
              <w:spacing w:after="0"/>
              <w:rPr>
                <w:sz w:val="20"/>
                <w:szCs w:val="20"/>
                <w:color w:val="auto"/>
              </w:rPr>
            </w:pPr>
            <w:r>
              <w:rPr>
                <w:rFonts w:ascii="Arial" w:cs="Arial" w:eastAsia="Arial" w:hAnsi="Arial"/>
                <w:sz w:val="14"/>
                <w:szCs w:val="14"/>
                <w:color w:val="auto"/>
              </w:rPr>
              <w:t>($ in millions)</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240" w:type="dxa"/>
            <w:vAlign w:val="bottom"/>
          </w:tcPr>
          <w:p>
            <w:pPr>
              <w:spacing w:after="0"/>
              <w:rPr>
                <w:sz w:val="14"/>
                <w:szCs w:val="14"/>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3"/>
              </w:rPr>
              <w:t>December 31, 2018</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46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AppStar Financial, LLC - Revolver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AvidXchange, Inc. - Delayed Draw</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BlueSnap, Inc. - Revolver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Caris Life Sciences, Ltd. - Delayed Draw</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ClearCompany, LLC - Delayed Draw</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Clinicient, Inc. - Revolver</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DaySmart Holdings, LLC - Revolver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DaySmart Holdings, LLC - Delayed Draw</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Dye &amp; Durham Corp. - Revolver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Energy Alloys, LLC - Delayed Draw</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Ferrellgas, L.P. - Revolver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Frontline Technologies Group, LLC - Delayed Draw</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 Treasury SS, LLC - Delayed Draw</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Revolver</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Gainsight, Inc. - Delayed Draw</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Government Brands, LLC - Revolver</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Integration Appliance, Inc. - Revolver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IntelePeer Holdings, Inc. - Delayed Draw</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Kyriba Corp. - Delayed Draw</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Kyriba Corp. - Revolver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Lithium Technologies, LLC - Revolver</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Lucidworks, Inc. - Revolver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MD America Energy, LLC - Delayed Draw</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Motus, LLC - Revolver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PageUp People, Ltd. - Revolver</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PayLease, LLC - Revolver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PayScale Holdings, Inc. - Delayed Draw</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PrimeRevenue, Inc. - Revolver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ResMan, LLC - Delayed Draw</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ResMan, LLC - Revolver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Sovos Compliance, LLC - Delayed Draw</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TherapeuticsMD, Inc. - Delayed Draw A1</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TherapeuticsMD, Inc. - Delayed Draw A2</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Valant Medical Solutions, Inc. - Delayed Draw</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Revolver</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46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jc w:val="right"/>
              <w:ind w:right="1030"/>
              <w:spacing w:after="0"/>
              <w:rPr>
                <w:sz w:val="20"/>
                <w:szCs w:val="20"/>
                <w:color w:val="auto"/>
              </w:rPr>
            </w:pPr>
            <w:r>
              <w:rPr>
                <w:rFonts w:ascii="Arial" w:cs="Arial" w:eastAsia="Arial" w:hAnsi="Arial"/>
                <w:sz w:val="18"/>
                <w:szCs w:val="18"/>
                <w:color w:val="auto"/>
              </w:rPr>
              <w:t>75</w:t>
            </w: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9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color w:val="auto"/>
        </w:rPr>
        <w:t>As of December 31, 2019 and December 31, 2018, we did not have any unfunded commitments to fund investments to new borrowers that were not current portfolio companies as of such date.</w:t>
      </w:r>
    </w:p>
    <w:p>
      <w:pPr>
        <w:spacing w:after="0" w:line="170" w:lineRule="exact"/>
        <w:rPr>
          <w:sz w:val="20"/>
          <w:szCs w:val="20"/>
          <w:color w:val="auto"/>
        </w:rPr>
      </w:pPr>
    </w:p>
    <w:p>
      <w:pPr>
        <w:jc w:val="both"/>
        <w:ind w:right="620" w:firstLine="259"/>
        <w:spacing w:after="0" w:line="342" w:lineRule="auto"/>
        <w:rPr>
          <w:sz w:val="20"/>
          <w:szCs w:val="20"/>
          <w:color w:val="auto"/>
        </w:rPr>
      </w:pPr>
      <w:r>
        <w:rPr>
          <w:rFonts w:ascii="Arial" w:cs="Arial" w:eastAsia="Arial" w:hAnsi="Arial"/>
          <w:sz w:val="16"/>
          <w:szCs w:val="16"/>
          <w:color w:val="auto"/>
        </w:rPr>
        <w:t>From time to time, we may become a party to certain legal proceedings incidental to the normal course of our business. As of December 31, 2019, management is not aware of any material pending or threatened litigation that would require accounting recognition or financial statement disclosure.</w:t>
      </w:r>
    </w:p>
    <w:p>
      <w:pPr>
        <w:spacing w:after="0" w:line="124"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December 31, 2019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4"/>
                <w:szCs w:val="14"/>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2022 Convertible Notes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2023 Notes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2024 Notes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5"/>
        <w:spacing w:after="0" w:line="277"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 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6" w:name="page77"/>
    <w:bookmarkEnd w:id="76"/>
    <w:p>
      <w:pPr>
        <w:ind w:right="6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5"/>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00" w:hanging="255"/>
        <w:spacing w:after="0" w:line="277"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18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140" w:hanging="255"/>
        <w:spacing w:after="0" w:line="264"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firstLine="259"/>
        <w:spacing w:after="0" w:line="279" w:lineRule="auto"/>
        <w:rPr>
          <w:sz w:val="20"/>
          <w:szCs w:val="20"/>
          <w:color w:val="auto"/>
        </w:rPr>
      </w:pPr>
      <w:r>
        <w:rPr>
          <w:rFonts w:ascii="Arial" w:cs="Arial" w:eastAsia="Arial" w:hAnsi="Arial"/>
          <w:sz w:val="17"/>
          <w:szCs w:val="17"/>
          <w:color w:val="auto"/>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Arial" w:cs="Arial" w:eastAsia="Arial" w:hAnsi="Arial"/>
          <w:sz w:val="17"/>
          <w:szCs w:val="17"/>
          <w:i w:val="1"/>
          <w:iCs w:val="1"/>
          <w:color w:val="auto"/>
        </w:rPr>
        <w:t>“ITEM 1A. RISK FACTORS.”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7" w:name="page78"/>
    <w:bookmarkEnd w:id="77"/>
    <w:p>
      <w:pPr>
        <w:ind w:firstLine="259"/>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right="780" w:firstLine="259"/>
        <w:spacing w:after="0" w:line="277"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 and in combination of:</w:t>
      </w:r>
    </w:p>
    <w:p>
      <w:pPr>
        <w:spacing w:after="0" w:line="62" w:lineRule="exact"/>
        <w:rPr>
          <w:sz w:val="20"/>
          <w:szCs w:val="20"/>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value of the portfolio company’s net debt and equity);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17" w:lineRule="exact"/>
        <w:rPr>
          <w:rFonts w:ascii="Arial" w:cs="Arial" w:eastAsia="Arial" w:hAnsi="Arial"/>
          <w:sz w:val="18"/>
          <w:szCs w:val="18"/>
          <w:color w:val="auto"/>
        </w:rPr>
      </w:pPr>
    </w:p>
    <w:p>
      <w:pPr>
        <w:ind w:left="520" w:right="420" w:hanging="255"/>
        <w:spacing w:after="0" w:line="277"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620" w:firstLine="259"/>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00" w:hanging="255"/>
        <w:spacing w:after="0" w:line="277"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00" w:hanging="255"/>
        <w:spacing w:after="0" w:line="277"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20" w:hanging="255"/>
        <w:spacing w:after="0" w:line="264"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60" w:firstLine="259"/>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December 31, 2019,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71" w:lineRule="exact"/>
        <w:rPr>
          <w:sz w:val="20"/>
          <w:szCs w:val="20"/>
          <w:color w:val="auto"/>
        </w:rPr>
      </w:pPr>
    </w:p>
    <w:p>
      <w:pPr>
        <w:ind w:right="80" w:firstLine="259"/>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20" w:hanging="255"/>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17" w:lineRule="exact"/>
        <w:rPr>
          <w:rFonts w:ascii="Arial" w:cs="Arial" w:eastAsia="Arial" w:hAnsi="Arial"/>
          <w:sz w:val="18"/>
          <w:szCs w:val="18"/>
          <w:color w:val="auto"/>
        </w:rPr>
      </w:pPr>
    </w:p>
    <w:p>
      <w:pPr>
        <w:ind w:left="520" w:right="700" w:hanging="255"/>
        <w:spacing w:after="0" w:line="277"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78" w:name="page79"/>
    <w:bookmarkEnd w:id="78"/>
    <w:p>
      <w:pPr>
        <w:ind w:firstLine="259"/>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9"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our consolidated financial statements included in this Form 10-K for more information on the fair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right="280" w:firstLine="259"/>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6"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70" w:lineRule="exact"/>
        <w:rPr>
          <w:sz w:val="20"/>
          <w:szCs w:val="20"/>
          <w:color w:val="auto"/>
        </w:rPr>
      </w:pPr>
    </w:p>
    <w:p>
      <w:pPr>
        <w:ind w:right="20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7"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2019, the Company did not have any uncertain tax positions that met the recognition or measurement criteria, nor did the Company have any unrecognized tax benefits. Our 2018, 2017 and 2016 tax year returns remain subject to examination by the relevant federal, state, and local tax authorities.</w:t>
      </w:r>
    </w:p>
    <w:p>
      <w:pPr>
        <w:spacing w:after="0" w:line="178"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70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As of December 31, 2019, 99.2% of our debt investments based on fair value in our portfolio bore interest at floating rates (when including investment specific hedges), with 93.5% of these subject to interest rate floors. Our credit facilities also bear interest at floating rates, and in connection with our 2022 Convertible Notes, 2023 Notes and 2024 Notes, which bear interest at fixed rates, we entered into fixed-to-floating interest rate swaps in order to continue to align the interest rates of our liabilities with our investment portfolio.</w:t>
      </w:r>
    </w:p>
    <w:p>
      <w:pPr>
        <w:spacing w:after="0" w:line="187"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Assuming that our consolidated balance sheet as of December 31, 2019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Pr>
          <w:p>
            <w:pPr>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Interest Income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Interest Expense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Income</w:t>
            </w:r>
          </w:p>
        </w:tc>
      </w:tr>
      <w:tr>
        <w:trPr>
          <w:trHeight w:val="223"/>
        </w:trPr>
        <w:tc>
          <w:tcPr>
            <w:tcW w:w="5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Up 200 basis points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Down 25 basis points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bl>
    <w:p>
      <w:pPr>
        <w:spacing w:after="0" w:line="201"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0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10280" w:type="dxa"/>
            <w:vAlign w:val="bottom"/>
            <w:gridSpan w:val="8"/>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60" w:type="dxa"/>
            <w:vAlign w:val="bottom"/>
            <w:gridSpan w:val="6"/>
          </w:tcPr>
          <w:p>
            <w:pPr>
              <w:jc w:val="center"/>
              <w:ind w:right="3080"/>
              <w:spacing w:after="0"/>
              <w:rPr>
                <w:sz w:val="20"/>
                <w:szCs w:val="20"/>
                <w:color w:val="auto"/>
              </w:rPr>
            </w:pPr>
            <w:r>
              <w:rPr>
                <w:rFonts w:ascii="Arial" w:cs="Arial" w:eastAsia="Arial" w:hAnsi="Arial"/>
                <w:sz w:val="18"/>
                <w:szCs w:val="18"/>
                <w:b w:val="1"/>
                <w:bCs w:val="1"/>
                <w:color w:val="auto"/>
              </w:rPr>
              <w:t>TPG SPECIALTY LENDING, INC.</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7120" w:type="dxa"/>
            <w:vAlign w:val="bottom"/>
            <w:gridSpan w:val="7"/>
          </w:tcPr>
          <w:p>
            <w:pPr>
              <w:jc w:val="center"/>
              <w:ind w:right="200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280" w:type="dxa"/>
            <w:vAlign w:val="bottom"/>
            <w:gridSpan w:val="8"/>
            <w:vMerge w:val="restart"/>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Report of Independent Registered Public Accounting Firm</w:t>
              </w:r>
            </w:hyperlink>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280" w:type="dxa"/>
            <w:vAlign w:val="bottom"/>
            <w:gridSpan w:val="8"/>
            <w:vMerge w:val="continue"/>
          </w:tcPr>
          <w:p>
            <w:pPr>
              <w:spacing w:after="0"/>
              <w:rPr>
                <w:sz w:val="13"/>
                <w:szCs w:val="13"/>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84">
              <w:r>
                <w:rPr>
                  <w:rFonts w:ascii="Arial" w:cs="Arial" w:eastAsia="Arial" w:hAnsi="Arial"/>
                  <w:sz w:val="18"/>
                  <w:szCs w:val="18"/>
                  <w:color w:val="0000EE"/>
                  <w:w w:val="88"/>
                </w:rPr>
                <w:t>Consolidated Balance Sheets as of December 31, 2019 and 2018</w:t>
              </w:r>
            </w:hyperlink>
          </w:p>
        </w:tc>
        <w:tc>
          <w:tcPr>
            <w:tcW w:w="5620" w:type="dxa"/>
            <w:vAlign w:val="bottom"/>
            <w:gridSpan w:val="5"/>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18"/>
        </w:trPr>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Statements of Operations for the Years Ended December 31, 2019, 2018 and 2017</w:t>
              </w:r>
            </w:hyperlink>
          </w:p>
        </w:tc>
        <w:tc>
          <w:tcPr>
            <w:tcW w:w="3360" w:type="dxa"/>
            <w:vAlign w:val="bottom"/>
            <w:gridSpan w:val="3"/>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18"/>
        </w:trPr>
        <w:tc>
          <w:tcPr>
            <w:tcW w:w="10280" w:type="dxa"/>
            <w:vAlign w:val="bottom"/>
            <w:gridSpan w:val="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Consolidated Schedules of Investments as of December 31, 2019 and 2018</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80" w:type="dxa"/>
            <w:vAlign w:val="bottom"/>
            <w:gridSpan w:val="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Consolidated Statements of Changes in Net Assets for the Years Ended December 31, 2019, 2018 and 2017</w:t>
              </w:r>
            </w:hyperlink>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F-17</w:t>
            </w:r>
          </w:p>
        </w:tc>
        <w:tc>
          <w:tcPr>
            <w:tcW w:w="0" w:type="dxa"/>
            <w:vAlign w:val="bottom"/>
          </w:tcPr>
          <w:p>
            <w:pPr>
              <w:spacing w:after="0"/>
              <w:rPr>
                <w:sz w:val="1"/>
                <w:szCs w:val="1"/>
                <w:color w:val="auto"/>
              </w:rPr>
            </w:pPr>
          </w:p>
        </w:tc>
      </w:tr>
      <w:tr>
        <w:trPr>
          <w:trHeight w:val="318"/>
        </w:trPr>
        <w:tc>
          <w:tcPr>
            <w:tcW w:w="7740" w:type="dxa"/>
            <w:vAlign w:val="bottom"/>
            <w:tcBorders>
              <w:top w:val="single" w:sz="8" w:color="0000EE"/>
            </w:tcBorders>
            <w:gridSpan w:val="7"/>
          </w:tcPr>
          <w:p>
            <w:pP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Consolidated Statements of Cash Flows for the Years Ended December 31, 2019, 2018 and 2017</w:t>
              </w:r>
            </w:hyperlink>
          </w:p>
        </w:tc>
        <w:tc>
          <w:tcPr>
            <w:tcW w:w="254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5"/>
          </w:tcPr>
          <w:p>
            <w:pPr>
              <w:spacing w:after="0"/>
              <w:rPr>
                <w:sz w:val="24"/>
                <w:szCs w:val="24"/>
                <w:color w:val="auto"/>
              </w:rPr>
            </w:pPr>
          </w:p>
        </w:tc>
        <w:tc>
          <w:tcPr>
            <w:tcW w:w="3320" w:type="dxa"/>
            <w:vAlign w:val="bottom"/>
            <w:gridSpan w:val="2"/>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17" w:lineRule="exact"/>
        <w:rPr>
          <w:sz w:val="20"/>
          <w:szCs w:val="20"/>
          <w:color w:val="auto"/>
        </w:rPr>
      </w:pPr>
    </w:p>
    <w:p>
      <w:pPr>
        <w:ind w:right="140" w:firstLine="259"/>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TPG Specialty Lending, Inc. and subsidiaries (the Company), including the consolidated schedules of investments, as of December 31, 2019 and 2018, the related consolidated statements of operations, changes in net assets, and cash flows for each of the years in the three-year period ended December 31, 2019, and the related notes (collectively,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w:t>
      </w:r>
    </w:p>
    <w:p>
      <w:pPr>
        <w:spacing w:after="0" w:line="64"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2019 and 2018, and the results of its operations, changes in net assets, and cash flows for each of the years in the three-year period ended December 31, 2019, in conformity with U.S. generally accepted accounting principles. Also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17"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540" w:firstLine="259"/>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ind w:right="160" w:firstLine="259"/>
        <w:spacing w:after="0" w:line="270"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2019 and 2018, by correspondence with custodians, or by other appropriate auditing procedures.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60" w:firstLine="259"/>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Critical Audit Matter</w:t>
      </w:r>
    </w:p>
    <w:p>
      <w:pPr>
        <w:spacing w:after="0" w:line="117" w:lineRule="exact"/>
        <w:rPr>
          <w:sz w:val="20"/>
          <w:szCs w:val="20"/>
          <w:color w:val="auto"/>
        </w:rPr>
      </w:pPr>
    </w:p>
    <w:p>
      <w:pPr>
        <w:ind w:right="280" w:firstLine="259"/>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Determining the fair value of investments</w:t>
      </w:r>
    </w:p>
    <w:p>
      <w:pPr>
        <w:spacing w:after="0" w:line="11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As discussed in Notes 2, 4 and 6 to the consolidated financial statements, the Company measures substantially all of its investments at fair value utilizing unobservable inputs as there is no readily determinable market value. As of December 31, 2019, total investments at fair value was $2.2 billion, or 98% of total assets.</w:t>
      </w:r>
    </w:p>
    <w:p>
      <w:pPr>
        <w:spacing w:after="0" w:line="73"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We identified determining the fair value of investments that are not publicly traded or whose market prices are not readily available as a critical audit matter because evaluating the use of specific valuation techniques, inputs, and assumptions, involved a high degree of subjective auditor judgment and changes in these techniques, inputs, and assumptions could have a significant impact on the fair value of investments. In particular, the more subjective judgments were related to market yields for investments with similar terms and risks used in yield analyses, comparable financial performance multiples used in determining enterprise values, and discount rates and expected lives used in discounted cash flow analyses.</w:t>
      </w:r>
    </w:p>
    <w:p>
      <w:pPr>
        <w:spacing w:after="0" w:line="64"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The primary procedures we performed to address this critical audit matter included the following. We tested certain internal controls over the Company's determination of the valuation techniques, market yields, financial performance multiples, discount rates, and expected lives used to estimate the fair value of investments. We involved valuation professionals with specialized skills and knowledge who, for a selection of the Company’s investments, evaluated the Company’s estimate of fair value by developing an independent estimate of fair value through the use of relevant market information to develop a range of comparable financial performance multiples and discount rate assumptions. For a selection of investments, we tested the Company’s process to determine the fair value by testing the fair value derived from the Company’s models and comparing the inputs and assumptions to supporting documentation. We evaluated the Company’s historical ability to estimate fair value by comparing the transaction price of available transactions occurring subsequent to the prior period valuation date with the fair value estimate determined by the Company in the prior period.</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54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$2,099,781 and $1,546,780,</w:t>
            </w: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8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2,147,876</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1,565,532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w w:val="99"/>
              </w:rPr>
              <w:t>Non-controlled, affiliated investments (amortized cost of $49,445 and $84,602, respectively)</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50,136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83,932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$88,811 and $85,018, respectively)</w:t>
            </w:r>
          </w:p>
        </w:tc>
        <w:tc>
          <w:tcPr>
            <w:tcW w:w="6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47,916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investments at fair value (amortized cost of $2,238,037 and $1,716,400, respectively)</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2,245,928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1,705,969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$9,315 and $7,303, respectively)</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Interest receivable</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6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6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2,280,931</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1,730,324</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Debt (net of deferred financing costs of $18,471 and $15,508, respectively)</w:t>
            </w:r>
          </w:p>
        </w:tc>
        <w:tc>
          <w:tcPr>
            <w:tcW w:w="8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1,094,467</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608,007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7,161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6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6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1,161,634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667,122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66,613,671 and</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Arial" w:cs="Arial" w:eastAsia="Arial" w:hAnsi="Arial"/>
                <w:sz w:val="18"/>
                <w:szCs w:val="18"/>
                <w:color w:val="auto"/>
              </w:rPr>
              <w:t>65,501,897 shares issued, respectively; and 66,524,591 and 65,412,817 shares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1,009,270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991,919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(1,359)</w:t>
            </w:r>
          </w:p>
        </w:tc>
        <w:tc>
          <w:tcPr>
            <w:tcW w:w="2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6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6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1,119,297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1,063,202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6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2,280,931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1,730,324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8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December 31, 2019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69"/>
        </w:trPr>
        <w:tc>
          <w:tcPr>
            <w:tcW w:w="53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Income</w:t>
            </w:r>
          </w:p>
        </w:tc>
        <w:tc>
          <w:tcPr>
            <w:tcW w:w="6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rPr>
                <w:sz w:val="20"/>
                <w:szCs w:val="20"/>
                <w:color w:val="auto"/>
              </w:rPr>
            </w:pPr>
            <w:r>
              <w:rPr>
                <w:rFonts w:ascii="Arial" w:cs="Arial" w:eastAsia="Arial" w:hAnsi="Arial"/>
                <w:sz w:val="15"/>
                <w:szCs w:val="15"/>
                <w:color w:val="auto"/>
              </w:rPr>
              <w:t>Investment income from non-controlled, non-affiliated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from investments</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224,810</w:t>
            </w:r>
          </w:p>
        </w:tc>
        <w:tc>
          <w:tcPr>
            <w:tcW w:w="1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232,517</w:t>
            </w:r>
          </w:p>
        </w:tc>
        <w:tc>
          <w:tcPr>
            <w:tcW w:w="1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191,288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Dividend income</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420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6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13,838</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11,298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9,617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40" w:type="dxa"/>
            <w:vAlign w:val="bottom"/>
          </w:tcPr>
          <w:p>
            <w:pPr>
              <w:ind w:left="500"/>
              <w:spacing w:after="0" w:line="156" w:lineRule="exact"/>
              <w:rPr>
                <w:sz w:val="20"/>
                <w:szCs w:val="20"/>
                <w:color w:val="auto"/>
              </w:rPr>
            </w:pPr>
            <w:r>
              <w:rPr>
                <w:rFonts w:ascii="Arial" w:cs="Arial" w:eastAsia="Arial" w:hAnsi="Arial"/>
                <w:sz w:val="15"/>
                <w:szCs w:val="15"/>
                <w:color w:val="auto"/>
              </w:rPr>
              <w:t>Total investment income from non-controlled, non-affiliated</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340" w:type="dxa"/>
            <w:vAlign w:val="bottom"/>
          </w:tcPr>
          <w:p>
            <w:pPr>
              <w:ind w:left="620"/>
              <w:spacing w:after="0"/>
              <w:rPr>
                <w:sz w:val="20"/>
                <w:szCs w:val="20"/>
                <w:color w:val="auto"/>
              </w:rPr>
            </w:pPr>
            <w:r>
              <w:rPr>
                <w:rFonts w:ascii="Arial" w:cs="Arial" w:eastAsia="Arial" w:hAnsi="Arial"/>
                <w:sz w:val="15"/>
                <w:szCs w:val="15"/>
                <w:color w:val="auto"/>
              </w:rPr>
              <w:t>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239,068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244,011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201,250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Investment income from non-controlled, 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Interest from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6,370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3,652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6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88</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398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tcPr>
          <w:p>
            <w:pPr>
              <w:ind w:left="500"/>
              <w:spacing w:after="0" w:line="169" w:lineRule="exact"/>
              <w:rPr>
                <w:sz w:val="20"/>
                <w:szCs w:val="20"/>
                <w:color w:val="auto"/>
              </w:rPr>
            </w:pPr>
            <w:r>
              <w:rPr>
                <w:rFonts w:ascii="Arial" w:cs="Arial" w:eastAsia="Arial" w:hAnsi="Arial"/>
                <w:sz w:val="15"/>
                <w:szCs w:val="15"/>
                <w:color w:val="auto"/>
              </w:rPr>
              <w:t>Total investment income from non-controlled, affiliated investments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6,458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4,050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Investment income from controlled, 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Interest from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5,958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13,763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9,443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6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investment income from controlled, affiliated investments</w:t>
            </w:r>
          </w:p>
        </w:tc>
        <w:tc>
          <w:tcPr>
            <w:tcW w:w="6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5,969</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13,853</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9,647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shd w:val="clear" w:color="auto" w:fill="CFF0FC"/>
          </w:tcPr>
          <w:p>
            <w:pPr>
              <w:ind w:left="740"/>
              <w:spacing w:after="0" w:line="169" w:lineRule="exact"/>
              <w:rPr>
                <w:sz w:val="20"/>
                <w:szCs w:val="20"/>
                <w:color w:val="auto"/>
              </w:rPr>
            </w:pPr>
            <w:r>
              <w:rPr>
                <w:rFonts w:ascii="Arial" w:cs="Arial" w:eastAsia="Arial" w:hAnsi="Arial"/>
                <w:sz w:val="15"/>
                <w:szCs w:val="15"/>
                <w:b w:val="1"/>
                <w:bCs w:val="1"/>
                <w:color w:val="auto"/>
              </w:rPr>
              <w:t>Total Investment Income</w:t>
            </w:r>
          </w:p>
        </w:tc>
        <w:tc>
          <w:tcPr>
            <w:tcW w:w="6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251,495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261,914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210,897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5"/>
                <w:szCs w:val="15"/>
                <w:b w:val="1"/>
                <w:bCs w:val="1"/>
                <w:color w:val="auto"/>
              </w:rPr>
              <w:t>Expenses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Interest</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49,110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42,761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rPr>
                <w:sz w:val="20"/>
                <w:szCs w:val="20"/>
                <w:color w:val="auto"/>
              </w:rPr>
            </w:pPr>
            <w:r>
              <w:rPr>
                <w:rFonts w:ascii="Arial" w:cs="Arial" w:eastAsia="Arial" w:hAnsi="Arial"/>
                <w:sz w:val="15"/>
                <w:szCs w:val="15"/>
                <w:color w:val="auto"/>
              </w:rPr>
              <w:t>Management fees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30,104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28,589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24,287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Incentive fees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27,211</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30,515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25,497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rPr>
                <w:sz w:val="20"/>
                <w:szCs w:val="20"/>
                <w:color w:val="auto"/>
              </w:rPr>
            </w:pPr>
            <w:r>
              <w:rPr>
                <w:rFonts w:ascii="Arial" w:cs="Arial" w:eastAsia="Arial" w:hAnsi="Arial"/>
                <w:sz w:val="15"/>
                <w:szCs w:val="15"/>
                <w:color w:val="auto"/>
              </w:rPr>
              <w:t>Professional fees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6,530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7,208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5,431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Directors’ fees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595</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general and administrative</w:t>
            </w:r>
          </w:p>
        </w:tc>
        <w:tc>
          <w:tcPr>
            <w:tcW w:w="6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5,912</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5,226</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4,827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expenses</w:t>
            </w:r>
          </w:p>
        </w:tc>
        <w:tc>
          <w:tcPr>
            <w:tcW w:w="6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119,462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114,713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87,888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5"/>
                <w:szCs w:val="15"/>
                <w:color w:val="auto"/>
              </w:rPr>
              <w:t>Management and incentive fees waived (Note 3)</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69"/>
        </w:trPr>
        <w:tc>
          <w:tcPr>
            <w:tcW w:w="5340" w:type="dxa"/>
            <w:vAlign w:val="bottom"/>
            <w:tcBorders>
              <w:top w:val="single" w:sz="8" w:color="CFF0FC"/>
            </w:tcBorders>
            <w:shd w:val="clear" w:color="auto" w:fill="CFF0FC"/>
          </w:tcPr>
          <w:p>
            <w:pPr>
              <w:ind w:left="740"/>
              <w:spacing w:after="0" w:line="169" w:lineRule="exact"/>
              <w:rPr>
                <w:sz w:val="20"/>
                <w:szCs w:val="20"/>
                <w:color w:val="auto"/>
              </w:rPr>
            </w:pPr>
            <w:r>
              <w:rPr>
                <w:rFonts w:ascii="Arial" w:cs="Arial" w:eastAsia="Arial" w:hAnsi="Arial"/>
                <w:sz w:val="15"/>
                <w:szCs w:val="15"/>
                <w:b w:val="1"/>
                <w:bCs w:val="1"/>
                <w:color w:val="auto"/>
              </w:rPr>
              <w:t>Net Expenses</w:t>
            </w:r>
          </w:p>
        </w:tc>
        <w:tc>
          <w:tcPr>
            <w:tcW w:w="6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119,462</w:t>
            </w:r>
          </w:p>
        </w:tc>
        <w:tc>
          <w:tcPr>
            <w:tcW w:w="1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114,650</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87,803</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 Before Income Taxes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132,033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147,264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Arial" w:cs="Arial" w:eastAsia="Arial" w:hAnsi="Arial"/>
                <w:sz w:val="15"/>
                <w:szCs w:val="15"/>
                <w:color w:val="auto"/>
              </w:rPr>
              <w:t>123,094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Income taxes, including excise taxes</w:t>
            </w:r>
          </w:p>
        </w:tc>
        <w:tc>
          <w:tcPr>
            <w:tcW w:w="6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3,750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3,375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128,283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143,889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Arial" w:cs="Arial" w:eastAsia="Arial" w:hAnsi="Arial"/>
                <w:sz w:val="15"/>
                <w:szCs w:val="15"/>
                <w:color w:val="auto"/>
              </w:rPr>
              <w:t>120,259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Unrealized and Realized Gains (Losses)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rPr>
                <w:sz w:val="20"/>
                <w:szCs w:val="20"/>
                <w:color w:val="auto"/>
              </w:rPr>
            </w:pPr>
            <w:r>
              <w:rPr>
                <w:rFonts w:ascii="Arial" w:cs="Arial" w:eastAsia="Arial" w:hAnsi="Arial"/>
                <w:sz w:val="15"/>
                <w:szCs w:val="15"/>
                <w:color w:val="auto"/>
              </w:rPr>
              <w:t>Net change in unrealized gains (losses):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29,432</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(15,207)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Non-controlled, affiliated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1,272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5"/>
                <w:szCs w:val="15"/>
                <w:color w:val="auto"/>
              </w:rPr>
              <w:t>(670)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Controlled, 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(12,381)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(2,028)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Translation of other assets and liabilities in foreign currencies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5"/>
                <w:szCs w:val="15"/>
                <w:color w:val="auto"/>
              </w:rPr>
              <w:t>(3,255)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5,455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5"/>
                <w:szCs w:val="15"/>
                <w:color w:val="auto"/>
              </w:rPr>
              <w:t>(11,432)</w:t>
            </w: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rate swaps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9,194</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(1,701)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(1,031)</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740"/>
              <w:spacing w:after="0"/>
              <w:rPr>
                <w:sz w:val="20"/>
                <w:szCs w:val="20"/>
                <w:color w:val="auto"/>
              </w:rPr>
            </w:pPr>
            <w:r>
              <w:rPr>
                <w:rFonts w:ascii="Arial" w:cs="Arial" w:eastAsia="Arial" w:hAnsi="Arial"/>
                <w:sz w:val="15"/>
                <w:szCs w:val="15"/>
                <w:color w:val="auto"/>
              </w:rPr>
              <w:t>Total net change in unrealized gains (losses)</w:t>
            </w: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24,262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(14,151)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Arial" w:cs="Arial" w:eastAsia="Arial" w:hAnsi="Arial"/>
                <w:sz w:val="15"/>
                <w:szCs w:val="15"/>
                <w:color w:val="auto"/>
              </w:rPr>
              <w:t>5,295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Realized gains (losses):</w:t>
            </w:r>
          </w:p>
        </w:tc>
        <w:tc>
          <w:tcPr>
            <w:tcW w:w="6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5,482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3,457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7,481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Controlled, 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(3,594)</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(14,890)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(21,776)</w:t>
            </w: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Interest rate swaps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Foreign currency transactions</w:t>
            </w:r>
          </w:p>
        </w:tc>
        <w:tc>
          <w:tcPr>
            <w:tcW w:w="6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712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tcPr>
          <w:p>
            <w:pPr>
              <w:ind w:left="740"/>
              <w:spacing w:after="0" w:line="169" w:lineRule="exact"/>
              <w:rPr>
                <w:sz w:val="20"/>
                <w:szCs w:val="20"/>
                <w:color w:val="auto"/>
              </w:rPr>
            </w:pPr>
            <w:r>
              <w:rPr>
                <w:rFonts w:ascii="Arial" w:cs="Arial" w:eastAsia="Arial" w:hAnsi="Arial"/>
                <w:sz w:val="15"/>
                <w:szCs w:val="15"/>
                <w:color w:val="auto"/>
              </w:rPr>
              <w:t>Total net realized gains (losses)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2,038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(10,721)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(13,945)</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ind w:left="1000"/>
              <w:spacing w:after="0"/>
              <w:rPr>
                <w:sz w:val="20"/>
                <w:szCs w:val="20"/>
                <w:color w:val="auto"/>
              </w:rPr>
            </w:pPr>
            <w:r>
              <w:rPr>
                <w:rFonts w:ascii="Arial" w:cs="Arial" w:eastAsia="Arial" w:hAnsi="Arial"/>
                <w:sz w:val="15"/>
                <w:szCs w:val="15"/>
                <w:b w:val="1"/>
                <w:bCs w:val="1"/>
                <w:color w:val="auto"/>
              </w:rPr>
              <w:t>Total Unrealized and Realized Gains (Losses)</w:t>
            </w:r>
          </w:p>
        </w:tc>
        <w:tc>
          <w:tcPr>
            <w:tcW w:w="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vMerge w:val="continue"/>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26,300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(24,872)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(8,650)</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1000"/>
              <w:spacing w:after="0"/>
              <w:rPr>
                <w:sz w:val="20"/>
                <w:szCs w:val="20"/>
                <w:color w:val="auto"/>
              </w:rPr>
            </w:pPr>
            <w:r>
              <w:rPr>
                <w:rFonts w:ascii="Arial" w:cs="Arial" w:eastAsia="Arial" w:hAnsi="Arial"/>
                <w:sz w:val="15"/>
                <w:szCs w:val="15"/>
                <w:b w:val="1"/>
                <w:bCs w:val="1"/>
                <w:color w:val="auto"/>
              </w:rPr>
              <w:t>Increase in Net Assets Resulting from Operations</w:t>
            </w: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40" w:type="dxa"/>
            <w:vAlign w:val="bottom"/>
            <w:vMerge w:val="continue"/>
          </w:tcPr>
          <w:p>
            <w:pPr>
              <w:spacing w:after="0"/>
              <w:rPr>
                <w:sz w:val="16"/>
                <w:szCs w:val="16"/>
                <w:color w:val="auto"/>
              </w:rPr>
            </w:pP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154,583</w:t>
            </w:r>
          </w:p>
        </w:tc>
        <w:tc>
          <w:tcPr>
            <w:tcW w:w="180" w:type="dxa"/>
            <w:vAlign w:val="bottom"/>
          </w:tcPr>
          <w:p>
            <w:pPr>
              <w:spacing w:after="0"/>
              <w:rPr>
                <w:sz w:val="16"/>
                <w:szCs w:val="16"/>
                <w:color w:val="auto"/>
              </w:rPr>
            </w:pPr>
          </w:p>
        </w:tc>
        <w:tc>
          <w:tcPr>
            <w:tcW w:w="2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119,017</w:t>
            </w:r>
          </w:p>
        </w:tc>
        <w:tc>
          <w:tcPr>
            <w:tcW w:w="160" w:type="dxa"/>
            <w:vAlign w:val="bottom"/>
          </w:tcPr>
          <w:p>
            <w:pPr>
              <w:spacing w:after="0"/>
              <w:rPr>
                <w:sz w:val="16"/>
                <w:szCs w:val="16"/>
                <w:color w:val="auto"/>
              </w:rPr>
            </w:pPr>
          </w:p>
        </w:tc>
        <w:tc>
          <w:tcPr>
            <w:tcW w:w="2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420" w:type="dxa"/>
            <w:vAlign w:val="bottom"/>
          </w:tcPr>
          <w:p>
            <w:pPr>
              <w:jc w:val="right"/>
              <w:spacing w:after="0" w:line="169" w:lineRule="exact"/>
              <w:rPr>
                <w:sz w:val="20"/>
                <w:szCs w:val="20"/>
                <w:color w:val="auto"/>
              </w:rPr>
            </w:pPr>
            <w:r>
              <w:rPr>
                <w:rFonts w:ascii="Arial" w:cs="Arial" w:eastAsia="Arial" w:hAnsi="Arial"/>
                <w:sz w:val="15"/>
                <w:szCs w:val="15"/>
                <w:color w:val="auto"/>
              </w:rPr>
              <w:t>111,609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Earnings per common share—basic and diluted</w:t>
            </w: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40" w:type="dxa"/>
            <w:vAlign w:val="bottom"/>
            <w:vMerge w:val="continue"/>
            <w:shd w:val="clear" w:color="auto" w:fill="CFF0FC"/>
          </w:tcPr>
          <w:p>
            <w:pPr>
              <w:spacing w:after="0"/>
              <w:rPr>
                <w:sz w:val="13"/>
                <w:szCs w:val="13"/>
                <w:color w:val="auto"/>
              </w:rPr>
            </w:pPr>
          </w:p>
        </w:tc>
        <w:tc>
          <w:tcPr>
            <w:tcW w:w="80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2.34</w:t>
            </w:r>
          </w:p>
        </w:tc>
        <w:tc>
          <w:tcPr>
            <w:tcW w:w="18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1.86</w:t>
            </w:r>
          </w:p>
        </w:tc>
        <w:tc>
          <w:tcPr>
            <w:tcW w:w="16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14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1.86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5"/>
                <w:szCs w:val="15"/>
                <w:color w:val="auto"/>
              </w:rPr>
              <w:t>Weighted average shares of common stock outstanding—basic and diluted</w:t>
            </w:r>
          </w:p>
        </w:tc>
        <w:tc>
          <w:tcPr>
            <w:tcW w:w="6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66,069,305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64,028,137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59,995,387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Initial</w:t>
            </w: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Reference</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40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Investment</w:t>
            </w:r>
          </w:p>
        </w:tc>
        <w:tc>
          <w:tcPr>
            <w:tcW w:w="96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84"/>
              </w:rPr>
              <w:t>Acquisition</w:t>
            </w:r>
          </w:p>
        </w:tc>
        <w:tc>
          <w:tcPr>
            <w:tcW w:w="102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0"/>
              </w:rPr>
              <w:t>Rate and</w:t>
            </w:r>
          </w:p>
        </w:tc>
        <w:tc>
          <w:tcPr>
            <w:tcW w:w="142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Interest Rate</w:t>
            </w:r>
          </w:p>
        </w:tc>
        <w:tc>
          <w:tcPr>
            <w:tcW w:w="60" w:type="dxa"/>
            <w:vAlign w:val="bottom"/>
          </w:tcPr>
          <w:p>
            <w:pPr>
              <w:spacing w:after="0"/>
              <w:rPr>
                <w:sz w:val="12"/>
                <w:szCs w:val="12"/>
                <w:color w:val="auto"/>
              </w:rPr>
            </w:pPr>
          </w:p>
        </w:tc>
        <w:tc>
          <w:tcPr>
            <w:tcW w:w="98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8"/>
              </w:rPr>
              <w:t>Amortized</w:t>
            </w:r>
          </w:p>
        </w:tc>
        <w:tc>
          <w:tcPr>
            <w:tcW w:w="1000" w:type="dxa"/>
            <w:vAlign w:val="bottom"/>
            <w:gridSpan w:val="2"/>
          </w:tcPr>
          <w:p>
            <w:pPr>
              <w:ind w:left="100"/>
              <w:spacing w:after="0" w:line="140" w:lineRule="exact"/>
              <w:rPr>
                <w:sz w:val="20"/>
                <w:szCs w:val="20"/>
                <w:color w:val="auto"/>
              </w:rPr>
            </w:pPr>
            <w:r>
              <w:rPr>
                <w:rFonts w:ascii="Arial" w:cs="Arial" w:eastAsia="Arial" w:hAnsi="Arial"/>
                <w:sz w:val="13"/>
                <w:szCs w:val="13"/>
                <w:b w:val="1"/>
                <w:bCs w:val="1"/>
                <w:color w:val="auto"/>
              </w:rPr>
              <w:t>Fair Value</w:t>
            </w:r>
          </w:p>
        </w:tc>
        <w:tc>
          <w:tcPr>
            <w:tcW w:w="860" w:type="dxa"/>
            <w:vAlign w:val="bottom"/>
            <w:gridSpan w:val="2"/>
          </w:tcPr>
          <w:p>
            <w:pPr>
              <w:jc w:val="right"/>
              <w:ind w:right="220"/>
              <w:spacing w:after="0" w:line="140"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49"/>
        </w:trPr>
        <w:tc>
          <w:tcPr>
            <w:tcW w:w="2720" w:type="dxa"/>
            <w:vAlign w:val="bottom"/>
            <w:gridSpan w:val="2"/>
            <w:vMerge w:val="continue"/>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Date</w:t>
            </w: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Spread</w:t>
            </w:r>
          </w:p>
        </w:tc>
        <w:tc>
          <w:tcPr>
            <w:tcW w:w="14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780" w:type="dxa"/>
            <w:vAlign w:val="bottom"/>
          </w:tcPr>
          <w:p>
            <w:pPr>
              <w:jc w:val="right"/>
              <w:ind w:right="22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10"/>
        </w:trPr>
        <w:tc>
          <w:tcPr>
            <w:tcW w:w="2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00" w:type="dxa"/>
            <w:vAlign w:val="bottom"/>
            <w:tcBorders>
              <w:top w:val="single" w:sz="8" w:color="CFF0FC"/>
            </w:tcBorders>
            <w:shd w:val="clear" w:color="auto" w:fill="CFF0FC"/>
          </w:tcPr>
          <w:p>
            <w:pPr>
              <w:spacing w:after="0"/>
              <w:rPr>
                <w:sz w:val="18"/>
                <w:szCs w:val="18"/>
                <w:color w:val="auto"/>
              </w:rPr>
            </w:pPr>
          </w:p>
        </w:tc>
        <w:tc>
          <w:tcPr>
            <w:tcW w:w="2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gridSpan w:val="2"/>
          </w:tcPr>
          <w:p>
            <w:pPr>
              <w:spacing w:after="0"/>
              <w:rPr>
                <w:sz w:val="20"/>
                <w:szCs w:val="20"/>
                <w:color w:val="auto"/>
              </w:rPr>
            </w:pPr>
            <w:r>
              <w:rPr>
                <w:rFonts w:ascii="Arial" w:cs="Arial" w:eastAsia="Arial" w:hAnsi="Arial"/>
                <w:sz w:val="16"/>
                <w:szCs w:val="16"/>
                <w:b w:val="1"/>
                <w:bCs w:val="1"/>
                <w:color w:val="auto"/>
              </w:rPr>
              <w:t>Beverage, food and tobacco</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AFS Technologies, Inc. </w:t>
            </w:r>
            <w:r>
              <w:rPr>
                <w:rFonts w:ascii="Arial" w:cs="Arial" w:eastAsia="Arial" w:hAnsi="Arial"/>
                <w:sz w:val="24"/>
                <w:szCs w:val="24"/>
                <w:color w:val="auto"/>
                <w:vertAlign w:val="superscript"/>
              </w:rPr>
              <w:t>(3)(5)(6)</w:t>
            </w: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($45,559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10/16/2018</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+ 6.25%</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45,004</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45,673</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10/2023)</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gridSpan w:val="2"/>
          </w:tcPr>
          <w:p>
            <w:pPr>
              <w:spacing w:after="0"/>
              <w:rPr>
                <w:sz w:val="20"/>
                <w:szCs w:val="20"/>
                <w:color w:val="auto"/>
              </w:rPr>
            </w:pPr>
            <w:r>
              <w:rPr>
                <w:rFonts w:ascii="Arial" w:cs="Arial" w:eastAsia="Arial" w:hAnsi="Arial"/>
                <w:sz w:val="16"/>
                <w:szCs w:val="16"/>
                <w:b w:val="1"/>
                <w:bCs w:val="1"/>
                <w:color w:val="auto"/>
              </w:rPr>
              <w:t>Business services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Acceo Solutions,</w:t>
            </w: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64,025 par,</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+ 4.75%</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48,001</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49,497</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6"/>
        </w:trPr>
        <w:tc>
          <w:tcPr>
            <w:tcW w:w="27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(3)(4)(5)</w:t>
            </w: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7/2023)</w:t>
            </w: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(CAD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64,185)</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Alpha Midco, Inc. </w:t>
            </w:r>
            <w:r>
              <w:rPr>
                <w:rFonts w:ascii="Arial" w:cs="Arial" w:eastAsia="Arial" w:hAnsi="Arial"/>
                <w:sz w:val="23"/>
                <w:szCs w:val="23"/>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($45,296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8/15/2019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+ 6.75%</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8.75%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43,921</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44,061</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8/2025)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Dye &amp; Durham Corp. </w:t>
            </w:r>
            <w:r>
              <w:rPr>
                <w:rFonts w:ascii="Arial" w:cs="Arial" w:eastAsia="Arial" w:hAnsi="Arial"/>
                <w:sz w:val="24"/>
                <w:szCs w:val="24"/>
                <w:color w:val="auto"/>
                <w:vertAlign w:val="superscript"/>
              </w:rPr>
              <w:t>(3)(4)</w:t>
            </w: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65,669 par,</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+ 7.00%</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49,015</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49,628</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7/2024)</w:t>
            </w: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(CAD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64,355)</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revolving loan (CAD</w:t>
            </w:r>
          </w:p>
        </w:tc>
        <w:tc>
          <w:tcPr>
            <w:tcW w:w="840" w:type="dxa"/>
            <w:vAlign w:val="bottom"/>
          </w:tcPr>
          <w:p>
            <w:pPr>
              <w:jc w:val="right"/>
              <w:spacing w:after="0"/>
              <w:rPr>
                <w:sz w:val="20"/>
                <w:szCs w:val="20"/>
                <w:color w:val="auto"/>
              </w:rPr>
            </w:pPr>
            <w:r>
              <w:rPr>
                <w:rFonts w:ascii="Arial" w:cs="Arial" w:eastAsia="Arial" w:hAnsi="Arial"/>
                <w:sz w:val="16"/>
                <w:szCs w:val="16"/>
                <w:color w:val="auto"/>
              </w:rPr>
              <w:t>7/11/2019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P + 6.00%</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10.00%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1,269</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1,296</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1,750 par, due 7/2024)</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(CAD</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1,680)</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Integration Appliance,</w:t>
            </w: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($71,500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8/13/2018</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70,619</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71,685</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8/2023)</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Motus, LLC </w:t>
            </w:r>
            <w:r>
              <w:rPr>
                <w:rFonts w:ascii="Arial" w:cs="Arial" w:eastAsia="Arial" w:hAnsi="Arial"/>
                <w:sz w:val="23"/>
                <w:szCs w:val="23"/>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($59,853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1/17/2018</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+ 5.50%</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7.45%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58,764</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60,451</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1/2024)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Netwrix Corp. and Concept</w:t>
            </w: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($20,000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10/17/2019</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+ 5.88%</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19,541</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19,650</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5"/>
                <w:szCs w:val="15"/>
                <w:color w:val="auto"/>
              </w:rPr>
              <w:t xml:space="preserve">Searching, Inc. </w:t>
            </w:r>
            <w:r>
              <w:rPr>
                <w:rFonts w:ascii="Arial" w:cs="Arial" w:eastAsia="Arial" w:hAnsi="Arial"/>
                <w:sz w:val="25"/>
                <w:szCs w:val="25"/>
                <w:color w:val="auto"/>
                <w:vertAlign w:val="superscript"/>
              </w:rPr>
              <w:t>(3)(5)</w:t>
            </w:r>
          </w:p>
        </w:tc>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Nintex Global, Ltd. </w:t>
            </w:r>
            <w:r>
              <w:rPr>
                <w:rFonts w:ascii="Arial" w:cs="Arial" w:eastAsia="Arial" w:hAnsi="Arial"/>
                <w:sz w:val="23"/>
                <w:szCs w:val="23"/>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($74,223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3/30/2018</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+ 6.25%</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8.05%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72,844</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75,151</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4/2024)</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363,974</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371,419</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07"/>
        </w:trPr>
        <w:tc>
          <w:tcPr>
            <w:tcW w:w="2720" w:type="dxa"/>
            <w:vAlign w:val="bottom"/>
            <w:gridSpan w:val="2"/>
          </w:tcPr>
          <w:p>
            <w:pPr>
              <w:spacing w:after="0"/>
              <w:rPr>
                <w:sz w:val="20"/>
                <w:szCs w:val="20"/>
                <w:color w:val="auto"/>
              </w:rPr>
            </w:pPr>
            <w:r>
              <w:rPr>
                <w:rFonts w:ascii="Arial" w:cs="Arial" w:eastAsia="Arial" w:hAnsi="Arial"/>
                <w:sz w:val="16"/>
                <w:szCs w:val="16"/>
                <w:b w:val="1"/>
                <w:bCs w:val="1"/>
                <w:color w:val="auto"/>
              </w:rPr>
              <w:t>Chemicals</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4"/>
                <w:szCs w:val="24"/>
                <w:color w:val="auto"/>
                <w:vertAlign w:val="superscript"/>
              </w:rPr>
              <w:t>(3)</w:t>
            </w: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8"/>
              </w:rPr>
              <w:t>Second-lien loan ($4,147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10/31/2016</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+ 12.00%</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13.63%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4,147</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4,147</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10/2021)</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gridSpan w:val="2"/>
          </w:tcPr>
          <w:p>
            <w:pPr>
              <w:spacing w:after="0"/>
              <w:rPr>
                <w:sz w:val="20"/>
                <w:szCs w:val="20"/>
                <w:color w:val="auto"/>
              </w:rPr>
            </w:pPr>
            <w:r>
              <w:rPr>
                <w:rFonts w:ascii="Arial" w:cs="Arial" w:eastAsia="Arial" w:hAnsi="Arial"/>
                <w:sz w:val="16"/>
                <w:szCs w:val="16"/>
                <w:b w:val="1"/>
                <w:bCs w:val="1"/>
                <w:color w:val="auto"/>
              </w:rPr>
              <w:t>Communications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IntelePeer Holdings, Inc. </w:t>
            </w:r>
            <w:r>
              <w:rPr>
                <w:rFonts w:ascii="Arial" w:cs="Arial" w:eastAsia="Arial" w:hAnsi="Arial"/>
                <w:sz w:val="24"/>
                <w:szCs w:val="24"/>
                <w:color w:val="auto"/>
                <w:vertAlign w:val="superscript"/>
              </w:rPr>
              <w:t>(3)</w:t>
            </w: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($35,000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+ 8.00%</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9.91%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34,711</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12/2024)</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gridSpan w:val="2"/>
          </w:tcPr>
          <w:p>
            <w:pPr>
              <w:spacing w:after="0"/>
              <w:rPr>
                <w:sz w:val="20"/>
                <w:szCs w:val="20"/>
                <w:color w:val="auto"/>
              </w:rPr>
            </w:pPr>
            <w:r>
              <w:rPr>
                <w:rFonts w:ascii="Arial" w:cs="Arial" w:eastAsia="Arial" w:hAnsi="Arial"/>
                <w:sz w:val="16"/>
                <w:szCs w:val="16"/>
                <w:b w:val="1"/>
                <w:bCs w:val="1"/>
                <w:color w:val="auto"/>
              </w:rPr>
              <w:t>Education</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Curriculum Associates,</w:t>
            </w: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($75,000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2/28/2018</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+ 5.50%</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72,055</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77,438</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(3)(5)</w:t>
            </w:r>
          </w:p>
        </w:tc>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9/2025)</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20" w:type="dxa"/>
            <w:vAlign w:val="bottom"/>
            <w:gridSpan w:val="2"/>
          </w:tcPr>
          <w:p>
            <w:pPr>
              <w:spacing w:after="0"/>
              <w:rPr>
                <w:sz w:val="20"/>
                <w:szCs w:val="20"/>
                <w:color w:val="auto"/>
              </w:rPr>
            </w:pPr>
            <w:r>
              <w:rPr>
                <w:rFonts w:ascii="Arial" w:cs="Arial" w:eastAsia="Arial" w:hAnsi="Arial"/>
                <w:sz w:val="16"/>
                <w:szCs w:val="16"/>
                <w:color w:val="auto"/>
              </w:rPr>
              <w:t>Frontline Technologies</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($65,798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9/18/2017</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+ 5.75%</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7.55%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65,395</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65,963</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2720" w:type="dxa"/>
            <w:vAlign w:val="bottom"/>
            <w:gridSpan w:val="2"/>
          </w:tcPr>
          <w:p>
            <w:pPr>
              <w:ind w:left="120"/>
              <w:spacing w:after="0" w:line="216" w:lineRule="exact"/>
              <w:rPr>
                <w:sz w:val="20"/>
                <w:szCs w:val="20"/>
                <w:color w:val="auto"/>
              </w:rPr>
            </w:pPr>
            <w:r>
              <w:rPr>
                <w:rFonts w:ascii="Arial" w:cs="Arial" w:eastAsia="Arial" w:hAnsi="Arial"/>
                <w:sz w:val="15"/>
                <w:szCs w:val="15"/>
                <w:color w:val="auto"/>
              </w:rPr>
              <w:t xml:space="preserve">Group, LLC </w:t>
            </w:r>
            <w:r>
              <w:rPr>
                <w:rFonts w:ascii="Arial" w:cs="Arial" w:eastAsia="Arial" w:hAnsi="Arial"/>
                <w:sz w:val="25"/>
                <w:szCs w:val="25"/>
                <w:color w:val="auto"/>
                <w:vertAlign w:val="superscript"/>
              </w:rPr>
              <w:t>(3)</w:t>
            </w:r>
          </w:p>
        </w:tc>
        <w:tc>
          <w:tcPr>
            <w:tcW w:w="2300" w:type="dxa"/>
            <w:vAlign w:val="bottom"/>
          </w:tcPr>
          <w:p>
            <w:pPr>
              <w:spacing w:after="0"/>
              <w:rPr>
                <w:sz w:val="20"/>
                <w:szCs w:val="20"/>
                <w:color w:val="auto"/>
              </w:rPr>
            </w:pPr>
            <w:r>
              <w:rPr>
                <w:rFonts w:ascii="Arial" w:cs="Arial" w:eastAsia="Arial" w:hAnsi="Arial"/>
                <w:sz w:val="16"/>
                <w:szCs w:val="16"/>
                <w:color w:val="auto"/>
              </w:rPr>
              <w:t>9/2023)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Illuminate Education,</w:t>
            </w: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($64,025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8/25/2017</w:t>
            </w: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63,227</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63,545</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27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Inc.</w:t>
            </w:r>
            <w:r>
              <w:rPr>
                <w:rFonts w:ascii="Arial" w:cs="Arial" w:eastAsia="Arial" w:hAnsi="Arial"/>
                <w:sz w:val="13"/>
                <w:szCs w:val="13"/>
                <w:color w:val="auto"/>
              </w:rPr>
              <w:t>(3)(5)</w:t>
            </w:r>
          </w:p>
        </w:tc>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8/2022)</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200,677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206,946</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3"/>
        </w:trPr>
        <w:tc>
          <w:tcPr>
            <w:tcW w:w="2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Electronics</w:t>
            </w:r>
          </w:p>
        </w:tc>
        <w:tc>
          <w:tcPr>
            <w:tcW w:w="2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APX Group, Inc. </w:t>
            </w:r>
            <w:r>
              <w:rPr>
                <w:rFonts w:ascii="Arial" w:cs="Arial" w:eastAsia="Arial" w:hAnsi="Arial"/>
                <w:sz w:val="23"/>
                <w:szCs w:val="23"/>
                <w:color w:val="auto"/>
                <w:vertAlign w:val="superscript"/>
              </w:rPr>
              <w:t>(11)</w:t>
            </w:r>
          </w:p>
        </w:tc>
        <w:tc>
          <w:tcPr>
            <w:tcW w:w="2400" w:type="dxa"/>
            <w:vAlign w:val="bottom"/>
            <w:gridSpan w:val="2"/>
          </w:tcPr>
          <w:p>
            <w:pPr>
              <w:spacing w:after="0"/>
              <w:rPr>
                <w:sz w:val="20"/>
                <w:szCs w:val="20"/>
                <w:color w:val="auto"/>
              </w:rPr>
            </w:pPr>
            <w:r>
              <w:rPr>
                <w:rFonts w:ascii="Arial" w:cs="Arial" w:eastAsia="Arial" w:hAnsi="Arial"/>
                <w:sz w:val="16"/>
                <w:szCs w:val="16"/>
                <w:color w:val="auto"/>
              </w:rPr>
              <w:t>Secured note ($1,000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5/31/2019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7.88%</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7.88%</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938</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1,009</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12/2022)</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2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Financial services</w:t>
            </w:r>
          </w:p>
        </w:tc>
        <w:tc>
          <w:tcPr>
            <w:tcW w:w="2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AppStar Financial, LLC </w:t>
            </w:r>
            <w:r>
              <w:rPr>
                <w:rFonts w:ascii="Arial" w:cs="Arial" w:eastAsia="Arial" w:hAnsi="Arial"/>
                <w:sz w:val="23"/>
                <w:szCs w:val="23"/>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($15,855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8/18/2015</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+ 7.50%</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9.30%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15,794</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15,944</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8/2020)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4"/>
                <w:szCs w:val="24"/>
                <w:color w:val="auto"/>
                <w:vertAlign w:val="superscript"/>
              </w:rPr>
              <w:t>(3)(5)</w:t>
            </w: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($10,350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+ 9.00%</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10,195</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10,236</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4/2024)</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Bear OpCo, LLC </w:t>
            </w:r>
            <w:r>
              <w:rPr>
                <w:rFonts w:ascii="Arial" w:cs="Arial" w:eastAsia="Arial" w:hAnsi="Arial"/>
                <w:sz w:val="23"/>
                <w:szCs w:val="23"/>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($17,456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10/10/2019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+ 5.00%</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6.80%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16,978</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17,063</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10/2024)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BlueSnap, Inc. </w:t>
            </w:r>
            <w:r>
              <w:rPr>
                <w:rFonts w:ascii="Arial" w:cs="Arial" w:eastAsia="Arial" w:hAnsi="Arial"/>
                <w:sz w:val="24"/>
                <w:szCs w:val="24"/>
                <w:color w:val="auto"/>
                <w:vertAlign w:val="superscript"/>
              </w:rPr>
              <w:t>(3)</w:t>
            </w: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($35,000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34,273</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34,531</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10/2024)</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G Treasury SS, LLC </w:t>
            </w:r>
            <w:r>
              <w:rPr>
                <w:rFonts w:ascii="Arial" w:cs="Arial" w:eastAsia="Arial" w:hAnsi="Arial"/>
                <w:sz w:val="23"/>
                <w:szCs w:val="23"/>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($30,000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4/9/2018</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+ 8.25%</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10.03%</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29,643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30,000</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4/2023)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GC Agile Holdings, Ltd. </w:t>
            </w:r>
            <w:r>
              <w:rPr>
                <w:rFonts w:ascii="Arial" w:cs="Arial" w:eastAsia="Arial" w:hAnsi="Arial"/>
                <w:sz w:val="24"/>
                <w:szCs w:val="24"/>
                <w:color w:val="auto"/>
                <w:vertAlign w:val="superscript"/>
              </w:rPr>
              <w:t>(3)(4)</w:t>
            </w: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($39,724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+ 7.00%</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39,099</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39,128</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6/2025)</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20" w:type="dxa"/>
            <w:vAlign w:val="bottom"/>
            <w:gridSpan w:val="2"/>
          </w:tcPr>
          <w:p>
            <w:pPr>
              <w:spacing w:after="0" w:line="207" w:lineRule="exact"/>
              <w:rPr>
                <w:sz w:val="20"/>
                <w:szCs w:val="20"/>
                <w:color w:val="auto"/>
              </w:rPr>
            </w:pPr>
            <w:r>
              <w:rPr>
                <w:rFonts w:ascii="Arial" w:cs="Arial" w:eastAsia="Arial" w:hAnsi="Arial"/>
                <w:sz w:val="14"/>
                <w:szCs w:val="14"/>
                <w:color w:val="auto"/>
              </w:rPr>
              <w:t>Kyriba Corp.</w:t>
            </w:r>
            <w:r>
              <w:rPr>
                <w:rFonts w:ascii="Arial" w:cs="Arial" w:eastAsia="Arial" w:hAnsi="Arial"/>
                <w:sz w:val="23"/>
                <w:szCs w:val="23"/>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6"/>
                <w:szCs w:val="16"/>
                <w:color w:val="auto"/>
              </w:rPr>
              <w:t>First-lien loan ($12,717 par, due</w:t>
            </w:r>
          </w:p>
        </w:tc>
        <w:tc>
          <w:tcPr>
            <w:tcW w:w="840" w:type="dxa"/>
            <w:vAlign w:val="bottom"/>
          </w:tcPr>
          <w:p>
            <w:pPr>
              <w:jc w:val="right"/>
              <w:spacing w:after="0"/>
              <w:rPr>
                <w:sz w:val="20"/>
                <w:szCs w:val="20"/>
                <w:color w:val="auto"/>
              </w:rPr>
            </w:pPr>
            <w:r>
              <w:rPr>
                <w:rFonts w:ascii="Arial" w:cs="Arial" w:eastAsia="Arial" w:hAnsi="Arial"/>
                <w:sz w:val="16"/>
                <w:szCs w:val="16"/>
                <w:color w:val="auto"/>
              </w:rPr>
              <w:t>4/9/2019</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+ 9.00%</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10.94% (incl.</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12,391</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12,866</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6"/>
                <w:szCs w:val="16"/>
                <w:color w:val="auto"/>
              </w:rPr>
              <w:t>4/2025)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9.00% PIK)</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(EUR 7,571 par,</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4/9/2019</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E + 9.00%</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9.00% (incl.</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8,258</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7,759</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4/2025)</w:t>
            </w: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9.00% PIK)</w:t>
            </w: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(EUR</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6,912)</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First-lien revolving loan ($427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4/9/2019</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9.17%</w:t>
            </w:r>
          </w:p>
        </w:tc>
        <w:tc>
          <w:tcPr>
            <w:tcW w:w="780" w:type="dxa"/>
            <w:vAlign w:val="bottom"/>
          </w:tcPr>
          <w:p>
            <w:pPr>
              <w:jc w:val="right"/>
              <w:spacing w:after="0"/>
              <w:rPr>
                <w:sz w:val="20"/>
                <w:szCs w:val="20"/>
                <w:color w:val="auto"/>
              </w:rPr>
            </w:pPr>
            <w:r>
              <w:rPr>
                <w:rFonts w:ascii="Arial" w:cs="Arial" w:eastAsia="Arial" w:hAnsi="Arial"/>
                <w:sz w:val="16"/>
                <w:szCs w:val="16"/>
                <w:color w:val="auto"/>
              </w:rPr>
              <w:t>384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par, due 4/2025)</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revolving loan (EUR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4/9/2019</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E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183 par, due 4/2025)</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(EUR 54)</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0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PayLease, LLC </w:t>
            </w:r>
            <w:r>
              <w:rPr>
                <w:rFonts w:ascii="Arial" w:cs="Arial" w:eastAsia="Arial" w:hAnsi="Arial"/>
                <w:sz w:val="23"/>
                <w:szCs w:val="23"/>
                <w:color w:val="auto"/>
                <w:vertAlign w:val="superscript"/>
              </w:rPr>
              <w:t>(3)</w:t>
            </w:r>
          </w:p>
        </w:tc>
        <w:tc>
          <w:tcPr>
            <w:tcW w:w="2480" w:type="dxa"/>
            <w:vAlign w:val="bottom"/>
          </w:tcPr>
          <w:p>
            <w:pPr>
              <w:ind w:left="160"/>
              <w:spacing w:after="0"/>
              <w:rPr>
                <w:sz w:val="20"/>
                <w:szCs w:val="20"/>
                <w:color w:val="auto"/>
              </w:rPr>
            </w:pPr>
            <w:r>
              <w:rPr>
                <w:rFonts w:ascii="Arial" w:cs="Arial" w:eastAsia="Arial" w:hAnsi="Arial"/>
                <w:sz w:val="16"/>
                <w:szCs w:val="16"/>
                <w:color w:val="auto"/>
              </w:rPr>
              <w:t>First-lien loan ($64,327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7/28/2017</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780" w:type="dxa"/>
            <w:vAlign w:val="bottom"/>
          </w:tcPr>
          <w:p>
            <w:pPr>
              <w:jc w:val="right"/>
              <w:spacing w:after="0"/>
              <w:rPr>
                <w:sz w:val="20"/>
                <w:szCs w:val="20"/>
                <w:color w:val="auto"/>
              </w:rPr>
            </w:pPr>
            <w:r>
              <w:rPr>
                <w:rFonts w:ascii="Arial" w:cs="Arial" w:eastAsia="Arial" w:hAnsi="Arial"/>
                <w:sz w:val="16"/>
                <w:szCs w:val="16"/>
                <w:color w:val="auto"/>
              </w:rPr>
              <w:t>63,518</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65,511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7/2022)</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PrimeRevenue, Inc. </w:t>
            </w:r>
            <w:r>
              <w:rPr>
                <w:rFonts w:ascii="Arial" w:cs="Arial" w:eastAsia="Arial" w:hAnsi="Arial"/>
                <w:sz w:val="24"/>
                <w:szCs w:val="24"/>
                <w:color w:val="auto"/>
                <w:vertAlign w:val="superscript"/>
              </w:rPr>
              <w:t>(3)</w:t>
            </w: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($21,144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12/31/2018</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+ 8.50%</w:t>
            </w: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10.30% (incl.</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20,877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21,213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12/2023)</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5.50% PIK)</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0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Swift Gift, Ltd. </w:t>
            </w:r>
            <w:r>
              <w:rPr>
                <w:rFonts w:ascii="Arial" w:cs="Arial" w:eastAsia="Arial" w:hAnsi="Arial"/>
                <w:sz w:val="23"/>
                <w:szCs w:val="23"/>
                <w:color w:val="auto"/>
                <w:vertAlign w:val="superscript"/>
              </w:rPr>
              <w:t>(3)(5)</w:t>
            </w:r>
          </w:p>
        </w:tc>
        <w:tc>
          <w:tcPr>
            <w:tcW w:w="2480" w:type="dxa"/>
            <w:vAlign w:val="bottom"/>
          </w:tcPr>
          <w:p>
            <w:pPr>
              <w:ind w:left="160"/>
              <w:spacing w:after="0"/>
              <w:rPr>
                <w:sz w:val="20"/>
                <w:szCs w:val="20"/>
                <w:color w:val="auto"/>
              </w:rPr>
            </w:pPr>
            <w:r>
              <w:rPr>
                <w:rFonts w:ascii="Arial" w:cs="Arial" w:eastAsia="Arial" w:hAnsi="Arial"/>
                <w:sz w:val="16"/>
                <w:szCs w:val="16"/>
                <w:color w:val="auto"/>
              </w:rPr>
              <w:t>First-lien loan ($28,146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7/31/2017</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8.31%</w:t>
            </w:r>
          </w:p>
        </w:tc>
        <w:tc>
          <w:tcPr>
            <w:tcW w:w="780" w:type="dxa"/>
            <w:vAlign w:val="bottom"/>
          </w:tcPr>
          <w:p>
            <w:pPr>
              <w:jc w:val="right"/>
              <w:spacing w:after="0"/>
              <w:rPr>
                <w:sz w:val="20"/>
                <w:szCs w:val="20"/>
                <w:color w:val="auto"/>
              </w:rPr>
            </w:pPr>
            <w:r>
              <w:rPr>
                <w:rFonts w:ascii="Arial" w:cs="Arial" w:eastAsia="Arial" w:hAnsi="Arial"/>
                <w:sz w:val="16"/>
                <w:szCs w:val="16"/>
                <w:color w:val="auto"/>
              </w:rPr>
              <w:t>27,776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28,849</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Borders>
              <w:bottom w:val="single" w:sz="8" w:color="CFF0FC"/>
            </w:tcBorders>
          </w:tcPr>
          <w:p>
            <w:pPr>
              <w:spacing w:after="0"/>
              <w:rPr>
                <w:sz w:val="18"/>
                <w:szCs w:val="18"/>
                <w:color w:val="auto"/>
              </w:rPr>
            </w:pPr>
          </w:p>
        </w:tc>
        <w:tc>
          <w:tcPr>
            <w:tcW w:w="248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1/2022)</w:t>
            </w:r>
          </w:p>
        </w:tc>
        <w:tc>
          <w:tcPr>
            <w:tcW w:w="100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279,383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283,696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7"/>
        </w:trPr>
        <w:tc>
          <w:tcPr>
            <w:tcW w:w="2500" w:type="dxa"/>
            <w:vAlign w:val="bottom"/>
            <w:gridSpan w:val="2"/>
          </w:tcPr>
          <w:p>
            <w:pPr>
              <w:spacing w:after="0"/>
              <w:rPr>
                <w:sz w:val="20"/>
                <w:szCs w:val="20"/>
                <w:color w:val="auto"/>
              </w:rPr>
            </w:pPr>
            <w:r>
              <w:rPr>
                <w:rFonts w:ascii="Arial" w:cs="Arial" w:eastAsia="Arial" w:hAnsi="Arial"/>
                <w:sz w:val="16"/>
                <w:szCs w:val="16"/>
                <w:b w:val="1"/>
                <w:bCs w:val="1"/>
                <w:color w:val="auto"/>
              </w:rPr>
              <w:t>Healthcare</w:t>
            </w:r>
          </w:p>
        </w:tc>
        <w:tc>
          <w:tcPr>
            <w:tcW w:w="2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6"/>
                <w:szCs w:val="16"/>
                <w:color w:val="auto"/>
              </w:rPr>
              <w:t>Caris Life Sciences, Ltd.</w:t>
            </w: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($5,000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9/21/2018</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11.30%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4,956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9/2023)</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w w:val="96"/>
              </w:rPr>
              <w:t>Convertible note ($2,500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9/21/2018</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8.00%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8.00%</w:t>
            </w:r>
          </w:p>
        </w:tc>
        <w:tc>
          <w:tcPr>
            <w:tcW w:w="780" w:type="dxa"/>
            <w:vAlign w:val="bottom"/>
          </w:tcPr>
          <w:p>
            <w:pPr>
              <w:jc w:val="right"/>
              <w:spacing w:after="0"/>
              <w:rPr>
                <w:sz w:val="20"/>
                <w:szCs w:val="20"/>
                <w:color w:val="auto"/>
              </w:rPr>
            </w:pPr>
            <w:r>
              <w:rPr>
                <w:rFonts w:ascii="Arial" w:cs="Arial" w:eastAsia="Arial" w:hAnsi="Arial"/>
                <w:sz w:val="16"/>
                <w:szCs w:val="16"/>
                <w:color w:val="auto"/>
              </w:rPr>
              <w:t>2,500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2,550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9/2023)</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Clinicient, Inc.</w:t>
            </w:r>
            <w:r>
              <w:rPr>
                <w:rFonts w:ascii="Arial" w:cs="Arial" w:eastAsia="Arial" w:hAnsi="Arial"/>
                <w:sz w:val="24"/>
                <w:szCs w:val="24"/>
                <w:color w:val="auto"/>
                <w:vertAlign w:val="superscript"/>
              </w:rPr>
              <w:t>(3)</w:t>
            </w: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($15,000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5/31/2019</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8.94%</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14,829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14,858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spacing w:after="0"/>
              <w:rPr>
                <w:sz w:val="20"/>
                <w:szCs w:val="20"/>
                <w:color w:val="auto"/>
              </w:rPr>
            </w:pPr>
            <w:r>
              <w:rPr>
                <w:rFonts w:ascii="Arial" w:cs="Arial" w:eastAsia="Arial" w:hAnsi="Arial"/>
                <w:sz w:val="16"/>
                <w:szCs w:val="16"/>
                <w:color w:val="auto"/>
              </w:rPr>
              <w:t>Integrated Practice</w:t>
            </w:r>
          </w:p>
        </w:tc>
        <w:tc>
          <w:tcPr>
            <w:tcW w:w="2480" w:type="dxa"/>
            <w:vAlign w:val="bottom"/>
          </w:tcPr>
          <w:p>
            <w:pPr>
              <w:ind w:left="160"/>
              <w:spacing w:after="0"/>
              <w:rPr>
                <w:sz w:val="20"/>
                <w:szCs w:val="20"/>
                <w:color w:val="auto"/>
              </w:rPr>
            </w:pPr>
            <w:r>
              <w:rPr>
                <w:rFonts w:ascii="Arial" w:cs="Arial" w:eastAsia="Arial" w:hAnsi="Arial"/>
                <w:sz w:val="16"/>
                <w:szCs w:val="16"/>
                <w:color w:val="auto"/>
              </w:rPr>
              <w:t>First-lien loan ($49,875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6/30/2017</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+ 7.50%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780" w:type="dxa"/>
            <w:vAlign w:val="bottom"/>
          </w:tcPr>
          <w:p>
            <w:pPr>
              <w:jc w:val="right"/>
              <w:spacing w:after="0"/>
              <w:rPr>
                <w:sz w:val="20"/>
                <w:szCs w:val="20"/>
                <w:color w:val="auto"/>
              </w:rPr>
            </w:pPr>
            <w:r>
              <w:rPr>
                <w:rFonts w:ascii="Arial" w:cs="Arial" w:eastAsia="Arial" w:hAnsi="Arial"/>
                <w:sz w:val="16"/>
                <w:szCs w:val="16"/>
                <w:color w:val="auto"/>
              </w:rPr>
              <w:t>48,104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49,875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00"/>
              <w:spacing w:after="0" w:line="216" w:lineRule="exact"/>
              <w:rPr>
                <w:sz w:val="20"/>
                <w:szCs w:val="20"/>
                <w:color w:val="auto"/>
              </w:rPr>
            </w:pPr>
            <w:r>
              <w:rPr>
                <w:rFonts w:ascii="Arial" w:cs="Arial" w:eastAsia="Arial" w:hAnsi="Arial"/>
                <w:sz w:val="15"/>
                <w:szCs w:val="15"/>
                <w:color w:val="auto"/>
              </w:rPr>
              <w:t xml:space="preserve">Solutions, Inc. </w:t>
            </w:r>
            <w:r>
              <w:rPr>
                <w:rFonts w:ascii="Arial" w:cs="Arial" w:eastAsia="Arial" w:hAnsi="Arial"/>
                <w:sz w:val="25"/>
                <w:szCs w:val="25"/>
                <w:color w:val="auto"/>
                <w:vertAlign w:val="superscript"/>
              </w:rPr>
              <w:t>(3)(5)</w:t>
            </w:r>
          </w:p>
        </w:tc>
        <w:tc>
          <w:tcPr>
            <w:tcW w:w="2480" w:type="dxa"/>
            <w:vAlign w:val="bottom"/>
          </w:tcPr>
          <w:p>
            <w:pPr>
              <w:ind w:left="160"/>
              <w:spacing w:after="0"/>
              <w:rPr>
                <w:sz w:val="20"/>
                <w:szCs w:val="20"/>
                <w:color w:val="auto"/>
              </w:rPr>
            </w:pPr>
            <w:r>
              <w:rPr>
                <w:rFonts w:ascii="Arial" w:cs="Arial" w:eastAsia="Arial" w:hAnsi="Arial"/>
                <w:sz w:val="16"/>
                <w:szCs w:val="16"/>
                <w:color w:val="auto"/>
              </w:rPr>
              <w:t>10/2024)</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8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MedeAnalytics, Inc. </w:t>
            </w:r>
            <w:r>
              <w:rPr>
                <w:rFonts w:ascii="Arial" w:cs="Arial" w:eastAsia="Arial" w:hAnsi="Arial"/>
                <w:sz w:val="23"/>
                <w:szCs w:val="23"/>
                <w:color w:val="auto"/>
                <w:vertAlign w:val="superscript"/>
              </w:rPr>
              <w:t>(3)(5)</w:t>
            </w: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($40,773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9/30/2015</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40,556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40,875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9/2020)</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0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23"/>
                <w:szCs w:val="23"/>
                <w:color w:val="auto"/>
                <w:vertAlign w:val="superscript"/>
              </w:rPr>
              <w:t>(3)(5)</w:t>
            </w:r>
          </w:p>
        </w:tc>
        <w:tc>
          <w:tcPr>
            <w:tcW w:w="2480" w:type="dxa"/>
            <w:vAlign w:val="bottom"/>
          </w:tcPr>
          <w:p>
            <w:pPr>
              <w:ind w:left="160"/>
              <w:spacing w:after="0"/>
              <w:rPr>
                <w:sz w:val="20"/>
                <w:szCs w:val="20"/>
                <w:color w:val="auto"/>
              </w:rPr>
            </w:pPr>
            <w:r>
              <w:rPr>
                <w:rFonts w:ascii="Arial" w:cs="Arial" w:eastAsia="Arial" w:hAnsi="Arial"/>
                <w:sz w:val="16"/>
                <w:szCs w:val="16"/>
                <w:color w:val="auto"/>
              </w:rPr>
              <w:t>First-lien loan ($18,444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2/29/2016</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+ 8.50%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10.41%</w:t>
            </w:r>
          </w:p>
        </w:tc>
        <w:tc>
          <w:tcPr>
            <w:tcW w:w="780" w:type="dxa"/>
            <w:vAlign w:val="bottom"/>
          </w:tcPr>
          <w:p>
            <w:pPr>
              <w:jc w:val="right"/>
              <w:spacing w:after="0"/>
              <w:rPr>
                <w:sz w:val="20"/>
                <w:szCs w:val="20"/>
                <w:color w:val="auto"/>
              </w:rPr>
            </w:pPr>
            <w:r>
              <w:rPr>
                <w:rFonts w:ascii="Arial" w:cs="Arial" w:eastAsia="Arial" w:hAnsi="Arial"/>
                <w:sz w:val="16"/>
                <w:szCs w:val="16"/>
                <w:color w:val="auto"/>
              </w:rPr>
              <w:t>18,326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18,444</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12/2020)</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TherapeuticsMD, Inc. </w:t>
            </w:r>
            <w:r>
              <w:rPr>
                <w:rFonts w:ascii="Arial" w:cs="Arial" w:eastAsia="Arial" w:hAnsi="Arial"/>
                <w:sz w:val="24"/>
                <w:szCs w:val="24"/>
                <w:color w:val="auto"/>
                <w:vertAlign w:val="superscript"/>
              </w:rPr>
              <w:t>(3)(4)</w:t>
            </w: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($30,000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4/24/2019</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29,333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29,100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3/2024)</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spacing w:after="0"/>
              <w:rPr>
                <w:sz w:val="20"/>
                <w:szCs w:val="20"/>
                <w:color w:val="auto"/>
              </w:rPr>
            </w:pPr>
            <w:r>
              <w:rPr>
                <w:rFonts w:ascii="Arial" w:cs="Arial" w:eastAsia="Arial" w:hAnsi="Arial"/>
                <w:sz w:val="16"/>
                <w:szCs w:val="16"/>
                <w:color w:val="auto"/>
              </w:rPr>
              <w:t>Valant Medical Solutions,</w:t>
            </w:r>
          </w:p>
        </w:tc>
        <w:tc>
          <w:tcPr>
            <w:tcW w:w="2480" w:type="dxa"/>
            <w:vAlign w:val="bottom"/>
          </w:tcPr>
          <w:p>
            <w:pPr>
              <w:ind w:left="160"/>
              <w:spacing w:after="0"/>
              <w:rPr>
                <w:sz w:val="20"/>
                <w:szCs w:val="20"/>
                <w:color w:val="auto"/>
              </w:rPr>
            </w:pPr>
            <w:r>
              <w:rPr>
                <w:rFonts w:ascii="Arial" w:cs="Arial" w:eastAsia="Arial" w:hAnsi="Arial"/>
                <w:sz w:val="16"/>
                <w:szCs w:val="16"/>
                <w:color w:val="auto"/>
              </w:rPr>
              <w:t>First-lien loan ($27,936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4/8/2019</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+ 8.75%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10.55%</w:t>
            </w:r>
          </w:p>
        </w:tc>
        <w:tc>
          <w:tcPr>
            <w:tcW w:w="780" w:type="dxa"/>
            <w:vAlign w:val="bottom"/>
          </w:tcPr>
          <w:p>
            <w:pPr>
              <w:jc w:val="right"/>
              <w:spacing w:after="0"/>
              <w:rPr>
                <w:sz w:val="20"/>
                <w:szCs w:val="20"/>
                <w:color w:val="auto"/>
              </w:rPr>
            </w:pPr>
            <w:r>
              <w:rPr>
                <w:rFonts w:ascii="Arial" w:cs="Arial" w:eastAsia="Arial" w:hAnsi="Arial"/>
                <w:sz w:val="16"/>
                <w:szCs w:val="16"/>
                <w:color w:val="auto"/>
              </w:rPr>
              <w:t>27,117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27,372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00"/>
              <w:spacing w:after="0" w:line="216" w:lineRule="exact"/>
              <w:rPr>
                <w:sz w:val="20"/>
                <w:szCs w:val="20"/>
                <w:color w:val="auto"/>
              </w:rPr>
            </w:pPr>
            <w:r>
              <w:rPr>
                <w:rFonts w:ascii="Arial" w:cs="Arial" w:eastAsia="Arial" w:hAnsi="Arial"/>
                <w:sz w:val="15"/>
                <w:szCs w:val="15"/>
                <w:color w:val="auto"/>
              </w:rPr>
              <w:t xml:space="preserve">Inc. </w:t>
            </w:r>
            <w:r>
              <w:rPr>
                <w:rFonts w:ascii="Arial" w:cs="Arial" w:eastAsia="Arial" w:hAnsi="Arial"/>
                <w:sz w:val="25"/>
                <w:szCs w:val="25"/>
                <w:color w:val="auto"/>
                <w:vertAlign w:val="superscript"/>
              </w:rPr>
              <w:t>(3)</w:t>
            </w:r>
          </w:p>
        </w:tc>
        <w:tc>
          <w:tcPr>
            <w:tcW w:w="2480" w:type="dxa"/>
            <w:vAlign w:val="bottom"/>
          </w:tcPr>
          <w:p>
            <w:pPr>
              <w:ind w:left="160"/>
              <w:spacing w:after="0"/>
              <w:rPr>
                <w:sz w:val="20"/>
                <w:szCs w:val="20"/>
                <w:color w:val="auto"/>
              </w:rPr>
            </w:pPr>
            <w:r>
              <w:rPr>
                <w:rFonts w:ascii="Arial" w:cs="Arial" w:eastAsia="Arial" w:hAnsi="Arial"/>
                <w:sz w:val="16"/>
                <w:szCs w:val="16"/>
                <w:color w:val="auto"/>
              </w:rPr>
              <w:t>4/2024)</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8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23"/>
                <w:szCs w:val="23"/>
                <w:color w:val="auto"/>
                <w:vertAlign w:val="superscript"/>
              </w:rPr>
              <w:t>(3)(5)</w:t>
            </w: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($21,773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2/11/2019</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21,237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21,773</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2/2024)</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206,857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209,803</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4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0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(3)(7)</w:t>
            </w:r>
          </w:p>
        </w:tc>
        <w:tc>
          <w:tcPr>
            <w:tcW w:w="2480" w:type="dxa"/>
            <w:vAlign w:val="bottom"/>
          </w:tcPr>
          <w:p>
            <w:pPr>
              <w:ind w:left="160"/>
              <w:spacing w:after="0"/>
              <w:rPr>
                <w:sz w:val="20"/>
                <w:szCs w:val="20"/>
                <w:color w:val="auto"/>
              </w:rPr>
            </w:pPr>
            <w:r>
              <w:rPr>
                <w:rFonts w:ascii="Arial" w:cs="Arial" w:eastAsia="Arial" w:hAnsi="Arial"/>
                <w:sz w:val="16"/>
                <w:szCs w:val="16"/>
                <w:color w:val="auto"/>
              </w:rPr>
              <w:t>First-lien loan ($31,600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9/29/2015</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+ 9.50%</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11.44% (incl.</w:t>
            </w:r>
          </w:p>
        </w:tc>
        <w:tc>
          <w:tcPr>
            <w:tcW w:w="780" w:type="dxa"/>
            <w:vAlign w:val="bottom"/>
          </w:tcPr>
          <w:p>
            <w:pPr>
              <w:jc w:val="right"/>
              <w:spacing w:after="0"/>
              <w:rPr>
                <w:sz w:val="20"/>
                <w:szCs w:val="20"/>
                <w:color w:val="auto"/>
              </w:rPr>
            </w:pPr>
            <w:r>
              <w:rPr>
                <w:rFonts w:ascii="Arial" w:cs="Arial" w:eastAsia="Arial" w:hAnsi="Arial"/>
                <w:sz w:val="16"/>
                <w:szCs w:val="16"/>
                <w:color w:val="auto"/>
              </w:rPr>
              <w:t>29,746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31,047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9/2021)</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5.00% PIK)</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revolving loan ($3,221</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9/29/2015</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+ 9.50%</w:t>
            </w: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11.44% (incl.</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3,128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par, due 9/2021)</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5.00% PIK)</w:t>
            </w: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32,967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34,175</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95"/>
              </w:rPr>
              <w:t>Human resource support services</w:t>
            </w:r>
          </w:p>
        </w:tc>
        <w:tc>
          <w:tcPr>
            <w:tcW w:w="24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0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Absorb Software, Inc. </w:t>
            </w:r>
            <w:r>
              <w:rPr>
                <w:rFonts w:ascii="Arial" w:cs="Arial" w:eastAsia="Arial" w:hAnsi="Arial"/>
                <w:sz w:val="23"/>
                <w:szCs w:val="23"/>
                <w:color w:val="auto"/>
                <w:vertAlign w:val="superscript"/>
              </w:rPr>
              <w:t>(3)(4)(5)</w:t>
            </w:r>
          </w:p>
        </w:tc>
        <w:tc>
          <w:tcPr>
            <w:tcW w:w="2480" w:type="dxa"/>
            <w:vAlign w:val="bottom"/>
          </w:tcPr>
          <w:p>
            <w:pPr>
              <w:ind w:left="160"/>
              <w:spacing w:after="0"/>
              <w:rPr>
                <w:sz w:val="20"/>
                <w:szCs w:val="20"/>
                <w:color w:val="auto"/>
              </w:rPr>
            </w:pPr>
            <w:r>
              <w:rPr>
                <w:rFonts w:ascii="Arial" w:cs="Arial" w:eastAsia="Arial" w:hAnsi="Arial"/>
                <w:sz w:val="16"/>
                <w:szCs w:val="16"/>
                <w:color w:val="auto"/>
              </w:rPr>
              <w:t>First-lien loan ($34,837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7/31/2019</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+ 6.50%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8.30%</w:t>
            </w:r>
          </w:p>
        </w:tc>
        <w:tc>
          <w:tcPr>
            <w:tcW w:w="780" w:type="dxa"/>
            <w:vAlign w:val="bottom"/>
          </w:tcPr>
          <w:p>
            <w:pPr>
              <w:jc w:val="right"/>
              <w:spacing w:after="0"/>
              <w:rPr>
                <w:sz w:val="20"/>
                <w:szCs w:val="20"/>
                <w:color w:val="auto"/>
              </w:rPr>
            </w:pPr>
            <w:r>
              <w:rPr>
                <w:rFonts w:ascii="Arial" w:cs="Arial" w:eastAsia="Arial" w:hAnsi="Arial"/>
                <w:sz w:val="16"/>
                <w:szCs w:val="16"/>
                <w:color w:val="auto"/>
              </w:rPr>
              <w:t>34,122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34,228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5/2024)</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4"/>
                <w:szCs w:val="24"/>
                <w:color w:val="auto"/>
                <w:vertAlign w:val="superscript"/>
              </w:rPr>
              <w:t>(3)</w:t>
            </w: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($19,192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7/23/2018</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+ 8.50%</w:t>
            </w: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10.34% (incl.</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18,993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19,140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7/2023)</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2.50% PIK)</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0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DaySmart Holdings, LLC. </w:t>
            </w:r>
            <w:r>
              <w:rPr>
                <w:rFonts w:ascii="Arial" w:cs="Arial" w:eastAsia="Arial" w:hAnsi="Arial"/>
                <w:sz w:val="23"/>
                <w:szCs w:val="23"/>
                <w:color w:val="auto"/>
                <w:vertAlign w:val="superscript"/>
              </w:rPr>
              <w:t>(3)</w:t>
            </w:r>
          </w:p>
        </w:tc>
        <w:tc>
          <w:tcPr>
            <w:tcW w:w="2480" w:type="dxa"/>
            <w:vAlign w:val="bottom"/>
          </w:tcPr>
          <w:p>
            <w:pPr>
              <w:ind w:left="160"/>
              <w:spacing w:after="0"/>
              <w:rPr>
                <w:sz w:val="20"/>
                <w:szCs w:val="20"/>
                <w:color w:val="auto"/>
              </w:rPr>
            </w:pPr>
            <w:r>
              <w:rPr>
                <w:rFonts w:ascii="Arial" w:cs="Arial" w:eastAsia="Arial" w:hAnsi="Arial"/>
                <w:sz w:val="16"/>
                <w:szCs w:val="16"/>
                <w:color w:val="auto"/>
              </w:rPr>
              <w:t>First-lien loan ($30,247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10/1/2019</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780" w:type="dxa"/>
            <w:vAlign w:val="bottom"/>
          </w:tcPr>
          <w:p>
            <w:pPr>
              <w:jc w:val="right"/>
              <w:spacing w:after="0"/>
              <w:rPr>
                <w:sz w:val="20"/>
                <w:szCs w:val="20"/>
                <w:color w:val="auto"/>
              </w:rPr>
            </w:pPr>
            <w:r>
              <w:rPr>
                <w:rFonts w:ascii="Arial" w:cs="Arial" w:eastAsia="Arial" w:hAnsi="Arial"/>
                <w:sz w:val="16"/>
                <w:szCs w:val="16"/>
                <w:color w:val="auto"/>
              </w:rPr>
              <w:t>29,370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29,456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10/2024)</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PageUp People, Ltd. </w:t>
            </w:r>
            <w:r>
              <w:rPr>
                <w:rFonts w:ascii="Arial" w:cs="Arial" w:eastAsia="Arial" w:hAnsi="Arial"/>
                <w:sz w:val="24"/>
                <w:szCs w:val="24"/>
                <w:color w:val="auto"/>
                <w:vertAlign w:val="superscript"/>
              </w:rPr>
              <w:t>(3)(4)</w:t>
            </w: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(AUD 51,401 par,</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1/11/2018</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B + 7.25%</w:t>
            </w: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8.50% (incl.</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39,391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36,042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due 12/2022)</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1.25% PIK)</w:t>
            </w:r>
          </w:p>
        </w:tc>
        <w:tc>
          <w:tcPr>
            <w:tcW w:w="7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(AUD 51,273)</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First-lien revolving loan (AUD</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1/11/2018</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B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8.50%</w:t>
            </w:r>
          </w:p>
        </w:tc>
        <w:tc>
          <w:tcPr>
            <w:tcW w:w="780" w:type="dxa"/>
            <w:vAlign w:val="bottom"/>
          </w:tcPr>
          <w:p>
            <w:pPr>
              <w:jc w:val="right"/>
              <w:spacing w:after="0"/>
              <w:rPr>
                <w:sz w:val="20"/>
                <w:szCs w:val="20"/>
                <w:color w:val="auto"/>
              </w:rPr>
            </w:pPr>
            <w:r>
              <w:rPr>
                <w:rFonts w:ascii="Arial" w:cs="Arial" w:eastAsia="Arial" w:hAnsi="Arial"/>
                <w:sz w:val="16"/>
                <w:szCs w:val="16"/>
                <w:color w:val="auto"/>
              </w:rPr>
              <w:t>714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694</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1,000 par, due 12/2022)</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(AUD 988)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PayScale Holdings, Inc. </w:t>
            </w:r>
            <w:r>
              <w:rPr>
                <w:rFonts w:ascii="Arial" w:cs="Arial" w:eastAsia="Arial" w:hAnsi="Arial"/>
                <w:sz w:val="24"/>
                <w:szCs w:val="24"/>
                <w:color w:val="auto"/>
                <w:vertAlign w:val="superscript"/>
              </w:rPr>
              <w:t>(3)(5)</w:t>
            </w: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($39,900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5/3/2019</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38,914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39,187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5/2024)</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0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Shaker International, Inc. </w:t>
            </w:r>
            <w:r>
              <w:rPr>
                <w:rFonts w:ascii="Arial" w:cs="Arial" w:eastAsia="Arial" w:hAnsi="Arial"/>
                <w:sz w:val="23"/>
                <w:szCs w:val="23"/>
                <w:color w:val="auto"/>
                <w:vertAlign w:val="superscript"/>
              </w:rPr>
              <w:t>(3)(5)</w:t>
            </w:r>
          </w:p>
        </w:tc>
        <w:tc>
          <w:tcPr>
            <w:tcW w:w="2480" w:type="dxa"/>
            <w:vAlign w:val="bottom"/>
          </w:tcPr>
          <w:p>
            <w:pPr>
              <w:ind w:left="160"/>
              <w:spacing w:after="0"/>
              <w:rPr>
                <w:sz w:val="20"/>
                <w:szCs w:val="20"/>
                <w:color w:val="auto"/>
              </w:rPr>
            </w:pPr>
            <w:r>
              <w:rPr>
                <w:rFonts w:ascii="Arial" w:cs="Arial" w:eastAsia="Arial" w:hAnsi="Arial"/>
                <w:sz w:val="16"/>
                <w:szCs w:val="16"/>
                <w:color w:val="auto"/>
              </w:rPr>
              <w:t>First-lien loan ($22,388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5/15/2019</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8.94%</w:t>
            </w:r>
          </w:p>
        </w:tc>
        <w:tc>
          <w:tcPr>
            <w:tcW w:w="780" w:type="dxa"/>
            <w:vAlign w:val="bottom"/>
          </w:tcPr>
          <w:p>
            <w:pPr>
              <w:jc w:val="right"/>
              <w:spacing w:after="0"/>
              <w:rPr>
                <w:sz w:val="20"/>
                <w:szCs w:val="20"/>
                <w:color w:val="auto"/>
              </w:rPr>
            </w:pPr>
            <w:r>
              <w:rPr>
                <w:rFonts w:ascii="Arial" w:cs="Arial" w:eastAsia="Arial" w:hAnsi="Arial"/>
                <w:sz w:val="16"/>
                <w:szCs w:val="16"/>
                <w:color w:val="auto"/>
              </w:rPr>
              <w:t>21,879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21,940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Borders>
              <w:bottom w:val="single" w:sz="8" w:color="CFF0FC"/>
            </w:tcBorders>
          </w:tcPr>
          <w:p>
            <w:pPr>
              <w:spacing w:after="0"/>
              <w:rPr>
                <w:sz w:val="18"/>
                <w:szCs w:val="18"/>
                <w:color w:val="auto"/>
              </w:rPr>
            </w:pPr>
          </w:p>
        </w:tc>
        <w:tc>
          <w:tcPr>
            <w:tcW w:w="248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5/2024)</w:t>
            </w:r>
          </w:p>
        </w:tc>
        <w:tc>
          <w:tcPr>
            <w:tcW w:w="100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183,383</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180,687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7"/>
        </w:trPr>
        <w:tc>
          <w:tcPr>
            <w:tcW w:w="2500" w:type="dxa"/>
            <w:vAlign w:val="bottom"/>
            <w:gridSpan w:val="2"/>
          </w:tcPr>
          <w:p>
            <w:pPr>
              <w:spacing w:after="0"/>
              <w:rPr>
                <w:sz w:val="20"/>
                <w:szCs w:val="20"/>
                <w:color w:val="auto"/>
              </w:rPr>
            </w:pPr>
            <w:r>
              <w:rPr>
                <w:rFonts w:ascii="Arial" w:cs="Arial" w:eastAsia="Arial" w:hAnsi="Arial"/>
                <w:sz w:val="16"/>
                <w:szCs w:val="16"/>
                <w:b w:val="1"/>
                <w:bCs w:val="1"/>
                <w:color w:val="auto"/>
              </w:rPr>
              <w:t>Insurance</w:t>
            </w:r>
          </w:p>
        </w:tc>
        <w:tc>
          <w:tcPr>
            <w:tcW w:w="2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(3)(5)</w:t>
            </w: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First-lien loan ($49,813 par, due</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6/30/2017</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49,346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50,186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2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10/2023)</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Internet services</w:t>
            </w:r>
          </w:p>
        </w:tc>
        <w:tc>
          <w:tcPr>
            <w:tcW w:w="2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0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Gainsight, Inc. </w:t>
            </w:r>
            <w:r>
              <w:rPr>
                <w:rFonts w:ascii="Arial" w:cs="Arial" w:eastAsia="Arial" w:hAnsi="Arial"/>
                <w:sz w:val="23"/>
                <w:szCs w:val="23"/>
                <w:color w:val="auto"/>
                <w:vertAlign w:val="superscript"/>
              </w:rPr>
              <w:t>(9)</w:t>
            </w:r>
          </w:p>
        </w:tc>
        <w:tc>
          <w:tcPr>
            <w:tcW w:w="2480" w:type="dxa"/>
            <w:vAlign w:val="bottom"/>
          </w:tcPr>
          <w:p>
            <w:pPr>
              <w:ind w:left="160"/>
              <w:spacing w:after="0"/>
              <w:rPr>
                <w:sz w:val="20"/>
                <w:szCs w:val="20"/>
                <w:color w:val="auto"/>
              </w:rPr>
            </w:pPr>
            <w:r>
              <w:rPr>
                <w:rFonts w:ascii="Arial" w:cs="Arial" w:eastAsia="Arial" w:hAnsi="Arial"/>
                <w:sz w:val="16"/>
                <w:szCs w:val="16"/>
                <w:color w:val="auto"/>
              </w:rPr>
              <w:t>First-lien loan ($3,322 par, due</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7/29/2019</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13.00%</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13.00% (incl.</w:t>
            </w:r>
          </w:p>
        </w:tc>
        <w:tc>
          <w:tcPr>
            <w:tcW w:w="780" w:type="dxa"/>
            <w:vAlign w:val="bottom"/>
          </w:tcPr>
          <w:p>
            <w:pPr>
              <w:jc w:val="right"/>
              <w:spacing w:after="0"/>
              <w:rPr>
                <w:sz w:val="20"/>
                <w:szCs w:val="20"/>
                <w:color w:val="auto"/>
              </w:rPr>
            </w:pPr>
            <w:r>
              <w:rPr>
                <w:rFonts w:ascii="Arial" w:cs="Arial" w:eastAsia="Arial" w:hAnsi="Arial"/>
                <w:sz w:val="16"/>
                <w:szCs w:val="16"/>
                <w:color w:val="auto"/>
              </w:rPr>
              <w:t>3,255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3,284</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7/2025)</w:t>
            </w: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13.00% PIK)</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310"/>
        </w:trPr>
        <w:tc>
          <w:tcPr>
            <w:tcW w:w="20" w:type="dxa"/>
            <w:vAlign w:val="bottom"/>
          </w:tcPr>
          <w:p>
            <w:pPr>
              <w:spacing w:after="0"/>
              <w:rPr>
                <w:sz w:val="24"/>
                <w:szCs w:val="24"/>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Higher Logic, LLC </w:t>
            </w:r>
            <w:r>
              <w:rPr>
                <w:rFonts w:ascii="Arial" w:cs="Arial" w:eastAsia="Arial" w:hAnsi="Arial"/>
                <w:sz w:val="27"/>
                <w:szCs w:val="27"/>
                <w:color w:val="auto"/>
                <w:vertAlign w:val="superscript"/>
              </w:rPr>
              <w:t>(3)(5)</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loan ($37,430 par, due</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6/18/2018</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+ 6.00%</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37,034</w:t>
            </w:r>
          </w:p>
        </w:tc>
        <w:tc>
          <w:tcPr>
            <w:tcW w:w="20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37,243</w:t>
            </w:r>
          </w:p>
        </w:tc>
        <w:tc>
          <w:tcPr>
            <w:tcW w:w="22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1/2022)</w:t>
            </w: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rPr>
                <w:sz w:val="20"/>
                <w:szCs w:val="20"/>
                <w:color w:val="auto"/>
              </w:rPr>
            </w:pPr>
            <w:r>
              <w:rPr>
                <w:rFonts w:ascii="Arial" w:cs="Arial" w:eastAsia="Arial" w:hAnsi="Arial"/>
                <w:sz w:val="16"/>
                <w:szCs w:val="16"/>
                <w:color w:val="auto"/>
              </w:rPr>
              <w:t>Lithium Technologies,</w:t>
            </w:r>
          </w:p>
        </w:tc>
        <w:tc>
          <w:tcPr>
            <w:tcW w:w="2660" w:type="dxa"/>
            <w:vAlign w:val="bottom"/>
          </w:tcPr>
          <w:p>
            <w:pPr>
              <w:ind w:left="300"/>
              <w:spacing w:after="0"/>
              <w:rPr>
                <w:sz w:val="20"/>
                <w:szCs w:val="20"/>
                <w:color w:val="auto"/>
              </w:rPr>
            </w:pPr>
            <w:r>
              <w:rPr>
                <w:rFonts w:ascii="Arial" w:cs="Arial" w:eastAsia="Arial" w:hAnsi="Arial"/>
                <w:sz w:val="16"/>
                <w:szCs w:val="16"/>
                <w:color w:val="auto"/>
              </w:rPr>
              <w:t>First-lien loan ($54,700 par, due</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10/3/2017</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+ 8.00%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10.04%</w:t>
            </w:r>
          </w:p>
        </w:tc>
        <w:tc>
          <w:tcPr>
            <w:tcW w:w="780" w:type="dxa"/>
            <w:vAlign w:val="bottom"/>
          </w:tcPr>
          <w:p>
            <w:pPr>
              <w:jc w:val="right"/>
              <w:spacing w:after="0"/>
              <w:rPr>
                <w:sz w:val="20"/>
                <w:szCs w:val="20"/>
                <w:color w:val="auto"/>
              </w:rPr>
            </w:pPr>
            <w:r>
              <w:rPr>
                <w:rFonts w:ascii="Arial" w:cs="Arial" w:eastAsia="Arial" w:hAnsi="Arial"/>
                <w:sz w:val="16"/>
                <w:szCs w:val="16"/>
                <w:color w:val="auto"/>
              </w:rPr>
              <w:t>53,888</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53,967</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w:t>
            </w:r>
          </w:p>
        </w:tc>
        <w:tc>
          <w:tcPr>
            <w:tcW w:w="2660" w:type="dxa"/>
            <w:vAlign w:val="bottom"/>
          </w:tcPr>
          <w:p>
            <w:pPr>
              <w:ind w:left="300"/>
              <w:spacing w:after="0"/>
              <w:rPr>
                <w:sz w:val="20"/>
                <w:szCs w:val="20"/>
                <w:color w:val="auto"/>
              </w:rPr>
            </w:pPr>
            <w:r>
              <w:rPr>
                <w:rFonts w:ascii="Arial" w:cs="Arial" w:eastAsia="Arial" w:hAnsi="Arial"/>
                <w:sz w:val="16"/>
                <w:szCs w:val="16"/>
                <w:color w:val="auto"/>
              </w:rPr>
              <w:t>10/2022)</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Lucidworks, Inc. </w:t>
            </w:r>
            <w:r>
              <w:rPr>
                <w:rFonts w:ascii="Arial" w:cs="Arial" w:eastAsia="Arial" w:hAnsi="Arial"/>
                <w:sz w:val="24"/>
                <w:szCs w:val="24"/>
                <w:color w:val="auto"/>
                <w:vertAlign w:val="superscript"/>
              </w:rPr>
              <w:t>(9)</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loan ($12,018 par, due</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7/31/2019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12.00%</w:t>
            </w:r>
          </w:p>
        </w:tc>
        <w:tc>
          <w:tcPr>
            <w:tcW w:w="1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12.00% (incl.</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11,879</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11,941</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7/2024)</w:t>
            </w: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7.00% PIK)</w:t>
            </w: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00" w:type="dxa"/>
            <w:vAlign w:val="bottom"/>
            <w:tcBorders>
              <w:bottom w:val="single" w:sz="8" w:color="CFF0FC"/>
            </w:tcBorders>
          </w:tcPr>
          <w:p>
            <w:pPr>
              <w:spacing w:after="0"/>
              <w:rPr>
                <w:sz w:val="17"/>
                <w:szCs w:val="17"/>
                <w:color w:val="auto"/>
              </w:rPr>
            </w:pPr>
          </w:p>
        </w:tc>
        <w:tc>
          <w:tcPr>
            <w:tcW w:w="2660" w:type="dxa"/>
            <w:vAlign w:val="bottom"/>
            <w:tcBorders>
              <w:bottom w:val="single" w:sz="8" w:color="CFF0FC"/>
            </w:tcBorders>
          </w:tcPr>
          <w:p>
            <w:pPr>
              <w:spacing w:after="0"/>
              <w:rPr>
                <w:sz w:val="17"/>
                <w:szCs w:val="17"/>
                <w:color w:val="auto"/>
              </w:rPr>
            </w:pPr>
          </w:p>
        </w:tc>
        <w:tc>
          <w:tcPr>
            <w:tcW w:w="100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spacing w:after="0"/>
              <w:rPr>
                <w:sz w:val="17"/>
                <w:szCs w:val="17"/>
                <w:color w:val="auto"/>
              </w:rPr>
            </w:pPr>
          </w:p>
        </w:tc>
        <w:tc>
          <w:tcPr>
            <w:tcW w:w="138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106,056</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106,435</w:t>
            </w:r>
          </w:p>
        </w:tc>
        <w:tc>
          <w:tcPr>
            <w:tcW w:w="2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Marketing Services</w:t>
            </w:r>
          </w:p>
        </w:tc>
        <w:tc>
          <w:tcPr>
            <w:tcW w:w="2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Acoustic, L.P. </w:t>
            </w:r>
            <w:r>
              <w:rPr>
                <w:rFonts w:ascii="Arial" w:cs="Arial" w:eastAsia="Arial" w:hAnsi="Arial"/>
                <w:sz w:val="23"/>
                <w:szCs w:val="23"/>
                <w:color w:val="auto"/>
                <w:vertAlign w:val="superscript"/>
              </w:rPr>
              <w:t>(3)</w:t>
            </w:r>
          </w:p>
        </w:tc>
        <w:tc>
          <w:tcPr>
            <w:tcW w:w="2660" w:type="dxa"/>
            <w:vAlign w:val="bottom"/>
          </w:tcPr>
          <w:p>
            <w:pPr>
              <w:ind w:left="300"/>
              <w:spacing w:after="0"/>
              <w:rPr>
                <w:sz w:val="20"/>
                <w:szCs w:val="20"/>
                <w:color w:val="auto"/>
              </w:rPr>
            </w:pPr>
            <w:r>
              <w:rPr>
                <w:rFonts w:ascii="Arial" w:cs="Arial" w:eastAsia="Arial" w:hAnsi="Arial"/>
                <w:sz w:val="16"/>
                <w:szCs w:val="16"/>
                <w:color w:val="auto"/>
              </w:rPr>
              <w:t>First-lien note ($33,000 par, due</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12/17/2019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+ 7.00%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8.80%</w:t>
            </w:r>
          </w:p>
        </w:tc>
        <w:tc>
          <w:tcPr>
            <w:tcW w:w="780" w:type="dxa"/>
            <w:vAlign w:val="bottom"/>
          </w:tcPr>
          <w:p>
            <w:pPr>
              <w:jc w:val="right"/>
              <w:spacing w:after="0"/>
              <w:rPr>
                <w:sz w:val="20"/>
                <w:szCs w:val="20"/>
                <w:color w:val="auto"/>
              </w:rPr>
            </w:pPr>
            <w:r>
              <w:rPr>
                <w:rFonts w:ascii="Arial" w:cs="Arial" w:eastAsia="Arial" w:hAnsi="Arial"/>
                <w:sz w:val="16"/>
                <w:szCs w:val="16"/>
                <w:color w:val="auto"/>
              </w:rPr>
              <w:t>32,230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32,175</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60" w:type="dxa"/>
            <w:vAlign w:val="bottom"/>
          </w:tcPr>
          <w:p>
            <w:pPr>
              <w:ind w:left="300"/>
              <w:spacing w:after="0"/>
              <w:rPr>
                <w:sz w:val="20"/>
                <w:szCs w:val="20"/>
                <w:color w:val="auto"/>
              </w:rPr>
            </w:pPr>
            <w:r>
              <w:rPr>
                <w:rFonts w:ascii="Arial" w:cs="Arial" w:eastAsia="Arial" w:hAnsi="Arial"/>
                <w:sz w:val="16"/>
                <w:szCs w:val="16"/>
                <w:color w:val="auto"/>
              </w:rPr>
              <w:t>6/2024)</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Office products</w:t>
            </w:r>
          </w:p>
        </w:tc>
        <w:tc>
          <w:tcPr>
            <w:tcW w:w="26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23"/>
                <w:szCs w:val="23"/>
                <w:color w:val="auto"/>
                <w:vertAlign w:val="superscript"/>
              </w:rPr>
              <w:t>(3)(5)</w:t>
            </w:r>
          </w:p>
        </w:tc>
        <w:tc>
          <w:tcPr>
            <w:tcW w:w="2660" w:type="dxa"/>
            <w:vAlign w:val="bottom"/>
          </w:tcPr>
          <w:p>
            <w:pPr>
              <w:ind w:left="300"/>
              <w:spacing w:after="0"/>
              <w:rPr>
                <w:sz w:val="20"/>
                <w:szCs w:val="20"/>
                <w:color w:val="auto"/>
              </w:rPr>
            </w:pPr>
            <w:r>
              <w:rPr>
                <w:rFonts w:ascii="Arial" w:cs="Arial" w:eastAsia="Arial" w:hAnsi="Arial"/>
                <w:sz w:val="16"/>
                <w:szCs w:val="16"/>
                <w:color w:val="auto"/>
              </w:rPr>
              <w:t>ABL FILO term loan ($11,500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9/12/2017</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+ 7.75%</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9.45%</w:t>
            </w:r>
          </w:p>
        </w:tc>
        <w:tc>
          <w:tcPr>
            <w:tcW w:w="780" w:type="dxa"/>
            <w:vAlign w:val="bottom"/>
          </w:tcPr>
          <w:p>
            <w:pPr>
              <w:jc w:val="right"/>
              <w:spacing w:after="0"/>
              <w:rPr>
                <w:sz w:val="20"/>
                <w:szCs w:val="20"/>
                <w:color w:val="auto"/>
              </w:rPr>
            </w:pPr>
            <w:r>
              <w:rPr>
                <w:rFonts w:ascii="Arial" w:cs="Arial" w:eastAsia="Arial" w:hAnsi="Arial"/>
                <w:sz w:val="16"/>
                <w:szCs w:val="16"/>
                <w:color w:val="auto"/>
              </w:rPr>
              <w:t>11,338</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11,701</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60" w:type="dxa"/>
            <w:vAlign w:val="bottom"/>
          </w:tcPr>
          <w:p>
            <w:pPr>
              <w:ind w:left="300"/>
              <w:spacing w:after="0"/>
              <w:rPr>
                <w:sz w:val="20"/>
                <w:szCs w:val="20"/>
                <w:color w:val="auto"/>
              </w:rPr>
            </w:pPr>
            <w:r>
              <w:rPr>
                <w:rFonts w:ascii="Arial" w:cs="Arial" w:eastAsia="Arial" w:hAnsi="Arial"/>
                <w:sz w:val="16"/>
                <w:szCs w:val="16"/>
                <w:color w:val="auto"/>
              </w:rPr>
              <w:t>par, due 9/2022)</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Oil, gas and consumable fuels</w:t>
            </w:r>
          </w:p>
        </w:tc>
        <w:tc>
          <w:tcPr>
            <w:tcW w:w="26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Energy Alloys, LLC </w:t>
            </w:r>
            <w:r>
              <w:rPr>
                <w:rFonts w:ascii="Arial" w:cs="Arial" w:eastAsia="Arial" w:hAnsi="Arial"/>
                <w:sz w:val="23"/>
                <w:szCs w:val="23"/>
                <w:color w:val="auto"/>
                <w:vertAlign w:val="superscript"/>
              </w:rPr>
              <w:t>(3)(5)</w:t>
            </w:r>
          </w:p>
        </w:tc>
        <w:tc>
          <w:tcPr>
            <w:tcW w:w="2660" w:type="dxa"/>
            <w:vAlign w:val="bottom"/>
          </w:tcPr>
          <w:p>
            <w:pPr>
              <w:ind w:left="300"/>
              <w:spacing w:after="0"/>
              <w:rPr>
                <w:sz w:val="20"/>
                <w:szCs w:val="20"/>
                <w:color w:val="auto"/>
              </w:rPr>
            </w:pPr>
            <w:r>
              <w:rPr>
                <w:rFonts w:ascii="Arial" w:cs="Arial" w:eastAsia="Arial" w:hAnsi="Arial"/>
                <w:sz w:val="16"/>
                <w:szCs w:val="16"/>
                <w:color w:val="auto"/>
              </w:rPr>
              <w:t>ABL FILO term loan ($22,000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8/28/2019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+ 6.25%</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780" w:type="dxa"/>
            <w:vAlign w:val="bottom"/>
          </w:tcPr>
          <w:p>
            <w:pPr>
              <w:jc w:val="right"/>
              <w:spacing w:after="0"/>
              <w:rPr>
                <w:sz w:val="20"/>
                <w:szCs w:val="20"/>
                <w:color w:val="auto"/>
              </w:rPr>
            </w:pPr>
            <w:r>
              <w:rPr>
                <w:rFonts w:ascii="Arial" w:cs="Arial" w:eastAsia="Arial" w:hAnsi="Arial"/>
                <w:sz w:val="16"/>
                <w:szCs w:val="16"/>
                <w:color w:val="auto"/>
              </w:rPr>
              <w:t>21,171</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21,260</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6"/>
                <w:szCs w:val="16"/>
                <w:color w:val="auto"/>
              </w:rPr>
              <w:t>par, due 8/2024)</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MD America Energy,</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loan ($19,069 par, due</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11/14/2018</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+ 7.75%</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9.67%</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18,836</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18,640</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FF0FC"/>
          </w:tcPr>
          <w:p>
            <w:pPr>
              <w:ind w:left="10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11/2023)</w:t>
            </w: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rPr>
                <w:sz w:val="20"/>
                <w:szCs w:val="20"/>
                <w:color w:val="auto"/>
              </w:rPr>
            </w:pPr>
            <w:r>
              <w:rPr>
                <w:rFonts w:ascii="Arial" w:cs="Arial" w:eastAsia="Arial" w:hAnsi="Arial"/>
                <w:sz w:val="16"/>
                <w:szCs w:val="16"/>
                <w:color w:val="auto"/>
              </w:rPr>
              <w:t>Mississippi Resources,</w:t>
            </w:r>
          </w:p>
        </w:tc>
        <w:tc>
          <w:tcPr>
            <w:tcW w:w="2660" w:type="dxa"/>
            <w:vAlign w:val="bottom"/>
          </w:tcPr>
          <w:p>
            <w:pPr>
              <w:ind w:left="300"/>
              <w:spacing w:after="0"/>
              <w:rPr>
                <w:sz w:val="20"/>
                <w:szCs w:val="20"/>
                <w:color w:val="auto"/>
              </w:rPr>
            </w:pPr>
            <w:r>
              <w:rPr>
                <w:rFonts w:ascii="Arial" w:cs="Arial" w:eastAsia="Arial" w:hAnsi="Arial"/>
                <w:sz w:val="16"/>
                <w:szCs w:val="16"/>
                <w:color w:val="auto"/>
              </w:rPr>
              <w:t>First-lien loan ($8,000 par, due</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6/29/2018</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+ 9.00%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10.80%</w:t>
            </w:r>
          </w:p>
        </w:tc>
        <w:tc>
          <w:tcPr>
            <w:tcW w:w="780" w:type="dxa"/>
            <w:vAlign w:val="bottom"/>
          </w:tcPr>
          <w:p>
            <w:pPr>
              <w:jc w:val="right"/>
              <w:spacing w:after="0"/>
              <w:rPr>
                <w:sz w:val="20"/>
                <w:szCs w:val="20"/>
                <w:color w:val="auto"/>
              </w:rPr>
            </w:pPr>
            <w:r>
              <w:rPr>
                <w:rFonts w:ascii="Arial" w:cs="Arial" w:eastAsia="Arial" w:hAnsi="Arial"/>
                <w:sz w:val="16"/>
                <w:szCs w:val="16"/>
                <w:color w:val="auto"/>
              </w:rPr>
              <w:t>7,998</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8,000</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(3)(7)</w:t>
            </w:r>
          </w:p>
        </w:tc>
        <w:tc>
          <w:tcPr>
            <w:tcW w:w="2660" w:type="dxa"/>
            <w:vAlign w:val="bottom"/>
          </w:tcPr>
          <w:p>
            <w:pPr>
              <w:ind w:left="300"/>
              <w:spacing w:after="0"/>
              <w:rPr>
                <w:sz w:val="20"/>
                <w:szCs w:val="20"/>
                <w:color w:val="auto"/>
              </w:rPr>
            </w:pPr>
            <w:r>
              <w:rPr>
                <w:rFonts w:ascii="Arial" w:cs="Arial" w:eastAsia="Arial" w:hAnsi="Arial"/>
                <w:sz w:val="16"/>
                <w:szCs w:val="16"/>
                <w:color w:val="auto"/>
              </w:rPr>
              <w:t>6/2020)</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Verdad Resources Intermediate</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loan ($42,222 par, due</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4/10/2019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+ 7.50%</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41,257</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41,347</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FF0FC"/>
          </w:tcPr>
          <w:p>
            <w:pPr>
              <w:ind w:left="100"/>
              <w:spacing w:after="0" w:line="216" w:lineRule="exact"/>
              <w:rPr>
                <w:sz w:val="20"/>
                <w:szCs w:val="20"/>
                <w:color w:val="auto"/>
              </w:rPr>
            </w:pPr>
            <w:r>
              <w:rPr>
                <w:rFonts w:ascii="Arial" w:cs="Arial" w:eastAsia="Arial" w:hAnsi="Arial"/>
                <w:sz w:val="15"/>
                <w:szCs w:val="15"/>
                <w:color w:val="auto"/>
              </w:rPr>
              <w:t xml:space="preserve">Holdings, LLC </w:t>
            </w:r>
            <w:r>
              <w:rPr>
                <w:rFonts w:ascii="Arial" w:cs="Arial" w:eastAsia="Arial" w:hAnsi="Arial"/>
                <w:sz w:val="25"/>
                <w:szCs w:val="25"/>
                <w:color w:val="auto"/>
                <w:vertAlign w:val="superscript"/>
              </w:rPr>
              <w:t>(3)</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10/2023)</w:t>
            </w: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89,262</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89,247</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Pharmaceuticals</w:t>
            </w:r>
          </w:p>
        </w:tc>
        <w:tc>
          <w:tcPr>
            <w:tcW w:w="26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Nektar Therapeutics </w:t>
            </w:r>
            <w:r>
              <w:rPr>
                <w:rFonts w:ascii="Arial" w:cs="Arial" w:eastAsia="Arial" w:hAnsi="Arial"/>
                <w:sz w:val="23"/>
                <w:szCs w:val="23"/>
                <w:color w:val="auto"/>
                <w:vertAlign w:val="superscript"/>
              </w:rPr>
              <w:t>(4)(5)(9)</w:t>
            </w:r>
          </w:p>
        </w:tc>
        <w:tc>
          <w:tcPr>
            <w:tcW w:w="2660" w:type="dxa"/>
            <w:vAlign w:val="bottom"/>
          </w:tcPr>
          <w:p>
            <w:pPr>
              <w:ind w:left="300"/>
              <w:spacing w:after="0"/>
              <w:rPr>
                <w:sz w:val="20"/>
                <w:szCs w:val="20"/>
                <w:color w:val="auto"/>
              </w:rPr>
            </w:pPr>
            <w:r>
              <w:rPr>
                <w:rFonts w:ascii="Arial" w:cs="Arial" w:eastAsia="Arial" w:hAnsi="Arial"/>
                <w:sz w:val="16"/>
                <w:szCs w:val="16"/>
                <w:color w:val="auto"/>
              </w:rPr>
              <w:t>Secured note ($74,950 par, due</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10/5/2015</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7.75%</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780" w:type="dxa"/>
            <w:vAlign w:val="bottom"/>
          </w:tcPr>
          <w:p>
            <w:pPr>
              <w:jc w:val="right"/>
              <w:spacing w:after="0"/>
              <w:rPr>
                <w:sz w:val="20"/>
                <w:szCs w:val="20"/>
                <w:color w:val="auto"/>
              </w:rPr>
            </w:pPr>
            <w:r>
              <w:rPr>
                <w:rFonts w:ascii="Arial" w:cs="Arial" w:eastAsia="Arial" w:hAnsi="Arial"/>
                <w:sz w:val="16"/>
                <w:szCs w:val="16"/>
                <w:color w:val="auto"/>
              </w:rPr>
              <w:t>74,774</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76,074</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60" w:type="dxa"/>
            <w:vAlign w:val="bottom"/>
          </w:tcPr>
          <w:p>
            <w:pPr>
              <w:ind w:left="300"/>
              <w:spacing w:after="0"/>
              <w:rPr>
                <w:sz w:val="20"/>
                <w:szCs w:val="20"/>
                <w:color w:val="auto"/>
              </w:rPr>
            </w:pPr>
            <w:r>
              <w:rPr>
                <w:rFonts w:ascii="Arial" w:cs="Arial" w:eastAsia="Arial" w:hAnsi="Arial"/>
                <w:sz w:val="16"/>
                <w:szCs w:val="16"/>
                <w:color w:val="auto"/>
              </w:rPr>
              <w:t>10/2020)</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Real Estate</w:t>
            </w:r>
          </w:p>
        </w:tc>
        <w:tc>
          <w:tcPr>
            <w:tcW w:w="26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ResMan, LLC </w:t>
            </w:r>
            <w:r>
              <w:rPr>
                <w:rFonts w:ascii="Arial" w:cs="Arial" w:eastAsia="Arial" w:hAnsi="Arial"/>
                <w:sz w:val="23"/>
                <w:szCs w:val="23"/>
                <w:color w:val="auto"/>
                <w:vertAlign w:val="superscript"/>
              </w:rPr>
              <w:t>(3)</w:t>
            </w:r>
          </w:p>
        </w:tc>
        <w:tc>
          <w:tcPr>
            <w:tcW w:w="2660" w:type="dxa"/>
            <w:vAlign w:val="bottom"/>
          </w:tcPr>
          <w:p>
            <w:pPr>
              <w:ind w:left="300"/>
              <w:spacing w:after="0"/>
              <w:rPr>
                <w:sz w:val="20"/>
                <w:szCs w:val="20"/>
                <w:color w:val="auto"/>
              </w:rPr>
            </w:pPr>
            <w:r>
              <w:rPr>
                <w:rFonts w:ascii="Arial" w:cs="Arial" w:eastAsia="Arial" w:hAnsi="Arial"/>
                <w:sz w:val="16"/>
                <w:szCs w:val="16"/>
                <w:color w:val="auto"/>
              </w:rPr>
              <w:t>First-lien loan ($20,648 par, due</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10/3/2019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+ 8.00%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9.94%</w:t>
            </w:r>
          </w:p>
        </w:tc>
        <w:tc>
          <w:tcPr>
            <w:tcW w:w="780" w:type="dxa"/>
            <w:vAlign w:val="bottom"/>
          </w:tcPr>
          <w:p>
            <w:pPr>
              <w:jc w:val="right"/>
              <w:spacing w:after="0"/>
              <w:rPr>
                <w:sz w:val="20"/>
                <w:szCs w:val="20"/>
                <w:color w:val="auto"/>
              </w:rPr>
            </w:pPr>
            <w:r>
              <w:rPr>
                <w:rFonts w:ascii="Arial" w:cs="Arial" w:eastAsia="Arial" w:hAnsi="Arial"/>
                <w:sz w:val="16"/>
                <w:szCs w:val="16"/>
                <w:color w:val="auto"/>
              </w:rPr>
              <w:t>20,208</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20,303</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60" w:type="dxa"/>
            <w:vAlign w:val="bottom"/>
          </w:tcPr>
          <w:p>
            <w:pPr>
              <w:ind w:left="300"/>
              <w:spacing w:after="0"/>
              <w:rPr>
                <w:sz w:val="20"/>
                <w:szCs w:val="20"/>
                <w:color w:val="auto"/>
              </w:rPr>
            </w:pPr>
            <w:r>
              <w:rPr>
                <w:rFonts w:ascii="Arial" w:cs="Arial" w:eastAsia="Arial" w:hAnsi="Arial"/>
                <w:sz w:val="16"/>
                <w:szCs w:val="16"/>
                <w:color w:val="auto"/>
              </w:rPr>
              <w:t>10/2024)</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Retail and consumer products</w:t>
            </w:r>
          </w:p>
        </w:tc>
        <w:tc>
          <w:tcPr>
            <w:tcW w:w="26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rPr>
                <w:sz w:val="20"/>
                <w:szCs w:val="20"/>
                <w:color w:val="auto"/>
              </w:rPr>
            </w:pPr>
            <w:r>
              <w:rPr>
                <w:rFonts w:ascii="Arial" w:cs="Arial" w:eastAsia="Arial" w:hAnsi="Arial"/>
                <w:sz w:val="16"/>
                <w:szCs w:val="16"/>
                <w:color w:val="auto"/>
              </w:rPr>
              <w:t>99 Cents Only Stores</w:t>
            </w:r>
          </w:p>
        </w:tc>
        <w:tc>
          <w:tcPr>
            <w:tcW w:w="2660" w:type="dxa"/>
            <w:vAlign w:val="bottom"/>
          </w:tcPr>
          <w:p>
            <w:pPr>
              <w:ind w:left="300"/>
              <w:spacing w:after="0"/>
              <w:rPr>
                <w:sz w:val="20"/>
                <w:szCs w:val="20"/>
                <w:color w:val="auto"/>
              </w:rPr>
            </w:pPr>
            <w:r>
              <w:rPr>
                <w:rFonts w:ascii="Arial" w:cs="Arial" w:eastAsia="Arial" w:hAnsi="Arial"/>
                <w:sz w:val="16"/>
                <w:szCs w:val="16"/>
                <w:color w:val="auto"/>
              </w:rPr>
              <w:t>ABL FILO term loan ($32,500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9/6/2017</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+ 7.75%</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9.64%</w:t>
            </w:r>
          </w:p>
        </w:tc>
        <w:tc>
          <w:tcPr>
            <w:tcW w:w="780" w:type="dxa"/>
            <w:vAlign w:val="bottom"/>
          </w:tcPr>
          <w:p>
            <w:pPr>
              <w:jc w:val="right"/>
              <w:spacing w:after="0"/>
              <w:rPr>
                <w:sz w:val="20"/>
                <w:szCs w:val="20"/>
                <w:color w:val="auto"/>
              </w:rPr>
            </w:pPr>
            <w:r>
              <w:rPr>
                <w:rFonts w:ascii="Arial" w:cs="Arial" w:eastAsia="Arial" w:hAnsi="Arial"/>
                <w:sz w:val="16"/>
                <w:szCs w:val="16"/>
                <w:color w:val="auto"/>
              </w:rPr>
              <w:t>32,303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32,581</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0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660" w:type="dxa"/>
            <w:vAlign w:val="bottom"/>
          </w:tcPr>
          <w:p>
            <w:pPr>
              <w:ind w:left="300"/>
              <w:spacing w:after="0"/>
              <w:rPr>
                <w:sz w:val="20"/>
                <w:szCs w:val="20"/>
                <w:color w:val="auto"/>
              </w:rPr>
            </w:pPr>
            <w:r>
              <w:rPr>
                <w:rFonts w:ascii="Arial" w:cs="Arial" w:eastAsia="Arial" w:hAnsi="Arial"/>
                <w:sz w:val="16"/>
                <w:szCs w:val="16"/>
                <w:color w:val="auto"/>
              </w:rPr>
              <w:t>par, due 4/2021)</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American Achievement,</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loan ($22,619 par, due</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9/30/2015</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+ 8.25%</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22,540</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22,167</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(3)(5)</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9/2022)</w:t>
            </w: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Forever 21, Inc. </w:t>
            </w:r>
            <w:r>
              <w:rPr>
                <w:rFonts w:ascii="Arial" w:cs="Arial" w:eastAsia="Arial" w:hAnsi="Arial"/>
                <w:sz w:val="23"/>
                <w:szCs w:val="23"/>
                <w:color w:val="auto"/>
                <w:vertAlign w:val="superscript"/>
              </w:rPr>
              <w:t>(3)</w:t>
            </w:r>
          </w:p>
        </w:tc>
        <w:tc>
          <w:tcPr>
            <w:tcW w:w="2660" w:type="dxa"/>
            <w:vAlign w:val="bottom"/>
          </w:tcPr>
          <w:p>
            <w:pPr>
              <w:ind w:left="300"/>
              <w:spacing w:after="0"/>
              <w:rPr>
                <w:sz w:val="20"/>
                <w:szCs w:val="20"/>
                <w:color w:val="auto"/>
              </w:rPr>
            </w:pPr>
            <w:r>
              <w:rPr>
                <w:rFonts w:ascii="Arial" w:cs="Arial" w:eastAsia="Arial" w:hAnsi="Arial"/>
                <w:sz w:val="16"/>
                <w:szCs w:val="16"/>
                <w:color w:val="auto"/>
              </w:rPr>
              <w:t>ABL DIP term loan ($50,000 par,</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10/2/2019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+ 12.00%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13.81%</w:t>
            </w:r>
          </w:p>
        </w:tc>
        <w:tc>
          <w:tcPr>
            <w:tcW w:w="780" w:type="dxa"/>
            <w:vAlign w:val="bottom"/>
          </w:tcPr>
          <w:p>
            <w:pPr>
              <w:jc w:val="right"/>
              <w:spacing w:after="0"/>
              <w:rPr>
                <w:sz w:val="20"/>
                <w:szCs w:val="20"/>
                <w:color w:val="auto"/>
              </w:rPr>
            </w:pPr>
            <w:r>
              <w:rPr>
                <w:rFonts w:ascii="Arial" w:cs="Arial" w:eastAsia="Arial" w:hAnsi="Arial"/>
                <w:sz w:val="16"/>
                <w:szCs w:val="16"/>
                <w:color w:val="auto"/>
              </w:rPr>
              <w:t>48,970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48,500</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6"/>
                <w:szCs w:val="16"/>
                <w:color w:val="auto"/>
              </w:rPr>
              <w:t>due 7/2020)</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J.C. Penney Company,</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First-lien loan ($6,201 par, due</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+ 4.25%</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6.16%</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5,358</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5,451</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(4)(11)</w:t>
            </w:r>
          </w:p>
        </w:tc>
        <w:tc>
          <w:tcPr>
            <w:tcW w:w="2660" w:type="dxa"/>
            <w:vAlign w:val="bottom"/>
            <w:shd w:val="clear" w:color="auto" w:fill="CFF0FC"/>
          </w:tcPr>
          <w:p>
            <w:pPr>
              <w:ind w:left="300"/>
              <w:spacing w:after="0" w:line="216" w:lineRule="exact"/>
              <w:rPr>
                <w:sz w:val="20"/>
                <w:szCs w:val="20"/>
                <w:color w:val="auto"/>
              </w:rPr>
            </w:pPr>
            <w:r>
              <w:rPr>
                <w:rFonts w:ascii="Arial" w:cs="Arial" w:eastAsia="Arial" w:hAnsi="Arial"/>
                <w:sz w:val="15"/>
                <w:szCs w:val="15"/>
                <w:color w:val="auto"/>
              </w:rPr>
              <w:t>6/2023)</w:t>
            </w:r>
            <w:r>
              <w:rPr>
                <w:rFonts w:ascii="Arial" w:cs="Arial" w:eastAsia="Arial" w:hAnsi="Arial"/>
                <w:sz w:val="25"/>
                <w:szCs w:val="25"/>
                <w:color w:val="auto"/>
                <w:vertAlign w:val="superscript"/>
              </w:rPr>
              <w:t>(3)</w:t>
            </w: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60" w:type="dxa"/>
            <w:vAlign w:val="bottom"/>
          </w:tcPr>
          <w:p>
            <w:pPr>
              <w:ind w:left="300"/>
              <w:spacing w:after="0"/>
              <w:rPr>
                <w:sz w:val="20"/>
                <w:szCs w:val="20"/>
                <w:color w:val="auto"/>
              </w:rPr>
            </w:pPr>
            <w:r>
              <w:rPr>
                <w:rFonts w:ascii="Arial" w:cs="Arial" w:eastAsia="Arial" w:hAnsi="Arial"/>
                <w:sz w:val="16"/>
                <w:szCs w:val="16"/>
                <w:color w:val="auto"/>
                <w:w w:val="93"/>
              </w:rPr>
              <w:t>Second-lien secured note ($11,559</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6/5/2019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5.88%</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5.88%</w:t>
            </w:r>
          </w:p>
        </w:tc>
        <w:tc>
          <w:tcPr>
            <w:tcW w:w="780" w:type="dxa"/>
            <w:vAlign w:val="bottom"/>
          </w:tcPr>
          <w:p>
            <w:pPr>
              <w:jc w:val="right"/>
              <w:spacing w:after="0"/>
              <w:rPr>
                <w:sz w:val="20"/>
                <w:szCs w:val="20"/>
                <w:color w:val="auto"/>
              </w:rPr>
            </w:pPr>
            <w:r>
              <w:rPr>
                <w:rFonts w:ascii="Arial" w:cs="Arial" w:eastAsia="Arial" w:hAnsi="Arial"/>
                <w:sz w:val="16"/>
                <w:szCs w:val="16"/>
                <w:color w:val="auto"/>
              </w:rPr>
              <w:t>9,761</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9,911</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6"/>
                <w:szCs w:val="16"/>
                <w:color w:val="auto"/>
              </w:rPr>
              <w:t>par, due 7/2023)</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Maurices, Inc. </w:t>
            </w:r>
            <w:r>
              <w:rPr>
                <w:rFonts w:ascii="Arial" w:cs="Arial" w:eastAsia="Arial" w:hAnsi="Arial"/>
                <w:sz w:val="24"/>
                <w:szCs w:val="24"/>
                <w:color w:val="auto"/>
                <w:vertAlign w:val="superscript"/>
              </w:rPr>
              <w:t>(3)(5)</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ABL FILO term loan ($27,778</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+ 6.50%</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8.21%</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27,014</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28,958</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18"/>
                <w:szCs w:val="18"/>
                <w:color w:val="auto"/>
              </w:rPr>
            </w:pP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par, due 5/2024)</w:t>
            </w: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Moran Foods, LLC </w:t>
            </w:r>
            <w:r>
              <w:rPr>
                <w:rFonts w:ascii="Arial" w:cs="Arial" w:eastAsia="Arial" w:hAnsi="Arial"/>
                <w:sz w:val="23"/>
                <w:szCs w:val="23"/>
                <w:color w:val="auto"/>
                <w:vertAlign w:val="superscript"/>
              </w:rPr>
              <w:t>(3)</w:t>
            </w:r>
          </w:p>
        </w:tc>
        <w:tc>
          <w:tcPr>
            <w:tcW w:w="2660" w:type="dxa"/>
            <w:vAlign w:val="bottom"/>
          </w:tcPr>
          <w:p>
            <w:pPr>
              <w:ind w:left="300"/>
              <w:spacing w:after="0"/>
              <w:rPr>
                <w:sz w:val="20"/>
                <w:szCs w:val="20"/>
                <w:color w:val="auto"/>
              </w:rPr>
            </w:pPr>
            <w:r>
              <w:rPr>
                <w:rFonts w:ascii="Arial" w:cs="Arial" w:eastAsia="Arial" w:hAnsi="Arial"/>
                <w:sz w:val="16"/>
                <w:szCs w:val="16"/>
                <w:color w:val="auto"/>
              </w:rPr>
              <w:t>ABL FILO term loan ($39,138</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6/21/2019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+ 6.75%</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8.69%</w:t>
            </w:r>
          </w:p>
        </w:tc>
        <w:tc>
          <w:tcPr>
            <w:tcW w:w="780" w:type="dxa"/>
            <w:vAlign w:val="bottom"/>
          </w:tcPr>
          <w:p>
            <w:pPr>
              <w:jc w:val="right"/>
              <w:spacing w:after="0"/>
              <w:rPr>
                <w:sz w:val="20"/>
                <w:szCs w:val="20"/>
                <w:color w:val="auto"/>
              </w:rPr>
            </w:pPr>
            <w:r>
              <w:rPr>
                <w:rFonts w:ascii="Arial" w:cs="Arial" w:eastAsia="Arial" w:hAnsi="Arial"/>
                <w:sz w:val="16"/>
                <w:szCs w:val="16"/>
                <w:color w:val="auto"/>
              </w:rPr>
              <w:t>38,750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39,138</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6"/>
                <w:szCs w:val="16"/>
                <w:color w:val="auto"/>
              </w:rPr>
              <w:t>par, due 12/2021)</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Neiman Marcus Group</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ABL FILO term loan ($72,000</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9/11/2019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+ 6.00%</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7.89%</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71,086</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71,100</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FF0FC"/>
          </w:tcPr>
          <w:p>
            <w:pPr>
              <w:ind w:left="100"/>
              <w:spacing w:after="0" w:line="216" w:lineRule="exact"/>
              <w:rPr>
                <w:sz w:val="20"/>
                <w:szCs w:val="20"/>
                <w:color w:val="auto"/>
              </w:rPr>
            </w:pPr>
            <w:r>
              <w:rPr>
                <w:rFonts w:ascii="Arial" w:cs="Arial" w:eastAsia="Arial" w:hAnsi="Arial"/>
                <w:sz w:val="15"/>
                <w:szCs w:val="15"/>
                <w:color w:val="auto"/>
              </w:rPr>
              <w:t xml:space="preserve">Ltd LLC </w:t>
            </w:r>
            <w:r>
              <w:rPr>
                <w:rFonts w:ascii="Arial" w:cs="Arial" w:eastAsia="Arial" w:hAnsi="Arial"/>
                <w:sz w:val="25"/>
                <w:szCs w:val="25"/>
                <w:color w:val="auto"/>
                <w:vertAlign w:val="superscript"/>
              </w:rPr>
              <w:t>(3)</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par, due 7/2021)</w:t>
            </w: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60" w:type="dxa"/>
            <w:vAlign w:val="bottom"/>
          </w:tcPr>
          <w:p>
            <w:pPr>
              <w:ind w:left="300"/>
              <w:spacing w:after="0"/>
              <w:rPr>
                <w:sz w:val="20"/>
                <w:szCs w:val="20"/>
                <w:color w:val="auto"/>
              </w:rPr>
            </w:pPr>
            <w:r>
              <w:rPr>
                <w:rFonts w:ascii="Arial" w:cs="Arial" w:eastAsia="Arial" w:hAnsi="Arial"/>
                <w:sz w:val="16"/>
                <w:szCs w:val="16"/>
                <w:color w:val="auto"/>
              </w:rPr>
              <w:t>First-lien loan ($996 par, due</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9/12/2019</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+ 6.00%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7.71%</w:t>
            </w:r>
          </w:p>
        </w:tc>
        <w:tc>
          <w:tcPr>
            <w:tcW w:w="780" w:type="dxa"/>
            <w:vAlign w:val="bottom"/>
          </w:tcPr>
          <w:p>
            <w:pPr>
              <w:jc w:val="right"/>
              <w:spacing w:after="0"/>
              <w:rPr>
                <w:sz w:val="20"/>
                <w:szCs w:val="20"/>
                <w:color w:val="auto"/>
              </w:rPr>
            </w:pPr>
            <w:r>
              <w:rPr>
                <w:rFonts w:ascii="Arial" w:cs="Arial" w:eastAsia="Arial" w:hAnsi="Arial"/>
                <w:sz w:val="16"/>
                <w:szCs w:val="16"/>
                <w:color w:val="auto"/>
              </w:rPr>
              <w:t>799</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819</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ind w:left="300"/>
              <w:spacing w:after="0" w:line="216" w:lineRule="exact"/>
              <w:rPr>
                <w:sz w:val="20"/>
                <w:szCs w:val="20"/>
                <w:color w:val="auto"/>
              </w:rPr>
            </w:pPr>
            <w:r>
              <w:rPr>
                <w:rFonts w:ascii="Arial" w:cs="Arial" w:eastAsia="Arial" w:hAnsi="Arial"/>
                <w:sz w:val="15"/>
                <w:szCs w:val="15"/>
                <w:color w:val="auto"/>
              </w:rPr>
              <w:t xml:space="preserve">10/2023) </w:t>
            </w:r>
            <w:r>
              <w:rPr>
                <w:rFonts w:ascii="Arial" w:cs="Arial" w:eastAsia="Arial" w:hAnsi="Arial"/>
                <w:sz w:val="25"/>
                <w:szCs w:val="25"/>
                <w:color w:val="auto"/>
                <w:vertAlign w:val="superscript"/>
              </w:rPr>
              <w:t>(11)</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Transform SR Holdings,</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ABL FILO term loan ($75,000</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2/11/2019</w:t>
            </w:r>
          </w:p>
        </w:tc>
        <w:tc>
          <w:tcPr>
            <w:tcW w:w="11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+ 7.25%</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9.18%</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74,359</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75,750</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FF0FC"/>
          </w:tcPr>
          <w:p>
            <w:pPr>
              <w:ind w:left="100"/>
              <w:spacing w:after="0" w:line="216" w:lineRule="exact"/>
              <w:rPr>
                <w:sz w:val="20"/>
                <w:szCs w:val="20"/>
                <w:color w:val="auto"/>
              </w:rPr>
            </w:pPr>
            <w:r>
              <w:rPr>
                <w:rFonts w:ascii="Arial" w:cs="Arial" w:eastAsia="Arial" w:hAnsi="Arial"/>
                <w:sz w:val="15"/>
                <w:szCs w:val="15"/>
                <w:color w:val="auto"/>
              </w:rPr>
              <w:t xml:space="preserve">LLC </w:t>
            </w:r>
            <w:r>
              <w:rPr>
                <w:rFonts w:ascii="Arial" w:cs="Arial" w:eastAsia="Arial" w:hAnsi="Arial"/>
                <w:sz w:val="25"/>
                <w:szCs w:val="25"/>
                <w:color w:val="auto"/>
                <w:vertAlign w:val="superscript"/>
              </w:rPr>
              <w:t>(3)</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par, due 2/2024)</w:t>
            </w: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330,940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334,375</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Transportation</w:t>
            </w:r>
          </w:p>
        </w:tc>
        <w:tc>
          <w:tcPr>
            <w:tcW w:w="26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2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Ferrellgas, L.P. </w:t>
            </w:r>
            <w:r>
              <w:rPr>
                <w:rFonts w:ascii="Arial" w:cs="Arial" w:eastAsia="Arial" w:hAnsi="Arial"/>
                <w:sz w:val="23"/>
                <w:szCs w:val="23"/>
                <w:color w:val="auto"/>
                <w:vertAlign w:val="superscript"/>
              </w:rPr>
              <w:t>(3)(4)(5)</w:t>
            </w:r>
          </w:p>
        </w:tc>
        <w:tc>
          <w:tcPr>
            <w:tcW w:w="2660" w:type="dxa"/>
            <w:vAlign w:val="bottom"/>
          </w:tcPr>
          <w:p>
            <w:pPr>
              <w:ind w:left="300"/>
              <w:spacing w:after="0"/>
              <w:rPr>
                <w:sz w:val="20"/>
                <w:szCs w:val="20"/>
                <w:color w:val="auto"/>
              </w:rPr>
            </w:pPr>
            <w:r>
              <w:rPr>
                <w:rFonts w:ascii="Arial" w:cs="Arial" w:eastAsia="Arial" w:hAnsi="Arial"/>
                <w:sz w:val="16"/>
                <w:szCs w:val="16"/>
                <w:color w:val="auto"/>
              </w:rPr>
              <w:t>First-lien loan ($85,159 par, due</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5/4/2018</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L + 5.75%</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7.45%</w:t>
            </w:r>
          </w:p>
        </w:tc>
        <w:tc>
          <w:tcPr>
            <w:tcW w:w="780" w:type="dxa"/>
            <w:vAlign w:val="bottom"/>
          </w:tcPr>
          <w:p>
            <w:pPr>
              <w:jc w:val="right"/>
              <w:spacing w:after="0"/>
              <w:rPr>
                <w:sz w:val="20"/>
                <w:szCs w:val="20"/>
                <w:color w:val="auto"/>
              </w:rPr>
            </w:pPr>
            <w:r>
              <w:rPr>
                <w:rFonts w:ascii="Arial" w:cs="Arial" w:eastAsia="Arial" w:hAnsi="Arial"/>
                <w:sz w:val="16"/>
                <w:szCs w:val="16"/>
                <w:color w:val="auto"/>
              </w:rPr>
              <w:t>83,994</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90,053</w:t>
            </w: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Borders>
              <w:bottom w:val="single" w:sz="8" w:color="CFF0FC"/>
            </w:tcBorders>
          </w:tcPr>
          <w:p>
            <w:pPr>
              <w:spacing w:after="0"/>
              <w:rPr>
                <w:sz w:val="18"/>
                <w:szCs w:val="18"/>
                <w:color w:val="auto"/>
              </w:rPr>
            </w:pPr>
          </w:p>
        </w:tc>
        <w:tc>
          <w:tcPr>
            <w:tcW w:w="266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5/2023)</w:t>
            </w:r>
          </w:p>
        </w:tc>
        <w:tc>
          <w:tcPr>
            <w:tcW w:w="100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Debt Investments</w:t>
            </w:r>
          </w:p>
        </w:tc>
        <w:tc>
          <w:tcPr>
            <w:tcW w:w="2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2,150,478</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2,182,815</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Equity and Other Investments</w:t>
            </w:r>
          </w:p>
        </w:tc>
        <w:tc>
          <w:tcPr>
            <w:tcW w:w="2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b w:val="1"/>
                <w:bCs w:val="1"/>
                <w:color w:val="auto"/>
              </w:rPr>
              <w:t>Beverage, food and tobacco</w:t>
            </w:r>
          </w:p>
        </w:tc>
        <w:tc>
          <w:tcPr>
            <w:tcW w:w="2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AFS Technologies, Inc. </w:t>
            </w:r>
            <w:r>
              <w:rPr>
                <w:rFonts w:ascii="Arial" w:cs="Arial" w:eastAsia="Arial" w:hAnsi="Arial"/>
                <w:sz w:val="25"/>
                <w:szCs w:val="25"/>
                <w:color w:val="auto"/>
                <w:vertAlign w:val="superscript"/>
              </w:rPr>
              <w:t>(6)(13)</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Preferred Units (4,441,090 units)</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10/16/2018</w:t>
            </w:r>
          </w:p>
        </w:tc>
        <w:tc>
          <w:tcPr>
            <w:tcW w:w="1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4,441</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4,463</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2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5"/>
                <w:szCs w:val="25"/>
                <w:color w:val="auto"/>
                <w:vertAlign w:val="superscript"/>
              </w:rPr>
              <w:t>(13)</w:t>
            </w:r>
          </w:p>
        </w:tc>
        <w:tc>
          <w:tcPr>
            <w:tcW w:w="26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Class A Units (1,262 units)</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1/17/2018</w:t>
            </w:r>
          </w:p>
        </w:tc>
        <w:tc>
          <w:tcPr>
            <w:tcW w:w="1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2,738</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51"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9"/>
        </w:trPr>
        <w:tc>
          <w:tcPr>
            <w:tcW w:w="2620" w:type="dxa"/>
            <w:vAlign w:val="bottom"/>
          </w:tcPr>
          <w:p>
            <w:pPr>
              <w:spacing w:after="0"/>
              <w:rPr>
                <w:sz w:val="18"/>
                <w:szCs w:val="18"/>
                <w:color w:val="auto"/>
              </w:rPr>
            </w:pPr>
          </w:p>
        </w:tc>
        <w:tc>
          <w:tcPr>
            <w:tcW w:w="2540" w:type="dxa"/>
            <w:vAlign w:val="bottom"/>
          </w:tcPr>
          <w:p>
            <w:pPr>
              <w:ind w:left="160"/>
              <w:spacing w:after="0"/>
              <w:rPr>
                <w:sz w:val="20"/>
                <w:szCs w:val="20"/>
                <w:color w:val="auto"/>
              </w:rPr>
            </w:pPr>
            <w:r>
              <w:rPr>
                <w:rFonts w:ascii="Arial" w:cs="Arial" w:eastAsia="Arial" w:hAnsi="Arial"/>
                <w:sz w:val="16"/>
                <w:szCs w:val="16"/>
                <w:color w:val="auto"/>
              </w:rPr>
              <w:t>Class B Units (517,020 units)</w:t>
            </w:r>
          </w:p>
        </w:tc>
        <w:tc>
          <w:tcPr>
            <w:tcW w:w="2140" w:type="dxa"/>
            <w:vAlign w:val="bottom"/>
          </w:tcPr>
          <w:p>
            <w:pPr>
              <w:jc w:val="right"/>
              <w:ind w:right="1179"/>
              <w:spacing w:after="0"/>
              <w:rPr>
                <w:sz w:val="20"/>
                <w:szCs w:val="20"/>
                <w:color w:val="auto"/>
              </w:rPr>
            </w:pPr>
            <w:r>
              <w:rPr>
                <w:rFonts w:ascii="Arial" w:cs="Arial" w:eastAsia="Arial" w:hAnsi="Arial"/>
                <w:sz w:val="16"/>
                <w:szCs w:val="16"/>
                <w:color w:val="auto"/>
              </w:rPr>
              <w:t>1/17/2018</w:t>
            </w:r>
          </w:p>
        </w:tc>
        <w:tc>
          <w:tcPr>
            <w:tcW w:w="126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9"/>
        </w:trPr>
        <w:tc>
          <w:tcPr>
            <w:tcW w:w="26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5"/>
                <w:szCs w:val="25"/>
                <w:color w:val="auto"/>
                <w:vertAlign w:val="superscript"/>
              </w:rPr>
              <w:t>(13)</w:t>
            </w:r>
          </w:p>
        </w:tc>
        <w:tc>
          <w:tcPr>
            <w:tcW w:w="25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Class A Shares (1,197 shares)</w:t>
            </w:r>
          </w:p>
        </w:tc>
        <w:tc>
          <w:tcPr>
            <w:tcW w:w="214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3/30/2018</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1,939</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2620" w:type="dxa"/>
            <w:vAlign w:val="bottom"/>
          </w:tcPr>
          <w:p>
            <w:pPr>
              <w:spacing w:after="0"/>
              <w:rPr>
                <w:sz w:val="18"/>
                <w:szCs w:val="18"/>
                <w:color w:val="auto"/>
              </w:rPr>
            </w:pPr>
          </w:p>
        </w:tc>
        <w:tc>
          <w:tcPr>
            <w:tcW w:w="2540" w:type="dxa"/>
            <w:vAlign w:val="bottom"/>
          </w:tcPr>
          <w:p>
            <w:pPr>
              <w:ind w:left="160"/>
              <w:spacing w:after="0"/>
              <w:rPr>
                <w:sz w:val="20"/>
                <w:szCs w:val="20"/>
                <w:color w:val="auto"/>
              </w:rPr>
            </w:pPr>
            <w:r>
              <w:rPr>
                <w:rFonts w:ascii="Arial" w:cs="Arial" w:eastAsia="Arial" w:hAnsi="Arial"/>
                <w:sz w:val="16"/>
                <w:szCs w:val="16"/>
                <w:color w:val="auto"/>
              </w:rPr>
              <w:t>Class B Shares (398,557 shares)</w:t>
            </w:r>
          </w:p>
        </w:tc>
        <w:tc>
          <w:tcPr>
            <w:tcW w:w="2140" w:type="dxa"/>
            <w:vAlign w:val="bottom"/>
          </w:tcPr>
          <w:p>
            <w:pPr>
              <w:jc w:val="right"/>
              <w:ind w:right="1179"/>
              <w:spacing w:after="0"/>
              <w:rPr>
                <w:sz w:val="20"/>
                <w:szCs w:val="20"/>
                <w:color w:val="auto"/>
              </w:rPr>
            </w:pPr>
            <w:r>
              <w:rPr>
                <w:rFonts w:ascii="Arial" w:cs="Arial" w:eastAsia="Arial" w:hAnsi="Arial"/>
                <w:sz w:val="16"/>
                <w:szCs w:val="16"/>
                <w:color w:val="auto"/>
              </w:rPr>
              <w:t>3/30/2018</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
        </w:trPr>
        <w:tc>
          <w:tcPr>
            <w:tcW w:w="2620" w:type="dxa"/>
            <w:vAlign w:val="bottom"/>
            <w:shd w:val="clear" w:color="auto" w:fill="CFF0FC"/>
          </w:tcPr>
          <w:p>
            <w:pPr>
              <w:spacing w:after="0" w:line="20" w:lineRule="exact"/>
              <w:rPr>
                <w:sz w:val="1"/>
                <w:szCs w:val="1"/>
                <w:color w:val="auto"/>
              </w:rPr>
            </w:pPr>
          </w:p>
        </w:tc>
        <w:tc>
          <w:tcPr>
            <w:tcW w:w="254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3"/>
        </w:trPr>
        <w:tc>
          <w:tcPr>
            <w:tcW w:w="262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4,697</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207"/>
        </w:trPr>
        <w:tc>
          <w:tcPr>
            <w:tcW w:w="2620" w:type="dxa"/>
            <w:vAlign w:val="bottom"/>
          </w:tcPr>
          <w:p>
            <w:pPr>
              <w:spacing w:after="0"/>
              <w:rPr>
                <w:sz w:val="20"/>
                <w:szCs w:val="20"/>
                <w:color w:val="auto"/>
              </w:rPr>
            </w:pPr>
            <w:r>
              <w:rPr>
                <w:rFonts w:ascii="Arial" w:cs="Arial" w:eastAsia="Arial" w:hAnsi="Arial"/>
                <w:sz w:val="16"/>
                <w:szCs w:val="16"/>
                <w:b w:val="1"/>
                <w:bCs w:val="1"/>
                <w:color w:val="auto"/>
              </w:rPr>
              <w:t>Chemicals</w:t>
            </w:r>
          </w:p>
        </w:tc>
        <w:tc>
          <w:tcPr>
            <w:tcW w:w="25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19"/>
        </w:trPr>
        <w:tc>
          <w:tcPr>
            <w:tcW w:w="26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5"/>
                <w:szCs w:val="25"/>
                <w:color w:val="auto"/>
                <w:vertAlign w:val="superscript"/>
              </w:rPr>
              <w:t>(13)(14)</w:t>
            </w:r>
          </w:p>
        </w:tc>
        <w:tc>
          <w:tcPr>
            <w:tcW w:w="25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Common Units (3,386,630 units)</w:t>
            </w:r>
          </w:p>
        </w:tc>
        <w:tc>
          <w:tcPr>
            <w:tcW w:w="214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10/31/2016</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4,575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3,614</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262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2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26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5"/>
                <w:szCs w:val="25"/>
                <w:color w:val="auto"/>
                <w:vertAlign w:val="superscript"/>
              </w:rPr>
              <w:t>(14)</w:t>
            </w:r>
          </w:p>
        </w:tc>
        <w:tc>
          <w:tcPr>
            <w:tcW w:w="2540" w:type="dxa"/>
            <w:vAlign w:val="bottom"/>
            <w:shd w:val="clear" w:color="auto" w:fill="CFF0FC"/>
          </w:tcPr>
          <w:p>
            <w:pPr>
              <w:ind w:left="160"/>
              <w:spacing w:after="0"/>
              <w:rPr>
                <w:sz w:val="20"/>
                <w:szCs w:val="20"/>
                <w:color w:val="auto"/>
              </w:rPr>
            </w:pPr>
            <w:r>
              <w:rPr>
                <w:rFonts w:ascii="Arial" w:cs="Arial" w:eastAsia="Arial" w:hAnsi="Arial"/>
                <w:sz w:val="16"/>
                <w:szCs w:val="16"/>
                <w:color w:val="auto"/>
                <w:w w:val="95"/>
              </w:rPr>
              <w:t>Preferred Shares (293,232 shares)</w:t>
            </w:r>
          </w:p>
        </w:tc>
        <w:tc>
          <w:tcPr>
            <w:tcW w:w="214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10/1/2019</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14,423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14,423</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203"/>
        </w:trPr>
        <w:tc>
          <w:tcPr>
            <w:tcW w:w="2620" w:type="dxa"/>
            <w:vAlign w:val="bottom"/>
          </w:tcPr>
          <w:p>
            <w:pPr>
              <w:spacing w:after="0"/>
              <w:rPr>
                <w:sz w:val="20"/>
                <w:szCs w:val="20"/>
                <w:color w:val="auto"/>
              </w:rPr>
            </w:pPr>
            <w:r>
              <w:rPr>
                <w:rFonts w:ascii="Arial" w:cs="Arial" w:eastAsia="Arial" w:hAnsi="Arial"/>
                <w:sz w:val="16"/>
                <w:szCs w:val="16"/>
                <w:color w:val="auto"/>
              </w:rPr>
              <w:t>Oxford Square Capital</w:t>
            </w:r>
          </w:p>
        </w:tc>
        <w:tc>
          <w:tcPr>
            <w:tcW w:w="2540" w:type="dxa"/>
            <w:vAlign w:val="bottom"/>
          </w:tcPr>
          <w:p>
            <w:pPr>
              <w:ind w:left="160"/>
              <w:spacing w:after="0"/>
              <w:rPr>
                <w:sz w:val="20"/>
                <w:szCs w:val="20"/>
                <w:color w:val="auto"/>
              </w:rPr>
            </w:pPr>
            <w:r>
              <w:rPr>
                <w:rFonts w:ascii="Arial" w:cs="Arial" w:eastAsia="Arial" w:hAnsi="Arial"/>
                <w:sz w:val="16"/>
                <w:szCs w:val="16"/>
                <w:color w:val="auto"/>
              </w:rPr>
              <w:t>Common Shares (1,059 shares)</w:t>
            </w:r>
          </w:p>
        </w:tc>
        <w:tc>
          <w:tcPr>
            <w:tcW w:w="2140" w:type="dxa"/>
            <w:vAlign w:val="bottom"/>
          </w:tcPr>
          <w:p>
            <w:pPr>
              <w:jc w:val="right"/>
              <w:ind w:right="1179"/>
              <w:spacing w:after="0"/>
              <w:rPr>
                <w:sz w:val="20"/>
                <w:szCs w:val="20"/>
                <w:color w:val="auto"/>
              </w:rPr>
            </w:pPr>
            <w:r>
              <w:rPr>
                <w:rFonts w:ascii="Arial" w:cs="Arial" w:eastAsia="Arial" w:hAnsi="Arial"/>
                <w:sz w:val="16"/>
                <w:szCs w:val="16"/>
                <w:color w:val="auto"/>
              </w:rPr>
              <w:t>8/5/2015</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2620" w:type="dxa"/>
            <w:vAlign w:val="bottom"/>
          </w:tcPr>
          <w:p>
            <w:pPr>
              <w:ind w:left="120"/>
              <w:spacing w:after="0"/>
              <w:rPr>
                <w:sz w:val="20"/>
                <w:szCs w:val="20"/>
                <w:color w:val="auto"/>
              </w:rPr>
            </w:pPr>
            <w:r>
              <w:rPr>
                <w:rFonts w:ascii="Arial" w:cs="Arial" w:eastAsia="Arial" w:hAnsi="Arial"/>
                <w:sz w:val="16"/>
                <w:szCs w:val="16"/>
                <w:color w:val="auto"/>
              </w:rPr>
              <w:t xml:space="preserve">Corp. </w:t>
            </w:r>
            <w:r>
              <w:rPr>
                <w:rFonts w:ascii="Arial" w:cs="Arial" w:eastAsia="Arial" w:hAnsi="Arial"/>
                <w:sz w:val="13"/>
                <w:szCs w:val="13"/>
                <w:color w:val="auto"/>
              </w:rPr>
              <w:t>(4)(12)</w:t>
            </w:r>
          </w:p>
        </w:tc>
        <w:tc>
          <w:tcPr>
            <w:tcW w:w="2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26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Swift Gift, Ltd. </w:t>
            </w:r>
            <w:r>
              <w:rPr>
                <w:rFonts w:ascii="Arial" w:cs="Arial" w:eastAsia="Arial" w:hAnsi="Arial"/>
                <w:sz w:val="25"/>
                <w:szCs w:val="25"/>
                <w:color w:val="auto"/>
                <w:vertAlign w:val="superscript"/>
              </w:rPr>
              <w:t>(13)</w:t>
            </w:r>
          </w:p>
        </w:tc>
        <w:tc>
          <w:tcPr>
            <w:tcW w:w="2540" w:type="dxa"/>
            <w:vAlign w:val="bottom"/>
            <w:shd w:val="clear" w:color="auto" w:fill="CFF0FC"/>
          </w:tcPr>
          <w:p>
            <w:pPr>
              <w:ind w:left="160"/>
              <w:spacing w:after="0"/>
              <w:rPr>
                <w:sz w:val="20"/>
                <w:szCs w:val="20"/>
                <w:color w:val="auto"/>
              </w:rPr>
            </w:pPr>
            <w:r>
              <w:rPr>
                <w:rFonts w:ascii="Arial" w:cs="Arial" w:eastAsia="Arial" w:hAnsi="Arial"/>
                <w:sz w:val="16"/>
                <w:szCs w:val="16"/>
                <w:color w:val="auto"/>
                <w:w w:val="99"/>
              </w:rPr>
              <w:t>Common Shares (35,000 shares)</w:t>
            </w:r>
          </w:p>
        </w:tc>
        <w:tc>
          <w:tcPr>
            <w:tcW w:w="214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7/31/2017</w:t>
            </w:r>
          </w:p>
        </w:tc>
        <w:tc>
          <w:tcPr>
            <w:tcW w:w="1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10,255</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w:t>
            </w:r>
          </w:p>
        </w:tc>
      </w:tr>
      <w:tr>
        <w:trPr>
          <w:trHeight w:val="20"/>
        </w:trPr>
        <w:tc>
          <w:tcPr>
            <w:tcW w:w="2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7"/>
        </w:trPr>
        <w:tc>
          <w:tcPr>
            <w:tcW w:w="2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24,684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540" w:type="dxa"/>
            <w:vAlign w:val="bottom"/>
            <w:tcBorders>
              <w:top w:val="single" w:sz="8" w:color="CFF0FC"/>
            </w:tcBorders>
            <w:shd w:val="clear" w:color="auto" w:fill="CFF0FC"/>
          </w:tcPr>
          <w:p>
            <w:pPr>
              <w:spacing w:after="0"/>
              <w:rPr>
                <w:sz w:val="18"/>
                <w:szCs w:val="18"/>
                <w:color w:val="auto"/>
              </w:rPr>
            </w:pPr>
          </w:p>
        </w:tc>
        <w:tc>
          <w:tcPr>
            <w:tcW w:w="21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2620" w:type="dxa"/>
            <w:vAlign w:val="bottom"/>
          </w:tcPr>
          <w:p>
            <w:pPr>
              <w:spacing w:after="0" w:line="216" w:lineRule="exact"/>
              <w:rPr>
                <w:sz w:val="20"/>
                <w:szCs w:val="20"/>
                <w:color w:val="auto"/>
              </w:rPr>
            </w:pPr>
            <w:r>
              <w:rPr>
                <w:rFonts w:ascii="Arial" w:cs="Arial" w:eastAsia="Arial" w:hAnsi="Arial"/>
                <w:sz w:val="15"/>
                <w:szCs w:val="15"/>
                <w:color w:val="auto"/>
              </w:rPr>
              <w:t xml:space="preserve">Caris Life Sciences, Ltd. </w:t>
            </w:r>
            <w:r>
              <w:rPr>
                <w:rFonts w:ascii="Arial" w:cs="Arial" w:eastAsia="Arial" w:hAnsi="Arial"/>
                <w:sz w:val="25"/>
                <w:szCs w:val="25"/>
                <w:color w:val="auto"/>
                <w:vertAlign w:val="superscript"/>
              </w:rPr>
              <w:t>(13)</w:t>
            </w:r>
          </w:p>
        </w:tc>
        <w:tc>
          <w:tcPr>
            <w:tcW w:w="2540" w:type="dxa"/>
            <w:vAlign w:val="bottom"/>
          </w:tcPr>
          <w:p>
            <w:pPr>
              <w:ind w:left="160"/>
              <w:spacing w:after="0"/>
              <w:rPr>
                <w:sz w:val="20"/>
                <w:szCs w:val="20"/>
                <w:color w:val="auto"/>
              </w:rPr>
            </w:pPr>
            <w:r>
              <w:rPr>
                <w:rFonts w:ascii="Arial" w:cs="Arial" w:eastAsia="Arial" w:hAnsi="Arial"/>
                <w:sz w:val="16"/>
                <w:szCs w:val="16"/>
                <w:color w:val="auto"/>
              </w:rPr>
              <w:t>633,376 Warrants</w:t>
            </w:r>
          </w:p>
        </w:tc>
        <w:tc>
          <w:tcPr>
            <w:tcW w:w="2140" w:type="dxa"/>
            <w:vAlign w:val="bottom"/>
          </w:tcPr>
          <w:p>
            <w:pPr>
              <w:jc w:val="right"/>
              <w:ind w:right="1179"/>
              <w:spacing w:after="0"/>
              <w:rPr>
                <w:sz w:val="20"/>
                <w:szCs w:val="20"/>
                <w:color w:val="auto"/>
              </w:rPr>
            </w:pPr>
            <w:r>
              <w:rPr>
                <w:rFonts w:ascii="Arial" w:cs="Arial" w:eastAsia="Arial" w:hAnsi="Arial"/>
                <w:sz w:val="16"/>
                <w:szCs w:val="16"/>
                <w:color w:val="auto"/>
              </w:rPr>
              <w:t>9/21/2018</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6"/>
        </w:trPr>
        <w:tc>
          <w:tcPr>
            <w:tcW w:w="262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Quantros, Inc. </w:t>
            </w:r>
            <w:r>
              <w:rPr>
                <w:rFonts w:ascii="Arial" w:cs="Arial" w:eastAsia="Arial" w:hAnsi="Arial"/>
                <w:sz w:val="25"/>
                <w:szCs w:val="25"/>
                <w:color w:val="auto"/>
                <w:vertAlign w:val="superscript"/>
              </w:rPr>
              <w:t>(13)(14)</w:t>
            </w:r>
          </w:p>
        </w:tc>
        <w:tc>
          <w:tcPr>
            <w:tcW w:w="25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4,685,068 Warrants</w:t>
            </w:r>
          </w:p>
        </w:tc>
        <w:tc>
          <w:tcPr>
            <w:tcW w:w="214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10/7/2019</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03"/>
        </w:trPr>
        <w:tc>
          <w:tcPr>
            <w:tcW w:w="2620" w:type="dxa"/>
            <w:vAlign w:val="bottom"/>
          </w:tcPr>
          <w:p>
            <w:pPr>
              <w:spacing w:after="0"/>
              <w:rPr>
                <w:sz w:val="20"/>
                <w:szCs w:val="20"/>
                <w:color w:val="auto"/>
              </w:rPr>
            </w:pPr>
            <w:r>
              <w:rPr>
                <w:rFonts w:ascii="Arial" w:cs="Arial" w:eastAsia="Arial" w:hAnsi="Arial"/>
                <w:sz w:val="16"/>
                <w:szCs w:val="16"/>
                <w:color w:val="auto"/>
              </w:rPr>
              <w:t>Valant Medical Solutions,</w:t>
            </w:r>
          </w:p>
        </w:tc>
        <w:tc>
          <w:tcPr>
            <w:tcW w:w="2540" w:type="dxa"/>
            <w:vAlign w:val="bottom"/>
          </w:tcPr>
          <w:p>
            <w:pPr>
              <w:ind w:left="160"/>
              <w:spacing w:after="0"/>
              <w:rPr>
                <w:sz w:val="20"/>
                <w:szCs w:val="20"/>
                <w:color w:val="auto"/>
              </w:rPr>
            </w:pPr>
            <w:r>
              <w:rPr>
                <w:rFonts w:ascii="Arial" w:cs="Arial" w:eastAsia="Arial" w:hAnsi="Arial"/>
                <w:sz w:val="16"/>
                <w:szCs w:val="16"/>
                <w:color w:val="auto"/>
              </w:rPr>
              <w:t>954,478 Warrants</w:t>
            </w:r>
          </w:p>
        </w:tc>
        <w:tc>
          <w:tcPr>
            <w:tcW w:w="2140" w:type="dxa"/>
            <w:vAlign w:val="bottom"/>
          </w:tcPr>
          <w:p>
            <w:pPr>
              <w:jc w:val="right"/>
              <w:ind w:right="1179"/>
              <w:spacing w:after="0"/>
              <w:rPr>
                <w:sz w:val="20"/>
                <w:szCs w:val="20"/>
                <w:color w:val="auto"/>
              </w:rPr>
            </w:pPr>
            <w:r>
              <w:rPr>
                <w:rFonts w:ascii="Arial" w:cs="Arial" w:eastAsia="Arial" w:hAnsi="Arial"/>
                <w:sz w:val="16"/>
                <w:szCs w:val="16"/>
                <w:color w:val="auto"/>
              </w:rPr>
              <w:t>4/8/2019</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13"/>
        </w:trPr>
        <w:tc>
          <w:tcPr>
            <w:tcW w:w="2620" w:type="dxa"/>
            <w:vAlign w:val="bottom"/>
          </w:tcPr>
          <w:p>
            <w:pPr>
              <w:ind w:left="120"/>
              <w:spacing w:after="0"/>
              <w:rPr>
                <w:sz w:val="20"/>
                <w:szCs w:val="20"/>
                <w:color w:val="auto"/>
              </w:rPr>
            </w:pPr>
            <w:r>
              <w:rPr>
                <w:rFonts w:ascii="Arial" w:cs="Arial" w:eastAsia="Arial" w:hAnsi="Arial"/>
                <w:sz w:val="16"/>
                <w:szCs w:val="16"/>
                <w:color w:val="auto"/>
              </w:rPr>
              <w:t xml:space="preserve">Inc. </w:t>
            </w:r>
            <w:r>
              <w:rPr>
                <w:rFonts w:ascii="Arial" w:cs="Arial" w:eastAsia="Arial" w:hAnsi="Arial"/>
                <w:sz w:val="13"/>
                <w:szCs w:val="13"/>
                <w:color w:val="auto"/>
              </w:rPr>
              <w:t>(13)(14)(15)</w:t>
            </w:r>
          </w:p>
        </w:tc>
        <w:tc>
          <w:tcPr>
            <w:tcW w:w="2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26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Vita Topco, Inc. </w:t>
            </w:r>
            <w:r>
              <w:rPr>
                <w:rFonts w:ascii="Arial" w:cs="Arial" w:eastAsia="Arial" w:hAnsi="Arial"/>
                <w:sz w:val="25"/>
                <w:szCs w:val="25"/>
                <w:color w:val="auto"/>
                <w:vertAlign w:val="superscript"/>
              </w:rPr>
              <w:t>(13)(14)(15)</w:t>
            </w:r>
          </w:p>
        </w:tc>
        <w:tc>
          <w:tcPr>
            <w:tcW w:w="25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Common Shares (1,000 shares)</w:t>
            </w:r>
          </w:p>
        </w:tc>
        <w:tc>
          <w:tcPr>
            <w:tcW w:w="214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2/11/2019</w:t>
            </w:r>
          </w:p>
        </w:tc>
        <w:tc>
          <w:tcPr>
            <w:tcW w:w="1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2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7"/>
        </w:trPr>
        <w:tc>
          <w:tcPr>
            <w:tcW w:w="2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2,054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540" w:type="dxa"/>
            <w:vAlign w:val="bottom"/>
            <w:tcBorders>
              <w:top w:val="single" w:sz="8" w:color="CFF0FC"/>
            </w:tcBorders>
            <w:shd w:val="clear" w:color="auto" w:fill="CFF0FC"/>
          </w:tcPr>
          <w:p>
            <w:pPr>
              <w:spacing w:after="0"/>
              <w:rPr>
                <w:sz w:val="18"/>
                <w:szCs w:val="18"/>
                <w:color w:val="auto"/>
              </w:rPr>
            </w:pPr>
          </w:p>
        </w:tc>
        <w:tc>
          <w:tcPr>
            <w:tcW w:w="21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3"/>
        </w:trPr>
        <w:tc>
          <w:tcPr>
            <w:tcW w:w="2620" w:type="dxa"/>
            <w:vAlign w:val="bottom"/>
          </w:tcPr>
          <w:p>
            <w:pPr>
              <w:spacing w:after="0" w:line="203"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(7)(13)</w:t>
            </w:r>
          </w:p>
        </w:tc>
        <w:tc>
          <w:tcPr>
            <w:tcW w:w="2540" w:type="dxa"/>
            <w:vAlign w:val="bottom"/>
          </w:tcPr>
          <w:p>
            <w:pPr>
              <w:ind w:left="160"/>
              <w:spacing w:after="0"/>
              <w:rPr>
                <w:sz w:val="20"/>
                <w:szCs w:val="20"/>
                <w:color w:val="auto"/>
              </w:rPr>
            </w:pPr>
            <w:r>
              <w:rPr>
                <w:rFonts w:ascii="Arial" w:cs="Arial" w:eastAsia="Arial" w:hAnsi="Arial"/>
                <w:sz w:val="16"/>
                <w:szCs w:val="16"/>
                <w:color w:val="auto"/>
              </w:rPr>
              <w:t>Class A Units (29,440,171 units)</w:t>
            </w:r>
          </w:p>
        </w:tc>
        <w:tc>
          <w:tcPr>
            <w:tcW w:w="2140" w:type="dxa"/>
            <w:vAlign w:val="bottom"/>
          </w:tcPr>
          <w:p>
            <w:pPr>
              <w:jc w:val="right"/>
              <w:ind w:right="1179"/>
              <w:spacing w:after="0"/>
              <w:rPr>
                <w:sz w:val="20"/>
                <w:szCs w:val="20"/>
                <w:color w:val="auto"/>
              </w:rPr>
            </w:pPr>
            <w:r>
              <w:rPr>
                <w:rFonts w:ascii="Arial" w:cs="Arial" w:eastAsia="Arial" w:hAnsi="Arial"/>
                <w:sz w:val="16"/>
                <w:szCs w:val="16"/>
                <w:color w:val="auto"/>
              </w:rPr>
              <w:t>12/21/2018</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21,813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175"/>
        </w:trPr>
        <w:tc>
          <w:tcPr>
            <w:tcW w:w="2620" w:type="dxa"/>
            <w:vAlign w:val="bottom"/>
          </w:tcPr>
          <w:p>
            <w:pPr>
              <w:spacing w:after="0"/>
              <w:rPr>
                <w:sz w:val="15"/>
                <w:szCs w:val="15"/>
                <w:color w:val="auto"/>
              </w:rPr>
            </w:pPr>
          </w:p>
        </w:tc>
        <w:tc>
          <w:tcPr>
            <w:tcW w:w="2540" w:type="dxa"/>
            <w:vAlign w:val="bottom"/>
          </w:tcPr>
          <w:p>
            <w:pPr>
              <w:ind w:left="160"/>
              <w:spacing w:after="0"/>
              <w:rPr>
                <w:sz w:val="20"/>
                <w:szCs w:val="20"/>
                <w:color w:val="auto"/>
              </w:rPr>
            </w:pPr>
            <w:r>
              <w:rPr>
                <w:rFonts w:ascii="Arial" w:cs="Arial" w:eastAsia="Arial" w:hAnsi="Arial"/>
                <w:sz w:val="14"/>
                <w:szCs w:val="14"/>
                <w:color w:val="auto"/>
              </w:rPr>
              <w:t>(14)</w:t>
            </w:r>
          </w:p>
        </w:tc>
        <w:tc>
          <w:tcPr>
            <w:tcW w:w="2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7"/>
        </w:trPr>
        <w:tc>
          <w:tcPr>
            <w:tcW w:w="2620" w:type="dxa"/>
            <w:vAlign w:val="bottom"/>
            <w:shd w:val="clear" w:color="auto" w:fill="CFF0FC"/>
          </w:tcPr>
          <w:p>
            <w:pPr>
              <w:spacing w:after="0"/>
              <w:rPr>
                <w:sz w:val="17"/>
                <w:szCs w:val="17"/>
                <w:color w:val="auto"/>
              </w:rPr>
            </w:pPr>
          </w:p>
        </w:tc>
        <w:tc>
          <w:tcPr>
            <w:tcW w:w="25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Common Shares (8,800,000</w:t>
            </w:r>
          </w:p>
        </w:tc>
        <w:tc>
          <w:tcPr>
            <w:tcW w:w="214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12/21/2018</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620" w:type="dxa"/>
            <w:vAlign w:val="bottom"/>
            <w:shd w:val="clear" w:color="auto" w:fill="CFF0FC"/>
          </w:tcPr>
          <w:p>
            <w:pPr>
              <w:spacing w:after="0"/>
              <w:rPr>
                <w:sz w:val="18"/>
                <w:szCs w:val="18"/>
                <w:color w:val="auto"/>
              </w:rPr>
            </w:pPr>
          </w:p>
        </w:tc>
        <w:tc>
          <w:tcPr>
            <w:tcW w:w="25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shares)</w:t>
            </w:r>
          </w:p>
        </w:tc>
        <w:tc>
          <w:tcPr>
            <w:tcW w:w="2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0"/>
        </w:trPr>
        <w:tc>
          <w:tcPr>
            <w:tcW w:w="26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21,913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637</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Human resource support services</w:t>
            </w:r>
          </w:p>
        </w:tc>
        <w:tc>
          <w:tcPr>
            <w:tcW w:w="2540" w:type="dxa"/>
            <w:vAlign w:val="bottom"/>
            <w:tcBorders>
              <w:top w:val="single" w:sz="8" w:color="CFF0FC"/>
            </w:tcBorders>
            <w:shd w:val="clear" w:color="auto" w:fill="CFF0FC"/>
          </w:tcPr>
          <w:p>
            <w:pPr>
              <w:spacing w:after="0"/>
              <w:rPr>
                <w:sz w:val="18"/>
                <w:szCs w:val="18"/>
                <w:color w:val="auto"/>
              </w:rPr>
            </w:pPr>
          </w:p>
        </w:tc>
        <w:tc>
          <w:tcPr>
            <w:tcW w:w="21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2620" w:type="dxa"/>
            <w:vAlign w:val="bottom"/>
          </w:tcPr>
          <w:p>
            <w:pPr>
              <w:spacing w:after="0" w:line="216"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5"/>
                <w:szCs w:val="25"/>
                <w:color w:val="auto"/>
                <w:vertAlign w:val="superscript"/>
              </w:rPr>
              <w:t>(13)(15)</w:t>
            </w:r>
          </w:p>
        </w:tc>
        <w:tc>
          <w:tcPr>
            <w:tcW w:w="2540" w:type="dxa"/>
            <w:vAlign w:val="bottom"/>
          </w:tcPr>
          <w:p>
            <w:pPr>
              <w:ind w:left="160"/>
              <w:spacing w:after="0"/>
              <w:rPr>
                <w:sz w:val="20"/>
                <w:szCs w:val="20"/>
                <w:color w:val="auto"/>
              </w:rPr>
            </w:pPr>
            <w:r>
              <w:rPr>
                <w:rFonts w:ascii="Arial" w:cs="Arial" w:eastAsia="Arial" w:hAnsi="Arial"/>
                <w:sz w:val="16"/>
                <w:szCs w:val="16"/>
                <w:color w:val="auto"/>
              </w:rPr>
              <w:t>Class A Units (44,944 units)</w:t>
            </w:r>
          </w:p>
        </w:tc>
        <w:tc>
          <w:tcPr>
            <w:tcW w:w="2140" w:type="dxa"/>
            <w:vAlign w:val="bottom"/>
          </w:tcPr>
          <w:p>
            <w:pPr>
              <w:jc w:val="right"/>
              <w:ind w:right="1179"/>
              <w:spacing w:after="0"/>
              <w:rPr>
                <w:sz w:val="20"/>
                <w:szCs w:val="20"/>
                <w:color w:val="auto"/>
              </w:rPr>
            </w:pPr>
            <w:r>
              <w:rPr>
                <w:rFonts w:ascii="Arial" w:cs="Arial" w:eastAsia="Arial" w:hAnsi="Arial"/>
                <w:sz w:val="16"/>
                <w:szCs w:val="16"/>
                <w:color w:val="auto"/>
              </w:rPr>
              <w:t>8/24/2018</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2,255</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262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w w:val="99"/>
              </w:rPr>
              <w:t xml:space="preserve">DaySmart Holdings, LLC. </w:t>
            </w:r>
            <w:r>
              <w:rPr>
                <w:rFonts w:ascii="Arial" w:cs="Arial" w:eastAsia="Arial" w:hAnsi="Arial"/>
                <w:sz w:val="25"/>
                <w:szCs w:val="25"/>
                <w:color w:val="auto"/>
                <w:w w:val="99"/>
                <w:vertAlign w:val="superscript"/>
              </w:rPr>
              <w:t>(13)(14)(15)</w:t>
            </w:r>
          </w:p>
        </w:tc>
        <w:tc>
          <w:tcPr>
            <w:tcW w:w="25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Class A Units (125,810 units)</w:t>
            </w:r>
          </w:p>
        </w:tc>
        <w:tc>
          <w:tcPr>
            <w:tcW w:w="214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10/1/2019</w:t>
            </w:r>
          </w:p>
        </w:tc>
        <w:tc>
          <w:tcPr>
            <w:tcW w:w="1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2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7"/>
        </w:trPr>
        <w:tc>
          <w:tcPr>
            <w:tcW w:w="2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3,255</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Insurance</w:t>
            </w:r>
          </w:p>
        </w:tc>
        <w:tc>
          <w:tcPr>
            <w:tcW w:w="2540" w:type="dxa"/>
            <w:vAlign w:val="bottom"/>
            <w:tcBorders>
              <w:top w:val="single" w:sz="8" w:color="CFF0FC"/>
            </w:tcBorders>
            <w:shd w:val="clear" w:color="auto" w:fill="CFF0FC"/>
          </w:tcPr>
          <w:p>
            <w:pPr>
              <w:spacing w:after="0"/>
              <w:rPr>
                <w:sz w:val="18"/>
                <w:szCs w:val="18"/>
                <w:color w:val="auto"/>
              </w:rPr>
            </w:pPr>
          </w:p>
        </w:tc>
        <w:tc>
          <w:tcPr>
            <w:tcW w:w="21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6"/>
        </w:trPr>
        <w:tc>
          <w:tcPr>
            <w:tcW w:w="2620" w:type="dxa"/>
            <w:vAlign w:val="bottom"/>
          </w:tcPr>
          <w:p>
            <w:pPr>
              <w:spacing w:after="0" w:line="207"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23"/>
                <w:szCs w:val="23"/>
                <w:color w:val="auto"/>
                <w:vertAlign w:val="superscript"/>
              </w:rPr>
              <w:t>(13)</w:t>
            </w:r>
          </w:p>
        </w:tc>
        <w:tc>
          <w:tcPr>
            <w:tcW w:w="2540" w:type="dxa"/>
            <w:vAlign w:val="bottom"/>
          </w:tcPr>
          <w:p>
            <w:pPr>
              <w:ind w:left="160"/>
              <w:spacing w:after="0"/>
              <w:rPr>
                <w:sz w:val="20"/>
                <w:szCs w:val="20"/>
                <w:color w:val="auto"/>
              </w:rPr>
            </w:pPr>
            <w:r>
              <w:rPr>
                <w:rFonts w:ascii="Arial" w:cs="Arial" w:eastAsia="Arial" w:hAnsi="Arial"/>
                <w:sz w:val="16"/>
                <w:szCs w:val="16"/>
                <w:color w:val="auto"/>
              </w:rPr>
              <w:t>Common Shares Class A (1,020</w:t>
            </w:r>
          </w:p>
        </w:tc>
        <w:tc>
          <w:tcPr>
            <w:tcW w:w="2140" w:type="dxa"/>
            <w:vAlign w:val="bottom"/>
          </w:tcPr>
          <w:p>
            <w:pPr>
              <w:jc w:val="right"/>
              <w:ind w:right="1179"/>
              <w:spacing w:after="0"/>
              <w:rPr>
                <w:sz w:val="20"/>
                <w:szCs w:val="20"/>
                <w:color w:val="auto"/>
              </w:rPr>
            </w:pPr>
            <w:r>
              <w:rPr>
                <w:rFonts w:ascii="Arial" w:cs="Arial" w:eastAsia="Arial" w:hAnsi="Arial"/>
                <w:sz w:val="16"/>
                <w:szCs w:val="16"/>
                <w:color w:val="auto"/>
              </w:rPr>
              <w:t>6/30/2017</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620" w:type="dxa"/>
            <w:vAlign w:val="bottom"/>
          </w:tcPr>
          <w:p>
            <w:pPr>
              <w:spacing w:after="0"/>
              <w:rPr>
                <w:sz w:val="18"/>
                <w:szCs w:val="18"/>
                <w:color w:val="auto"/>
              </w:rPr>
            </w:pPr>
          </w:p>
        </w:tc>
        <w:tc>
          <w:tcPr>
            <w:tcW w:w="2540" w:type="dxa"/>
            <w:vAlign w:val="bottom"/>
          </w:tcPr>
          <w:p>
            <w:pPr>
              <w:ind w:left="160"/>
              <w:spacing w:after="0"/>
              <w:rPr>
                <w:sz w:val="20"/>
                <w:szCs w:val="20"/>
                <w:color w:val="auto"/>
              </w:rPr>
            </w:pPr>
            <w:r>
              <w:rPr>
                <w:rFonts w:ascii="Arial" w:cs="Arial" w:eastAsia="Arial" w:hAnsi="Arial"/>
                <w:sz w:val="16"/>
                <w:szCs w:val="16"/>
                <w:color w:val="auto"/>
              </w:rPr>
              <w:t>units)</w:t>
            </w: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620" w:type="dxa"/>
            <w:vAlign w:val="bottom"/>
            <w:shd w:val="clear" w:color="auto" w:fill="CFF0FC"/>
          </w:tcPr>
          <w:p>
            <w:pPr>
              <w:spacing w:after="0"/>
              <w:rPr>
                <w:sz w:val="18"/>
                <w:szCs w:val="18"/>
                <w:color w:val="auto"/>
              </w:rPr>
            </w:pPr>
          </w:p>
        </w:tc>
        <w:tc>
          <w:tcPr>
            <w:tcW w:w="2540" w:type="dxa"/>
            <w:vAlign w:val="bottom"/>
            <w:shd w:val="clear" w:color="auto" w:fill="CFF0FC"/>
          </w:tcPr>
          <w:p>
            <w:pPr>
              <w:ind w:left="160"/>
              <w:spacing w:after="0"/>
              <w:rPr>
                <w:sz w:val="20"/>
                <w:szCs w:val="20"/>
                <w:color w:val="auto"/>
              </w:rPr>
            </w:pPr>
            <w:r>
              <w:rPr>
                <w:rFonts w:ascii="Arial" w:cs="Arial" w:eastAsia="Arial" w:hAnsi="Arial"/>
                <w:sz w:val="16"/>
                <w:szCs w:val="16"/>
                <w:color w:val="auto"/>
                <w:w w:val="95"/>
              </w:rPr>
              <w:t>Common Shares Class B (987,929</w:t>
            </w:r>
          </w:p>
        </w:tc>
        <w:tc>
          <w:tcPr>
            <w:tcW w:w="214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6/30/2017</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620" w:type="dxa"/>
            <w:vAlign w:val="bottom"/>
            <w:shd w:val="clear" w:color="auto" w:fill="CFF0FC"/>
          </w:tcPr>
          <w:p>
            <w:pPr>
              <w:spacing w:after="0"/>
              <w:rPr>
                <w:sz w:val="18"/>
                <w:szCs w:val="18"/>
                <w:color w:val="auto"/>
              </w:rPr>
            </w:pPr>
          </w:p>
        </w:tc>
        <w:tc>
          <w:tcPr>
            <w:tcW w:w="25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units)</w:t>
            </w:r>
          </w:p>
        </w:tc>
        <w:tc>
          <w:tcPr>
            <w:tcW w:w="2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0"/>
        </w:trPr>
        <w:tc>
          <w:tcPr>
            <w:tcW w:w="26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1,426</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Internet Services</w:t>
            </w:r>
          </w:p>
        </w:tc>
        <w:tc>
          <w:tcPr>
            <w:tcW w:w="2540" w:type="dxa"/>
            <w:vAlign w:val="bottom"/>
            <w:tcBorders>
              <w:top w:val="single" w:sz="8" w:color="CFF0FC"/>
            </w:tcBorders>
            <w:shd w:val="clear" w:color="auto" w:fill="CFF0FC"/>
          </w:tcPr>
          <w:p>
            <w:pPr>
              <w:spacing w:after="0"/>
              <w:rPr>
                <w:sz w:val="18"/>
                <w:szCs w:val="18"/>
                <w:color w:val="auto"/>
              </w:rPr>
            </w:pPr>
          </w:p>
        </w:tc>
        <w:tc>
          <w:tcPr>
            <w:tcW w:w="21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6"/>
        </w:trPr>
        <w:tc>
          <w:tcPr>
            <w:tcW w:w="2620" w:type="dxa"/>
            <w:vAlign w:val="bottom"/>
          </w:tcPr>
          <w:p>
            <w:pPr>
              <w:spacing w:after="0" w:line="207" w:lineRule="exact"/>
              <w:rPr>
                <w:sz w:val="20"/>
                <w:szCs w:val="20"/>
                <w:color w:val="auto"/>
              </w:rPr>
            </w:pPr>
            <w:r>
              <w:rPr>
                <w:rFonts w:ascii="Arial" w:cs="Arial" w:eastAsia="Arial" w:hAnsi="Arial"/>
                <w:sz w:val="14"/>
                <w:szCs w:val="14"/>
                <w:color w:val="auto"/>
              </w:rPr>
              <w:t xml:space="preserve">Lucidworks, Inc. </w:t>
            </w:r>
            <w:r>
              <w:rPr>
                <w:rFonts w:ascii="Arial" w:cs="Arial" w:eastAsia="Arial" w:hAnsi="Arial"/>
                <w:sz w:val="23"/>
                <w:szCs w:val="23"/>
                <w:color w:val="auto"/>
                <w:vertAlign w:val="superscript"/>
              </w:rPr>
              <w:t>(13)(14)</w:t>
            </w:r>
          </w:p>
        </w:tc>
        <w:tc>
          <w:tcPr>
            <w:tcW w:w="2540" w:type="dxa"/>
            <w:vAlign w:val="bottom"/>
          </w:tcPr>
          <w:p>
            <w:pPr>
              <w:ind w:left="160"/>
              <w:spacing w:after="0"/>
              <w:rPr>
                <w:sz w:val="20"/>
                <w:szCs w:val="20"/>
                <w:color w:val="auto"/>
              </w:rPr>
            </w:pPr>
            <w:r>
              <w:rPr>
                <w:rFonts w:ascii="Arial" w:cs="Arial" w:eastAsia="Arial" w:hAnsi="Arial"/>
                <w:sz w:val="16"/>
                <w:szCs w:val="16"/>
                <w:color w:val="auto"/>
                <w:w w:val="93"/>
              </w:rPr>
              <w:t>Series F Preferred Shares (199,054</w:t>
            </w:r>
          </w:p>
        </w:tc>
        <w:tc>
          <w:tcPr>
            <w:tcW w:w="2140" w:type="dxa"/>
            <w:vAlign w:val="bottom"/>
          </w:tcPr>
          <w:p>
            <w:pPr>
              <w:jc w:val="right"/>
              <w:ind w:right="1179"/>
              <w:spacing w:after="0"/>
              <w:rPr>
                <w:sz w:val="20"/>
                <w:szCs w:val="20"/>
                <w:color w:val="auto"/>
              </w:rPr>
            </w:pPr>
            <w:r>
              <w:rPr>
                <w:rFonts w:ascii="Arial" w:cs="Arial" w:eastAsia="Arial" w:hAnsi="Arial"/>
                <w:sz w:val="16"/>
                <w:szCs w:val="16"/>
                <w:color w:val="auto"/>
              </w:rPr>
              <w:t>8/2/2019</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06"/>
        </w:trPr>
        <w:tc>
          <w:tcPr>
            <w:tcW w:w="2620" w:type="dxa"/>
            <w:vAlign w:val="bottom"/>
          </w:tcPr>
          <w:p>
            <w:pPr>
              <w:spacing w:after="0"/>
              <w:rPr>
                <w:sz w:val="17"/>
                <w:szCs w:val="17"/>
                <w:color w:val="auto"/>
              </w:rPr>
            </w:pPr>
          </w:p>
        </w:tc>
        <w:tc>
          <w:tcPr>
            <w:tcW w:w="2540" w:type="dxa"/>
            <w:vAlign w:val="bottom"/>
          </w:tcPr>
          <w:p>
            <w:pPr>
              <w:ind w:left="160"/>
              <w:spacing w:after="0"/>
              <w:rPr>
                <w:sz w:val="20"/>
                <w:szCs w:val="20"/>
                <w:color w:val="auto"/>
              </w:rPr>
            </w:pPr>
            <w:r>
              <w:rPr>
                <w:rFonts w:ascii="Arial" w:cs="Arial" w:eastAsia="Arial" w:hAnsi="Arial"/>
                <w:sz w:val="16"/>
                <w:szCs w:val="16"/>
                <w:color w:val="auto"/>
              </w:rPr>
              <w:t>shares)</w:t>
            </w:r>
          </w:p>
        </w:tc>
        <w:tc>
          <w:tcPr>
            <w:tcW w:w="2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2"/>
        </w:trPr>
        <w:tc>
          <w:tcPr>
            <w:tcW w:w="2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Marketing services</w:t>
            </w:r>
          </w:p>
        </w:tc>
        <w:tc>
          <w:tcPr>
            <w:tcW w:w="254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06"/>
        </w:trPr>
        <w:tc>
          <w:tcPr>
            <w:tcW w:w="2620" w:type="dxa"/>
            <w:vAlign w:val="bottom"/>
          </w:tcPr>
          <w:p>
            <w:pPr>
              <w:spacing w:after="0" w:line="207"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23"/>
                <w:szCs w:val="23"/>
                <w:color w:val="auto"/>
                <w:vertAlign w:val="superscript"/>
              </w:rPr>
              <w:t>(13)</w:t>
            </w:r>
          </w:p>
        </w:tc>
        <w:tc>
          <w:tcPr>
            <w:tcW w:w="2540" w:type="dxa"/>
            <w:vAlign w:val="bottom"/>
          </w:tcPr>
          <w:p>
            <w:pPr>
              <w:ind w:left="160"/>
              <w:spacing w:after="0"/>
              <w:rPr>
                <w:sz w:val="20"/>
                <w:szCs w:val="20"/>
                <w:color w:val="auto"/>
              </w:rPr>
            </w:pPr>
            <w:r>
              <w:rPr>
                <w:rFonts w:ascii="Arial" w:cs="Arial" w:eastAsia="Arial" w:hAnsi="Arial"/>
                <w:sz w:val="16"/>
                <w:szCs w:val="16"/>
                <w:color w:val="auto"/>
              </w:rPr>
              <w:t>Series A Preferred Shares</w:t>
            </w:r>
          </w:p>
        </w:tc>
        <w:tc>
          <w:tcPr>
            <w:tcW w:w="2140" w:type="dxa"/>
            <w:vAlign w:val="bottom"/>
          </w:tcPr>
          <w:p>
            <w:pPr>
              <w:jc w:val="right"/>
              <w:ind w:right="1179"/>
              <w:spacing w:after="0"/>
              <w:rPr>
                <w:sz w:val="20"/>
                <w:szCs w:val="20"/>
                <w:color w:val="auto"/>
              </w:rPr>
            </w:pPr>
            <w:r>
              <w:rPr>
                <w:rFonts w:ascii="Arial" w:cs="Arial" w:eastAsia="Arial" w:hAnsi="Arial"/>
                <w:sz w:val="16"/>
                <w:szCs w:val="16"/>
                <w:color w:val="auto"/>
              </w:rPr>
              <w:t>5/31/2018</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3,840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12,379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06"/>
        </w:trPr>
        <w:tc>
          <w:tcPr>
            <w:tcW w:w="2620" w:type="dxa"/>
            <w:vAlign w:val="bottom"/>
          </w:tcPr>
          <w:p>
            <w:pPr>
              <w:spacing w:after="0"/>
              <w:rPr>
                <w:sz w:val="17"/>
                <w:szCs w:val="17"/>
                <w:color w:val="auto"/>
              </w:rPr>
            </w:pPr>
          </w:p>
        </w:tc>
        <w:tc>
          <w:tcPr>
            <w:tcW w:w="2540" w:type="dxa"/>
            <w:vAlign w:val="bottom"/>
          </w:tcPr>
          <w:p>
            <w:pPr>
              <w:ind w:left="160"/>
              <w:spacing w:after="0"/>
              <w:rPr>
                <w:sz w:val="20"/>
                <w:szCs w:val="20"/>
                <w:color w:val="auto"/>
              </w:rPr>
            </w:pPr>
            <w:r>
              <w:rPr>
                <w:rFonts w:ascii="Arial" w:cs="Arial" w:eastAsia="Arial" w:hAnsi="Arial"/>
                <w:sz w:val="16"/>
                <w:szCs w:val="16"/>
                <w:color w:val="auto"/>
              </w:rPr>
              <w:t>(3,840,000 shares)</w:t>
            </w:r>
          </w:p>
        </w:tc>
        <w:tc>
          <w:tcPr>
            <w:tcW w:w="2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2"/>
        </w:trPr>
        <w:tc>
          <w:tcPr>
            <w:tcW w:w="2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Oil, gas and consumable fuels</w:t>
            </w:r>
          </w:p>
        </w:tc>
        <w:tc>
          <w:tcPr>
            <w:tcW w:w="254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03"/>
        </w:trPr>
        <w:tc>
          <w:tcPr>
            <w:tcW w:w="2620" w:type="dxa"/>
            <w:vAlign w:val="bottom"/>
          </w:tcPr>
          <w:p>
            <w:pPr>
              <w:spacing w:after="0"/>
              <w:rPr>
                <w:sz w:val="20"/>
                <w:szCs w:val="20"/>
                <w:color w:val="auto"/>
              </w:rPr>
            </w:pPr>
            <w:r>
              <w:rPr>
                <w:rFonts w:ascii="Arial" w:cs="Arial" w:eastAsia="Arial" w:hAnsi="Arial"/>
                <w:sz w:val="16"/>
                <w:szCs w:val="16"/>
                <w:color w:val="auto"/>
              </w:rPr>
              <w:t>Mississippi Resources,</w:t>
            </w:r>
          </w:p>
        </w:tc>
        <w:tc>
          <w:tcPr>
            <w:tcW w:w="2540" w:type="dxa"/>
            <w:vAlign w:val="bottom"/>
          </w:tcPr>
          <w:p>
            <w:pPr>
              <w:ind w:left="160"/>
              <w:spacing w:after="0"/>
              <w:rPr>
                <w:sz w:val="20"/>
                <w:szCs w:val="20"/>
                <w:color w:val="auto"/>
              </w:rPr>
            </w:pPr>
            <w:r>
              <w:rPr>
                <w:rFonts w:ascii="Arial" w:cs="Arial" w:eastAsia="Arial" w:hAnsi="Arial"/>
                <w:sz w:val="16"/>
                <w:szCs w:val="16"/>
                <w:color w:val="auto"/>
              </w:rPr>
              <w:t>Class A-0 Member Units (1,000</w:t>
            </w:r>
          </w:p>
        </w:tc>
        <w:tc>
          <w:tcPr>
            <w:tcW w:w="2140" w:type="dxa"/>
            <w:vAlign w:val="bottom"/>
          </w:tcPr>
          <w:p>
            <w:pPr>
              <w:jc w:val="right"/>
              <w:ind w:right="1179"/>
              <w:spacing w:after="0"/>
              <w:rPr>
                <w:sz w:val="20"/>
                <w:szCs w:val="20"/>
                <w:color w:val="auto"/>
              </w:rPr>
            </w:pPr>
            <w:r>
              <w:rPr>
                <w:rFonts w:ascii="Arial" w:cs="Arial" w:eastAsia="Arial" w:hAnsi="Arial"/>
                <w:sz w:val="16"/>
                <w:szCs w:val="16"/>
                <w:color w:val="auto"/>
              </w:rPr>
              <w:t>12/12/2019</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6,693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5,104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16"/>
        </w:trPr>
        <w:tc>
          <w:tcPr>
            <w:tcW w:w="2620" w:type="dxa"/>
            <w:vAlign w:val="bottom"/>
          </w:tcPr>
          <w:p>
            <w:pPr>
              <w:ind w:left="120"/>
              <w:spacing w:after="0"/>
              <w:rPr>
                <w:sz w:val="20"/>
                <w:szCs w:val="20"/>
                <w:color w:val="auto"/>
              </w:rPr>
            </w:pPr>
            <w:r>
              <w:rPr>
                <w:rFonts w:ascii="Arial" w:cs="Arial" w:eastAsia="Arial" w:hAnsi="Arial"/>
                <w:sz w:val="16"/>
                <w:szCs w:val="16"/>
                <w:color w:val="auto"/>
              </w:rPr>
              <w:t xml:space="preserve">LLC </w:t>
            </w:r>
            <w:r>
              <w:rPr>
                <w:rFonts w:ascii="Arial" w:cs="Arial" w:eastAsia="Arial" w:hAnsi="Arial"/>
                <w:sz w:val="13"/>
                <w:szCs w:val="13"/>
                <w:color w:val="auto"/>
              </w:rPr>
              <w:t>(7)(13)</w:t>
            </w:r>
          </w:p>
        </w:tc>
        <w:tc>
          <w:tcPr>
            <w:tcW w:w="2540" w:type="dxa"/>
            <w:vAlign w:val="bottom"/>
          </w:tcPr>
          <w:p>
            <w:pPr>
              <w:ind w:left="160"/>
              <w:spacing w:after="0" w:line="216" w:lineRule="exact"/>
              <w:rPr>
                <w:sz w:val="20"/>
                <w:szCs w:val="20"/>
                <w:color w:val="auto"/>
              </w:rPr>
            </w:pPr>
            <w:r>
              <w:rPr>
                <w:rFonts w:ascii="Arial" w:cs="Arial" w:eastAsia="Arial" w:hAnsi="Arial"/>
                <w:sz w:val="15"/>
                <w:szCs w:val="15"/>
                <w:color w:val="auto"/>
              </w:rPr>
              <w:t xml:space="preserve">units) </w:t>
            </w:r>
            <w:r>
              <w:rPr>
                <w:rFonts w:ascii="Arial" w:cs="Arial" w:eastAsia="Arial" w:hAnsi="Arial"/>
                <w:sz w:val="25"/>
                <w:szCs w:val="25"/>
                <w:color w:val="auto"/>
                <w:vertAlign w:val="superscript"/>
              </w:rPr>
              <w:t>(14)</w:t>
            </w: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620" w:type="dxa"/>
            <w:vAlign w:val="bottom"/>
            <w:shd w:val="clear" w:color="auto" w:fill="CFF0FC"/>
          </w:tcPr>
          <w:p>
            <w:pPr>
              <w:spacing w:after="0"/>
              <w:rPr>
                <w:sz w:val="17"/>
                <w:szCs w:val="17"/>
                <w:color w:val="auto"/>
              </w:rPr>
            </w:pPr>
          </w:p>
        </w:tc>
        <w:tc>
          <w:tcPr>
            <w:tcW w:w="25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Class A-1 Member Units (1,360</w:t>
            </w:r>
          </w:p>
        </w:tc>
        <w:tc>
          <w:tcPr>
            <w:tcW w:w="214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5/3/2017</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10,366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w:t>
            </w:r>
          </w:p>
        </w:tc>
      </w:tr>
      <w:tr>
        <w:trPr>
          <w:trHeight w:val="212"/>
        </w:trPr>
        <w:tc>
          <w:tcPr>
            <w:tcW w:w="2620" w:type="dxa"/>
            <w:vAlign w:val="bottom"/>
            <w:shd w:val="clear" w:color="auto" w:fill="CFF0FC"/>
          </w:tcPr>
          <w:p>
            <w:pPr>
              <w:spacing w:after="0"/>
              <w:rPr>
                <w:sz w:val="18"/>
                <w:szCs w:val="18"/>
                <w:color w:val="auto"/>
              </w:rPr>
            </w:pPr>
          </w:p>
        </w:tc>
        <w:tc>
          <w:tcPr>
            <w:tcW w:w="25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units)</w:t>
            </w:r>
          </w:p>
        </w:tc>
        <w:tc>
          <w:tcPr>
            <w:tcW w:w="2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6"/>
        </w:trPr>
        <w:tc>
          <w:tcPr>
            <w:tcW w:w="2620" w:type="dxa"/>
            <w:vAlign w:val="bottom"/>
          </w:tcPr>
          <w:p>
            <w:pPr>
              <w:spacing w:after="0"/>
              <w:rPr>
                <w:sz w:val="17"/>
                <w:szCs w:val="17"/>
                <w:color w:val="auto"/>
              </w:rPr>
            </w:pPr>
          </w:p>
        </w:tc>
        <w:tc>
          <w:tcPr>
            <w:tcW w:w="2540" w:type="dxa"/>
            <w:vAlign w:val="bottom"/>
          </w:tcPr>
          <w:p>
            <w:pPr>
              <w:ind w:left="160"/>
              <w:spacing w:after="0"/>
              <w:rPr>
                <w:sz w:val="20"/>
                <w:szCs w:val="20"/>
                <w:color w:val="auto"/>
              </w:rPr>
            </w:pPr>
            <w:r>
              <w:rPr>
                <w:rFonts w:ascii="Arial" w:cs="Arial" w:eastAsia="Arial" w:hAnsi="Arial"/>
                <w:sz w:val="16"/>
                <w:szCs w:val="16"/>
                <w:color w:val="auto"/>
              </w:rPr>
              <w:t>Class A-2 Member Units (933</w:t>
            </w:r>
          </w:p>
        </w:tc>
        <w:tc>
          <w:tcPr>
            <w:tcW w:w="2140" w:type="dxa"/>
            <w:vAlign w:val="bottom"/>
          </w:tcPr>
          <w:p>
            <w:pPr>
              <w:jc w:val="right"/>
              <w:ind w:right="1179"/>
              <w:spacing w:after="0"/>
              <w:rPr>
                <w:sz w:val="20"/>
                <w:szCs w:val="20"/>
                <w:color w:val="auto"/>
              </w:rPr>
            </w:pPr>
            <w:r>
              <w:rPr>
                <w:rFonts w:ascii="Arial" w:cs="Arial" w:eastAsia="Arial" w:hAnsi="Arial"/>
                <w:sz w:val="16"/>
                <w:szCs w:val="16"/>
                <w:color w:val="auto"/>
              </w:rPr>
              <w:t>6/4/2014</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8,874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0.0%</w:t>
            </w:r>
          </w:p>
        </w:tc>
      </w:tr>
      <w:tr>
        <w:trPr>
          <w:trHeight w:val="209"/>
        </w:trPr>
        <w:tc>
          <w:tcPr>
            <w:tcW w:w="2620" w:type="dxa"/>
            <w:vAlign w:val="bottom"/>
            <w:tcBorders>
              <w:bottom w:val="single" w:sz="8" w:color="CFF0FC"/>
            </w:tcBorders>
          </w:tcPr>
          <w:p>
            <w:pPr>
              <w:spacing w:after="0"/>
              <w:rPr>
                <w:sz w:val="18"/>
                <w:szCs w:val="18"/>
                <w:color w:val="auto"/>
              </w:rPr>
            </w:pPr>
          </w:p>
        </w:tc>
        <w:tc>
          <w:tcPr>
            <w:tcW w:w="254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units)</w:t>
            </w:r>
          </w:p>
        </w:tc>
        <w:tc>
          <w:tcPr>
            <w:tcW w:w="214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r>
      <w:tr>
        <w:trPr>
          <w:trHeight w:val="213"/>
        </w:trPr>
        <w:tc>
          <w:tcPr>
            <w:tcW w:w="262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25,933</w:t>
            </w: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5,104</w:t>
            </w: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r>
      <w:tr>
        <w:trPr>
          <w:trHeight w:val="196"/>
        </w:trPr>
        <w:tc>
          <w:tcPr>
            <w:tcW w:w="2620" w:type="dxa"/>
            <w:vAlign w:val="bottom"/>
          </w:tcPr>
          <w:p>
            <w:pPr>
              <w:spacing w:after="0"/>
              <w:rPr>
                <w:sz w:val="20"/>
                <w:szCs w:val="20"/>
                <w:color w:val="auto"/>
              </w:rPr>
            </w:pPr>
            <w:r>
              <w:rPr>
                <w:rFonts w:ascii="Arial" w:cs="Arial" w:eastAsia="Arial" w:hAnsi="Arial"/>
                <w:sz w:val="16"/>
                <w:szCs w:val="16"/>
                <w:b w:val="1"/>
                <w:bCs w:val="1"/>
                <w:color w:val="auto"/>
              </w:rPr>
              <w:t>Total Equity and Other</w:t>
            </w:r>
          </w:p>
        </w:tc>
        <w:tc>
          <w:tcPr>
            <w:tcW w:w="25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87,559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63,113</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213"/>
        </w:trPr>
        <w:tc>
          <w:tcPr>
            <w:tcW w:w="262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Investments</w:t>
            </w:r>
          </w:p>
        </w:tc>
        <w:tc>
          <w:tcPr>
            <w:tcW w:w="2540" w:type="dxa"/>
            <w:vAlign w:val="bottom"/>
            <w:tcBorders>
              <w:bottom w:val="single" w:sz="8" w:color="CFF0FC"/>
            </w:tcBorders>
          </w:tcPr>
          <w:p>
            <w:pPr>
              <w:spacing w:after="0"/>
              <w:rPr>
                <w:sz w:val="18"/>
                <w:szCs w:val="18"/>
                <w:color w:val="auto"/>
              </w:rPr>
            </w:pPr>
          </w:p>
        </w:tc>
        <w:tc>
          <w:tcPr>
            <w:tcW w:w="214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r>
      <w:tr>
        <w:trPr>
          <w:trHeight w:val="210"/>
        </w:trPr>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Investments</w:t>
            </w:r>
          </w:p>
        </w:tc>
        <w:tc>
          <w:tcPr>
            <w:tcW w:w="254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$ 2,238,037</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$ 2,245,928</w:t>
            </w:r>
          </w:p>
        </w:tc>
        <w:tc>
          <w:tcPr>
            <w:tcW w:w="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200.6</w:t>
            </w:r>
          </w:p>
        </w:tc>
        <w:tc>
          <w:tcPr>
            <w:tcW w:w="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r>
      <w:tr>
        <w:trPr>
          <w:trHeight w:val="20"/>
        </w:trPr>
        <w:tc>
          <w:tcPr>
            <w:tcW w:w="2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50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w w:val="95"/>
              </w:rPr>
              <w:t>Interest Rate Swaps as of December 31, 2019</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2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vMerge w:val="restart"/>
          </w:tcPr>
          <w:p>
            <w:pPr>
              <w:jc w:val="right"/>
              <w:ind w:right="430"/>
              <w:spacing w:after="0"/>
              <w:rPr>
                <w:sz w:val="20"/>
                <w:szCs w:val="20"/>
                <w:color w:val="auto"/>
              </w:rPr>
            </w:pPr>
            <w:r>
              <w:rPr>
                <w:rFonts w:ascii="Arial" w:cs="Arial" w:eastAsia="Arial" w:hAnsi="Arial"/>
                <w:sz w:val="14"/>
                <w:szCs w:val="14"/>
                <w:b w:val="1"/>
                <w:bCs w:val="1"/>
                <w:color w:val="auto"/>
              </w:rPr>
              <w:t>Maturity</w:t>
            </w:r>
          </w:p>
        </w:tc>
        <w:tc>
          <w:tcPr>
            <w:tcW w:w="80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w w:val="99"/>
              </w:rPr>
              <w:t>Notional</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13"/>
              <w:spacing w:after="0" w:line="133" w:lineRule="exact"/>
              <w:rPr>
                <w:sz w:val="20"/>
                <w:szCs w:val="20"/>
                <w:color w:val="auto"/>
              </w:rPr>
            </w:pPr>
            <w:r>
              <w:rPr>
                <w:rFonts w:ascii="Arial" w:cs="Arial" w:eastAsia="Arial" w:hAnsi="Arial"/>
                <w:sz w:val="14"/>
                <w:szCs w:val="14"/>
                <w:b w:val="1"/>
                <w:bCs w:val="1"/>
                <w:color w:val="auto"/>
                <w:w w:val="94"/>
              </w:rPr>
              <w:t>Upfront</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33"/>
              <w:spacing w:after="0" w:line="133" w:lineRule="exact"/>
              <w:rPr>
                <w:sz w:val="20"/>
                <w:szCs w:val="20"/>
                <w:color w:val="auto"/>
              </w:rPr>
            </w:pPr>
            <w:r>
              <w:rPr>
                <w:rFonts w:ascii="Arial" w:cs="Arial" w:eastAsia="Arial" w:hAnsi="Arial"/>
                <w:sz w:val="14"/>
                <w:szCs w:val="14"/>
                <w:b w:val="1"/>
                <w:bCs w:val="1"/>
                <w:color w:val="auto"/>
                <w:w w:val="94"/>
              </w:rPr>
              <w:t>Change in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Company Pays</w:t>
            </w:r>
          </w:p>
        </w:tc>
        <w:tc>
          <w:tcPr>
            <w:tcW w:w="2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2"/>
                <w:szCs w:val="12"/>
                <w:color w:val="auto"/>
              </w:rPr>
            </w:pPr>
          </w:p>
        </w:tc>
        <w:tc>
          <w:tcPr>
            <w:tcW w:w="8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1"/>
              </w:rPr>
              <w:t>Payments /</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 Gains</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Receives</w:t>
            </w:r>
          </w:p>
        </w:tc>
        <w:tc>
          <w:tcPr>
            <w:tcW w:w="13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Receipts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 (Losses)</w:t>
            </w: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L</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1.97%</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6/25/2020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rPr>
              <w:t>L</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1.47%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7/30/2021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62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rPr>
              <w:t>L</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7/29/2022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L + 2.37%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 + 1.59%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L + 1.60%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 + 1.99%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(a)(c)</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3.88%</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L + 2.25%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11/1/2024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62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rPr>
              <w:t>L</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1.72%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L + 2.86%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12/15/2019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62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rPr>
              <w:t>L</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2.66%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6/27/2019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Cash collateral</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728,900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hanging="519"/>
        <w:spacing w:after="0"/>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Interest rate swap was terminated or matured in 2019.</w:t>
      </w:r>
    </w:p>
    <w:p>
      <w:pPr>
        <w:spacing w:after="0" w:line="9" w:lineRule="exact"/>
        <w:rPr>
          <w:rFonts w:ascii="Arial" w:cs="Arial" w:eastAsia="Arial" w:hAnsi="Arial"/>
          <w:sz w:val="18"/>
          <w:szCs w:val="18"/>
          <w:color w:val="auto"/>
        </w:rPr>
      </w:pPr>
    </w:p>
    <w:p>
      <w:pPr>
        <w:ind w:left="1040" w:right="100" w:hanging="519"/>
        <w:spacing w:after="0" w:line="261" w:lineRule="auto"/>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spacing w:after="0" w:line="89" w:lineRule="exact"/>
        <w:rPr>
          <w:rFonts w:ascii="Arial" w:cs="Arial" w:eastAsia="Arial" w:hAnsi="Arial"/>
          <w:sz w:val="18"/>
          <w:szCs w:val="18"/>
          <w:color w:val="auto"/>
        </w:rPr>
      </w:pPr>
    </w:p>
    <w:p>
      <w:pPr>
        <w:ind w:left="5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200" w:hanging="512"/>
        <w:spacing w:after="0" w:line="250"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40" w:hanging="512"/>
        <w:spacing w:after="0" w:line="265" w:lineRule="auto"/>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the Toronto-Dominion Bank rate, or the Prime Rate or “P”), at the borrower’s option, which reset periodically based on the terms of the credit agreement. For investments with multiple interest rate contracts, the interest rate shown is the weighted average interest rate in effect at December 31, 2019.</w:t>
      </w:r>
    </w:p>
    <w:p>
      <w:pPr>
        <w:spacing w:after="0" w:line="1" w:lineRule="exact"/>
        <w:rPr>
          <w:rFonts w:ascii="Arial" w:cs="Arial" w:eastAsia="Arial" w:hAnsi="Arial"/>
          <w:sz w:val="17"/>
          <w:szCs w:val="17"/>
          <w:color w:val="auto"/>
        </w:rPr>
      </w:pPr>
    </w:p>
    <w:p>
      <w:pPr>
        <w:jc w:val="both"/>
        <w:ind w:left="520" w:right="60" w:hanging="512"/>
        <w:spacing w:after="0" w:line="265" w:lineRule="auto"/>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18.5% of total assets as of December 31, 2019.</w:t>
      </w:r>
    </w:p>
    <w:p>
      <w:pPr>
        <w:ind w:left="520" w:right="40" w:hanging="512"/>
        <w:spacing w:after="0" w:line="250"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Arial" w:cs="Arial" w:eastAsia="Arial" w:hAnsi="Arial"/>
          <w:sz w:val="18"/>
          <w:szCs w:val="18"/>
          <w:color w:val="auto"/>
        </w:rPr>
      </w:pPr>
    </w:p>
    <w:p>
      <w:pPr>
        <w:jc w:val="both"/>
        <w:ind w:left="520" w:right="40" w:hanging="512"/>
        <w:spacing w:after="0" w:line="255"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2019 in which the Company was an Affiliated Person of the portfolio company are as follows: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Non-controlled, Affiliated Investments during the year ended December 31,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2"/>
              </w:rPr>
              <w:t>Net Change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8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Interest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Company</w:t>
            </w: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In 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0"/>
              </w:rPr>
              <w:t>Transfers</w:t>
            </w:r>
          </w:p>
        </w:tc>
        <w:tc>
          <w:tcPr>
            <w:tcW w:w="920" w:type="dxa"/>
            <w:vAlign w:val="bottom"/>
            <w:gridSpan w:val="3"/>
          </w:tcPr>
          <w:p>
            <w:pPr>
              <w:jc w:val="center"/>
              <w:ind w:left="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Additions (a)</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Gain/(Loss)</w:t>
            </w:r>
          </w:p>
        </w:tc>
        <w:tc>
          <w:tcPr>
            <w:tcW w:w="12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Gain/(Losses)</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6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7"/>
              </w:rPr>
              <w:t>5,207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Validity, Inc.</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(39,993)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83,932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(1,409</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(39,993</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50,136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6,370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577"/>
              <w:spacing w:after="0"/>
              <w:rPr>
                <w:sz w:val="20"/>
                <w:szCs w:val="20"/>
                <w:color w:val="auto"/>
              </w:rPr>
            </w:pPr>
            <w:r>
              <w:rPr>
                <w:rFonts w:ascii="Arial" w:cs="Arial" w:eastAsia="Arial" w:hAnsi="Arial"/>
                <w:sz w:val="18"/>
                <w:szCs w:val="18"/>
                <w:color w:val="auto"/>
              </w:rPr>
              <w:t>F-10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9" w:right="219" w:bottom="1440" w:gutter="0" w:footer="0" w:header="0"/>
        </w:sectPr>
      </w:pPr>
    </w:p>
    <w:bookmarkStart w:id="90" w:name="page91"/>
    <w:bookmarkEnd w:id="90"/>
    <w:p>
      <w:pPr>
        <w:ind w:left="1040" w:right="260" w:hanging="519"/>
        <w:spacing w:after="0" w:line="258"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5" w:lineRule="exact"/>
        <w:rPr>
          <w:rFonts w:ascii="Arial" w:cs="Arial" w:eastAsia="Arial" w:hAnsi="Arial"/>
          <w:sz w:val="18"/>
          <w:szCs w:val="18"/>
          <w:color w:val="auto"/>
        </w:rPr>
      </w:pPr>
    </w:p>
    <w:p>
      <w:pPr>
        <w:ind w:left="520" w:right="60" w:hanging="512"/>
        <w:spacing w:after="0" w:line="279" w:lineRule="auto"/>
        <w:tabs>
          <w:tab w:leader="none" w:pos="5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2019 in which the issuer was an Affiliated Person of and was deemed to Control a portfolio company are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December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Company</w:t>
            </w: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In Unrealized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Transfers</w:t>
            </w:r>
          </w:p>
        </w:tc>
        <w:tc>
          <w:tcPr>
            <w:tcW w:w="120" w:type="dxa"/>
            <w:vAlign w:val="bottom"/>
          </w:tcPr>
          <w:p>
            <w:pPr>
              <w:spacing w:after="0"/>
              <w:rPr>
                <w:sz w:val="12"/>
                <w:szCs w:val="12"/>
                <w:color w:val="auto"/>
              </w:rPr>
            </w:pPr>
          </w:p>
        </w:tc>
        <w:tc>
          <w:tcPr>
            <w:tcW w:w="680" w:type="dxa"/>
            <w:vAlign w:val="bottom"/>
          </w:tcPr>
          <w:p>
            <w:pPr>
              <w:jc w:val="right"/>
              <w:ind w:right="239"/>
              <w:spacing w:after="0" w:line="149" w:lineRule="exact"/>
              <w:rPr>
                <w:sz w:val="20"/>
                <w:szCs w:val="20"/>
                <w:color w:val="auto"/>
              </w:rPr>
            </w:pPr>
            <w:r>
              <w:rPr>
                <w:rFonts w:ascii="Arial" w:cs="Arial" w:eastAsia="Arial" w:hAnsi="Arial"/>
                <w:sz w:val="14"/>
                <w:szCs w:val="14"/>
                <w:b w:val="1"/>
                <w:bCs w:val="1"/>
                <w:color w:val="auto"/>
              </w:rPr>
              <w:t>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Additions (a)</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10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Gain/(Loss)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IRGSE Holding Corp.</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(6,244)</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Mississippi Resources,</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LLC</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(6,137)</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1,995</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56,505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9,706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(12,381</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47,916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260" w:hanging="519"/>
        <w:spacing w:after="0" w:line="258" w:lineRule="auto"/>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5" w:lineRule="exact"/>
        <w:rPr>
          <w:rFonts w:ascii="Arial" w:cs="Arial" w:eastAsia="Arial" w:hAnsi="Arial"/>
          <w:sz w:val="18"/>
          <w:szCs w:val="18"/>
          <w:color w:val="auto"/>
        </w:rPr>
      </w:pPr>
    </w:p>
    <w:p>
      <w:pPr>
        <w:ind w:left="520" w:right="20" w:hanging="512"/>
        <w:spacing w:after="0" w:line="258"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of December 31, 2019, the estimated cost basis of investments for U.S. federal tax purposes was $2,230,116, resulting in estimated gross unrealized gains and losses of $87,386 and $78,478, respectively.</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50"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20" w:right="520" w:hanging="512"/>
        <w:spacing w:after="0" w:line="250"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transaction exempt from registration under the Securities Act of 1933, and may be deemed to be “restricted securities” under the Securities Act. As of December 31, 2019, the aggregate fair value of these securities is $23,986, or 2.1% of the Company’s net assets.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Reference</w:t>
            </w: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Rate and</w:t>
            </w: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Amortized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r>
      <w:tr>
        <w:trPr>
          <w:trHeight w:val="153"/>
        </w:trPr>
        <w:tc>
          <w:tcPr>
            <w:tcW w:w="264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340" w:type="dxa"/>
            <w:vAlign w:val="bottom"/>
            <w:gridSpan w:val="2"/>
          </w:tcPr>
          <w:p>
            <w:pPr>
              <w:ind w:left="800"/>
              <w:spacing w:after="0"/>
              <w:rPr>
                <w:sz w:val="20"/>
                <w:szCs w:val="20"/>
                <w:color w:val="auto"/>
              </w:rPr>
            </w:pPr>
            <w:r>
              <w:rPr>
                <w:rFonts w:ascii="Arial" w:cs="Arial" w:eastAsia="Arial" w:hAnsi="Arial"/>
                <w:sz w:val="13"/>
                <w:szCs w:val="13"/>
                <w:b w:val="1"/>
                <w:bCs w:val="1"/>
                <w:color w:val="auto"/>
              </w:rPr>
              <w:t>Investment</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Spread</w:t>
            </w:r>
          </w:p>
        </w:tc>
        <w:tc>
          <w:tcPr>
            <w:tcW w:w="14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Interest Rate</w:t>
            </w: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1160" w:type="dxa"/>
            <w:vAlign w:val="bottom"/>
            <w:gridSpan w:val="3"/>
          </w:tcPr>
          <w:p>
            <w:pPr>
              <w:ind w:left="8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(10)</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r>
      <w:tr>
        <w:trPr>
          <w:trHeight w:val="210"/>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Debt Investments</w:t>
            </w:r>
          </w:p>
        </w:tc>
        <w:tc>
          <w:tcPr>
            <w:tcW w:w="100" w:type="dxa"/>
            <w:vAlign w:val="bottom"/>
            <w:tcBorders>
              <w:top w:val="single" w:sz="8" w:color="CFF0FC"/>
            </w:tcBorders>
            <w:shd w:val="clear" w:color="auto" w:fill="CFF0FC"/>
          </w:tcPr>
          <w:p>
            <w:pPr>
              <w:spacing w:after="0"/>
              <w:rPr>
                <w:sz w:val="18"/>
                <w:szCs w:val="18"/>
                <w:color w:val="auto"/>
              </w:rPr>
            </w:pPr>
          </w:p>
        </w:tc>
        <w:tc>
          <w:tcPr>
            <w:tcW w:w="2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2640" w:type="dxa"/>
            <w:vAlign w:val="bottom"/>
            <w:gridSpan w:val="2"/>
          </w:tcPr>
          <w:p>
            <w:pPr>
              <w:spacing w:after="0"/>
              <w:rPr>
                <w:sz w:val="20"/>
                <w:szCs w:val="20"/>
                <w:color w:val="auto"/>
              </w:rPr>
            </w:pPr>
            <w:r>
              <w:rPr>
                <w:rFonts w:ascii="Arial" w:cs="Arial" w:eastAsia="Arial" w:hAnsi="Arial"/>
                <w:sz w:val="16"/>
                <w:szCs w:val="16"/>
                <w:b w:val="1"/>
                <w:bCs w:val="1"/>
                <w:color w:val="auto"/>
              </w:rPr>
              <w:t>Beverage, food and tobacco</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4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AFS Technologies, Inc. </w:t>
            </w:r>
            <w:r>
              <w:rPr>
                <w:rFonts w:ascii="Arial" w:cs="Arial" w:eastAsia="Arial" w:hAnsi="Arial"/>
                <w:sz w:val="24"/>
                <w:szCs w:val="24"/>
                <w:color w:val="auto"/>
                <w:vertAlign w:val="superscript"/>
              </w:rPr>
              <w:t>(3)(5)(6)</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($42,234 par, due</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10/2023)</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10/16/2018</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+ 6.25%</w:t>
            </w: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8.77%</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41,611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41,179</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w:t>
            </w:r>
          </w:p>
        </w:tc>
      </w:tr>
      <w:tr>
        <w:trPr>
          <w:trHeight w:val="213"/>
        </w:trPr>
        <w:tc>
          <w:tcPr>
            <w:tcW w:w="2640" w:type="dxa"/>
            <w:vAlign w:val="bottom"/>
            <w:gridSpan w:val="2"/>
          </w:tcPr>
          <w:p>
            <w:pPr>
              <w:spacing w:after="0"/>
              <w:rPr>
                <w:sz w:val="20"/>
                <w:szCs w:val="20"/>
                <w:color w:val="auto"/>
              </w:rPr>
            </w:pPr>
            <w:r>
              <w:rPr>
                <w:rFonts w:ascii="Arial" w:cs="Arial" w:eastAsia="Arial" w:hAnsi="Arial"/>
                <w:sz w:val="16"/>
                <w:szCs w:val="16"/>
                <w:b w:val="1"/>
                <w:bCs w:val="1"/>
                <w:color w:val="auto"/>
              </w:rPr>
              <w:t>Business services</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64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Acceo Solutions, Inc. </w:t>
            </w:r>
            <w:r>
              <w:rPr>
                <w:rFonts w:ascii="Arial" w:cs="Arial" w:eastAsia="Arial" w:hAnsi="Arial"/>
                <w:sz w:val="24"/>
                <w:szCs w:val="24"/>
                <w:color w:val="auto"/>
                <w:vertAlign w:val="superscript"/>
              </w:rPr>
              <w:t>(3)(4)(5)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(CAD 64,675 par,</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46,051</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due 7/2023)</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7/6/2018</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C + 5.25%</w:t>
            </w: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7.41%</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48,275</w:t>
            </w:r>
          </w:p>
        </w:tc>
        <w:tc>
          <w:tcPr>
            <w:tcW w:w="22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(CAD 62,896)</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w:t>
            </w:r>
          </w:p>
        </w:tc>
      </w:tr>
      <w:tr>
        <w:trPr>
          <w:trHeight w:val="206"/>
        </w:trPr>
        <w:tc>
          <w:tcPr>
            <w:tcW w:w="264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Integration Appliance, Inc.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($52,381 par, due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8/2023)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8/13/2018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+ 7.25%</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9.60%</w:t>
            </w:r>
          </w:p>
        </w:tc>
        <w:tc>
          <w:tcPr>
            <w:tcW w:w="780" w:type="dxa"/>
            <w:vAlign w:val="bottom"/>
          </w:tcPr>
          <w:p>
            <w:pPr>
              <w:jc w:val="right"/>
              <w:spacing w:after="0"/>
              <w:rPr>
                <w:sz w:val="20"/>
                <w:szCs w:val="20"/>
                <w:color w:val="auto"/>
              </w:rPr>
            </w:pPr>
            <w:r>
              <w:rPr>
                <w:rFonts w:ascii="Arial" w:cs="Arial" w:eastAsia="Arial" w:hAnsi="Arial"/>
                <w:sz w:val="16"/>
                <w:szCs w:val="16"/>
                <w:color w:val="auto"/>
              </w:rPr>
              <w:t>51,608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51,281</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4.8%</w:t>
            </w:r>
          </w:p>
        </w:tc>
      </w:tr>
      <w:tr>
        <w:trPr>
          <w:trHeight w:val="209"/>
        </w:trPr>
        <w:tc>
          <w:tcPr>
            <w:tcW w:w="264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Jive Software, Inc.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($52,110 par, due</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6/2022)</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6/12/2017</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+ 9.25%</w:t>
            </w: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11.77%</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50,656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54,194</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5.1%</w:t>
            </w:r>
          </w:p>
        </w:tc>
      </w:tr>
      <w:tr>
        <w:trPr>
          <w:trHeight w:val="206"/>
        </w:trPr>
        <w:tc>
          <w:tcPr>
            <w:tcW w:w="264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Motus, LLC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($68,880 par, due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1/2024)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1/17/2018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+ 6.75%</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9.22%</w:t>
            </w:r>
          </w:p>
        </w:tc>
        <w:tc>
          <w:tcPr>
            <w:tcW w:w="780" w:type="dxa"/>
            <w:vAlign w:val="bottom"/>
          </w:tcPr>
          <w:p>
            <w:pPr>
              <w:jc w:val="right"/>
              <w:spacing w:after="0"/>
              <w:rPr>
                <w:sz w:val="20"/>
                <w:szCs w:val="20"/>
                <w:color w:val="auto"/>
              </w:rPr>
            </w:pPr>
            <w:r>
              <w:rPr>
                <w:rFonts w:ascii="Arial" w:cs="Arial" w:eastAsia="Arial" w:hAnsi="Arial"/>
                <w:sz w:val="16"/>
                <w:szCs w:val="16"/>
                <w:color w:val="auto"/>
              </w:rPr>
              <w:t>67,262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69,624</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6.5%</w:t>
            </w:r>
          </w:p>
        </w:tc>
      </w:tr>
      <w:tr>
        <w:trPr>
          <w:trHeight w:val="209"/>
        </w:trPr>
        <w:tc>
          <w:tcPr>
            <w:tcW w:w="264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Nintex Global, Ltd.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($71,975 par, due</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4/2024)</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3/30/2018</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+ 6.75%</w:t>
            </w: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9.28%</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70,382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70,176</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6.6%</w:t>
            </w:r>
          </w:p>
        </w:tc>
      </w:tr>
      <w:tr>
        <w:trPr>
          <w:trHeight w:val="206"/>
        </w:trPr>
        <w:tc>
          <w:tcPr>
            <w:tcW w:w="264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Sovos Compliance, LLC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($36,453 par, due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3/2022)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7/1/2016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+ 6.00%</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8.52%</w:t>
            </w:r>
          </w:p>
        </w:tc>
        <w:tc>
          <w:tcPr>
            <w:tcW w:w="780" w:type="dxa"/>
            <w:vAlign w:val="bottom"/>
          </w:tcPr>
          <w:p>
            <w:pPr>
              <w:jc w:val="right"/>
              <w:spacing w:after="0"/>
              <w:rPr>
                <w:sz w:val="20"/>
                <w:szCs w:val="20"/>
                <w:color w:val="auto"/>
              </w:rPr>
            </w:pPr>
            <w:r>
              <w:rPr>
                <w:rFonts w:ascii="Arial" w:cs="Arial" w:eastAsia="Arial" w:hAnsi="Arial"/>
                <w:sz w:val="16"/>
                <w:szCs w:val="16"/>
                <w:color w:val="auto"/>
              </w:rPr>
              <w:t>36,032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36,453</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r>
      <w:tr>
        <w:trPr>
          <w:trHeight w:val="20"/>
        </w:trPr>
        <w:tc>
          <w:tcPr>
            <w:tcW w:w="2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324,215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327,779</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30.7%</w:t>
            </w:r>
          </w:p>
        </w:tc>
      </w:tr>
      <w:tr>
        <w:trPr>
          <w:trHeight w:val="207"/>
        </w:trPr>
        <w:tc>
          <w:tcPr>
            <w:tcW w:w="2640" w:type="dxa"/>
            <w:vAlign w:val="bottom"/>
            <w:gridSpan w:val="2"/>
          </w:tcPr>
          <w:p>
            <w:pPr>
              <w:spacing w:after="0"/>
              <w:rPr>
                <w:sz w:val="20"/>
                <w:szCs w:val="20"/>
                <w:color w:val="auto"/>
              </w:rPr>
            </w:pPr>
            <w:r>
              <w:rPr>
                <w:rFonts w:ascii="Arial" w:cs="Arial" w:eastAsia="Arial" w:hAnsi="Arial"/>
                <w:sz w:val="16"/>
                <w:szCs w:val="16"/>
                <w:b w:val="1"/>
                <w:bCs w:val="1"/>
                <w:color w:val="auto"/>
              </w:rPr>
              <w:t>Chemicals</w:t>
            </w: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4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4"/>
                <w:szCs w:val="24"/>
                <w:color w:val="auto"/>
                <w:vertAlign w:val="superscript"/>
              </w:rPr>
              <w:t>(3)</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($4,967 par, due</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1/2019)</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10/31/2016</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+ 9.00%</w:t>
            </w: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11.42%</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4,967</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w:t>
            </w:r>
          </w:p>
        </w:tc>
      </w:tr>
      <w:tr>
        <w:trPr>
          <w:trHeight w:val="206"/>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Second-lien loan ($3,341 par,</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6"/>
                <w:szCs w:val="16"/>
                <w:color w:val="auto"/>
              </w:rPr>
              <w:t>due 10/2021)</w:t>
            </w: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10/31/2016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+ 12.00%</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14.42%</w:t>
            </w:r>
          </w:p>
        </w:tc>
        <w:tc>
          <w:tcPr>
            <w:tcW w:w="780" w:type="dxa"/>
            <w:vAlign w:val="bottom"/>
          </w:tcPr>
          <w:p>
            <w:pPr>
              <w:jc w:val="right"/>
              <w:spacing w:after="0"/>
              <w:rPr>
                <w:sz w:val="20"/>
                <w:szCs w:val="20"/>
                <w:color w:val="auto"/>
              </w:rPr>
            </w:pPr>
            <w:r>
              <w:rPr>
                <w:rFonts w:ascii="Arial" w:cs="Arial" w:eastAsia="Arial" w:hAnsi="Arial"/>
                <w:sz w:val="16"/>
                <w:szCs w:val="16"/>
                <w:color w:val="auto"/>
              </w:rPr>
              <w:t>3,341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3,350</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20"/>
        </w:trPr>
        <w:tc>
          <w:tcPr>
            <w:tcW w:w="25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8,317</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0.8%</w:t>
            </w:r>
          </w:p>
        </w:tc>
      </w:tr>
      <w:tr>
        <w:trPr>
          <w:trHeight w:val="207"/>
        </w:trPr>
        <w:tc>
          <w:tcPr>
            <w:tcW w:w="2640" w:type="dxa"/>
            <w:vAlign w:val="bottom"/>
            <w:gridSpan w:val="2"/>
          </w:tcPr>
          <w:p>
            <w:pPr>
              <w:spacing w:after="0"/>
              <w:rPr>
                <w:sz w:val="20"/>
                <w:szCs w:val="20"/>
                <w:color w:val="auto"/>
              </w:rPr>
            </w:pPr>
            <w:r>
              <w:rPr>
                <w:rFonts w:ascii="Arial" w:cs="Arial" w:eastAsia="Arial" w:hAnsi="Arial"/>
                <w:sz w:val="16"/>
                <w:szCs w:val="16"/>
                <w:b w:val="1"/>
                <w:bCs w:val="1"/>
                <w:color w:val="auto"/>
              </w:rPr>
              <w:t>Education</w:t>
            </w: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64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Curriculum Associates, LLC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($49,875 par, due</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2/2024)</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2/28/2018</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+ 6.00%</w:t>
            </w: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8.52%</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48,497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50,374</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w:t>
            </w:r>
          </w:p>
        </w:tc>
      </w:tr>
      <w:tr>
        <w:trPr>
          <w:trHeight w:val="203"/>
        </w:trPr>
        <w:tc>
          <w:tcPr>
            <w:tcW w:w="2640" w:type="dxa"/>
            <w:vAlign w:val="bottom"/>
            <w:gridSpan w:val="2"/>
          </w:tcPr>
          <w:p>
            <w:pPr>
              <w:spacing w:after="0"/>
              <w:rPr>
                <w:sz w:val="20"/>
                <w:szCs w:val="20"/>
                <w:color w:val="auto"/>
              </w:rPr>
            </w:pPr>
            <w:r>
              <w:rPr>
                <w:rFonts w:ascii="Arial" w:cs="Arial" w:eastAsia="Arial" w:hAnsi="Arial"/>
                <w:sz w:val="16"/>
                <w:szCs w:val="16"/>
                <w:color w:val="auto"/>
              </w:rPr>
              <w:t>Frontline Technologies Group, LLC</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($47,225 par, due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9/2023)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9/18/2017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+ 6.50%</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9.02%</w:t>
            </w:r>
          </w:p>
        </w:tc>
        <w:tc>
          <w:tcPr>
            <w:tcW w:w="780" w:type="dxa"/>
            <w:vAlign w:val="bottom"/>
          </w:tcPr>
          <w:p>
            <w:pPr>
              <w:jc w:val="right"/>
              <w:spacing w:after="0"/>
              <w:rPr>
                <w:sz w:val="20"/>
                <w:szCs w:val="20"/>
                <w:color w:val="auto"/>
              </w:rPr>
            </w:pPr>
            <w:r>
              <w:rPr>
                <w:rFonts w:ascii="Arial" w:cs="Arial" w:eastAsia="Arial" w:hAnsi="Arial"/>
                <w:sz w:val="16"/>
                <w:szCs w:val="16"/>
                <w:color w:val="auto"/>
              </w:rPr>
              <w:t>46,713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46,801</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4.4%</w:t>
            </w:r>
          </w:p>
        </w:tc>
      </w:tr>
      <w:tr>
        <w:trPr>
          <w:trHeight w:val="209"/>
        </w:trPr>
        <w:tc>
          <w:tcPr>
            <w:tcW w:w="264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Illuminate Education, Inc.</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($64,675 par, due</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8/2022)</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8/25/2017</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+ 7.25%</w:t>
            </w: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9.78%</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63,611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63,544</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6.0%</w:t>
            </w: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158,821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160,719</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15.1%</w:t>
            </w:r>
          </w:p>
        </w:tc>
      </w:tr>
      <w:tr>
        <w:trPr>
          <w:trHeight w:val="213"/>
        </w:trPr>
        <w:tc>
          <w:tcPr>
            <w:tcW w:w="2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Financial services</w:t>
            </w:r>
          </w:p>
        </w:tc>
        <w:tc>
          <w:tcPr>
            <w:tcW w:w="2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64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AppStar Financial, LLC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($18,506 par, due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8/2020)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8/18/2015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+ 7.50%</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10.02%</w:t>
            </w:r>
          </w:p>
        </w:tc>
        <w:tc>
          <w:tcPr>
            <w:tcW w:w="780" w:type="dxa"/>
            <w:vAlign w:val="bottom"/>
          </w:tcPr>
          <w:p>
            <w:pPr>
              <w:jc w:val="right"/>
              <w:spacing w:after="0"/>
              <w:rPr>
                <w:sz w:val="20"/>
                <w:szCs w:val="20"/>
                <w:color w:val="auto"/>
              </w:rPr>
            </w:pPr>
            <w:r>
              <w:rPr>
                <w:rFonts w:ascii="Arial" w:cs="Arial" w:eastAsia="Arial" w:hAnsi="Arial"/>
                <w:sz w:val="16"/>
                <w:szCs w:val="16"/>
                <w:color w:val="auto"/>
              </w:rPr>
              <w:t>18,333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18,609</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r>
      <w:tr>
        <w:trPr>
          <w:trHeight w:val="209"/>
        </w:trPr>
        <w:tc>
          <w:tcPr>
            <w:tcW w:w="264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4"/>
                <w:szCs w:val="24"/>
                <w:color w:val="auto"/>
                <w:vertAlign w:val="superscript"/>
              </w:rPr>
              <w:t>(3)</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($54,449 par, due</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8/2020)</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8/7/2015</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+ 9.50%</w:t>
            </w: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12.06%</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54,080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54,994</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5.2%</w:t>
            </w:r>
          </w:p>
        </w:tc>
      </w:tr>
      <w:tr>
        <w:trPr>
          <w:trHeight w:val="206"/>
        </w:trPr>
        <w:tc>
          <w:tcPr>
            <w:tcW w:w="264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G Treasury SS, LLC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($30,515 par, due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11.78% (incl.</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4/2022)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4/9/2018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+ 9.25%</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3.00% PIK)</w:t>
            </w:r>
          </w:p>
        </w:tc>
        <w:tc>
          <w:tcPr>
            <w:tcW w:w="780" w:type="dxa"/>
            <w:vAlign w:val="bottom"/>
          </w:tcPr>
          <w:p>
            <w:pPr>
              <w:jc w:val="right"/>
              <w:spacing w:after="0"/>
              <w:rPr>
                <w:sz w:val="20"/>
                <w:szCs w:val="20"/>
                <w:color w:val="auto"/>
              </w:rPr>
            </w:pPr>
            <w:r>
              <w:rPr>
                <w:rFonts w:ascii="Arial" w:cs="Arial" w:eastAsia="Arial" w:hAnsi="Arial"/>
                <w:sz w:val="16"/>
                <w:szCs w:val="16"/>
                <w:color w:val="auto"/>
              </w:rPr>
              <w:t>29,914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29,765</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r>
      <w:tr>
        <w:trPr>
          <w:trHeight w:val="209"/>
        </w:trPr>
        <w:tc>
          <w:tcPr>
            <w:tcW w:w="264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Government Brands, LLC </w:t>
            </w:r>
            <w:r>
              <w:rPr>
                <w:rFonts w:ascii="Arial" w:cs="Arial" w:eastAsia="Arial" w:hAnsi="Arial"/>
                <w:sz w:val="24"/>
                <w:szCs w:val="24"/>
                <w:color w:val="auto"/>
                <w:vertAlign w:val="superscript"/>
              </w:rPr>
              <w:t>(3)</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($45,870 par, due</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11.81% (incl.</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3/2023)</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3/15/2018</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+ 9.25%</w:t>
            </w:r>
          </w:p>
        </w:tc>
        <w:tc>
          <w:tcPr>
            <w:tcW w:w="14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2.50% PIK)</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45,001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44,853</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4.2%</w:t>
            </w:r>
          </w:p>
        </w:tc>
      </w:tr>
      <w:tr>
        <w:trPr>
          <w:trHeight w:val="206"/>
        </w:trPr>
        <w:tc>
          <w:tcPr>
            <w:tcW w:w="264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PayLease, LLC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($55,958 par, due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7/2022)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7/28/2017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+ 7.00%</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9.52%</w:t>
            </w:r>
          </w:p>
        </w:tc>
        <w:tc>
          <w:tcPr>
            <w:tcW w:w="780" w:type="dxa"/>
            <w:vAlign w:val="bottom"/>
          </w:tcPr>
          <w:p>
            <w:pPr>
              <w:jc w:val="right"/>
              <w:spacing w:after="0"/>
              <w:rPr>
                <w:sz w:val="20"/>
                <w:szCs w:val="20"/>
                <w:color w:val="auto"/>
              </w:rPr>
            </w:pPr>
            <w:r>
              <w:rPr>
                <w:rFonts w:ascii="Arial" w:cs="Arial" w:eastAsia="Arial" w:hAnsi="Arial"/>
                <w:sz w:val="16"/>
                <w:szCs w:val="16"/>
                <w:color w:val="auto"/>
              </w:rPr>
              <w:t>55,065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55,810</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5.2%</w:t>
            </w:r>
          </w:p>
        </w:tc>
      </w:tr>
      <w:tr>
        <w:trPr>
          <w:trHeight w:val="209"/>
        </w:trPr>
        <w:tc>
          <w:tcPr>
            <w:tcW w:w="264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PaySimple, Inc.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($59,395 par, due</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10.81% (incl.</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3/2022)</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4/17/2018</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+ 8.25%</w:t>
            </w:r>
          </w:p>
        </w:tc>
        <w:tc>
          <w:tcPr>
            <w:tcW w:w="14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1.75% PIK)</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59,121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58,652</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5.5%</w:t>
            </w:r>
          </w:p>
        </w:tc>
      </w:tr>
      <w:tr>
        <w:trPr>
          <w:trHeight w:val="206"/>
        </w:trPr>
        <w:tc>
          <w:tcPr>
            <w:tcW w:w="2640" w:type="dxa"/>
            <w:vAlign w:val="bottom"/>
            <w:gridSpan w:val="2"/>
          </w:tcPr>
          <w:p>
            <w:pPr>
              <w:spacing w:after="0" w:line="207" w:lineRule="exact"/>
              <w:rPr>
                <w:sz w:val="20"/>
                <w:szCs w:val="20"/>
                <w:color w:val="auto"/>
              </w:rPr>
            </w:pPr>
            <w:r>
              <w:rPr>
                <w:rFonts w:ascii="Arial" w:cs="Arial" w:eastAsia="Arial" w:hAnsi="Arial"/>
                <w:sz w:val="14"/>
                <w:szCs w:val="14"/>
                <w:color w:val="auto"/>
              </w:rPr>
              <w:t xml:space="preserve">PrimeRevenue, Inc. </w:t>
            </w:r>
            <w:r>
              <w:rPr>
                <w:rFonts w:ascii="Arial" w:cs="Arial" w:eastAsia="Arial" w:hAnsi="Arial"/>
                <w:sz w:val="23"/>
                <w:szCs w:val="23"/>
                <w:color w:val="auto"/>
                <w:vertAlign w:val="superscript"/>
              </w:rPr>
              <w:t>(3)</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($20,000 par, due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11.02% (incl.</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12/2023)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12/31/2018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L + 8.50%</w:t>
            </w: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5.50% PIK)</w:t>
            </w:r>
          </w:p>
        </w:tc>
        <w:tc>
          <w:tcPr>
            <w:tcW w:w="780" w:type="dxa"/>
            <w:vAlign w:val="bottom"/>
          </w:tcPr>
          <w:p>
            <w:pPr>
              <w:jc w:val="right"/>
              <w:spacing w:after="0"/>
              <w:rPr>
                <w:sz w:val="20"/>
                <w:szCs w:val="20"/>
                <w:color w:val="auto"/>
              </w:rPr>
            </w:pPr>
            <w:r>
              <w:rPr>
                <w:rFonts w:ascii="Arial" w:cs="Arial" w:eastAsia="Arial" w:hAnsi="Arial"/>
                <w:sz w:val="16"/>
                <w:szCs w:val="16"/>
                <w:color w:val="auto"/>
              </w:rPr>
              <w:t>19,672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19,672</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r>
      <w:tr>
        <w:trPr>
          <w:trHeight w:val="209"/>
        </w:trPr>
        <w:tc>
          <w:tcPr>
            <w:tcW w:w="264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Swift Gift, Ltd. </w:t>
            </w:r>
            <w:r>
              <w:rPr>
                <w:rFonts w:ascii="Arial" w:cs="Arial" w:eastAsia="Arial" w:hAnsi="Arial"/>
                <w:sz w:val="24"/>
                <w:szCs w:val="24"/>
                <w:color w:val="auto"/>
                <w:vertAlign w:val="superscript"/>
              </w:rPr>
              <w:t>(3)(5)</w:t>
            </w:r>
          </w:p>
        </w:tc>
        <w:tc>
          <w:tcPr>
            <w:tcW w:w="2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First-lien loan ($28,875 par, due</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1/2022)</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7/31/2017</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L + 6.50%</w:t>
            </w: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9.06%</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28,335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29,958</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w:t>
            </w: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309,521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312,313</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29.4%</w:t>
            </w:r>
          </w:p>
        </w:tc>
      </w:tr>
      <w:tr>
        <w:trPr>
          <w:trHeight w:val="213"/>
        </w:trPr>
        <w:tc>
          <w:tcPr>
            <w:tcW w:w="2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640" w:type="dxa"/>
            <w:vAlign w:val="bottom"/>
            <w:gridSpan w:val="2"/>
          </w:tcPr>
          <w:p>
            <w:pPr>
              <w:spacing w:after="0"/>
              <w:rPr>
                <w:sz w:val="20"/>
                <w:szCs w:val="20"/>
                <w:color w:val="auto"/>
              </w:rPr>
            </w:pPr>
            <w:r>
              <w:rPr>
                <w:rFonts w:ascii="Arial" w:cs="Arial" w:eastAsia="Arial" w:hAnsi="Arial"/>
                <w:sz w:val="16"/>
                <w:szCs w:val="16"/>
                <w:color w:val="auto"/>
              </w:rPr>
              <w:t>Caris Life Sciences, Ltd.</w:t>
            </w:r>
          </w:p>
        </w:tc>
        <w:tc>
          <w:tcPr>
            <w:tcW w:w="2340" w:type="dxa"/>
            <w:vAlign w:val="bottom"/>
            <w:gridSpan w:val="2"/>
          </w:tcPr>
          <w:p>
            <w:pPr>
              <w:spacing w:after="0"/>
              <w:rPr>
                <w:sz w:val="20"/>
                <w:szCs w:val="20"/>
                <w:color w:val="auto"/>
              </w:rPr>
            </w:pPr>
            <w:r>
              <w:rPr>
                <w:rFonts w:ascii="Arial" w:cs="Arial" w:eastAsia="Arial" w:hAnsi="Arial"/>
                <w:sz w:val="16"/>
                <w:szCs w:val="16"/>
                <w:color w:val="auto"/>
              </w:rPr>
              <w:t>First-lien loan ($2,500 par, due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9/2023)</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9/21/2018</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11.30%</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11.30%</w:t>
            </w:r>
          </w:p>
        </w:tc>
        <w:tc>
          <w:tcPr>
            <w:tcW w:w="780" w:type="dxa"/>
            <w:vAlign w:val="bottom"/>
          </w:tcPr>
          <w:p>
            <w:pPr>
              <w:jc w:val="right"/>
              <w:spacing w:after="0"/>
              <w:rPr>
                <w:sz w:val="20"/>
                <w:szCs w:val="20"/>
                <w:color w:val="auto"/>
              </w:rPr>
            </w:pPr>
            <w:r>
              <w:rPr>
                <w:rFonts w:ascii="Arial" w:cs="Arial" w:eastAsia="Arial" w:hAnsi="Arial"/>
                <w:sz w:val="16"/>
                <w:szCs w:val="16"/>
                <w:color w:val="auto"/>
              </w:rPr>
              <w:t>2,305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2,206</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6"/>
        </w:trPr>
        <w:tc>
          <w:tcPr>
            <w:tcW w:w="2540" w:type="dxa"/>
            <w:vAlign w:val="bottom"/>
            <w:shd w:val="clear" w:color="auto" w:fill="CFF0FC"/>
          </w:tcPr>
          <w:p>
            <w:pPr>
              <w:spacing w:after="0"/>
              <w:rPr>
                <w:sz w:val="17"/>
                <w:szCs w:val="17"/>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5"/>
              </w:rPr>
              <w:t>Convertible note ($2,500 par, due</w:t>
            </w:r>
          </w:p>
        </w:tc>
        <w:tc>
          <w:tcPr>
            <w:tcW w:w="10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9/2023)</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9/21/2018</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8.00%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2,481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r>
        <w:trPr>
          <w:trHeight w:val="203"/>
        </w:trPr>
        <w:tc>
          <w:tcPr>
            <w:tcW w:w="2540" w:type="dxa"/>
            <w:vAlign w:val="bottom"/>
          </w:tcPr>
          <w:p>
            <w:pPr>
              <w:spacing w:after="0" w:line="203" w:lineRule="exact"/>
              <w:rPr>
                <w:sz w:val="20"/>
                <w:szCs w:val="20"/>
                <w:color w:val="auto"/>
              </w:rPr>
            </w:pPr>
            <w:r>
              <w:rPr>
                <w:rFonts w:ascii="Arial" w:cs="Arial" w:eastAsia="Arial" w:hAnsi="Arial"/>
                <w:sz w:val="14"/>
                <w:szCs w:val="14"/>
                <w:color w:val="auto"/>
              </w:rPr>
              <w:t xml:space="preserve">Integrated Practice Solutions, Inc. </w:t>
            </w:r>
            <w:r>
              <w:rPr>
                <w:rFonts w:ascii="Arial" w:cs="Arial" w:eastAsia="Arial" w:hAnsi="Arial"/>
                <w:sz w:val="23"/>
                <w:szCs w:val="23"/>
                <w:color w:val="auto"/>
                <w:vertAlign w:val="superscript"/>
              </w:rPr>
              <w:t>(3)</w:t>
            </w:r>
          </w:p>
        </w:tc>
        <w:tc>
          <w:tcPr>
            <w:tcW w:w="2420" w:type="dxa"/>
            <w:vAlign w:val="bottom"/>
          </w:tcPr>
          <w:p>
            <w:pPr>
              <w:ind w:left="120"/>
              <w:spacing w:after="0"/>
              <w:rPr>
                <w:sz w:val="20"/>
                <w:szCs w:val="20"/>
                <w:color w:val="auto"/>
              </w:rPr>
            </w:pPr>
            <w:r>
              <w:rPr>
                <w:rFonts w:ascii="Arial" w:cs="Arial" w:eastAsia="Arial" w:hAnsi="Arial"/>
                <w:sz w:val="16"/>
                <w:szCs w:val="16"/>
                <w:color w:val="auto"/>
              </w:rPr>
              <w:t>First-lien loan ($36,501 par, due</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4"/>
                <w:szCs w:val="14"/>
                <w:color w:val="auto"/>
              </w:rPr>
              <w:t>(5)</w:t>
            </w:r>
          </w:p>
        </w:tc>
        <w:tc>
          <w:tcPr>
            <w:tcW w:w="2420" w:type="dxa"/>
            <w:vAlign w:val="bottom"/>
          </w:tcPr>
          <w:p>
            <w:pPr>
              <w:ind w:left="120"/>
              <w:spacing w:after="0"/>
              <w:rPr>
                <w:sz w:val="20"/>
                <w:szCs w:val="20"/>
                <w:color w:val="auto"/>
              </w:rPr>
            </w:pPr>
            <w:r>
              <w:rPr>
                <w:rFonts w:ascii="Arial" w:cs="Arial" w:eastAsia="Arial" w:hAnsi="Arial"/>
                <w:sz w:val="16"/>
                <w:szCs w:val="16"/>
                <w:color w:val="auto"/>
              </w:rPr>
              <w:t>6/2022)</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6/30/2017</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+ 8.00%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10.52%</w:t>
            </w:r>
          </w:p>
        </w:tc>
        <w:tc>
          <w:tcPr>
            <w:tcW w:w="780" w:type="dxa"/>
            <w:vAlign w:val="bottom"/>
          </w:tcPr>
          <w:p>
            <w:pPr>
              <w:jc w:val="right"/>
              <w:spacing w:after="0"/>
              <w:rPr>
                <w:sz w:val="20"/>
                <w:szCs w:val="20"/>
                <w:color w:val="auto"/>
              </w:rPr>
            </w:pPr>
            <w:r>
              <w:rPr>
                <w:rFonts w:ascii="Arial" w:cs="Arial" w:eastAsia="Arial" w:hAnsi="Arial"/>
                <w:sz w:val="16"/>
                <w:szCs w:val="16"/>
                <w:color w:val="auto"/>
              </w:rPr>
              <w:t>35,696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36,136</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MedeAnalytics, Inc. </w:t>
            </w:r>
            <w:r>
              <w:rPr>
                <w:rFonts w:ascii="Arial" w:cs="Arial" w:eastAsia="Arial" w:hAnsi="Arial"/>
                <w:sz w:val="24"/>
                <w:szCs w:val="24"/>
                <w:color w:val="auto"/>
                <w:vertAlign w:val="superscript"/>
              </w:rPr>
              <w:t>(3)(5)</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($41,884 par, due</w:t>
            </w: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9/2020)</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9/30/2015</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10.02%</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41,384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41,884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w:t>
            </w: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InterOperability Bidco, Inc. </w:t>
            </w:r>
            <w:r>
              <w:rPr>
                <w:rFonts w:ascii="Arial" w:cs="Arial" w:eastAsia="Arial" w:hAnsi="Arial"/>
                <w:sz w:val="23"/>
                <w:szCs w:val="23"/>
                <w:color w:val="auto"/>
                <w:vertAlign w:val="superscript"/>
              </w:rPr>
              <w:t>(3)(5)</w:t>
            </w:r>
          </w:p>
        </w:tc>
        <w:tc>
          <w:tcPr>
            <w:tcW w:w="2420" w:type="dxa"/>
            <w:vAlign w:val="bottom"/>
          </w:tcPr>
          <w:p>
            <w:pPr>
              <w:ind w:left="120"/>
              <w:spacing w:after="0"/>
              <w:rPr>
                <w:sz w:val="20"/>
                <w:szCs w:val="20"/>
                <w:color w:val="auto"/>
              </w:rPr>
            </w:pPr>
            <w:r>
              <w:rPr>
                <w:rFonts w:ascii="Arial" w:cs="Arial" w:eastAsia="Arial" w:hAnsi="Arial"/>
                <w:sz w:val="16"/>
                <w:szCs w:val="16"/>
                <w:color w:val="auto"/>
              </w:rPr>
              <w:t>First-lien loan ($29,925 par, due</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10/2023)</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10/30/2018</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+ 7.00%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9.52%</w:t>
            </w:r>
          </w:p>
        </w:tc>
        <w:tc>
          <w:tcPr>
            <w:tcW w:w="780" w:type="dxa"/>
            <w:vAlign w:val="bottom"/>
          </w:tcPr>
          <w:p>
            <w:pPr>
              <w:jc w:val="right"/>
              <w:spacing w:after="0"/>
              <w:rPr>
                <w:sz w:val="20"/>
                <w:szCs w:val="20"/>
                <w:color w:val="auto"/>
              </w:rPr>
            </w:pPr>
            <w:r>
              <w:rPr>
                <w:rFonts w:ascii="Arial" w:cs="Arial" w:eastAsia="Arial" w:hAnsi="Arial"/>
                <w:sz w:val="16"/>
                <w:szCs w:val="16"/>
                <w:color w:val="auto"/>
              </w:rPr>
              <w:t>28,729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28,578</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Quantros, Inc. </w:t>
            </w:r>
            <w:r>
              <w:rPr>
                <w:rFonts w:ascii="Arial" w:cs="Arial" w:eastAsia="Arial" w:hAnsi="Arial"/>
                <w:sz w:val="24"/>
                <w:szCs w:val="24"/>
                <w:color w:val="auto"/>
                <w:vertAlign w:val="superscript"/>
              </w:rPr>
              <w:t>(3)(5)</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($27,965 par, due</w:t>
            </w: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9"/>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9/2019)</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2/29/2016</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10.55%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26,650</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27,475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w:t>
            </w:r>
          </w:p>
        </w:tc>
      </w:tr>
      <w:tr>
        <w:trPr>
          <w:trHeight w:val="20"/>
        </w:trPr>
        <w:tc>
          <w:tcPr>
            <w:tcW w:w="2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137,264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138,760</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13.0%</w:t>
            </w:r>
          </w:p>
        </w:tc>
      </w:tr>
      <w:tr>
        <w:trPr>
          <w:trHeight w:val="21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Hotel, gaming, and leisure</w:t>
            </w:r>
          </w:p>
        </w:tc>
        <w:tc>
          <w:tcPr>
            <w:tcW w:w="24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(3)(7)</w:t>
            </w:r>
          </w:p>
        </w:tc>
        <w:tc>
          <w:tcPr>
            <w:tcW w:w="2420" w:type="dxa"/>
            <w:vAlign w:val="bottom"/>
          </w:tcPr>
          <w:p>
            <w:pPr>
              <w:ind w:left="120"/>
              <w:spacing w:after="0"/>
              <w:rPr>
                <w:sz w:val="20"/>
                <w:szCs w:val="20"/>
                <w:color w:val="auto"/>
              </w:rPr>
            </w:pPr>
            <w:r>
              <w:rPr>
                <w:rFonts w:ascii="Arial" w:cs="Arial" w:eastAsia="Arial" w:hAnsi="Arial"/>
                <w:sz w:val="16"/>
                <w:szCs w:val="16"/>
                <w:color w:val="auto"/>
              </w:rPr>
              <w:t>First-lien loan ($30,042 par, due</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12.30% (incl.</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540" w:type="dxa"/>
            <w:vAlign w:val="bottom"/>
          </w:tcPr>
          <w:p>
            <w:pPr>
              <w:spacing w:after="0"/>
              <w:rPr>
                <w:sz w:val="17"/>
                <w:szCs w:val="17"/>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9/2019)</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9/29/2015</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+ 9.50%</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5.00% PIK)</w:t>
            </w:r>
          </w:p>
        </w:tc>
        <w:tc>
          <w:tcPr>
            <w:tcW w:w="780" w:type="dxa"/>
            <w:vAlign w:val="bottom"/>
          </w:tcPr>
          <w:p>
            <w:pPr>
              <w:jc w:val="right"/>
              <w:spacing w:after="0"/>
              <w:rPr>
                <w:sz w:val="20"/>
                <w:szCs w:val="20"/>
                <w:color w:val="auto"/>
              </w:rPr>
            </w:pPr>
            <w:r>
              <w:rPr>
                <w:rFonts w:ascii="Arial" w:cs="Arial" w:eastAsia="Arial" w:hAnsi="Arial"/>
                <w:sz w:val="16"/>
                <w:szCs w:val="16"/>
                <w:color w:val="auto"/>
              </w:rPr>
              <w:t>28,187</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29,959</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r>
      <w:tr>
        <w:trPr>
          <w:trHeight w:val="222"/>
        </w:trPr>
        <w:tc>
          <w:tcPr>
            <w:tcW w:w="2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7"/>
              </w:rPr>
              <w:t>Human resource support services</w:t>
            </w:r>
          </w:p>
        </w:tc>
        <w:tc>
          <w:tcPr>
            <w:tcW w:w="24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23"/>
                <w:szCs w:val="23"/>
                <w:color w:val="auto"/>
                <w:vertAlign w:val="superscript"/>
              </w:rPr>
              <w:t>(3)</w:t>
            </w:r>
          </w:p>
        </w:tc>
        <w:tc>
          <w:tcPr>
            <w:tcW w:w="2420" w:type="dxa"/>
            <w:vAlign w:val="bottom"/>
          </w:tcPr>
          <w:p>
            <w:pPr>
              <w:ind w:left="120"/>
              <w:spacing w:after="0"/>
              <w:rPr>
                <w:sz w:val="20"/>
                <w:szCs w:val="20"/>
                <w:color w:val="auto"/>
              </w:rPr>
            </w:pPr>
            <w:r>
              <w:rPr>
                <w:rFonts w:ascii="Arial" w:cs="Arial" w:eastAsia="Arial" w:hAnsi="Arial"/>
                <w:sz w:val="16"/>
                <w:szCs w:val="16"/>
                <w:color w:val="auto"/>
              </w:rPr>
              <w:t>First-lien loan ($17,154 par, due</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11.21% (incl.</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7/2023)</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7/23/2018</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+ 8.50%</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2.50% PIK)</w:t>
            </w:r>
          </w:p>
        </w:tc>
        <w:tc>
          <w:tcPr>
            <w:tcW w:w="780" w:type="dxa"/>
            <w:vAlign w:val="bottom"/>
          </w:tcPr>
          <w:p>
            <w:pPr>
              <w:jc w:val="right"/>
              <w:spacing w:after="0"/>
              <w:rPr>
                <w:sz w:val="20"/>
                <w:szCs w:val="20"/>
                <w:color w:val="auto"/>
              </w:rPr>
            </w:pPr>
            <w:r>
              <w:rPr>
                <w:rFonts w:ascii="Arial" w:cs="Arial" w:eastAsia="Arial" w:hAnsi="Arial"/>
                <w:sz w:val="16"/>
                <w:szCs w:val="16"/>
                <w:color w:val="auto"/>
              </w:rPr>
              <w:t>16,885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16,751</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PageUp People Limited. </w:t>
            </w:r>
            <w:r>
              <w:rPr>
                <w:rFonts w:ascii="Arial" w:cs="Arial" w:eastAsia="Arial" w:hAnsi="Arial"/>
                <w:sz w:val="24"/>
                <w:szCs w:val="24"/>
                <w:color w:val="auto"/>
                <w:vertAlign w:val="superscript"/>
              </w:rPr>
              <w:t>(3)(4)</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(AUD 46,848 par,</w:t>
            </w: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9.17% (incl.</w:t>
            </w:r>
          </w:p>
        </w:tc>
        <w:tc>
          <w:tcPr>
            <w:tcW w:w="7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32,486</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due 12/2022)</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1/11/2018</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B + 7.25%</w:t>
            </w:r>
          </w:p>
        </w:tc>
        <w:tc>
          <w:tcPr>
            <w:tcW w:w="1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2.25% PIK)</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36,234</w:t>
            </w:r>
          </w:p>
        </w:tc>
        <w:tc>
          <w:tcPr>
            <w:tcW w:w="136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(AUD 46,145)</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r>
      <w:tr>
        <w:trPr>
          <w:trHeight w:val="206"/>
        </w:trPr>
        <w:tc>
          <w:tcPr>
            <w:tcW w:w="2540" w:type="dxa"/>
            <w:vAlign w:val="bottom"/>
          </w:tcPr>
          <w:p>
            <w:pPr>
              <w:spacing w:after="0"/>
              <w:rPr>
                <w:sz w:val="17"/>
                <w:szCs w:val="17"/>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First-lien revolving loan (AUD</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1,355</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2,000 par, due 12/2022)</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1/11/2018</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B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9.23%</w:t>
            </w:r>
          </w:p>
        </w:tc>
        <w:tc>
          <w:tcPr>
            <w:tcW w:w="780" w:type="dxa"/>
            <w:vAlign w:val="bottom"/>
          </w:tcPr>
          <w:p>
            <w:pPr>
              <w:jc w:val="right"/>
              <w:spacing w:after="0"/>
              <w:rPr>
                <w:sz w:val="20"/>
                <w:szCs w:val="20"/>
                <w:color w:val="auto"/>
              </w:rPr>
            </w:pPr>
            <w:r>
              <w:rPr>
                <w:rFonts w:ascii="Arial" w:cs="Arial" w:eastAsia="Arial" w:hAnsi="Arial"/>
                <w:sz w:val="16"/>
                <w:szCs w:val="16"/>
                <w:color w:val="auto"/>
              </w:rPr>
              <w:t>1,429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(AUD 1,925)</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54,548</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50,592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4.8%</w:t>
            </w: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Insurity, Inc. </w:t>
            </w:r>
            <w:r>
              <w:rPr>
                <w:rFonts w:ascii="Arial" w:cs="Arial" w:eastAsia="Arial" w:hAnsi="Arial"/>
                <w:sz w:val="24"/>
                <w:szCs w:val="24"/>
                <w:color w:val="auto"/>
                <w:vertAlign w:val="superscript"/>
              </w:rPr>
              <w:t>(3)(5)</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($61,665 par, due</w:t>
            </w: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10/2020)</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10/31/2014</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9.47%</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61,384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62,127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5.8%</w:t>
            </w: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23"/>
                <w:szCs w:val="23"/>
                <w:color w:val="auto"/>
                <w:vertAlign w:val="superscript"/>
              </w:rPr>
              <w:t>(3)(5)</w:t>
            </w:r>
          </w:p>
        </w:tc>
        <w:tc>
          <w:tcPr>
            <w:tcW w:w="2420" w:type="dxa"/>
            <w:vAlign w:val="bottom"/>
          </w:tcPr>
          <w:p>
            <w:pPr>
              <w:ind w:left="120"/>
              <w:spacing w:after="0"/>
              <w:rPr>
                <w:sz w:val="20"/>
                <w:szCs w:val="20"/>
                <w:color w:val="auto"/>
              </w:rPr>
            </w:pPr>
            <w:r>
              <w:rPr>
                <w:rFonts w:ascii="Arial" w:cs="Arial" w:eastAsia="Arial" w:hAnsi="Arial"/>
                <w:sz w:val="16"/>
                <w:szCs w:val="16"/>
                <w:color w:val="auto"/>
              </w:rPr>
              <w:t>First-lien loan ($50,000 par, due</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10/2023)</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6/30/2017</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10.56%</w:t>
            </w:r>
          </w:p>
        </w:tc>
        <w:tc>
          <w:tcPr>
            <w:tcW w:w="780" w:type="dxa"/>
            <w:vAlign w:val="bottom"/>
          </w:tcPr>
          <w:p>
            <w:pPr>
              <w:jc w:val="right"/>
              <w:spacing w:after="0"/>
              <w:rPr>
                <w:sz w:val="20"/>
                <w:szCs w:val="20"/>
                <w:color w:val="auto"/>
              </w:rPr>
            </w:pPr>
            <w:r>
              <w:rPr>
                <w:rFonts w:ascii="Arial" w:cs="Arial" w:eastAsia="Arial" w:hAnsi="Arial"/>
                <w:sz w:val="16"/>
                <w:szCs w:val="16"/>
                <w:color w:val="auto"/>
              </w:rPr>
              <w:t>49,432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49,000</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110,816</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111,127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10.4%</w:t>
            </w: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Internet services</w:t>
            </w: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Higher Logic, LLC </w:t>
            </w:r>
            <w:r>
              <w:rPr>
                <w:rFonts w:ascii="Arial" w:cs="Arial" w:eastAsia="Arial" w:hAnsi="Arial"/>
                <w:sz w:val="24"/>
                <w:szCs w:val="24"/>
                <w:color w:val="auto"/>
                <w:vertAlign w:val="superscript"/>
              </w:rPr>
              <w:t>(3)(5)</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($37,810 par, due</w:t>
            </w: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1/2022)</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6/18/2018</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+ 6.00%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8.81%</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37,236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36,959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w:t>
            </w: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Lithium Technologies, LLC </w:t>
            </w:r>
            <w:r>
              <w:rPr>
                <w:rFonts w:ascii="Arial" w:cs="Arial" w:eastAsia="Arial" w:hAnsi="Arial"/>
                <w:sz w:val="23"/>
                <w:szCs w:val="23"/>
                <w:color w:val="auto"/>
                <w:vertAlign w:val="superscript"/>
              </w:rPr>
              <w:t>(3)</w:t>
            </w:r>
          </w:p>
        </w:tc>
        <w:tc>
          <w:tcPr>
            <w:tcW w:w="2420" w:type="dxa"/>
            <w:vAlign w:val="bottom"/>
          </w:tcPr>
          <w:p>
            <w:pPr>
              <w:ind w:left="120"/>
              <w:spacing w:after="0"/>
              <w:rPr>
                <w:sz w:val="20"/>
                <w:szCs w:val="20"/>
                <w:color w:val="auto"/>
              </w:rPr>
            </w:pPr>
            <w:r>
              <w:rPr>
                <w:rFonts w:ascii="Arial" w:cs="Arial" w:eastAsia="Arial" w:hAnsi="Arial"/>
                <w:sz w:val="16"/>
                <w:szCs w:val="16"/>
                <w:color w:val="auto"/>
              </w:rPr>
              <w:t>First-lien loan ($54,700 par, due</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10/2022)</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10/3/2017</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+ 8.00%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10.39%</w:t>
            </w:r>
          </w:p>
        </w:tc>
        <w:tc>
          <w:tcPr>
            <w:tcW w:w="780" w:type="dxa"/>
            <w:vAlign w:val="bottom"/>
          </w:tcPr>
          <w:p>
            <w:pPr>
              <w:jc w:val="right"/>
              <w:spacing w:after="0"/>
              <w:rPr>
                <w:sz w:val="20"/>
                <w:szCs w:val="20"/>
                <w:color w:val="auto"/>
              </w:rPr>
            </w:pPr>
            <w:r>
              <w:rPr>
                <w:rFonts w:ascii="Arial" w:cs="Arial" w:eastAsia="Arial" w:hAnsi="Arial"/>
                <w:sz w:val="16"/>
                <w:szCs w:val="16"/>
                <w:color w:val="auto"/>
              </w:rPr>
              <w:t>53,639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53,967</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5.1%</w:t>
            </w: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90,875</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90,926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8.6%</w:t>
            </w: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Manufacturing</w:t>
            </w: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ScentAir Technologies, Inc. </w:t>
            </w:r>
            <w:r>
              <w:rPr>
                <w:rFonts w:ascii="Arial" w:cs="Arial" w:eastAsia="Arial" w:hAnsi="Arial"/>
                <w:sz w:val="24"/>
                <w:szCs w:val="24"/>
                <w:color w:val="auto"/>
                <w:vertAlign w:val="superscript"/>
              </w:rPr>
              <w:t>(3)</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($19,986 par, due</w:t>
            </w: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12/2019)</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12/30/2014</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+ 7.25%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9.77%</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19,897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19,886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r>
      <w:tr>
        <w:trPr>
          <w:trHeight w:val="206"/>
        </w:trPr>
        <w:tc>
          <w:tcPr>
            <w:tcW w:w="2540" w:type="dxa"/>
            <w:vAlign w:val="bottom"/>
          </w:tcPr>
          <w:p>
            <w:pPr>
              <w:spacing w:after="0"/>
              <w:rPr>
                <w:sz w:val="17"/>
                <w:szCs w:val="17"/>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First-lien revolving loan ($1,393</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par, due 12/2019)</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12/30/2014</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+ 7.25%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9.77%</w:t>
            </w:r>
          </w:p>
        </w:tc>
        <w:tc>
          <w:tcPr>
            <w:tcW w:w="780" w:type="dxa"/>
            <w:vAlign w:val="bottom"/>
          </w:tcPr>
          <w:p>
            <w:pPr>
              <w:jc w:val="right"/>
              <w:spacing w:after="0"/>
              <w:rPr>
                <w:sz w:val="20"/>
                <w:szCs w:val="20"/>
                <w:color w:val="auto"/>
              </w:rPr>
            </w:pPr>
            <w:r>
              <w:rPr>
                <w:rFonts w:ascii="Arial" w:cs="Arial" w:eastAsia="Arial" w:hAnsi="Arial"/>
                <w:sz w:val="16"/>
                <w:szCs w:val="16"/>
                <w:color w:val="auto"/>
              </w:rPr>
              <w:t>1,385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1,382</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21,282</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21,268</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w:t>
            </w: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Marketing services</w:t>
            </w: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Validity, Inc. </w:t>
            </w:r>
            <w:r>
              <w:rPr>
                <w:rFonts w:ascii="Arial" w:cs="Arial" w:eastAsia="Arial" w:hAnsi="Arial"/>
                <w:sz w:val="24"/>
                <w:szCs w:val="24"/>
                <w:color w:val="auto"/>
                <w:vertAlign w:val="superscript"/>
              </w:rPr>
              <w:t>(3)(5)(6)</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($35,550 par, due</w:t>
            </w: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5/2023)</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5/31/2018</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+ 6.50%</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9.25%</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34,988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34,750</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w:t>
            </w: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Office products</w:t>
            </w: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USR Parent Inc. </w:t>
            </w:r>
            <w:r>
              <w:rPr>
                <w:rFonts w:ascii="Arial" w:cs="Arial" w:eastAsia="Arial" w:hAnsi="Arial"/>
                <w:sz w:val="24"/>
                <w:szCs w:val="24"/>
                <w:color w:val="auto"/>
                <w:vertAlign w:val="superscript"/>
              </w:rPr>
              <w:t>(3)(5)</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ABL FILO term loan ($13,500</w:t>
            </w: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par, due 9/2022)</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9/12/2017</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10.09%</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13,331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r>
      <w:tr>
        <w:trPr>
          <w:trHeight w:val="202"/>
        </w:trPr>
        <w:tc>
          <w:tcPr>
            <w:tcW w:w="2540" w:type="dxa"/>
            <w:vAlign w:val="bottom"/>
          </w:tcPr>
          <w:p>
            <w:pPr>
              <w:spacing w:after="0"/>
              <w:rPr>
                <w:sz w:val="20"/>
                <w:szCs w:val="20"/>
                <w:color w:val="auto"/>
              </w:rPr>
            </w:pPr>
            <w:r>
              <w:rPr>
                <w:rFonts w:ascii="Arial" w:cs="Arial" w:eastAsia="Arial" w:hAnsi="Arial"/>
                <w:sz w:val="16"/>
                <w:szCs w:val="16"/>
                <w:b w:val="1"/>
                <w:bCs w:val="1"/>
                <w:color w:val="auto"/>
              </w:rPr>
              <w:t>Oil, gas and consumable</w:t>
            </w: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540" w:type="dxa"/>
            <w:vAlign w:val="bottom"/>
          </w:tcPr>
          <w:p>
            <w:pPr>
              <w:ind w:left="120"/>
              <w:spacing w:after="0"/>
              <w:rPr>
                <w:sz w:val="20"/>
                <w:szCs w:val="20"/>
                <w:color w:val="auto"/>
              </w:rPr>
            </w:pPr>
            <w:r>
              <w:rPr>
                <w:rFonts w:ascii="Arial" w:cs="Arial" w:eastAsia="Arial" w:hAnsi="Arial"/>
                <w:sz w:val="16"/>
                <w:szCs w:val="16"/>
                <w:b w:val="1"/>
                <w:bCs w:val="1"/>
                <w:color w:val="auto"/>
              </w:rPr>
              <w:t>fuels</w:t>
            </w: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MD America Energy, LLC </w:t>
            </w:r>
            <w:r>
              <w:rPr>
                <w:rFonts w:ascii="Arial" w:cs="Arial" w:eastAsia="Arial" w:hAnsi="Arial"/>
                <w:sz w:val="24"/>
                <w:szCs w:val="24"/>
                <w:color w:val="auto"/>
                <w:vertAlign w:val="superscript"/>
              </w:rPr>
              <w:t>(3)</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First-lien loan ($15,000 par, due</w:t>
            </w: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11/2023)</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11/14/2018</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10.37%</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14,530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14,325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23"/>
                <w:szCs w:val="23"/>
                <w:color w:val="auto"/>
                <w:vertAlign w:val="superscript"/>
              </w:rPr>
              <w:t>(3)(7)</w:t>
            </w:r>
          </w:p>
        </w:tc>
        <w:tc>
          <w:tcPr>
            <w:tcW w:w="2420" w:type="dxa"/>
            <w:vAlign w:val="bottom"/>
          </w:tcPr>
          <w:p>
            <w:pPr>
              <w:ind w:left="120"/>
              <w:spacing w:after="0"/>
              <w:rPr>
                <w:sz w:val="20"/>
                <w:szCs w:val="20"/>
                <w:color w:val="auto"/>
              </w:rPr>
            </w:pPr>
            <w:r>
              <w:rPr>
                <w:rFonts w:ascii="Arial" w:cs="Arial" w:eastAsia="Arial" w:hAnsi="Arial"/>
                <w:sz w:val="16"/>
                <w:szCs w:val="16"/>
                <w:color w:val="auto"/>
              </w:rPr>
              <w:t>First-lien loan ($17,429 par, due</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6/2020)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6/29/2018</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L + 9.00%</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11.52%</w:t>
            </w:r>
          </w:p>
        </w:tc>
        <w:tc>
          <w:tcPr>
            <w:tcW w:w="780" w:type="dxa"/>
            <w:vAlign w:val="bottom"/>
          </w:tcPr>
          <w:p>
            <w:pPr>
              <w:jc w:val="right"/>
              <w:spacing w:after="0"/>
              <w:rPr>
                <w:sz w:val="20"/>
                <w:szCs w:val="20"/>
                <w:color w:val="auto"/>
              </w:rPr>
            </w:pPr>
            <w:r>
              <w:rPr>
                <w:rFonts w:ascii="Arial" w:cs="Arial" w:eastAsia="Arial" w:hAnsi="Arial"/>
                <w:sz w:val="16"/>
                <w:szCs w:val="16"/>
                <w:color w:val="auto"/>
              </w:rPr>
              <w:t>17,429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17,080</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1.6%</w:t>
            </w: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31,959</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31,405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w:t>
            </w: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Pharmaceuticals</w:t>
            </w: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2540" w:type="dxa"/>
            <w:vAlign w:val="bottom"/>
            <w:shd w:val="clear" w:color="auto" w:fill="CFF0FC"/>
          </w:tcPr>
          <w:p>
            <w:pPr>
              <w:spacing w:after="0" w:line="205" w:lineRule="exact"/>
              <w:rPr>
                <w:sz w:val="20"/>
                <w:szCs w:val="20"/>
                <w:color w:val="auto"/>
              </w:rPr>
            </w:pPr>
            <w:r>
              <w:rPr>
                <w:rFonts w:ascii="Arial" w:cs="Arial" w:eastAsia="Arial" w:hAnsi="Arial"/>
                <w:sz w:val="14"/>
                <w:szCs w:val="14"/>
                <w:color w:val="auto"/>
              </w:rPr>
              <w:t xml:space="preserve">Ironwood Pharmaceuticals, Inc. </w:t>
            </w:r>
            <w:r>
              <w:rPr>
                <w:rFonts w:ascii="Arial" w:cs="Arial" w:eastAsia="Arial" w:hAnsi="Arial"/>
                <w:sz w:val="23"/>
                <w:szCs w:val="23"/>
                <w:color w:val="auto"/>
                <w:vertAlign w:val="superscript"/>
              </w:rPr>
              <w:t>(4)(5)</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Secured note ($33,333 par, due</w:t>
            </w:r>
          </w:p>
        </w:tc>
        <w:tc>
          <w:tcPr>
            <w:tcW w:w="10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6"/>
        </w:trPr>
        <w:tc>
          <w:tcPr>
            <w:tcW w:w="2540" w:type="dxa"/>
            <w:vAlign w:val="bottom"/>
            <w:shd w:val="clear" w:color="auto" w:fill="CFF0FC"/>
          </w:tcPr>
          <w:p>
            <w:pPr>
              <w:spacing w:after="0"/>
              <w:rPr>
                <w:sz w:val="20"/>
                <w:szCs w:val="20"/>
                <w:color w:val="auto"/>
              </w:rPr>
            </w:pPr>
            <w:r>
              <w:rPr>
                <w:rFonts w:ascii="Arial" w:cs="Arial" w:eastAsia="Arial" w:hAnsi="Arial"/>
                <w:sz w:val="14"/>
                <w:szCs w:val="14"/>
                <w:color w:val="auto"/>
              </w:rPr>
              <w:t>(9)</w:t>
            </w:r>
          </w:p>
        </w:tc>
        <w:tc>
          <w:tcPr>
            <w:tcW w:w="2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9/2026)</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1/5/2017</w:t>
            </w:r>
          </w:p>
        </w:tc>
        <w:tc>
          <w:tcPr>
            <w:tcW w:w="10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8.38%</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8.38%</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33,202</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33,833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w:t>
            </w: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Nektar Therapeutics </w:t>
            </w:r>
            <w:r>
              <w:rPr>
                <w:rFonts w:ascii="Arial" w:cs="Arial" w:eastAsia="Arial" w:hAnsi="Arial"/>
                <w:sz w:val="23"/>
                <w:szCs w:val="23"/>
                <w:color w:val="auto"/>
                <w:vertAlign w:val="superscript"/>
              </w:rPr>
              <w:t>(4)(5)(9)</w:t>
            </w:r>
          </w:p>
        </w:tc>
        <w:tc>
          <w:tcPr>
            <w:tcW w:w="2420" w:type="dxa"/>
            <w:vAlign w:val="bottom"/>
          </w:tcPr>
          <w:p>
            <w:pPr>
              <w:ind w:left="120"/>
              <w:spacing w:after="0"/>
              <w:rPr>
                <w:sz w:val="20"/>
                <w:szCs w:val="20"/>
                <w:color w:val="auto"/>
              </w:rPr>
            </w:pPr>
            <w:r>
              <w:rPr>
                <w:rFonts w:ascii="Arial" w:cs="Arial" w:eastAsia="Arial" w:hAnsi="Arial"/>
                <w:sz w:val="16"/>
                <w:szCs w:val="16"/>
                <w:color w:val="auto"/>
              </w:rPr>
              <w:t>Secured note ($74,950 par, due</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540" w:type="dxa"/>
            <w:vAlign w:val="bottom"/>
          </w:tcPr>
          <w:p>
            <w:pPr>
              <w:spacing w:after="0"/>
              <w:rPr>
                <w:sz w:val="18"/>
                <w:szCs w:val="18"/>
                <w:color w:val="auto"/>
              </w:rPr>
            </w:pPr>
          </w:p>
        </w:tc>
        <w:tc>
          <w:tcPr>
            <w:tcW w:w="2420" w:type="dxa"/>
            <w:vAlign w:val="bottom"/>
          </w:tcPr>
          <w:p>
            <w:pPr>
              <w:ind w:left="120"/>
              <w:spacing w:after="0"/>
              <w:rPr>
                <w:sz w:val="20"/>
                <w:szCs w:val="20"/>
                <w:color w:val="auto"/>
              </w:rPr>
            </w:pPr>
            <w:r>
              <w:rPr>
                <w:rFonts w:ascii="Arial" w:cs="Arial" w:eastAsia="Arial" w:hAnsi="Arial"/>
                <w:sz w:val="16"/>
                <w:szCs w:val="16"/>
                <w:color w:val="auto"/>
              </w:rPr>
              <w:t>10/2020)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10/5/2015</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7.75%</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780" w:type="dxa"/>
            <w:vAlign w:val="bottom"/>
          </w:tcPr>
          <w:p>
            <w:pPr>
              <w:jc w:val="right"/>
              <w:spacing w:after="0"/>
              <w:rPr>
                <w:sz w:val="20"/>
                <w:szCs w:val="20"/>
                <w:color w:val="auto"/>
              </w:rPr>
            </w:pPr>
            <w:r>
              <w:rPr>
                <w:rFonts w:ascii="Arial" w:cs="Arial" w:eastAsia="Arial" w:hAnsi="Arial"/>
                <w:sz w:val="16"/>
                <w:szCs w:val="16"/>
                <w:color w:val="auto"/>
              </w:rPr>
              <w:t>74,559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76,074</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7.2%</w:t>
            </w:r>
          </w:p>
        </w:tc>
      </w:tr>
      <w:tr>
        <w:trPr>
          <w:trHeight w:val="20"/>
        </w:trPr>
        <w:tc>
          <w:tcPr>
            <w:tcW w:w="254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107,761</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109,907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10.4%</w:t>
            </w:r>
          </w:p>
        </w:tc>
      </w:tr>
      <w:tr>
        <w:trPr>
          <w:trHeight w:val="196"/>
        </w:trPr>
        <w:tc>
          <w:tcPr>
            <w:tcW w:w="2540" w:type="dxa"/>
            <w:vAlign w:val="bottom"/>
          </w:tcPr>
          <w:p>
            <w:pPr>
              <w:spacing w:after="0"/>
              <w:rPr>
                <w:sz w:val="20"/>
                <w:szCs w:val="20"/>
                <w:color w:val="auto"/>
              </w:rPr>
            </w:pPr>
            <w:r>
              <w:rPr>
                <w:rFonts w:ascii="Arial" w:cs="Arial" w:eastAsia="Arial" w:hAnsi="Arial"/>
                <w:sz w:val="16"/>
                <w:szCs w:val="16"/>
                <w:b w:val="1"/>
                <w:bCs w:val="1"/>
                <w:color w:val="auto"/>
              </w:rPr>
              <w:t>Retail and consumer</w:t>
            </w: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2540" w:type="dxa"/>
            <w:vAlign w:val="bottom"/>
          </w:tcPr>
          <w:p>
            <w:pPr>
              <w:ind w:left="120"/>
              <w:spacing w:after="0"/>
              <w:rPr>
                <w:sz w:val="20"/>
                <w:szCs w:val="20"/>
                <w:color w:val="auto"/>
              </w:rPr>
            </w:pPr>
            <w:r>
              <w:rPr>
                <w:rFonts w:ascii="Arial" w:cs="Arial" w:eastAsia="Arial" w:hAnsi="Arial"/>
                <w:sz w:val="16"/>
                <w:szCs w:val="16"/>
                <w:b w:val="1"/>
                <w:bCs w:val="1"/>
                <w:color w:val="auto"/>
              </w:rPr>
              <w:t>products</w:t>
            </w: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310"/>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99 Cents Only Stores LLC </w:t>
            </w:r>
            <w:r>
              <w:rPr>
                <w:rFonts w:ascii="Arial" w:cs="Arial" w:eastAsia="Arial" w:hAnsi="Arial"/>
                <w:sz w:val="27"/>
                <w:szCs w:val="27"/>
                <w:color w:val="auto"/>
                <w:vertAlign w:val="superscript"/>
              </w:rPr>
              <w:t>(3)</w:t>
            </w: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w w:val="98"/>
              </w:rPr>
              <w:t>ABL FILO term loan ($32,500 par,</w:t>
            </w:r>
          </w:p>
        </w:tc>
        <w:tc>
          <w:tcPr>
            <w:tcW w:w="100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due 4/2021)</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9/6/2017</w:t>
            </w:r>
          </w:p>
        </w:tc>
        <w:tc>
          <w:tcPr>
            <w:tcW w:w="13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+ 7.75%</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10.49%</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32,164</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32,338</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American Achievement, Corp. </w:t>
            </w:r>
            <w:r>
              <w:rPr>
                <w:rFonts w:ascii="Arial" w:cs="Arial" w:eastAsia="Arial" w:hAnsi="Arial"/>
                <w:sz w:val="23"/>
                <w:szCs w:val="23"/>
                <w:color w:val="auto"/>
                <w:vertAlign w:val="superscript"/>
              </w:rPr>
              <w:t>(3)(5)</w:t>
            </w:r>
          </w:p>
        </w:tc>
        <w:tc>
          <w:tcPr>
            <w:tcW w:w="2580" w:type="dxa"/>
            <w:vAlign w:val="bottom"/>
          </w:tcPr>
          <w:p>
            <w:pPr>
              <w:ind w:left="180"/>
              <w:spacing w:after="0"/>
              <w:rPr>
                <w:sz w:val="20"/>
                <w:szCs w:val="20"/>
                <w:color w:val="auto"/>
              </w:rPr>
            </w:pPr>
            <w:r>
              <w:rPr>
                <w:rFonts w:ascii="Arial" w:cs="Arial" w:eastAsia="Arial" w:hAnsi="Arial"/>
                <w:sz w:val="16"/>
                <w:szCs w:val="16"/>
                <w:color w:val="auto"/>
              </w:rPr>
              <w:t>First-lien loan ($22,403 par, due</w:t>
            </w: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6"/>
                <w:szCs w:val="16"/>
                <w:color w:val="auto"/>
              </w:rPr>
              <w:t>9/2020)</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9/30/2015</w:t>
            </w:r>
          </w:p>
        </w:tc>
        <w:tc>
          <w:tcPr>
            <w:tcW w:w="1340" w:type="dxa"/>
            <w:vAlign w:val="bottom"/>
          </w:tcPr>
          <w:p>
            <w:pPr>
              <w:ind w:left="160"/>
              <w:spacing w:after="0"/>
              <w:rPr>
                <w:sz w:val="20"/>
                <w:szCs w:val="20"/>
                <w:color w:val="auto"/>
              </w:rPr>
            </w:pPr>
            <w:r>
              <w:rPr>
                <w:rFonts w:ascii="Arial" w:cs="Arial" w:eastAsia="Arial" w:hAnsi="Arial"/>
                <w:sz w:val="16"/>
                <w:szCs w:val="16"/>
                <w:color w:val="auto"/>
              </w:rPr>
              <w:t>L + 8.25%</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10.60%</w:t>
            </w:r>
          </w:p>
        </w:tc>
        <w:tc>
          <w:tcPr>
            <w:tcW w:w="780" w:type="dxa"/>
            <w:vAlign w:val="bottom"/>
          </w:tcPr>
          <w:p>
            <w:pPr>
              <w:jc w:val="right"/>
              <w:spacing w:after="0"/>
              <w:rPr>
                <w:sz w:val="20"/>
                <w:szCs w:val="20"/>
                <w:color w:val="auto"/>
              </w:rPr>
            </w:pPr>
            <w:r>
              <w:rPr>
                <w:rFonts w:ascii="Arial" w:cs="Arial" w:eastAsia="Arial" w:hAnsi="Arial"/>
                <w:sz w:val="16"/>
                <w:szCs w:val="16"/>
                <w:color w:val="auto"/>
              </w:rPr>
              <w:t>22,277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22,179</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rPr>
                <w:sz w:val="18"/>
                <w:szCs w:val="18"/>
                <w:color w:val="auto"/>
              </w:rPr>
            </w:pP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Secured Promissory Note ($795</w:t>
            </w:r>
          </w:p>
        </w:tc>
        <w:tc>
          <w:tcPr>
            <w:tcW w:w="10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par, due 12/2020)</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12/19/2018</w:t>
            </w:r>
          </w:p>
        </w:tc>
        <w:tc>
          <w:tcPr>
            <w:tcW w:w="13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+ 8.25%</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10.64%</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PayLess Inc. </w:t>
            </w:r>
            <w:r>
              <w:rPr>
                <w:rFonts w:ascii="Arial" w:cs="Arial" w:eastAsia="Arial" w:hAnsi="Arial"/>
                <w:sz w:val="23"/>
                <w:szCs w:val="23"/>
                <w:color w:val="auto"/>
                <w:vertAlign w:val="superscript"/>
              </w:rPr>
              <w:t>(3)(5)</w:t>
            </w:r>
          </w:p>
        </w:tc>
        <w:tc>
          <w:tcPr>
            <w:tcW w:w="2580" w:type="dxa"/>
            <w:vAlign w:val="bottom"/>
          </w:tcPr>
          <w:p>
            <w:pPr>
              <w:ind w:left="180"/>
              <w:spacing w:after="0"/>
              <w:rPr>
                <w:sz w:val="20"/>
                <w:szCs w:val="20"/>
                <w:color w:val="auto"/>
              </w:rPr>
            </w:pPr>
            <w:r>
              <w:rPr>
                <w:rFonts w:ascii="Arial" w:cs="Arial" w:eastAsia="Arial" w:hAnsi="Arial"/>
                <w:sz w:val="16"/>
                <w:szCs w:val="16"/>
                <w:color w:val="auto"/>
              </w:rPr>
              <w:t>ABL FILO term loan ($14,063</w:t>
            </w: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6"/>
                <w:szCs w:val="16"/>
                <w:color w:val="auto"/>
              </w:rPr>
              <w:t>par, due 8/2022)</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3/1/2018</w:t>
            </w:r>
          </w:p>
        </w:tc>
        <w:tc>
          <w:tcPr>
            <w:tcW w:w="1340" w:type="dxa"/>
            <w:vAlign w:val="bottom"/>
          </w:tcPr>
          <w:p>
            <w:pPr>
              <w:ind w:left="160"/>
              <w:spacing w:after="0"/>
              <w:rPr>
                <w:sz w:val="20"/>
                <w:szCs w:val="20"/>
                <w:color w:val="auto"/>
              </w:rPr>
            </w:pPr>
            <w:r>
              <w:rPr>
                <w:rFonts w:ascii="Arial" w:cs="Arial" w:eastAsia="Arial" w:hAnsi="Arial"/>
                <w:sz w:val="16"/>
                <w:szCs w:val="16"/>
                <w:color w:val="auto"/>
              </w:rPr>
              <w:t>L + 8.00%</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10.38%</w:t>
            </w:r>
          </w:p>
        </w:tc>
        <w:tc>
          <w:tcPr>
            <w:tcW w:w="780" w:type="dxa"/>
            <w:vAlign w:val="bottom"/>
          </w:tcPr>
          <w:p>
            <w:pPr>
              <w:jc w:val="right"/>
              <w:spacing w:after="0"/>
              <w:rPr>
                <w:sz w:val="20"/>
                <w:szCs w:val="20"/>
                <w:color w:val="auto"/>
              </w:rPr>
            </w:pPr>
            <w:r>
              <w:rPr>
                <w:rFonts w:ascii="Arial" w:cs="Arial" w:eastAsia="Arial" w:hAnsi="Arial"/>
                <w:sz w:val="16"/>
                <w:szCs w:val="16"/>
                <w:color w:val="auto"/>
              </w:rPr>
              <w:t>13,806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13,957</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Sears </w:t>
            </w:r>
            <w:r>
              <w:rPr>
                <w:rFonts w:ascii="Arial" w:cs="Arial" w:eastAsia="Arial" w:hAnsi="Arial"/>
                <w:sz w:val="13"/>
                <w:szCs w:val="13"/>
                <w:color w:val="auto"/>
              </w:rPr>
              <w:t>(3)(4)(11)</w:t>
            </w: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First-lien ABL DIP loan ($25,394</w:t>
            </w:r>
          </w:p>
        </w:tc>
        <w:tc>
          <w:tcPr>
            <w:tcW w:w="10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rPr>
                <w:sz w:val="18"/>
                <w:szCs w:val="18"/>
                <w:color w:val="auto"/>
              </w:rPr>
            </w:pP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par, due 10/2019)</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3/18/2016</w:t>
            </w:r>
          </w:p>
        </w:tc>
        <w:tc>
          <w:tcPr>
            <w:tcW w:w="13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 + 8.00%</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10.42%</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25,176</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25,870</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94,210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95,131</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Transportation</w:t>
            </w:r>
          </w:p>
        </w:tc>
        <w:tc>
          <w:tcPr>
            <w:tcW w:w="25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line="207" w:lineRule="exact"/>
              <w:rPr>
                <w:sz w:val="20"/>
                <w:szCs w:val="20"/>
                <w:color w:val="auto"/>
              </w:rPr>
            </w:pPr>
            <w:r>
              <w:rPr>
                <w:rFonts w:ascii="Arial" w:cs="Arial" w:eastAsia="Arial" w:hAnsi="Arial"/>
                <w:sz w:val="14"/>
                <w:szCs w:val="14"/>
                <w:color w:val="auto"/>
              </w:rPr>
              <w:t xml:space="preserve">Ferrellgas, L.P. </w:t>
            </w:r>
            <w:r>
              <w:rPr>
                <w:rFonts w:ascii="Arial" w:cs="Arial" w:eastAsia="Arial" w:hAnsi="Arial"/>
                <w:sz w:val="23"/>
                <w:szCs w:val="23"/>
                <w:color w:val="auto"/>
                <w:vertAlign w:val="superscript"/>
              </w:rPr>
              <w:t>(3)(4)(5)</w:t>
            </w:r>
          </w:p>
        </w:tc>
        <w:tc>
          <w:tcPr>
            <w:tcW w:w="2580" w:type="dxa"/>
            <w:vAlign w:val="bottom"/>
          </w:tcPr>
          <w:p>
            <w:pPr>
              <w:ind w:left="180"/>
              <w:spacing w:after="0"/>
              <w:rPr>
                <w:sz w:val="20"/>
                <w:szCs w:val="20"/>
                <w:color w:val="auto"/>
              </w:rPr>
            </w:pPr>
            <w:r>
              <w:rPr>
                <w:rFonts w:ascii="Arial" w:cs="Arial" w:eastAsia="Arial" w:hAnsi="Arial"/>
                <w:sz w:val="16"/>
                <w:szCs w:val="16"/>
                <w:color w:val="auto"/>
              </w:rPr>
              <w:t>First-lien loan ($82,500 par, due</w:t>
            </w: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6"/>
                <w:szCs w:val="16"/>
                <w:color w:val="auto"/>
              </w:rPr>
              <w:t>5/2023)</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5/4/2018</w:t>
            </w:r>
          </w:p>
        </w:tc>
        <w:tc>
          <w:tcPr>
            <w:tcW w:w="1340" w:type="dxa"/>
            <w:vAlign w:val="bottom"/>
          </w:tcPr>
          <w:p>
            <w:pPr>
              <w:ind w:left="160"/>
              <w:spacing w:after="0"/>
              <w:rPr>
                <w:sz w:val="20"/>
                <w:szCs w:val="20"/>
                <w:color w:val="auto"/>
              </w:rPr>
            </w:pPr>
            <w:r>
              <w:rPr>
                <w:rFonts w:ascii="Arial" w:cs="Arial" w:eastAsia="Arial" w:hAnsi="Arial"/>
                <w:sz w:val="16"/>
                <w:szCs w:val="16"/>
                <w:color w:val="auto"/>
              </w:rPr>
              <w:t>L + 5.75%</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8.10%</w:t>
            </w:r>
          </w:p>
        </w:tc>
        <w:tc>
          <w:tcPr>
            <w:tcW w:w="780" w:type="dxa"/>
            <w:vAlign w:val="bottom"/>
          </w:tcPr>
          <w:p>
            <w:pPr>
              <w:jc w:val="right"/>
              <w:spacing w:after="0"/>
              <w:rPr>
                <w:sz w:val="20"/>
                <w:szCs w:val="20"/>
                <w:color w:val="auto"/>
              </w:rPr>
            </w:pPr>
            <w:r>
              <w:rPr>
                <w:rFonts w:ascii="Arial" w:cs="Arial" w:eastAsia="Arial" w:hAnsi="Arial"/>
                <w:sz w:val="16"/>
                <w:szCs w:val="16"/>
                <w:color w:val="auto"/>
              </w:rPr>
              <w:t>81,026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83,062</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Total Debt Investments</w:t>
            </w:r>
          </w:p>
        </w:tc>
        <w:tc>
          <w:tcPr>
            <w:tcW w:w="2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1,648,643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1,660,525</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21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Equity and Other Investments</w:t>
            </w:r>
          </w:p>
        </w:tc>
        <w:tc>
          <w:tcPr>
            <w:tcW w:w="25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Beverage, food and tobacco</w:t>
            </w:r>
          </w:p>
        </w:tc>
        <w:tc>
          <w:tcPr>
            <w:tcW w:w="2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AFS Technologies, Inc. </w:t>
            </w:r>
            <w:r>
              <w:rPr>
                <w:rFonts w:ascii="Arial" w:cs="Arial" w:eastAsia="Arial" w:hAnsi="Arial"/>
                <w:sz w:val="25"/>
                <w:szCs w:val="25"/>
                <w:color w:val="auto"/>
                <w:vertAlign w:val="superscript"/>
              </w:rPr>
              <w:t>(6)(13)(14)</w:t>
            </w: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Preferred Units (4,163,090 Units)</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10/16/2018</w:t>
            </w:r>
          </w:p>
        </w:tc>
        <w:tc>
          <w:tcPr>
            <w:tcW w:w="1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4,163</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4,163</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Business Services</w:t>
            </w:r>
          </w:p>
        </w:tc>
        <w:tc>
          <w:tcPr>
            <w:tcW w:w="2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Motus, LLC </w:t>
            </w:r>
            <w:r>
              <w:rPr>
                <w:rFonts w:ascii="Arial" w:cs="Arial" w:eastAsia="Arial" w:hAnsi="Arial"/>
                <w:sz w:val="25"/>
                <w:szCs w:val="25"/>
                <w:color w:val="auto"/>
                <w:vertAlign w:val="superscript"/>
              </w:rPr>
              <w:t>(13)(14)</w:t>
            </w: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Class A Units (1,262 Units)</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1/17/2018</w:t>
            </w:r>
          </w:p>
        </w:tc>
        <w:tc>
          <w:tcPr>
            <w:tcW w:w="1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6"/>
                <w:szCs w:val="16"/>
                <w:color w:val="auto"/>
              </w:rPr>
              <w:t>Class B Units (517,020 Units)</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1/17/2018</w:t>
            </w: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Nintex Global Limited </w:t>
            </w:r>
            <w:r>
              <w:rPr>
                <w:rFonts w:ascii="Arial" w:cs="Arial" w:eastAsia="Arial" w:hAnsi="Arial"/>
                <w:sz w:val="25"/>
                <w:szCs w:val="25"/>
                <w:color w:val="auto"/>
                <w:vertAlign w:val="superscript"/>
              </w:rPr>
              <w:t>(13)(14)</w:t>
            </w: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Class A Shares (1,197 Shares)</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3/30/2018</w:t>
            </w:r>
          </w:p>
        </w:tc>
        <w:tc>
          <w:tcPr>
            <w:tcW w:w="1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1,197</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6"/>
                <w:szCs w:val="16"/>
                <w:color w:val="auto"/>
                <w:w w:val="99"/>
              </w:rPr>
              <w:t>Class B Shares (398,557 Shares)</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3/30/2018</w:t>
            </w: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2,471</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2,471</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Chemicals</w:t>
            </w:r>
          </w:p>
        </w:tc>
        <w:tc>
          <w:tcPr>
            <w:tcW w:w="2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Vertellus Specialties, Inc. </w:t>
            </w:r>
            <w:r>
              <w:rPr>
                <w:rFonts w:ascii="Arial" w:cs="Arial" w:eastAsia="Arial" w:hAnsi="Arial"/>
                <w:sz w:val="25"/>
                <w:szCs w:val="25"/>
                <w:color w:val="auto"/>
                <w:vertAlign w:val="superscript"/>
              </w:rPr>
              <w:t>(13)</w:t>
            </w: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Common Units (2,672,990 units)</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10/31/2016</w:t>
            </w:r>
          </w:p>
        </w:tc>
        <w:tc>
          <w:tcPr>
            <w:tcW w:w="1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3,828</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3,503</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Financial services</w:t>
            </w:r>
          </w:p>
        </w:tc>
        <w:tc>
          <w:tcPr>
            <w:tcW w:w="2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AvidXchange, Inc. </w:t>
            </w:r>
            <w:r>
              <w:rPr>
                <w:rFonts w:ascii="Arial" w:cs="Arial" w:eastAsia="Arial" w:hAnsi="Arial"/>
                <w:sz w:val="24"/>
                <w:szCs w:val="24"/>
                <w:color w:val="auto"/>
                <w:vertAlign w:val="superscript"/>
              </w:rPr>
              <w:t>(13)</w:t>
            </w: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w w:val="95"/>
              </w:rPr>
              <w:t>Series E Preferred Equity (214,132</w:t>
            </w:r>
          </w:p>
        </w:tc>
        <w:tc>
          <w:tcPr>
            <w:tcW w:w="10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shares)</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8/7/2015</w:t>
            </w:r>
          </w:p>
        </w:tc>
        <w:tc>
          <w:tcPr>
            <w:tcW w:w="1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3,846</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7,481</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rPr>
              <w:t xml:space="preserve">Oxford Square Capital Corp. </w:t>
            </w:r>
            <w:r>
              <w:rPr>
                <w:rFonts w:ascii="Arial" w:cs="Arial" w:eastAsia="Arial" w:hAnsi="Arial"/>
                <w:sz w:val="25"/>
                <w:szCs w:val="25"/>
                <w:color w:val="auto"/>
                <w:vertAlign w:val="superscript"/>
              </w:rPr>
              <w:t>(4)(12)</w:t>
            </w:r>
          </w:p>
        </w:tc>
        <w:tc>
          <w:tcPr>
            <w:tcW w:w="2580" w:type="dxa"/>
            <w:vAlign w:val="bottom"/>
          </w:tcPr>
          <w:p>
            <w:pPr>
              <w:ind w:left="180"/>
              <w:spacing w:after="0"/>
              <w:rPr>
                <w:sz w:val="20"/>
                <w:szCs w:val="20"/>
                <w:color w:val="auto"/>
              </w:rPr>
            </w:pPr>
            <w:r>
              <w:rPr>
                <w:rFonts w:ascii="Arial" w:cs="Arial" w:eastAsia="Arial" w:hAnsi="Arial"/>
                <w:sz w:val="16"/>
                <w:szCs w:val="16"/>
                <w:color w:val="auto"/>
              </w:rPr>
              <w:t>Common Shares (1,059 shares)</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8/5/2015</w:t>
            </w: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Swift Gift Limited </w:t>
            </w:r>
            <w:r>
              <w:rPr>
                <w:rFonts w:ascii="Arial" w:cs="Arial" w:eastAsia="Arial" w:hAnsi="Arial"/>
                <w:sz w:val="25"/>
                <w:szCs w:val="25"/>
                <w:color w:val="auto"/>
                <w:vertAlign w:val="superscript"/>
              </w:rPr>
              <w:t>(13)</w:t>
            </w: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Common Shares (35,000 shares)</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7/31/2017</w:t>
            </w:r>
          </w:p>
        </w:tc>
        <w:tc>
          <w:tcPr>
            <w:tcW w:w="1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7,998</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7,353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15,486</w:t>
            </w:r>
          </w:p>
        </w:tc>
        <w:tc>
          <w:tcPr>
            <w:tcW w:w="2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Healthcare</w:t>
            </w:r>
          </w:p>
        </w:tc>
        <w:tc>
          <w:tcPr>
            <w:tcW w:w="25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Arial" w:cs="Arial" w:eastAsia="Arial" w:hAnsi="Arial"/>
                <w:sz w:val="15"/>
                <w:szCs w:val="15"/>
                <w:color w:val="auto"/>
              </w:rPr>
              <w:t xml:space="preserve">Caris Life Sciences, Ltd. </w:t>
            </w:r>
            <w:r>
              <w:rPr>
                <w:rFonts w:ascii="Arial" w:cs="Arial" w:eastAsia="Arial" w:hAnsi="Arial"/>
                <w:sz w:val="25"/>
                <w:szCs w:val="25"/>
                <w:color w:val="auto"/>
                <w:vertAlign w:val="superscript"/>
              </w:rPr>
              <w:t>(13)(14)</w:t>
            </w:r>
          </w:p>
        </w:tc>
        <w:tc>
          <w:tcPr>
            <w:tcW w:w="2580" w:type="dxa"/>
            <w:vAlign w:val="bottom"/>
          </w:tcPr>
          <w:p>
            <w:pPr>
              <w:ind w:left="180"/>
              <w:spacing w:after="0"/>
              <w:rPr>
                <w:sz w:val="20"/>
                <w:szCs w:val="20"/>
                <w:color w:val="auto"/>
              </w:rPr>
            </w:pPr>
            <w:r>
              <w:rPr>
                <w:rFonts w:ascii="Arial" w:cs="Arial" w:eastAsia="Arial" w:hAnsi="Arial"/>
                <w:sz w:val="16"/>
                <w:szCs w:val="16"/>
                <w:color w:val="auto"/>
              </w:rPr>
              <w:t>Warrants</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9/21/2018</w:t>
            </w: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line="207" w:lineRule="exact"/>
              <w:rPr>
                <w:sz w:val="20"/>
                <w:szCs w:val="20"/>
                <w:color w:val="auto"/>
              </w:rPr>
            </w:pPr>
            <w:r>
              <w:rPr>
                <w:rFonts w:ascii="Arial" w:cs="Arial" w:eastAsia="Arial" w:hAnsi="Arial"/>
                <w:sz w:val="14"/>
                <w:szCs w:val="14"/>
                <w:color w:val="auto"/>
              </w:rPr>
              <w:t xml:space="preserve">SRS Parent Corp. </w:t>
            </w:r>
            <w:r>
              <w:rPr>
                <w:rFonts w:ascii="Arial" w:cs="Arial" w:eastAsia="Arial" w:hAnsi="Arial"/>
                <w:sz w:val="23"/>
                <w:szCs w:val="23"/>
                <w:color w:val="auto"/>
                <w:vertAlign w:val="superscript"/>
              </w:rPr>
              <w:t>(13)</w:t>
            </w: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Common Shares Class A (1,980</w:t>
            </w:r>
          </w:p>
        </w:tc>
        <w:tc>
          <w:tcPr>
            <w:tcW w:w="10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shares)</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12/28/2012</w:t>
            </w:r>
          </w:p>
        </w:tc>
        <w:tc>
          <w:tcPr>
            <w:tcW w:w="1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2580" w:type="dxa"/>
            <w:vAlign w:val="bottom"/>
          </w:tcPr>
          <w:p>
            <w:pPr>
              <w:ind w:left="180"/>
              <w:spacing w:after="0"/>
              <w:rPr>
                <w:sz w:val="20"/>
                <w:szCs w:val="20"/>
                <w:color w:val="auto"/>
              </w:rPr>
            </w:pPr>
            <w:r>
              <w:rPr>
                <w:rFonts w:ascii="Arial" w:cs="Arial" w:eastAsia="Arial" w:hAnsi="Arial"/>
                <w:sz w:val="16"/>
                <w:szCs w:val="16"/>
                <w:color w:val="auto"/>
              </w:rPr>
              <w:t>Common Shares Class B</w:t>
            </w: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6"/>
                <w:szCs w:val="16"/>
                <w:color w:val="auto"/>
              </w:rPr>
              <w:t>(2,953,020 shares)</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12/28/2012</w:t>
            </w: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2,192</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rPr>
              <w:t>Hotel, gaming, and leisure</w:t>
            </w:r>
          </w:p>
        </w:tc>
        <w:tc>
          <w:tcPr>
            <w:tcW w:w="2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40" w:type="dxa"/>
            <w:vAlign w:val="bottom"/>
            <w:shd w:val="clear" w:color="auto" w:fill="CFF0FC"/>
          </w:tcPr>
          <w:p>
            <w:pPr>
              <w:spacing w:after="0" w:line="205"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23"/>
                <w:szCs w:val="23"/>
                <w:color w:val="auto"/>
                <w:vertAlign w:val="superscript"/>
              </w:rPr>
              <w:t>(7)(13)</w:t>
            </w: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Class A Units (27,690,171 units)</w:t>
            </w:r>
          </w:p>
        </w:tc>
        <w:tc>
          <w:tcPr>
            <w:tcW w:w="1000" w:type="dxa"/>
            <w:vAlign w:val="bottom"/>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12/21/2018</w:t>
            </w:r>
          </w:p>
        </w:tc>
        <w:tc>
          <w:tcPr>
            <w:tcW w:w="1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20,063</w:t>
            </w:r>
          </w:p>
        </w:tc>
        <w:tc>
          <w:tcPr>
            <w:tcW w:w="20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4,520</w:t>
            </w:r>
          </w:p>
        </w:tc>
        <w:tc>
          <w:tcPr>
            <w:tcW w:w="220" w:type="dxa"/>
            <w:vAlign w:val="bottom"/>
            <w:shd w:val="clear" w:color="auto" w:fill="CFF0FC"/>
          </w:tcPr>
          <w:p>
            <w:pPr>
              <w:spacing w:after="0"/>
              <w:rPr>
                <w:sz w:val="17"/>
                <w:szCs w:val="17"/>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75"/>
        </w:trPr>
        <w:tc>
          <w:tcPr>
            <w:tcW w:w="2540" w:type="dxa"/>
            <w:vAlign w:val="bottom"/>
            <w:shd w:val="clear" w:color="auto" w:fill="CFF0FC"/>
          </w:tcPr>
          <w:p>
            <w:pPr>
              <w:spacing w:after="0"/>
              <w:rPr>
                <w:sz w:val="15"/>
                <w:szCs w:val="15"/>
                <w:color w:val="auto"/>
              </w:rPr>
            </w:pPr>
          </w:p>
        </w:tc>
        <w:tc>
          <w:tcPr>
            <w:tcW w:w="25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(14)</w:t>
            </w:r>
          </w:p>
        </w:tc>
        <w:tc>
          <w:tcPr>
            <w:tcW w:w="1000" w:type="dxa"/>
            <w:vAlign w:val="bottom"/>
            <w:vMerge w:val="continue"/>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2580" w:type="dxa"/>
            <w:vAlign w:val="bottom"/>
          </w:tcPr>
          <w:p>
            <w:pPr>
              <w:ind w:left="180"/>
              <w:spacing w:after="0"/>
              <w:rPr>
                <w:sz w:val="20"/>
                <w:szCs w:val="20"/>
                <w:color w:val="auto"/>
              </w:rPr>
            </w:pPr>
            <w:r>
              <w:rPr>
                <w:rFonts w:ascii="Arial" w:cs="Arial" w:eastAsia="Arial" w:hAnsi="Arial"/>
                <w:sz w:val="16"/>
                <w:szCs w:val="16"/>
                <w:color w:val="auto"/>
              </w:rPr>
              <w:t>Common Shares (8,800,000</w:t>
            </w: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6"/>
                <w:szCs w:val="16"/>
                <w:color w:val="auto"/>
              </w:rPr>
              <w:t>shares)</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12/21/2018</w:t>
            </w: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20,163</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4,568</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b w:val="1"/>
                <w:bCs w:val="1"/>
                <w:color w:val="auto"/>
                <w:w w:val="97"/>
              </w:rPr>
              <w:t>Human resource support services</w:t>
            </w:r>
          </w:p>
        </w:tc>
        <w:tc>
          <w:tcPr>
            <w:tcW w:w="2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ClearCompany, LLC </w:t>
            </w:r>
            <w:r>
              <w:rPr>
                <w:rFonts w:ascii="Arial" w:cs="Arial" w:eastAsia="Arial" w:hAnsi="Arial"/>
                <w:sz w:val="25"/>
                <w:szCs w:val="25"/>
                <w:color w:val="auto"/>
                <w:vertAlign w:val="superscript"/>
              </w:rPr>
              <w:t>(13)(14)(15)</w:t>
            </w: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Class A Units (44,944 units)</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8/24/2018</w:t>
            </w:r>
          </w:p>
        </w:tc>
        <w:tc>
          <w:tcPr>
            <w:tcW w:w="1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2,014</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2,014</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b w:val="1"/>
                <w:bCs w:val="1"/>
                <w:color w:val="auto"/>
              </w:rPr>
              <w:t>Insurance</w:t>
            </w:r>
          </w:p>
        </w:tc>
        <w:tc>
          <w:tcPr>
            <w:tcW w:w="2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 xml:space="preserve">Riskonnect, Inc. </w:t>
            </w:r>
            <w:r>
              <w:rPr>
                <w:rFonts w:ascii="Arial" w:cs="Arial" w:eastAsia="Arial" w:hAnsi="Arial"/>
                <w:sz w:val="24"/>
                <w:szCs w:val="24"/>
                <w:color w:val="auto"/>
                <w:vertAlign w:val="superscript"/>
              </w:rPr>
              <w:t>(13)(14)</w:t>
            </w: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Common Shares Class A (1,020</w:t>
            </w:r>
          </w:p>
        </w:tc>
        <w:tc>
          <w:tcPr>
            <w:tcW w:w="10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5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units)</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6/30/2017</w:t>
            </w:r>
          </w:p>
        </w:tc>
        <w:tc>
          <w:tcPr>
            <w:tcW w:w="1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17"/>
                <w:szCs w:val="17"/>
                <w:color w:val="auto"/>
              </w:rPr>
            </w:pPr>
          </w:p>
        </w:tc>
        <w:tc>
          <w:tcPr>
            <w:tcW w:w="2580" w:type="dxa"/>
            <w:vAlign w:val="bottom"/>
          </w:tcPr>
          <w:p>
            <w:pPr>
              <w:ind w:left="180"/>
              <w:spacing w:after="0"/>
              <w:rPr>
                <w:sz w:val="20"/>
                <w:szCs w:val="20"/>
                <w:color w:val="auto"/>
              </w:rPr>
            </w:pPr>
            <w:r>
              <w:rPr>
                <w:rFonts w:ascii="Arial" w:cs="Arial" w:eastAsia="Arial" w:hAnsi="Arial"/>
                <w:sz w:val="16"/>
                <w:szCs w:val="16"/>
                <w:color w:val="auto"/>
                <w:w w:val="96"/>
              </w:rPr>
              <w:t>Common Shares Class B (987,929</w:t>
            </w: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580" w:type="dxa"/>
            <w:vAlign w:val="bottom"/>
          </w:tcPr>
          <w:p>
            <w:pPr>
              <w:ind w:left="180"/>
              <w:spacing w:after="0"/>
              <w:rPr>
                <w:sz w:val="20"/>
                <w:szCs w:val="20"/>
                <w:color w:val="auto"/>
              </w:rPr>
            </w:pPr>
            <w:r>
              <w:rPr>
                <w:rFonts w:ascii="Arial" w:cs="Arial" w:eastAsia="Arial" w:hAnsi="Arial"/>
                <w:sz w:val="16"/>
                <w:szCs w:val="16"/>
                <w:color w:val="auto"/>
              </w:rPr>
              <w:t>units)</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6/30/2017</w:t>
            </w: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51"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
        </w:trPr>
        <w:tc>
          <w:tcPr>
            <w:tcW w:w="23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2640" w:type="dxa"/>
            <w:vAlign w:val="bottom"/>
            <w:gridSpan w:val="2"/>
          </w:tcPr>
          <w:p>
            <w:pPr>
              <w:spacing w:after="0"/>
              <w:rPr>
                <w:sz w:val="20"/>
                <w:szCs w:val="20"/>
                <w:color w:val="auto"/>
              </w:rPr>
            </w:pPr>
            <w:r>
              <w:rPr>
                <w:rFonts w:ascii="Arial" w:cs="Arial" w:eastAsia="Arial" w:hAnsi="Arial"/>
                <w:sz w:val="16"/>
                <w:szCs w:val="16"/>
                <w:b w:val="1"/>
                <w:bCs w:val="1"/>
                <w:color w:val="auto"/>
              </w:rPr>
              <w:t>Marketing services</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4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rPr>
              <w:t xml:space="preserve">Validity, Inc. </w:t>
            </w:r>
            <w:r>
              <w:rPr>
                <w:rFonts w:ascii="Arial" w:cs="Arial" w:eastAsia="Arial" w:hAnsi="Arial"/>
                <w:sz w:val="24"/>
                <w:szCs w:val="24"/>
                <w:color w:val="auto"/>
                <w:vertAlign w:val="superscript"/>
              </w:rPr>
              <w:t>(6)(13)(14)</w:t>
            </w:r>
          </w:p>
        </w:tc>
        <w:tc>
          <w:tcPr>
            <w:tcW w:w="268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Series A Preferred Shares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w w:val="90"/>
              </w:rPr>
              <w:t>(3,840,000 shares)</w:t>
            </w:r>
          </w:p>
        </w:tc>
        <w:tc>
          <w:tcPr>
            <w:tcW w:w="1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82"/>
              <w:spacing w:after="0"/>
              <w:rPr>
                <w:sz w:val="20"/>
                <w:szCs w:val="20"/>
                <w:color w:val="auto"/>
              </w:rPr>
            </w:pPr>
            <w:r>
              <w:rPr>
                <w:rFonts w:ascii="Arial" w:cs="Arial" w:eastAsia="Arial" w:hAnsi="Arial"/>
                <w:sz w:val="16"/>
                <w:szCs w:val="16"/>
                <w:color w:val="auto"/>
                <w:w w:val="95"/>
              </w:rPr>
              <w:t>5/31/2018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2"/>
        </w:trPr>
        <w:tc>
          <w:tcPr>
            <w:tcW w:w="2640" w:type="dxa"/>
            <w:vAlign w:val="bottom"/>
            <w:gridSpan w:val="2"/>
          </w:tcPr>
          <w:p>
            <w:pPr>
              <w:spacing w:after="0"/>
              <w:rPr>
                <w:sz w:val="20"/>
                <w:szCs w:val="20"/>
                <w:color w:val="auto"/>
              </w:rPr>
            </w:pPr>
            <w:r>
              <w:rPr>
                <w:rFonts w:ascii="Arial" w:cs="Arial" w:eastAsia="Arial" w:hAnsi="Arial"/>
                <w:sz w:val="16"/>
                <w:szCs w:val="16"/>
                <w:b w:val="1"/>
                <w:bCs w:val="1"/>
                <w:color w:val="auto"/>
              </w:rPr>
              <w:t>Oil, gas and consumable</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40" w:type="dxa"/>
            <w:vAlign w:val="bottom"/>
            <w:gridSpan w:val="2"/>
          </w:tcPr>
          <w:p>
            <w:pPr>
              <w:ind w:left="120"/>
              <w:spacing w:after="0"/>
              <w:rPr>
                <w:sz w:val="20"/>
                <w:szCs w:val="20"/>
                <w:color w:val="auto"/>
              </w:rPr>
            </w:pPr>
            <w:r>
              <w:rPr>
                <w:rFonts w:ascii="Arial" w:cs="Arial" w:eastAsia="Arial" w:hAnsi="Arial"/>
                <w:sz w:val="16"/>
                <w:szCs w:val="16"/>
                <w:b w:val="1"/>
                <w:bCs w:val="1"/>
                <w:color w:val="auto"/>
              </w:rPr>
              <w:t>fuels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gridSpan w:val="2"/>
            <w:shd w:val="clear" w:color="auto" w:fill="CFF0FC"/>
          </w:tcPr>
          <w:p>
            <w:pPr>
              <w:spacing w:after="0" w:line="209" w:lineRule="exact"/>
              <w:rPr>
                <w:sz w:val="20"/>
                <w:szCs w:val="20"/>
                <w:color w:val="auto"/>
              </w:rPr>
            </w:pPr>
            <w:r>
              <w:rPr>
                <w:rFonts w:ascii="Arial" w:cs="Arial" w:eastAsia="Arial" w:hAnsi="Arial"/>
                <w:sz w:val="15"/>
                <w:szCs w:val="15"/>
                <w:color w:val="auto"/>
                <w:w w:val="98"/>
              </w:rPr>
              <w:t xml:space="preserve">Mississippi Resources, LLC </w:t>
            </w:r>
            <w:r>
              <w:rPr>
                <w:rFonts w:ascii="Arial" w:cs="Arial" w:eastAsia="Arial" w:hAnsi="Arial"/>
                <w:sz w:val="24"/>
                <w:szCs w:val="24"/>
                <w:color w:val="auto"/>
                <w:w w:val="98"/>
                <w:vertAlign w:val="superscript"/>
              </w:rPr>
              <w:t>(7)(13)(14)</w:t>
            </w:r>
          </w:p>
        </w:tc>
        <w:tc>
          <w:tcPr>
            <w:tcW w:w="268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Class A-1 Member Units (1,360</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units)</w:t>
            </w:r>
          </w:p>
        </w:tc>
        <w:tc>
          <w:tcPr>
            <w:tcW w:w="1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82"/>
              <w:spacing w:after="0"/>
              <w:rPr>
                <w:sz w:val="20"/>
                <w:szCs w:val="20"/>
                <w:color w:val="auto"/>
              </w:rPr>
            </w:pPr>
            <w:r>
              <w:rPr>
                <w:rFonts w:ascii="Arial" w:cs="Arial" w:eastAsia="Arial" w:hAnsi="Arial"/>
                <w:sz w:val="16"/>
                <w:szCs w:val="16"/>
                <w:color w:val="auto"/>
              </w:rPr>
              <w:t>5/3/2017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10,366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4,898</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6"/>
        </w:trPr>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3"/>
          </w:tcPr>
          <w:p>
            <w:pPr>
              <w:ind w:left="120"/>
              <w:spacing w:after="0"/>
              <w:rPr>
                <w:sz w:val="20"/>
                <w:szCs w:val="20"/>
                <w:color w:val="auto"/>
              </w:rPr>
            </w:pPr>
            <w:r>
              <w:rPr>
                <w:rFonts w:ascii="Arial" w:cs="Arial" w:eastAsia="Arial" w:hAnsi="Arial"/>
                <w:sz w:val="16"/>
                <w:szCs w:val="16"/>
                <w:color w:val="auto"/>
              </w:rPr>
              <w:t>Class A-2 Member Units (933</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color w:val="auto"/>
              </w:rPr>
              <w:t>units)</w:t>
            </w:r>
          </w:p>
        </w:tc>
        <w:tc>
          <w:tcPr>
            <w:tcW w:w="1320" w:type="dxa"/>
            <w:vAlign w:val="bottom"/>
          </w:tcPr>
          <w:p>
            <w:pPr>
              <w:spacing w:after="0"/>
              <w:rPr>
                <w:sz w:val="18"/>
                <w:szCs w:val="18"/>
                <w:color w:val="auto"/>
              </w:rPr>
            </w:pPr>
          </w:p>
        </w:tc>
        <w:tc>
          <w:tcPr>
            <w:tcW w:w="1260" w:type="dxa"/>
            <w:vAlign w:val="bottom"/>
            <w:gridSpan w:val="2"/>
          </w:tcPr>
          <w:p>
            <w:pPr>
              <w:jc w:val="right"/>
              <w:ind w:right="482"/>
              <w:spacing w:after="0"/>
              <w:rPr>
                <w:sz w:val="20"/>
                <w:szCs w:val="20"/>
                <w:color w:val="auto"/>
              </w:rPr>
            </w:pPr>
            <w:r>
              <w:rPr>
                <w:rFonts w:ascii="Arial" w:cs="Arial" w:eastAsia="Arial" w:hAnsi="Arial"/>
                <w:sz w:val="16"/>
                <w:szCs w:val="16"/>
                <w:color w:val="auto"/>
              </w:rPr>
              <w:t>6/4/2014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8,874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9"/>
        </w:trPr>
        <w:tc>
          <w:tcPr>
            <w:tcW w:w="264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Northern Oil and Gas, Inc. </w:t>
            </w:r>
            <w:r>
              <w:rPr>
                <w:rFonts w:ascii="Arial" w:cs="Arial" w:eastAsia="Arial" w:hAnsi="Arial"/>
                <w:sz w:val="25"/>
                <w:szCs w:val="25"/>
                <w:color w:val="auto"/>
                <w:vertAlign w:val="superscript"/>
              </w:rPr>
              <w:t>(12)(13)</w:t>
            </w:r>
          </w:p>
        </w:tc>
        <w:tc>
          <w:tcPr>
            <w:tcW w:w="268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Common Shares (975,000 shares)</w:t>
            </w:r>
          </w:p>
        </w:tc>
        <w:tc>
          <w:tcPr>
            <w:tcW w:w="1260" w:type="dxa"/>
            <w:vAlign w:val="bottom"/>
            <w:gridSpan w:val="2"/>
            <w:shd w:val="clear" w:color="auto" w:fill="CFF0FC"/>
          </w:tcPr>
          <w:p>
            <w:pPr>
              <w:jc w:val="right"/>
              <w:ind w:right="482"/>
              <w:spacing w:after="0"/>
              <w:rPr>
                <w:sz w:val="20"/>
                <w:szCs w:val="20"/>
                <w:color w:val="auto"/>
              </w:rPr>
            </w:pPr>
            <w:r>
              <w:rPr>
                <w:rFonts w:ascii="Arial" w:cs="Arial" w:eastAsia="Arial" w:hAnsi="Arial"/>
                <w:sz w:val="16"/>
                <w:szCs w:val="16"/>
                <w:color w:val="auto"/>
                <w:w w:val="95"/>
              </w:rPr>
              <w:t>5/15/2018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2,204</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20,703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7,102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99"/>
        </w:trPr>
        <w:tc>
          <w:tcPr>
            <w:tcW w:w="2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Total Equity and Other</w:t>
            </w:r>
          </w:p>
        </w:tc>
        <w:tc>
          <w:tcPr>
            <w:tcW w:w="1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Investments</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67,757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45,444</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7"/>
        </w:trPr>
        <w:tc>
          <w:tcPr>
            <w:tcW w:w="2640" w:type="dxa"/>
            <w:vAlign w:val="bottom"/>
            <w:gridSpan w:val="2"/>
          </w:tcPr>
          <w:p>
            <w:pPr>
              <w:spacing w:after="0"/>
              <w:rPr>
                <w:sz w:val="20"/>
                <w:szCs w:val="20"/>
                <w:color w:val="auto"/>
              </w:rPr>
            </w:pPr>
            <w:r>
              <w:rPr>
                <w:rFonts w:ascii="Arial" w:cs="Arial" w:eastAsia="Arial" w:hAnsi="Arial"/>
                <w:sz w:val="16"/>
                <w:szCs w:val="16"/>
                <w:b w:val="1"/>
                <w:bCs w:val="1"/>
                <w:color w:val="auto"/>
              </w:rPr>
              <w:t>Total Investments</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5"/>
              </w:rPr>
              <w:t>$ 1,716,400</w:t>
            </w:r>
          </w:p>
        </w:tc>
        <w:tc>
          <w:tcPr>
            <w:tcW w:w="220" w:type="dxa"/>
            <w:vAlign w:val="bottom"/>
          </w:tcPr>
          <w:p>
            <w:pPr>
              <w:spacing w:after="0"/>
              <w:rPr>
                <w:sz w:val="17"/>
                <w:szCs w:val="17"/>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7"/>
              </w:rPr>
              <w:t>$ 1,705,969</w:t>
            </w:r>
          </w:p>
        </w:tc>
        <w:tc>
          <w:tcPr>
            <w:tcW w:w="2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160.4</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00" w:type="dxa"/>
            <w:vAlign w:val="bottom"/>
            <w:gridSpan w:val="9"/>
          </w:tcPr>
          <w:p>
            <w:pPr>
              <w:jc w:val="right"/>
              <w:ind w:right="539"/>
              <w:spacing w:after="0"/>
              <w:rPr>
                <w:sz w:val="20"/>
                <w:szCs w:val="20"/>
                <w:color w:val="auto"/>
              </w:rPr>
            </w:pPr>
            <w:r>
              <w:rPr>
                <w:rFonts w:ascii="Arial" w:cs="Arial" w:eastAsia="Arial" w:hAnsi="Arial"/>
                <w:sz w:val="14"/>
                <w:szCs w:val="14"/>
                <w:b w:val="1"/>
                <w:bCs w:val="1"/>
                <w:color w:val="auto"/>
                <w:w w:val="95"/>
              </w:rPr>
              <w:t>Interest Rate Swaps as of December 31, 2018</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Company</w:t>
            </w:r>
          </w:p>
        </w:tc>
        <w:tc>
          <w:tcPr>
            <w:tcW w:w="1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vMerge w:val="restart"/>
          </w:tcPr>
          <w:p>
            <w:pPr>
              <w:jc w:val="right"/>
              <w:ind w:right="430"/>
              <w:spacing w:after="0"/>
              <w:rPr>
                <w:sz w:val="20"/>
                <w:szCs w:val="20"/>
                <w:color w:val="auto"/>
              </w:rPr>
            </w:pPr>
            <w:r>
              <w:rPr>
                <w:rFonts w:ascii="Arial" w:cs="Arial" w:eastAsia="Arial" w:hAnsi="Arial"/>
                <w:sz w:val="14"/>
                <w:szCs w:val="14"/>
                <w:b w:val="1"/>
                <w:bCs w:val="1"/>
                <w:color w:val="auto"/>
              </w:rPr>
              <w:t>Maturity</w:t>
            </w:r>
          </w:p>
        </w:tc>
        <w:tc>
          <w:tcPr>
            <w:tcW w:w="80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w w:val="99"/>
              </w:rPr>
              <w:t>Notional</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right="279"/>
              <w:spacing w:after="0" w:line="133" w:lineRule="exact"/>
              <w:rPr>
                <w:sz w:val="20"/>
                <w:szCs w:val="20"/>
                <w:color w:val="auto"/>
              </w:rPr>
            </w:pPr>
            <w:r>
              <w:rPr>
                <w:rFonts w:ascii="Arial" w:cs="Arial" w:eastAsia="Arial" w:hAnsi="Arial"/>
                <w:sz w:val="14"/>
                <w:szCs w:val="14"/>
                <w:b w:val="1"/>
                <w:bCs w:val="1"/>
                <w:color w:val="auto"/>
              </w:rPr>
              <w:t>Fair</w:t>
            </w:r>
          </w:p>
        </w:tc>
        <w:tc>
          <w:tcPr>
            <w:tcW w:w="720" w:type="dxa"/>
            <w:vAlign w:val="bottom"/>
            <w:tcBorders>
              <w:top w:val="single" w:sz="8" w:color="auto"/>
            </w:tcBorders>
            <w:gridSpan w:val="2"/>
          </w:tcPr>
          <w:p>
            <w:pPr>
              <w:jc w:val="center"/>
              <w:ind w:left="120"/>
              <w:spacing w:after="0" w:line="133" w:lineRule="exact"/>
              <w:rPr>
                <w:sz w:val="20"/>
                <w:szCs w:val="20"/>
                <w:color w:val="auto"/>
              </w:rPr>
            </w:pPr>
            <w:r>
              <w:rPr>
                <w:rFonts w:ascii="Arial" w:cs="Arial" w:eastAsia="Arial" w:hAnsi="Arial"/>
                <w:sz w:val="14"/>
                <w:szCs w:val="14"/>
                <w:b w:val="1"/>
                <w:bCs w:val="1"/>
                <w:color w:val="auto"/>
                <w:w w:val="94"/>
              </w:rPr>
              <w:t>Upfront</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197"/>
              <w:spacing w:after="0" w:line="133" w:lineRule="exact"/>
              <w:rPr>
                <w:sz w:val="20"/>
                <w:szCs w:val="20"/>
                <w:color w:val="auto"/>
              </w:rPr>
            </w:pPr>
            <w:r>
              <w:rPr>
                <w:rFonts w:ascii="Arial" w:cs="Arial" w:eastAsia="Arial" w:hAnsi="Arial"/>
                <w:sz w:val="14"/>
                <w:szCs w:val="14"/>
                <w:b w:val="1"/>
                <w:bCs w:val="1"/>
                <w:color w:val="auto"/>
                <w:w w:val="94"/>
              </w:rPr>
              <w:t>Change in</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Company Pays</w:t>
            </w:r>
          </w:p>
        </w:tc>
        <w:tc>
          <w:tcPr>
            <w:tcW w:w="2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rPr>
              <w:t>Market</w:t>
            </w: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Payments /</w:t>
            </w:r>
          </w:p>
        </w:tc>
        <w:tc>
          <w:tcPr>
            <w:tcW w:w="240" w:type="dxa"/>
            <w:vAlign w:val="bottom"/>
          </w:tcPr>
          <w:p>
            <w:pPr>
              <w:spacing w:after="0"/>
              <w:rPr>
                <w:sz w:val="12"/>
                <w:szCs w:val="12"/>
                <w:color w:val="auto"/>
              </w:rPr>
            </w:pPr>
          </w:p>
        </w:tc>
        <w:tc>
          <w:tcPr>
            <w:tcW w:w="1440" w:type="dxa"/>
            <w:vAlign w:val="bottom"/>
            <w:gridSpan w:val="4"/>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Unrealized Gains</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Receives</w:t>
            </w:r>
          </w:p>
        </w:tc>
        <w:tc>
          <w:tcPr>
            <w:tcW w:w="13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right"/>
              <w:ind w:right="133"/>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0"/>
              </w:rPr>
              <w:t>Value</w:t>
            </w:r>
          </w:p>
        </w:tc>
        <w:tc>
          <w:tcPr>
            <w:tcW w:w="72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w w:val="89"/>
              </w:rPr>
              <w:t>Receipts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3"/>
          </w:tcPr>
          <w:p>
            <w:pPr>
              <w:jc w:val="center"/>
              <w:ind w:right="379"/>
              <w:spacing w:after="0"/>
              <w:rPr>
                <w:sz w:val="20"/>
                <w:szCs w:val="20"/>
                <w:color w:val="auto"/>
              </w:rPr>
            </w:pPr>
            <w:r>
              <w:rPr>
                <w:rFonts w:ascii="Arial" w:cs="Arial" w:eastAsia="Arial" w:hAnsi="Arial"/>
                <w:sz w:val="14"/>
                <w:szCs w:val="14"/>
                <w:b w:val="1"/>
                <w:bCs w:val="1"/>
                <w:color w:val="auto"/>
                <w:w w:val="85"/>
              </w:rPr>
              <w:t>/ (Losses)</w:t>
            </w: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ind w:right="176"/>
              <w:spacing w:after="0"/>
              <w:rPr>
                <w:sz w:val="20"/>
                <w:szCs w:val="20"/>
                <w:color w:val="auto"/>
              </w:rPr>
            </w:pPr>
            <w:r>
              <w:rPr>
                <w:rFonts w:ascii="Arial" w:cs="Arial" w:eastAsia="Arial" w:hAnsi="Arial"/>
                <w:sz w:val="18"/>
                <w:szCs w:val="18"/>
                <w:color w:val="auto"/>
              </w:rPr>
              <w:t>L</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2.66%</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6/27/2019</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2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Borders>
              <w:top w:val="single" w:sz="8" w:color="CFF0FC"/>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tcPr>
          <w:p>
            <w:pPr>
              <w:jc w:val="center"/>
              <w:ind w:right="176"/>
              <w:spacing w:after="0"/>
              <w:rPr>
                <w:sz w:val="20"/>
                <w:szCs w:val="20"/>
                <w:color w:val="auto"/>
              </w:rPr>
            </w:pPr>
            <w:r>
              <w:rPr>
                <w:rFonts w:ascii="Arial" w:cs="Arial" w:eastAsia="Arial" w:hAnsi="Arial"/>
                <w:sz w:val="18"/>
                <w:szCs w:val="18"/>
                <w:color w:val="auto"/>
                <w:w w:val="93"/>
              </w:rPr>
              <w:t>4.50%</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L + 2.86%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12/15/2019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8"/>
                <w:szCs w:val="18"/>
                <w:color w:val="auto"/>
              </w:rPr>
              <w:t>(1,285)</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60" w:type="dxa"/>
            <w:vAlign w:val="bottom"/>
            <w:gridSpan w:val="2"/>
            <w:shd w:val="clear" w:color="auto" w:fill="CFF0FC"/>
          </w:tcPr>
          <w:p>
            <w:pPr>
              <w:jc w:val="center"/>
              <w:ind w:right="520"/>
              <w:spacing w:after="0"/>
              <w:rPr>
                <w:sz w:val="20"/>
                <w:szCs w:val="20"/>
                <w:color w:val="auto"/>
              </w:rPr>
            </w:pPr>
            <w:r>
              <w:rPr>
                <w:rFonts w:ascii="Arial" w:cs="Arial" w:eastAsia="Arial" w:hAnsi="Arial"/>
                <w:sz w:val="18"/>
                <w:szCs w:val="18"/>
                <w:color w:val="auto"/>
              </w:rPr>
              <w:t>L</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1.72%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tcPr>
          <w:p>
            <w:pPr>
              <w:jc w:val="center"/>
              <w:ind w:right="176"/>
              <w:spacing w:after="0"/>
              <w:rPr>
                <w:sz w:val="20"/>
                <w:szCs w:val="20"/>
                <w:color w:val="auto"/>
              </w:rPr>
            </w:pPr>
            <w:r>
              <w:rPr>
                <w:rFonts w:ascii="Arial" w:cs="Arial" w:eastAsia="Arial" w:hAnsi="Arial"/>
                <w:sz w:val="18"/>
                <w:szCs w:val="18"/>
                <w:color w:val="auto"/>
                <w:w w:val="93"/>
              </w:rPr>
              <w:t>4.50%</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L + 2.37%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99"/>
              <w:spacing w:after="0"/>
              <w:rPr>
                <w:sz w:val="20"/>
                <w:szCs w:val="20"/>
                <w:color w:val="auto"/>
              </w:rPr>
            </w:pPr>
            <w:r>
              <w:rPr>
                <w:rFonts w:ascii="Arial" w:cs="Arial" w:eastAsia="Arial" w:hAnsi="Arial"/>
                <w:sz w:val="18"/>
                <w:szCs w:val="18"/>
                <w:color w:val="auto"/>
              </w:rPr>
              <w:t>(1,877)</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shd w:val="clear" w:color="auto" w:fill="CFF0FC"/>
          </w:tcPr>
          <w:p>
            <w:pPr>
              <w:jc w:val="center"/>
              <w:ind w:right="176"/>
              <w:spacing w:after="0"/>
              <w:rPr>
                <w:sz w:val="20"/>
                <w:szCs w:val="20"/>
                <w:color w:val="auto"/>
              </w:rPr>
            </w:pPr>
            <w:r>
              <w:rPr>
                <w:rFonts w:ascii="Arial" w:cs="Arial" w:eastAsia="Arial" w:hAnsi="Arial"/>
                <w:sz w:val="18"/>
                <w:szCs w:val="18"/>
                <w:color w:val="auto"/>
                <w:w w:val="93"/>
              </w:rPr>
              <w:t>4.50%</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 + 1.59%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tcPr>
          <w:p>
            <w:pPr>
              <w:jc w:val="center"/>
              <w:ind w:right="176"/>
              <w:spacing w:after="0"/>
              <w:rPr>
                <w:sz w:val="20"/>
                <w:szCs w:val="20"/>
                <w:color w:val="auto"/>
              </w:rPr>
            </w:pPr>
            <w:r>
              <w:rPr>
                <w:rFonts w:ascii="Arial" w:cs="Arial" w:eastAsia="Arial" w:hAnsi="Arial"/>
                <w:sz w:val="18"/>
                <w:szCs w:val="18"/>
                <w:color w:val="auto"/>
                <w:w w:val="93"/>
              </w:rPr>
              <w:t>4.50%</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L + 1.60%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shd w:val="clear" w:color="auto" w:fill="CFF0FC"/>
          </w:tcPr>
          <w:p>
            <w:pPr>
              <w:jc w:val="center"/>
              <w:ind w:right="176"/>
              <w:spacing w:after="0"/>
              <w:rPr>
                <w:sz w:val="20"/>
                <w:szCs w:val="20"/>
                <w:color w:val="auto"/>
              </w:rPr>
            </w:pPr>
            <w:r>
              <w:rPr>
                <w:rFonts w:ascii="Arial" w:cs="Arial" w:eastAsia="Arial" w:hAnsi="Arial"/>
                <w:sz w:val="18"/>
                <w:szCs w:val="18"/>
                <w:color w:val="auto"/>
                <w:w w:val="93"/>
              </w:rPr>
              <w:t>4.50%</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 + 1.99%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(538)</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Cash collateral</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2,663</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562,333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2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180" w:type="dxa"/>
            <w:vAlign w:val="bottom"/>
            <w:tcBorders>
              <w:top w:val="single" w:sz="8" w:color="CFF0FC"/>
              <w:left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hanging="519"/>
        <w:spacing w:after="0"/>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Contract terms are shown net of Company receiving 6.65% and paying 8.38%.</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116" w:lineRule="exact"/>
        <w:rPr>
          <w:rFonts w:ascii="Arial" w:cs="Arial" w:eastAsia="Arial" w:hAnsi="Arial"/>
          <w:sz w:val="18"/>
          <w:szCs w:val="18"/>
          <w:color w:val="auto"/>
        </w:rPr>
      </w:pPr>
    </w:p>
    <w:p>
      <w:pPr>
        <w:ind w:left="520" w:hanging="512"/>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65"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2018.</w:t>
      </w:r>
    </w:p>
    <w:p>
      <w:pPr>
        <w:spacing w:after="0" w:line="1" w:lineRule="exact"/>
        <w:rPr>
          <w:rFonts w:ascii="Arial" w:cs="Arial" w:eastAsia="Arial" w:hAnsi="Arial"/>
          <w:sz w:val="17"/>
          <w:szCs w:val="17"/>
          <w:color w:val="auto"/>
        </w:rPr>
      </w:pPr>
    </w:p>
    <w:p>
      <w:pPr>
        <w:jc w:val="both"/>
        <w:ind w:left="520" w:right="40" w:hanging="512"/>
        <w:spacing w:after="0" w:line="265"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17.3% of total assets as of December 31, 2018.</w:t>
      </w:r>
    </w:p>
    <w:p>
      <w:pPr>
        <w:ind w:left="520" w:right="20" w:hanging="512"/>
        <w:spacing w:after="0" w:line="250"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Arial" w:cs="Arial" w:eastAsia="Arial" w:hAnsi="Arial"/>
          <w:sz w:val="18"/>
          <w:szCs w:val="18"/>
          <w:color w:val="auto"/>
        </w:rPr>
      </w:pPr>
    </w:p>
    <w:p>
      <w:pPr>
        <w:jc w:val="both"/>
        <w:ind w:left="520" w:right="20" w:hanging="512"/>
        <w:spacing w:after="0" w:line="255"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2018 in which the Company was an Affiliated Person of the portfolio company are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year ended December 31,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Change In</w:t>
            </w:r>
          </w:p>
        </w:tc>
        <w:tc>
          <w:tcPr>
            <w:tcW w:w="12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72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Company</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6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Reductions (b)</w:t>
            </w: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Gain/(Loss)</w:t>
            </w: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Gain/(Losses)</w:t>
            </w:r>
          </w:p>
        </w:tc>
        <w:tc>
          <w:tcPr>
            <w:tcW w:w="18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46,040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80"/>
              </w:rPr>
              <w:t>(266)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76"/>
              </w:rPr>
              <w:t>(432)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Validity, Inc.</w:t>
            </w:r>
          </w:p>
        </w:tc>
        <w:tc>
          <w:tcPr>
            <w:tcW w:w="1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39,278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85,318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ind w:left="420"/>
              <w:spacing w:after="0"/>
              <w:rPr>
                <w:sz w:val="20"/>
                <w:szCs w:val="20"/>
                <w:color w:val="auto"/>
              </w:rPr>
            </w:pPr>
            <w:r>
              <w:rPr>
                <w:rFonts w:ascii="Arial" w:cs="Arial" w:eastAsia="Arial" w:hAnsi="Arial"/>
                <w:sz w:val="18"/>
                <w:szCs w:val="18"/>
                <w:b w:val="1"/>
                <w:bCs w:val="1"/>
                <w:color w:val="auto"/>
                <w:w w:val="80"/>
              </w:rPr>
              <w:t>(716)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ind w:left="420"/>
              <w:spacing w:after="0"/>
              <w:rPr>
                <w:sz w:val="20"/>
                <w:szCs w:val="20"/>
                <w:color w:val="auto"/>
              </w:rPr>
            </w:pPr>
            <w:r>
              <w:rPr>
                <w:rFonts w:ascii="Arial" w:cs="Arial" w:eastAsia="Arial" w:hAnsi="Arial"/>
                <w:sz w:val="18"/>
                <w:szCs w:val="18"/>
                <w:b w:val="1"/>
                <w:bCs w:val="1"/>
                <w:color w:val="auto"/>
                <w:w w:val="76"/>
              </w:rPr>
              <w:t>(670)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83,932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3,652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260" w:hanging="519"/>
        <w:spacing w:after="0" w:line="258" w:lineRule="auto"/>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2" w:lineRule="exact"/>
        <w:rPr>
          <w:rFonts w:ascii="Arial" w:cs="Arial" w:eastAsia="Arial" w:hAnsi="Arial"/>
          <w:sz w:val="18"/>
          <w:szCs w:val="18"/>
          <w:color w:val="auto"/>
        </w:rPr>
      </w:pPr>
    </w:p>
    <w:p>
      <w:pPr>
        <w:ind w:left="520" w:right="60" w:hanging="512"/>
        <w:spacing w:after="0" w:line="279" w:lineRule="auto"/>
        <w:tabs>
          <w:tab w:leader="none" w:pos="5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2018 in which the issuer was an Affiliated Person of and was deemed to Control a portfolio company are as follows: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Value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Change In</w:t>
            </w:r>
          </w:p>
        </w:tc>
        <w:tc>
          <w:tcPr>
            <w:tcW w:w="12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Realized</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72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Company</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6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Reductions (b)</w:t>
            </w: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Gain/(Loss)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18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(75,438)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IRGSE Holding Corp.</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(8,378)</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(9,589)</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135,920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13,745</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(75,581</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(15,551</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56,505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260" w:hanging="519"/>
        <w:spacing w:after="0" w:line="258" w:lineRule="auto"/>
        <w:tabs>
          <w:tab w:leader="none" w:pos="10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2" w:lineRule="exact"/>
        <w:rPr>
          <w:rFonts w:ascii="Arial" w:cs="Arial" w:eastAsia="Arial" w:hAnsi="Arial"/>
          <w:sz w:val="18"/>
          <w:szCs w:val="18"/>
          <w:color w:val="auto"/>
        </w:rPr>
      </w:pPr>
    </w:p>
    <w:p>
      <w:pPr>
        <w:ind w:left="520" w:hanging="51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of December 31, 2018, the tax cost of the Company’s investments approximates the amortized cost.</w:t>
      </w:r>
    </w:p>
    <w:p>
      <w:pPr>
        <w:spacing w:after="0" w:line="23"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50"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20" w:right="520" w:hanging="512"/>
        <w:spacing w:after="0" w:line="250"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transaction exempt from registration under the Securities Act of 1933, and may be deemed to be “restricted securities” under the Securities Act. As of December 31, 2018, the aggregate fair value of these securities is $23,128, or 2.2% of the Company’s net assets.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Common Stock</w:t>
            </w:r>
          </w:p>
        </w:tc>
        <w:tc>
          <w:tcPr>
            <w:tcW w:w="142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4"/>
                <w:szCs w:val="14"/>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Paid in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Capital in</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8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Shares</w:t>
            </w:r>
          </w:p>
        </w:tc>
        <w:tc>
          <w:tcPr>
            <w:tcW w:w="220" w:type="dxa"/>
            <w:vAlign w:val="bottom"/>
            <w:vMerge w:val="restart"/>
          </w:tcPr>
          <w:p>
            <w:pPr>
              <w:spacing w:after="0"/>
              <w:rPr>
                <w:sz w:val="12"/>
                <w:szCs w:val="12"/>
                <w:color w:val="auto"/>
              </w:rPr>
            </w:pPr>
          </w:p>
        </w:tc>
        <w:tc>
          <w:tcPr>
            <w:tcW w:w="5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Excess</w:t>
            </w: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5"/>
              </w:rPr>
              <w:t>of Par</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Assets</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2016</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59,716,205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89,080</w:t>
            </w:r>
          </w:p>
        </w:tc>
        <w:tc>
          <w:tcPr>
            <w:tcW w:w="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0"/>
              </w:rPr>
              <w:t>$ (1,359)</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898,868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54,105</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952,212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140"/>
              <w:spacing w:after="0"/>
              <w:rPr>
                <w:sz w:val="20"/>
                <w:szCs w:val="20"/>
                <w:color w:val="auto"/>
              </w:rPr>
            </w:pPr>
            <w:r>
              <w:rPr>
                <w:rFonts w:ascii="Arial" w:cs="Arial" w:eastAsia="Arial" w:hAnsi="Arial"/>
                <w:sz w:val="16"/>
                <w:szCs w:val="16"/>
                <w:color w:val="auto"/>
              </w:rPr>
              <w:t>Net increase in net assets resulting from operations: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investment income</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120,259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120,259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60" w:type="dxa"/>
            <w:vAlign w:val="bottom"/>
          </w:tcPr>
          <w:p>
            <w:pPr>
              <w:ind w:left="260"/>
              <w:spacing w:after="0"/>
              <w:rPr>
                <w:sz w:val="20"/>
                <w:szCs w:val="20"/>
                <w:color w:val="auto"/>
              </w:rPr>
            </w:pPr>
            <w:r>
              <w:rPr>
                <w:rFonts w:ascii="Arial" w:cs="Arial" w:eastAsia="Arial" w:hAnsi="Arial"/>
                <w:sz w:val="16"/>
                <w:szCs w:val="16"/>
                <w:color w:val="auto"/>
              </w:rPr>
              <w:t>Net change in unrealized gains on investments and foreign</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380"/>
              <w:spacing w:after="0"/>
              <w:rPr>
                <w:sz w:val="20"/>
                <w:szCs w:val="20"/>
                <w:color w:val="auto"/>
              </w:rPr>
            </w:pPr>
            <w:r>
              <w:rPr>
                <w:rFonts w:ascii="Arial" w:cs="Arial" w:eastAsia="Arial" w:hAnsi="Arial"/>
                <w:sz w:val="16"/>
                <w:szCs w:val="16"/>
                <w:color w:val="auto"/>
              </w:rPr>
              <w:t>currency translation</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realized loss on investments and foreign</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currency transactions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(13,945)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(13,945)</w:t>
            </w:r>
          </w:p>
        </w:tc>
        <w:tc>
          <w:tcPr>
            <w:tcW w:w="0" w:type="dxa"/>
            <w:vAlign w:val="bottom"/>
          </w:tcPr>
          <w:p>
            <w:pPr>
              <w:spacing w:after="0"/>
              <w:rPr>
                <w:sz w:val="1"/>
                <w:szCs w:val="1"/>
                <w:color w:val="auto"/>
              </w:rPr>
            </w:pPr>
          </w:p>
        </w:tc>
      </w:tr>
      <w:tr>
        <w:trPr>
          <w:trHeight w:val="213"/>
        </w:trPr>
        <w:tc>
          <w:tcPr>
            <w:tcW w:w="4760" w:type="dxa"/>
            <w:vAlign w:val="bottom"/>
          </w:tcPr>
          <w:p>
            <w:pPr>
              <w:ind w:left="140"/>
              <w:spacing w:after="0"/>
              <w:rPr>
                <w:sz w:val="20"/>
                <w:szCs w:val="20"/>
                <w:color w:val="auto"/>
              </w:rPr>
            </w:pPr>
            <w:r>
              <w:rPr>
                <w:rFonts w:ascii="Arial" w:cs="Arial" w:eastAsia="Arial" w:hAnsi="Arial"/>
                <w:sz w:val="16"/>
                <w:szCs w:val="16"/>
                <w:color w:val="auto"/>
                <w:w w:val="97"/>
              </w:rPr>
              <w:t>Increase in Net Assets Resulting from Capital Share Transactions: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convertible notes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140"/>
              <w:spacing w:after="0"/>
              <w:rPr>
                <w:sz w:val="20"/>
                <w:szCs w:val="20"/>
                <w:color w:val="auto"/>
              </w:rPr>
            </w:pPr>
            <w:r>
              <w:rPr>
                <w:rFonts w:ascii="Arial" w:cs="Arial" w:eastAsia="Arial" w:hAnsi="Arial"/>
                <w:sz w:val="16"/>
                <w:szCs w:val="16"/>
                <w:color w:val="auto"/>
              </w:rPr>
              <w:t>Dividends to stockholders: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issued in connection with dividend reinvestment plan</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530,996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10,153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10,158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Dividends declared from distributable earnings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(105,051)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(105,051)</w:t>
            </w:r>
          </w:p>
        </w:tc>
        <w:tc>
          <w:tcPr>
            <w:tcW w:w="0" w:type="dxa"/>
            <w:vAlign w:val="bottom"/>
          </w:tcPr>
          <w:p>
            <w:pPr>
              <w:spacing w:after="0"/>
              <w:rPr>
                <w:sz w:val="1"/>
                <w:szCs w:val="1"/>
                <w:color w:val="auto"/>
              </w:rPr>
            </w:pPr>
          </w:p>
        </w:tc>
      </w:tr>
      <w:tr>
        <w:trPr>
          <w:trHeight w:val="206"/>
        </w:trPr>
        <w:tc>
          <w:tcPr>
            <w:tcW w:w="4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Tax reclassification of stockholders' equity in accordance</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60"/>
              <w:spacing w:after="0" w:line="216" w:lineRule="exact"/>
              <w:rPr>
                <w:sz w:val="20"/>
                <w:szCs w:val="20"/>
                <w:color w:val="auto"/>
              </w:rPr>
            </w:pPr>
            <w:r>
              <w:rPr>
                <w:rFonts w:ascii="Arial" w:cs="Arial" w:eastAsia="Arial" w:hAnsi="Arial"/>
                <w:sz w:val="15"/>
                <w:szCs w:val="15"/>
                <w:color w:val="auto"/>
              </w:rPr>
              <w:t xml:space="preserve">with GAAP </w:t>
            </w:r>
            <w:r>
              <w:rPr>
                <w:rFonts w:ascii="Arial" w:cs="Arial" w:eastAsia="Arial" w:hAnsi="Arial"/>
                <w:sz w:val="25"/>
                <w:szCs w:val="25"/>
                <w:color w:val="auto"/>
                <w:vertAlign w:val="superscript"/>
              </w:rPr>
              <w:t>(1)</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(2,856)</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47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 at December 31, 2017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60,247,201</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603</w:t>
            </w:r>
          </w:p>
        </w:tc>
        <w:tc>
          <w:tcPr>
            <w:tcW w:w="220" w:type="dxa"/>
            <w:vAlign w:val="bottom"/>
            <w:tcBorders>
              <w:bottom w:val="single" w:sz="8" w:color="CFF0FC"/>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89,080</w:t>
            </w:r>
          </w:p>
        </w:tc>
        <w:tc>
          <w:tcPr>
            <w:tcW w:w="220" w:type="dxa"/>
            <w:vAlign w:val="bottom"/>
            <w:tcBorders>
              <w:bottom w:val="single" w:sz="8" w:color="CFF0FC"/>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 (1,359</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906,521</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63,519</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969,284</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increase in net assets resulting from operations:</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Net investment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143,889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143,889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unrealized losses on investments and foreign</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currency translation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(14,151)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(14,151)</w:t>
            </w:r>
          </w:p>
        </w:tc>
        <w:tc>
          <w:tcPr>
            <w:tcW w:w="0" w:type="dxa"/>
            <w:vAlign w:val="bottom"/>
          </w:tcPr>
          <w:p>
            <w:pPr>
              <w:spacing w:after="0"/>
              <w:rPr>
                <w:sz w:val="1"/>
                <w:szCs w:val="1"/>
                <w:color w:val="auto"/>
              </w:rPr>
            </w:pPr>
          </w:p>
        </w:tc>
      </w:tr>
      <w:tr>
        <w:trPr>
          <w:trHeight w:val="206"/>
        </w:trPr>
        <w:tc>
          <w:tcPr>
            <w:tcW w:w="4760" w:type="dxa"/>
            <w:vAlign w:val="bottom"/>
          </w:tcPr>
          <w:p>
            <w:pPr>
              <w:ind w:left="260"/>
              <w:spacing w:after="0"/>
              <w:rPr>
                <w:sz w:val="20"/>
                <w:szCs w:val="20"/>
                <w:color w:val="auto"/>
              </w:rPr>
            </w:pPr>
            <w:r>
              <w:rPr>
                <w:rFonts w:ascii="Arial" w:cs="Arial" w:eastAsia="Arial" w:hAnsi="Arial"/>
                <w:sz w:val="16"/>
                <w:szCs w:val="16"/>
                <w:color w:val="auto"/>
              </w:rPr>
              <w:t>Net realized losses on investments and foreign</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380"/>
              <w:spacing w:after="0"/>
              <w:rPr>
                <w:sz w:val="20"/>
                <w:szCs w:val="20"/>
                <w:color w:val="auto"/>
              </w:rPr>
            </w:pPr>
            <w:r>
              <w:rPr>
                <w:rFonts w:ascii="Arial" w:cs="Arial" w:eastAsia="Arial" w:hAnsi="Arial"/>
                <w:sz w:val="16"/>
                <w:szCs w:val="16"/>
                <w:color w:val="auto"/>
              </w:rPr>
              <w:t>currency transactions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(10,721)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(10,721)</w:t>
            </w:r>
          </w:p>
        </w:tc>
        <w:tc>
          <w:tcPr>
            <w:tcW w:w="0" w:type="dxa"/>
            <w:vAlign w:val="bottom"/>
          </w:tcPr>
          <w:p>
            <w:pPr>
              <w:spacing w:after="0"/>
              <w:rPr>
                <w:sz w:val="1"/>
                <w:szCs w:val="1"/>
                <w:color w:val="auto"/>
              </w:rPr>
            </w:pPr>
          </w:p>
        </w:tc>
      </w:tr>
      <w:tr>
        <w:trPr>
          <w:trHeight w:val="219"/>
        </w:trPr>
        <w:tc>
          <w:tcPr>
            <w:tcW w:w="4760" w:type="dxa"/>
            <w:vAlign w:val="bottom"/>
            <w:shd w:val="clear" w:color="auto" w:fill="CFF0FC"/>
          </w:tcPr>
          <w:p>
            <w:pPr>
              <w:ind w:left="140"/>
              <w:spacing w:after="0"/>
              <w:rPr>
                <w:sz w:val="20"/>
                <w:szCs w:val="20"/>
                <w:color w:val="auto"/>
              </w:rPr>
            </w:pPr>
            <w:r>
              <w:rPr>
                <w:rFonts w:ascii="Arial" w:cs="Arial" w:eastAsia="Arial" w:hAnsi="Arial"/>
                <w:sz w:val="16"/>
                <w:szCs w:val="16"/>
                <w:color w:val="auto"/>
                <w:w w:val="97"/>
              </w:rPr>
              <w:t>Increase in Net Assets Resulting from Capital Share Transactions: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60" w:type="dxa"/>
            <w:vAlign w:val="bottom"/>
          </w:tcPr>
          <w:p>
            <w:pPr>
              <w:ind w:left="260"/>
              <w:spacing w:after="0"/>
              <w:rPr>
                <w:sz w:val="20"/>
                <w:szCs w:val="20"/>
                <w:color w:val="auto"/>
              </w:rPr>
            </w:pPr>
            <w:r>
              <w:rPr>
                <w:rFonts w:ascii="Arial" w:cs="Arial" w:eastAsia="Arial" w:hAnsi="Arial"/>
                <w:sz w:val="16"/>
                <w:szCs w:val="16"/>
                <w:color w:val="auto"/>
              </w:rPr>
              <w:t>Issuance of common shares, net of offering and</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380"/>
              <w:spacing w:after="0"/>
              <w:rPr>
                <w:sz w:val="20"/>
                <w:szCs w:val="20"/>
                <w:color w:val="auto"/>
              </w:rPr>
            </w:pPr>
            <w:r>
              <w:rPr>
                <w:rFonts w:ascii="Arial" w:cs="Arial" w:eastAsia="Arial" w:hAnsi="Arial"/>
                <w:sz w:val="16"/>
                <w:szCs w:val="16"/>
                <w:color w:val="auto"/>
              </w:rPr>
              <w:t>underwriting costs</w:t>
            </w:r>
          </w:p>
        </w:tc>
        <w:tc>
          <w:tcPr>
            <w:tcW w:w="860" w:type="dxa"/>
            <w:vAlign w:val="bottom"/>
          </w:tcPr>
          <w:p>
            <w:pPr>
              <w:jc w:val="right"/>
              <w:spacing w:after="0"/>
              <w:rPr>
                <w:sz w:val="20"/>
                <w:szCs w:val="20"/>
                <w:color w:val="auto"/>
              </w:rPr>
            </w:pPr>
            <w:r>
              <w:rPr>
                <w:rFonts w:ascii="Arial" w:cs="Arial" w:eastAsia="Arial" w:hAnsi="Arial"/>
                <w:sz w:val="16"/>
                <w:szCs w:val="16"/>
                <w:color w:val="auto"/>
              </w:rPr>
              <w:t>4,272,224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71,770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convertible notes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140"/>
              <w:spacing w:after="0"/>
              <w:rPr>
                <w:sz w:val="20"/>
                <w:szCs w:val="20"/>
                <w:color w:val="auto"/>
              </w:rPr>
            </w:pPr>
            <w:r>
              <w:rPr>
                <w:rFonts w:ascii="Arial" w:cs="Arial" w:eastAsia="Arial" w:hAnsi="Arial"/>
                <w:sz w:val="16"/>
                <w:szCs w:val="16"/>
                <w:color w:val="auto"/>
              </w:rPr>
              <w:t>Dividends to stockholders: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issued in connection with dividend reinvestment plan</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893,392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16,015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16,024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Dividends declared from distributable earnings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(113,946)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(113,946)</w:t>
            </w:r>
          </w:p>
        </w:tc>
        <w:tc>
          <w:tcPr>
            <w:tcW w:w="0" w:type="dxa"/>
            <w:vAlign w:val="bottom"/>
          </w:tcPr>
          <w:p>
            <w:pPr>
              <w:spacing w:after="0"/>
              <w:rPr>
                <w:sz w:val="1"/>
                <w:szCs w:val="1"/>
                <w:color w:val="auto"/>
              </w:rPr>
            </w:pPr>
          </w:p>
        </w:tc>
      </w:tr>
      <w:tr>
        <w:trPr>
          <w:trHeight w:val="206"/>
        </w:trPr>
        <w:tc>
          <w:tcPr>
            <w:tcW w:w="4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Tax reclassification of stockholders' equity in accordance</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60"/>
              <w:spacing w:after="0" w:line="216" w:lineRule="exact"/>
              <w:rPr>
                <w:sz w:val="20"/>
                <w:szCs w:val="20"/>
                <w:color w:val="auto"/>
              </w:rPr>
            </w:pPr>
            <w:r>
              <w:rPr>
                <w:rFonts w:ascii="Arial" w:cs="Arial" w:eastAsia="Arial" w:hAnsi="Arial"/>
                <w:sz w:val="15"/>
                <w:szCs w:val="15"/>
                <w:color w:val="auto"/>
              </w:rPr>
              <w:t xml:space="preserve">with GAAP </w:t>
            </w:r>
            <w:r>
              <w:rPr>
                <w:rFonts w:ascii="Arial" w:cs="Arial" w:eastAsia="Arial" w:hAnsi="Arial"/>
                <w:sz w:val="25"/>
                <w:szCs w:val="25"/>
                <w:color w:val="auto"/>
                <w:vertAlign w:val="superscript"/>
              </w:rPr>
              <w:t>(1)</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(3,397)</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47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 at December 31,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65,412,817</w:t>
            </w:r>
          </w:p>
        </w:tc>
        <w:tc>
          <w:tcPr>
            <w:tcW w:w="2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655</w:t>
            </w:r>
          </w:p>
        </w:tc>
        <w:tc>
          <w:tcPr>
            <w:tcW w:w="220" w:type="dxa"/>
            <w:vAlign w:val="bottom"/>
            <w:tcBorders>
              <w:bottom w:val="single" w:sz="8" w:color="CFF0FC"/>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89,080</w:t>
            </w:r>
          </w:p>
        </w:tc>
        <w:tc>
          <w:tcPr>
            <w:tcW w:w="220" w:type="dxa"/>
            <w:vAlign w:val="bottom"/>
            <w:tcBorders>
              <w:bottom w:val="single" w:sz="8" w:color="CFF0FC"/>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 (1,359</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991,919</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71,987</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1,063,202</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increase in net assets resulting from operations:</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Net investment income</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128,283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128,283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unrealized gains on investments and foreign</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currency translation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24,262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24,262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60" w:type="dxa"/>
            <w:vAlign w:val="bottom"/>
          </w:tcPr>
          <w:p>
            <w:pPr>
              <w:ind w:left="260"/>
              <w:spacing w:after="0"/>
              <w:rPr>
                <w:sz w:val="20"/>
                <w:szCs w:val="20"/>
                <w:color w:val="auto"/>
              </w:rPr>
            </w:pPr>
            <w:r>
              <w:rPr>
                <w:rFonts w:ascii="Arial" w:cs="Arial" w:eastAsia="Arial" w:hAnsi="Arial"/>
                <w:sz w:val="16"/>
                <w:szCs w:val="16"/>
                <w:color w:val="auto"/>
              </w:rPr>
              <w:t>Net realized gain on investments and foreign</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380"/>
              <w:spacing w:after="0"/>
              <w:rPr>
                <w:sz w:val="20"/>
                <w:szCs w:val="20"/>
                <w:color w:val="auto"/>
              </w:rPr>
            </w:pPr>
            <w:r>
              <w:rPr>
                <w:rFonts w:ascii="Arial" w:cs="Arial" w:eastAsia="Arial" w:hAnsi="Arial"/>
                <w:sz w:val="16"/>
                <w:szCs w:val="16"/>
                <w:color w:val="auto"/>
              </w:rPr>
              <w:t>currency transactions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Dividends to stockholders: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Stock issued in connection with dividend reinvestment plan</w:t>
            </w:r>
          </w:p>
        </w:tc>
        <w:tc>
          <w:tcPr>
            <w:tcW w:w="860" w:type="dxa"/>
            <w:vAlign w:val="bottom"/>
          </w:tcPr>
          <w:p>
            <w:pPr>
              <w:jc w:val="right"/>
              <w:spacing w:after="0"/>
              <w:rPr>
                <w:sz w:val="20"/>
                <w:szCs w:val="20"/>
                <w:color w:val="auto"/>
              </w:rPr>
            </w:pPr>
            <w:r>
              <w:rPr>
                <w:rFonts w:ascii="Arial" w:cs="Arial" w:eastAsia="Arial" w:hAnsi="Arial"/>
                <w:sz w:val="16"/>
                <w:szCs w:val="16"/>
                <w:color w:val="auto"/>
              </w:rPr>
              <w:t>1,111,774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 declared from distributable earnings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(119,623)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(119,623)</w:t>
            </w:r>
          </w:p>
        </w:tc>
        <w:tc>
          <w:tcPr>
            <w:tcW w:w="0" w:type="dxa"/>
            <w:vAlign w:val="bottom"/>
          </w:tcPr>
          <w:p>
            <w:pPr>
              <w:spacing w:after="0"/>
              <w:rPr>
                <w:sz w:val="1"/>
                <w:szCs w:val="1"/>
                <w:color w:val="auto"/>
              </w:rPr>
            </w:pPr>
          </w:p>
        </w:tc>
      </w:tr>
      <w:tr>
        <w:trPr>
          <w:trHeight w:val="203"/>
        </w:trPr>
        <w:tc>
          <w:tcPr>
            <w:tcW w:w="4760" w:type="dxa"/>
            <w:vAlign w:val="bottom"/>
          </w:tcPr>
          <w:p>
            <w:pPr>
              <w:ind w:left="140"/>
              <w:spacing w:after="0"/>
              <w:rPr>
                <w:sz w:val="20"/>
                <w:szCs w:val="20"/>
                <w:color w:val="auto"/>
              </w:rPr>
            </w:pPr>
            <w:r>
              <w:rPr>
                <w:rFonts w:ascii="Arial" w:cs="Arial" w:eastAsia="Arial" w:hAnsi="Arial"/>
                <w:sz w:val="16"/>
                <w:szCs w:val="16"/>
                <w:color w:val="auto"/>
              </w:rPr>
              <w:t>Tax reclassification of stockholders' equity in accordance</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with GAAP </w:t>
            </w:r>
            <w:r>
              <w:rPr>
                <w:rFonts w:ascii="Arial" w:cs="Arial" w:eastAsia="Arial" w:hAnsi="Arial"/>
                <w:sz w:val="25"/>
                <w:szCs w:val="25"/>
                <w:color w:val="auto"/>
                <w:vertAlign w:val="superscript"/>
              </w:rPr>
              <w:t>(1)</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(3,773)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2019</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66,524,591</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666</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89,080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5"/>
              </w:rPr>
              <w:t>$ (1,359</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3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1,009,270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110,720</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1,119,297</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Company’s tax year end is March 31</w:t>
      </w:r>
      <w:r>
        <w:rPr>
          <w:rFonts w:ascii="Arial" w:cs="Arial" w:eastAsia="Arial" w:hAnsi="Arial"/>
          <w:sz w:val="15"/>
          <w:szCs w:val="15"/>
          <w:color w:val="auto"/>
        </w:rPr>
        <w:t>st</w:t>
      </w:r>
      <w:r>
        <w:rPr>
          <w:rFonts w:ascii="Arial" w:cs="Arial" w:eastAsia="Arial" w:hAnsi="Arial"/>
          <w:sz w:val="18"/>
          <w:szCs w:val="18"/>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154,583</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119,017</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111,609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provided by (used) in operating activities:</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investments</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(18,323)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17,905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(17,758)</w:t>
            </w:r>
          </w:p>
        </w:tc>
        <w:tc>
          <w:tcPr>
            <w:tcW w:w="0" w:type="dxa"/>
            <w:vAlign w:val="bottom"/>
          </w:tcPr>
          <w:p>
            <w:pPr>
              <w:spacing w:after="0"/>
              <w:rPr>
                <w:sz w:val="1"/>
                <w:szCs w:val="1"/>
                <w:color w:val="auto"/>
              </w:rPr>
            </w:pPr>
          </w:p>
        </w:tc>
      </w:tr>
      <w:tr>
        <w:trPr>
          <w:trHeight w:val="215"/>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losses on foreign currency</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transactions</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(5,455)</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interest rate swaps</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(9,194)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losses on investments</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(1,888)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Net realized gains on foreign currency transactions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on interest rate swaps</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(16,565)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(23,315)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(29,606)</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Amortization of discount on debt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(1,118,116)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(838,206)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(1,027,978)</w:t>
            </w: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Proceeds from investments, net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38,043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34,593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103,599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on investments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583,927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789,384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922,473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Paid-in-kind interest</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(7,468)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(6,251)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(4,336)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(1,763)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 paid-in-kind</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Management fees payable to affiliate</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Incentive fees payable to affiliate</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(2,195)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Payable to affiliate</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(378,041)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Borrowings on debt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1,742,585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1,095,561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1,188,532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Repayments on debt</w:t>
            </w:r>
          </w:p>
        </w:tc>
        <w:tc>
          <w:tcPr>
            <w:tcW w:w="1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(1,255,169)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(1,178,959)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(1,171,592)</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(7,747)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(7,789)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15"/>
        </w:trPr>
        <w:tc>
          <w:tcPr>
            <w:tcW w:w="6400" w:type="dxa"/>
            <w:vAlign w:val="bottom"/>
          </w:tcPr>
          <w:p>
            <w:pPr>
              <w:spacing w:after="0"/>
              <w:rPr>
                <w:sz w:val="20"/>
                <w:szCs w:val="20"/>
                <w:color w:val="auto"/>
              </w:rPr>
            </w:pPr>
            <w:r>
              <w:rPr>
                <w:rFonts w:ascii="Arial" w:cs="Arial" w:eastAsia="Arial" w:hAnsi="Arial"/>
                <w:sz w:val="18"/>
                <w:szCs w:val="18"/>
                <w:color w:val="auto"/>
              </w:rPr>
              <w:t>Proceeds from issuance of common stock, net of offering and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underwriting costs</w:t>
            </w:r>
          </w:p>
        </w:tc>
        <w:tc>
          <w:tcPr>
            <w:tcW w:w="1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71,813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Dividends paid to stockholders</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(98,060)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(95,909)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(94,695)</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381,609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(115,283)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(81,677)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paid during the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41,132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34,370</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Excise taxes paid during the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3,445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Dividends declared during the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119,623</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113,946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21,135</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16,024</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10,158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18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9" w:name="page100"/>
    <w:bookmarkEnd w:id="99"/>
    <w:p>
      <w:pPr>
        <w:jc w:val="both"/>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77"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5"/>
        <w:spacing w:after="0" w:line="277"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140" w:firstLine="259"/>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December 31, 2019,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1"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59" w:lineRule="exact"/>
        <w:rPr>
          <w:sz w:val="20"/>
          <w:szCs w:val="20"/>
          <w:color w:val="auto"/>
        </w:rPr>
      </w:pPr>
    </w:p>
    <w:p>
      <w:pPr>
        <w:ind w:left="520" w:hanging="255"/>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17" w:lineRule="exact"/>
        <w:rPr>
          <w:rFonts w:ascii="Arial" w:cs="Arial" w:eastAsia="Arial" w:hAnsi="Arial"/>
          <w:sz w:val="18"/>
          <w:szCs w:val="18"/>
          <w:color w:val="auto"/>
        </w:rPr>
      </w:pPr>
    </w:p>
    <w:p>
      <w:pPr>
        <w:ind w:left="520" w:right="760" w:hanging="255"/>
        <w:spacing w:after="0" w:line="277"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0" w:name="page101"/>
    <w:bookmarkEnd w:id="100"/>
    <w:p>
      <w:pPr>
        <w:ind w:right="40"/>
        <w:spacing w:after="0" w:line="264" w:lineRule="auto"/>
        <w:rPr>
          <w:sz w:val="20"/>
          <w:szCs w:val="20"/>
          <w:color w:val="auto"/>
        </w:rPr>
      </w:pPr>
      <w:r>
        <w:rPr>
          <w:rFonts w:ascii="Arial" w:cs="Arial" w:eastAsia="Arial" w:hAnsi="Arial"/>
          <w:sz w:val="18"/>
          <w:szCs w:val="18"/>
          <w:color w:val="auto"/>
        </w:rPr>
        <w:t>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1" w:lineRule="exact"/>
        <w:rPr>
          <w:sz w:val="20"/>
          <w:szCs w:val="20"/>
          <w:color w:val="auto"/>
        </w:rPr>
      </w:pPr>
    </w:p>
    <w:p>
      <w:pPr>
        <w:ind w:right="26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 xml:space="preserve">The Company recognizes all derivative instruments as assets or liabilities at fair value in its consolidated financial statements, pursuant to ASC 815 </w:t>
      </w:r>
      <w:r>
        <w:rPr>
          <w:rFonts w:ascii="Arial" w:cs="Arial" w:eastAsia="Arial" w:hAnsi="Arial"/>
          <w:sz w:val="16"/>
          <w:szCs w:val="16"/>
          <w:i w:val="1"/>
          <w:iCs w:val="1"/>
          <w:color w:val="auto"/>
        </w:rPr>
        <w:t>Derivatives and Hedgin</w:t>
      </w:r>
      <w:r>
        <w:rPr>
          <w:rFonts w:ascii="Arial" w:cs="Arial" w:eastAsia="Arial" w:hAnsi="Arial"/>
          <w:sz w:val="16"/>
          <w:szCs w:val="16"/>
          <w:color w:val="auto"/>
        </w:rPr>
        <w:t>g, further clarified by the FASB’s issuance of the Accounting Standards Update (“ASU”) No. 2017-12,</w:t>
      </w:r>
      <w:r>
        <w:rPr>
          <w:rFonts w:ascii="Arial" w:cs="Arial" w:eastAsia="Arial" w:hAnsi="Arial"/>
          <w:sz w:val="16"/>
          <w:szCs w:val="16"/>
          <w:i w:val="1"/>
          <w:iCs w:val="1"/>
          <w:color w:val="auto"/>
        </w:rPr>
        <w:t xml:space="preserve"> Derivatives and Hedging</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w:t>
      </w:r>
    </w:p>
    <w:p>
      <w:pPr>
        <w:spacing w:after="0" w:line="165"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5"/>
        <w:spacing w:after="0" w:line="277"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60" w:hanging="255"/>
        <w:spacing w:after="0" w:line="277"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40" w:firstLine="259"/>
        <w:spacing w:after="0" w:line="29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1" w:name="page102"/>
    <w:bookmarkEnd w:id="101"/>
    <w:p>
      <w:pPr>
        <w:ind w:right="22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obligation.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180" w:firstLine="259"/>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6"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117"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8"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2019, the Company did not have any uncertain tax positions that met the recognition or measurement criteria, nor did the Company have any unrecognized tax benefits. The Company’s 2018, 2017 and 2016 tax year returns remain subject to examination by the relevant federal, state, and local tax authorities.</w:t>
      </w:r>
    </w:p>
    <w:p>
      <w:pPr>
        <w:spacing w:after="0" w:line="178" w:lineRule="exact"/>
        <w:rPr>
          <w:sz w:val="20"/>
          <w:szCs w:val="20"/>
          <w:color w:val="auto"/>
        </w:rPr>
      </w:pPr>
    </w:p>
    <w:p>
      <w:pPr>
        <w:ind w:right="20" w:firstLine="259"/>
        <w:spacing w:after="0" w:line="279" w:lineRule="auto"/>
        <w:rPr>
          <w:sz w:val="20"/>
          <w:szCs w:val="20"/>
          <w:color w:val="auto"/>
        </w:rPr>
      </w:pPr>
      <w:r>
        <w:rPr>
          <w:rFonts w:ascii="Arial" w:cs="Arial" w:eastAsia="Arial" w:hAnsi="Arial"/>
          <w:sz w:val="17"/>
          <w:szCs w:val="17"/>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71"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For the calendar years ended December 31, 2019, 2018 and 2017 we recorded a net expense of $3.8 million, $3.4 million and $2.8 million, respectively, for U.S. federal excise tax.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60" w:firstLine="259"/>
        <w:spacing w:after="0" w:line="308" w:lineRule="auto"/>
        <w:rPr>
          <w:sz w:val="20"/>
          <w:szCs w:val="20"/>
          <w:color w:val="auto"/>
        </w:rPr>
      </w:pPr>
      <w:r>
        <w:rPr>
          <w:rFonts w:ascii="Arial" w:cs="Arial" w:eastAsia="Arial" w:hAnsi="Arial"/>
          <w:sz w:val="17"/>
          <w:szCs w:val="17"/>
          <w:color w:val="auto"/>
        </w:rPr>
        <w:t>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47" w:lineRule="exact"/>
        <w:rPr>
          <w:sz w:val="20"/>
          <w:szCs w:val="20"/>
          <w:color w:val="auto"/>
        </w:rPr>
      </w:pPr>
    </w:p>
    <w:p>
      <w:pPr>
        <w:ind w:right="20"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and Regulatory Updates</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In May 2014, the Financial Accounting Standards Board issued Accounting Standards Update 2014-09 (“ASU 2014-09”), “Revenue from Contracts with Customers (Topic 606).” The guidance in this ASU supersedes 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were effective for public companies for interim and annual periods in fiscal years beginning after December 15, 2017. The Company’s adoption of this guidance did not have a material impact on the Company’s financial position, results of operations, cash flows or notes to the consolidated financial statements.</w:t>
      </w:r>
    </w:p>
    <w:p>
      <w:pPr>
        <w:spacing w:after="0" w:line="178" w:lineRule="exact"/>
        <w:rPr>
          <w:sz w:val="20"/>
          <w:szCs w:val="20"/>
          <w:color w:val="auto"/>
        </w:rPr>
      </w:pPr>
    </w:p>
    <w:p>
      <w:pPr>
        <w:ind w:firstLine="259"/>
        <w:spacing w:after="0" w:line="284" w:lineRule="auto"/>
        <w:rPr>
          <w:sz w:val="20"/>
          <w:szCs w:val="20"/>
          <w:color w:val="auto"/>
        </w:rPr>
      </w:pPr>
      <w:r>
        <w:rPr>
          <w:rFonts w:ascii="Arial" w:cs="Arial" w:eastAsia="Arial" w:hAnsi="Arial"/>
          <w:sz w:val="16"/>
          <w:szCs w:val="16"/>
          <w:color w:val="auto"/>
        </w:rPr>
        <w:t>In August 2018, the Securities and Exchange Commission (the “SEC”) adopted the final rule under SEC Release No. 33-10532, Disclosure Update and Simplification amending certain disclosure requirements that were redundant, duplicative, overlapping, outdated or superseded. The amendments are intended to facilitate the disclosure of information to investors and simplify compliance. The SEC Release requires presentation changes to the Company's Consolidated Balance Sheets and Consolidated Statements of Changes in Net Assets. The final rule is effective for all filings on or after November 5, 2018. The Company has adopted the SEC guidance in the current annual period. In accordance with previous SEC rules, the Company had presented distributable earnings on the Consolidated Balance Sheet, as three components: 1) undistributed net investment income; 2) net unrealized gains (losses) on investments and</w:t>
      </w:r>
    </w:p>
    <w:p>
      <w:pPr>
        <w:spacing w:after="0" w:line="5" w:lineRule="exact"/>
        <w:rPr>
          <w:sz w:val="20"/>
          <w:szCs w:val="20"/>
          <w:color w:val="auto"/>
        </w:rPr>
      </w:pPr>
    </w:p>
    <w:p>
      <w:pPr>
        <w:ind w:right="60" w:firstLine="8"/>
        <w:spacing w:after="0" w:line="254" w:lineRule="auto"/>
        <w:tabs>
          <w:tab w:leader="none" w:pos="1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net realized gains (losses) on investments and presented dividends from distributable earnings on the Consolidated Statements of Changes in Net Assets as two components: 1) dividends declared from net investment income; and 2) dividends declared from realized gains. In accordance with the SEC release, distributable earnings and dividends from distributable earnings are shown in total on the Consolidated Balance Sheets and Consolidated Statements of Changes in Net Assets, respectively. The changes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03" w:name="page104"/>
    <w:bookmarkEnd w:id="103"/>
    <w:p>
      <w:pPr>
        <w:spacing w:after="0" w:line="277" w:lineRule="auto"/>
        <w:rPr>
          <w:sz w:val="20"/>
          <w:szCs w:val="20"/>
          <w:color w:val="auto"/>
        </w:rPr>
      </w:pPr>
      <w:r>
        <w:rPr>
          <w:rFonts w:ascii="Arial" w:cs="Arial" w:eastAsia="Arial" w:hAnsi="Arial"/>
          <w:sz w:val="18"/>
          <w:szCs w:val="18"/>
          <w:color w:val="auto"/>
        </w:rPr>
        <w:t>in presentation have been retrospectively applied to the Consolidated Balance Sheets as of December 31, 2017 and to the Consolidated Statements of Changes in Net Assets for the years ended December 30, 2017 and 2016.</w:t>
      </w:r>
    </w:p>
    <w:p>
      <w:pPr>
        <w:spacing w:after="0" w:line="170" w:lineRule="exact"/>
        <w:rPr>
          <w:sz w:val="20"/>
          <w:szCs w:val="20"/>
          <w:color w:val="auto"/>
        </w:rPr>
      </w:pPr>
    </w:p>
    <w:p>
      <w:pPr>
        <w:ind w:right="100" w:firstLine="259"/>
        <w:spacing w:after="0" w:line="255" w:lineRule="auto"/>
        <w:rPr>
          <w:sz w:val="20"/>
          <w:szCs w:val="20"/>
          <w:color w:val="auto"/>
        </w:rPr>
      </w:pPr>
      <w:r>
        <w:rPr>
          <w:rFonts w:ascii="Arial" w:cs="Arial" w:eastAsia="Arial" w:hAnsi="Arial"/>
          <w:sz w:val="18"/>
          <w:szCs w:val="18"/>
          <w:color w:val="auto"/>
        </w:rPr>
        <w:t>In August 2017, the Financial Accounting Standards Board issued Accounting Standards Update 2017-12 (“ASU 2017-12”) “Derivatives and Hedging (Topic 815), Targeted Improvements to Accounting for Hedging Activities.” Among other things, the new guidance includes updates to the alignment of risk management activities and financial reporting, risk component hedging, accounting for the hedged item in fair value hedges of interest rate risk, recognition and presentation of the effects of hedging instruments, amounts excluded from the assessment of hedge effectiveness, and other simplifications of hedge accounting guidance. The amendments of ASU 2017-12 were effective for fiscal years beginning after December 15, 2018, and interim periods therein. The Company’s adoption of this guidance did not have a material impact on the Company’s financial position, results of operations, cash flows or notes to the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In August 2018, the Financial Accounting Standards Board issued Accounting Standards Update 2018-13 (“ASU 2018-13”) “Fair Value Measurement (Topic 820): Disclosure Framework – Changes to the Disclosure Requirements for Fair Value Measurement.” This guidance modifies the disclosure requirements on fair value measurements in ASC Topic 820, by eliminating, amending, and adding certain disclosure requirements. ASU 2018-13 is effective for financial statements issued for fiscal years beginning after December 15, 2019, including interim periods within those fiscal years. Early adoption is permitted for any period for which financial statements have not yet been issued or have not yet been made available for issuance. The Company is currently evaluating the impact, if any, of adopting this ASU on our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78" w:lineRule="exact"/>
        <w:rPr>
          <w:sz w:val="20"/>
          <w:szCs w:val="20"/>
          <w:color w:val="auto"/>
        </w:rPr>
      </w:pPr>
    </w:p>
    <w:p>
      <w:pPr>
        <w:ind w:right="360" w:firstLine="259"/>
        <w:spacing w:after="0" w:line="264"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color w:val="auto"/>
        </w:rPr>
        <w:t>In November 2019, the Board renewed the Administration Agreement. Unless earlier terminated as described below, the Administration Agreement will remain in effect until November 2020,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120" w:firstLine="259"/>
        <w:spacing w:after="0" w:line="29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Financial Officer, Chief Compliance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58"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For the years ended December 31, 2019, 2018 and 2017, the Company incurred expenses of $4.2 million, $3.4 million and $3.5 million, respectively, for administrative services payable to the Adviser under the terms of the Administration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4" w:name="page105"/>
    <w:bookmarkEnd w:id="104"/>
    <w:p>
      <w:pPr>
        <w:ind w:right="8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right="540" w:firstLine="259"/>
        <w:spacing w:after="0" w:line="277" w:lineRule="auto"/>
        <w:rPr>
          <w:sz w:val="20"/>
          <w:szCs w:val="20"/>
          <w:color w:val="auto"/>
        </w:rPr>
      </w:pPr>
      <w:r>
        <w:rPr>
          <w:rFonts w:ascii="Arial" w:cs="Arial" w:eastAsia="Arial" w:hAnsi="Arial"/>
          <w:sz w:val="18"/>
          <w:szCs w:val="18"/>
          <w:color w:val="auto"/>
        </w:rPr>
        <w:t>For the years ended December 31, 2019, 2018 and 2017, Management Fees (gross of waivers) were $30.1 million, $28.6 million and $24.3 million, respectively.</w:t>
      </w:r>
    </w:p>
    <w:p>
      <w:pPr>
        <w:spacing w:after="0" w:line="170"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The Adviser did not waive any Management Fees for the year ended December 31, 2019. For the years ended December 31, 2018 and 2017, Management Fees of less than $0.1 million were waived consisting solely of Management Fees attributable to the Company’s ownership of shares of common stock in Triangle Capital Corp. (the “TCAP Shares”). As of June 30, 2018 the Company had fully exited its position in the TCAP Shares. Any waived Management Fees are not subject to recoupment by the Adviser.</w:t>
      </w:r>
    </w:p>
    <w:p>
      <w:pPr>
        <w:spacing w:after="0" w:line="18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December 31, 2019, no Management Fees have been waived pursuant to the Leverage Waiver.</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120" w:hanging="255"/>
        <w:spacing w:after="0" w:line="291" w:lineRule="auto"/>
        <w:tabs>
          <w:tab w:leader="none" w:pos="5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9" w:lineRule="exact"/>
        <w:rPr>
          <w:rFonts w:ascii="Arial" w:cs="Arial" w:eastAsia="Arial" w:hAnsi="Arial"/>
          <w:sz w:val="16"/>
          <w:szCs w:val="16"/>
          <w:color w:val="auto"/>
        </w:rPr>
      </w:pPr>
    </w:p>
    <w:p>
      <w:pPr>
        <w:ind w:left="520" w:right="80"/>
        <w:spacing w:after="0" w:line="293" w:lineRule="auto"/>
        <w:rPr>
          <w:rFonts w:ascii="Arial" w:cs="Arial" w:eastAsia="Arial" w:hAnsi="Arial"/>
          <w:sz w:val="16"/>
          <w:szCs w:val="16"/>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56" w:lineRule="exact"/>
        <w:rPr>
          <w:rFonts w:ascii="Arial" w:cs="Arial" w:eastAsia="Arial" w:hAnsi="Arial"/>
          <w:sz w:val="16"/>
          <w:szCs w:val="16"/>
          <w:color w:val="auto"/>
        </w:rPr>
      </w:pPr>
    </w:p>
    <w:p>
      <w:pPr>
        <w:ind w:left="520" w:right="60" w:hanging="255"/>
        <w:spacing w:after="0" w:line="289" w:lineRule="auto"/>
        <w:tabs>
          <w:tab w:leader="none" w:pos="5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60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Section 205(b)(3) of the Investment Advisers Act of 1940, as amended, prohibits the Adviser from receiving the payment of fees on unrealized gains until those gains are realized, if ever. There can be no assurance that such unrealized gains will be realized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5" w:name="page106"/>
    <w:bookmarkEnd w:id="105"/>
    <w:p>
      <w:pPr>
        <w:ind w:right="120" w:firstLine="259"/>
        <w:spacing w:after="0" w:line="264" w:lineRule="auto"/>
        <w:rPr>
          <w:sz w:val="20"/>
          <w:szCs w:val="20"/>
          <w:color w:val="auto"/>
        </w:rPr>
      </w:pPr>
      <w:r>
        <w:rPr>
          <w:rFonts w:ascii="Arial" w:cs="Arial" w:eastAsia="Arial" w:hAnsi="Arial"/>
          <w:sz w:val="18"/>
          <w:szCs w:val="18"/>
          <w:color w:val="auto"/>
        </w:rPr>
        <w:t>For the years ended December 31, 2019, 2018 and 2017, Incentive Fees (gross of waivers) were $27.2 million, $30.5 million and $25.5 million, respectively, all of which were realized and payable to the Adviser. For the years ended December 31, 2019, 2018 and 2017, no Incentive Fees were accrued related to capital gains.</w:t>
      </w:r>
    </w:p>
    <w:p>
      <w:pPr>
        <w:spacing w:after="0" w:line="181" w:lineRule="exact"/>
        <w:rPr>
          <w:sz w:val="20"/>
          <w:szCs w:val="20"/>
          <w:color w:val="auto"/>
        </w:rPr>
      </w:pPr>
    </w:p>
    <w:p>
      <w:pPr>
        <w:ind w:right="260" w:firstLine="259"/>
        <w:spacing w:after="0" w:line="259" w:lineRule="auto"/>
        <w:rPr>
          <w:sz w:val="20"/>
          <w:szCs w:val="20"/>
          <w:color w:val="auto"/>
        </w:rPr>
      </w:pPr>
      <w:r>
        <w:rPr>
          <w:rFonts w:ascii="Arial" w:cs="Arial" w:eastAsia="Arial" w:hAnsi="Arial"/>
          <w:sz w:val="18"/>
          <w:szCs w:val="18"/>
          <w:color w:val="auto"/>
        </w:rPr>
        <w:t>The Adviser voluntarily waived the Incentive Fees attributable to pre-Incentive Fee net investment income accrued by the Company as a result of its ownership of the TCAP Shares. The Adviser did not waive any part of the Capital Gains Fee attributable to the Company’s ownership of the TCAP Shares and, accordingly, any realized capital gains or losses and unrealized capital losses with respect to the TCAP Shares were applied against the Company’s cumulative realized capital gains on which the Capital Gains Fee is calculated.</w:t>
      </w:r>
    </w:p>
    <w:p>
      <w:pPr>
        <w:spacing w:after="0" w:line="187"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The Adviser did not waive any Incentive Fees for the year ended December 31, 2019. For each of the years ended December 31, 2018 and 2017, Incentive Fees of less than $0.1 million were waived, respectively, consisting solely of Incentive Fees attributable to the Company’s ownership of the TCAP Shares.</w:t>
      </w:r>
    </w:p>
    <w:p>
      <w:pPr>
        <w:spacing w:after="0" w:line="124"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portfolio companies, including the TCAP Shares, the Adviser has not waived its right to receive any Management Fees or Incentive Fees payable pursuant to the Investment Advisory Agreement.</w:t>
      </w:r>
    </w:p>
    <w:p>
      <w:pPr>
        <w:spacing w:after="0" w:line="181" w:lineRule="exact"/>
        <w:rPr>
          <w:sz w:val="20"/>
          <w:szCs w:val="20"/>
          <w:color w:val="auto"/>
        </w:rPr>
      </w:pPr>
    </w:p>
    <w:p>
      <w:pPr>
        <w:ind w:right="340" w:firstLine="259"/>
        <w:spacing w:after="0" w:line="312" w:lineRule="auto"/>
        <w:rPr>
          <w:sz w:val="20"/>
          <w:szCs w:val="20"/>
          <w:color w:val="auto"/>
        </w:rPr>
      </w:pPr>
      <w:r>
        <w:rPr>
          <w:rFonts w:ascii="Arial" w:cs="Arial" w:eastAsia="Arial" w:hAnsi="Arial"/>
          <w:sz w:val="16"/>
          <w:szCs w:val="16"/>
          <w:color w:val="auto"/>
        </w:rPr>
        <w:t>In November 2019, the Board renewed the Investment Advisory Agreement. Unless earlier terminated as described below, the Investment Advisory Agreement will remain in effect until November 2020,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7"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40" w:firstLine="259"/>
        <w:spacing w:after="0" w:line="272"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consisted of the following at December 31, 2019 and 2018:</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2,134,071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2,166,207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87,559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63,113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2,238,037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2,245,928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2018</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1,642,015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1,653,907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1,716,400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1,705,969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60" w:hanging="512"/>
        <w:spacing w:after="0" w:line="277" w:lineRule="auto"/>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6" w:name="page107"/>
    <w:bookmarkEnd w:id="106"/>
    <w:p>
      <w:pPr>
        <w:ind w:left="260"/>
        <w:spacing w:after="0"/>
        <w:rPr>
          <w:sz w:val="20"/>
          <w:szCs w:val="20"/>
          <w:color w:val="auto"/>
        </w:rPr>
      </w:pPr>
      <w:r>
        <w:rPr>
          <w:rFonts w:ascii="Arial" w:cs="Arial" w:eastAsia="Arial" w:hAnsi="Arial"/>
          <w:sz w:val="18"/>
          <w:szCs w:val="18"/>
          <w:color w:val="auto"/>
        </w:rPr>
        <w:t>The industry composition of Investments at fair value at December 31, 2019 and 2018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Business services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Chemicals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Communications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9.2%</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Electronics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13.7%</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Healthcare</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Internet services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Marketing services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Office products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0.5%</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Real Estate</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Retail and consumer products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14.9%</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Transportation</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December 31, 2019 and 2018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15.8%</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South</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38.8%</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Australia</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Bermuda</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Canada</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jc w:val="both"/>
        <w:ind w:right="60" w:firstLine="259"/>
        <w:spacing w:after="0" w:line="312" w:lineRule="auto"/>
        <w:rPr>
          <w:sz w:val="20"/>
          <w:szCs w:val="20"/>
          <w:color w:val="auto"/>
        </w:rPr>
      </w:pPr>
      <w:r>
        <w:rPr>
          <w:rFonts w:ascii="Arial" w:cs="Arial" w:eastAsia="Arial" w:hAnsi="Arial"/>
          <w:sz w:val="16"/>
          <w:szCs w:val="16"/>
          <w:color w:val="auto"/>
        </w:rPr>
        <w:t>In January 2015, in connection with its 2019 Convertible Notes, the Company entered into two interest rate swap transactions, each with a $57.5 million notional amount. The Company received fixed rate interest at 4.50% and paid variable rate interest based on the three-month London Interbank Offered Rate (“LIBOR”) plus 2.86%. The swap transactions matured on December 15, 2019, matching the maturity date of the 2019 Convertible Notes.</w:t>
      </w:r>
    </w:p>
    <w:p>
      <w:pPr>
        <w:spacing w:after="0" w:line="147" w:lineRule="exact"/>
        <w:rPr>
          <w:sz w:val="20"/>
          <w:szCs w:val="20"/>
          <w:color w:val="auto"/>
        </w:rPr>
      </w:pPr>
    </w:p>
    <w:p>
      <w:pPr>
        <w:jc w:val="both"/>
        <w:ind w:firstLine="259"/>
        <w:spacing w:after="0" w:line="286" w:lineRule="auto"/>
        <w:rPr>
          <w:sz w:val="20"/>
          <w:szCs w:val="20"/>
          <w:color w:val="auto"/>
        </w:rPr>
      </w:pPr>
      <w:r>
        <w:rPr>
          <w:rFonts w:ascii="Arial" w:cs="Arial" w:eastAsia="Arial" w:hAnsi="Arial"/>
          <w:sz w:val="17"/>
          <w:szCs w:val="17"/>
          <w:color w:val="auto"/>
        </w:rPr>
        <w:t>In February 2017, in connection with the issuance of the 2022 Convertible Notes, the Company entered into an interest rate swap transaction with a $115 million notional amount. The Company receives fixed rate interest at 4.50% and pays variable rate interest based on the three-month LIBOR plus 2.37%. The swap transaction matures on August 1, 2022, matching the maturity date of the 2022 Convertible Notes.</w:t>
      </w:r>
    </w:p>
    <w:p>
      <w:pPr>
        <w:spacing w:after="0" w:line="166" w:lineRule="exact"/>
        <w:rPr>
          <w:sz w:val="20"/>
          <w:szCs w:val="20"/>
          <w:color w:val="auto"/>
        </w:rPr>
      </w:pPr>
    </w:p>
    <w:p>
      <w:pPr>
        <w:jc w:val="both"/>
        <w:ind w:right="360" w:firstLine="259"/>
        <w:spacing w:after="0" w:line="264" w:lineRule="auto"/>
        <w:rPr>
          <w:sz w:val="20"/>
          <w:szCs w:val="20"/>
          <w:color w:val="auto"/>
        </w:rPr>
      </w:pPr>
      <w:r>
        <w:rPr>
          <w:rFonts w:ascii="Arial" w:cs="Arial" w:eastAsia="Arial" w:hAnsi="Arial"/>
          <w:sz w:val="18"/>
          <w:szCs w:val="18"/>
          <w:color w:val="auto"/>
        </w:rPr>
        <w:t>In January 2018, in connection with the issuance of the 2023 Notes, the Company entered into an interest rate swap transaction with a $150.0 million notional amount. The Company receives fixed rate interest at 4.50% and pays variable rate interest based on three-month LIBOR plus 1.99%. The swap transaction matures on January 22, 2023, matching the maturity of the 2023 Notes.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07" w:name="page108"/>
    <w:bookmarkEnd w:id="107"/>
    <w:p>
      <w:pPr>
        <w:ind w:right="40" w:firstLine="259"/>
        <w:spacing w:after="0" w:line="259" w:lineRule="auto"/>
        <w:rPr>
          <w:sz w:val="20"/>
          <w:szCs w:val="20"/>
          <w:color w:val="auto"/>
        </w:rPr>
      </w:pPr>
      <w:r>
        <w:rPr>
          <w:rFonts w:ascii="Arial" w:cs="Arial" w:eastAsia="Arial" w:hAnsi="Arial"/>
          <w:sz w:val="18"/>
          <w:szCs w:val="18"/>
          <w:color w:val="auto"/>
        </w:rPr>
        <w:t>In June 2018, in connection with the reopening and issuance of additional 2022 Convertible Notes, the Company entered into two interest rate swap transactions with notional amounts of $50.0 million and $7.5 million, respectively. The Company receives fixed rate interest on each swap at 4.50%, and pays variable rate interest based on three-month LIBOR plus 1.59%, and 1.60%, respectively. The swap transactions mature on August 1, 2022, matching the maturity date of the 2022 Convertible Notes.</w:t>
      </w:r>
    </w:p>
    <w:p>
      <w:pPr>
        <w:spacing w:after="0" w:line="187"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June 2019, upon maturity of the original swap transaction on an existing fixed rate investment, the Company entered into an interest rate swap transaction with a $91.5 million notional amount. The Company receives three-month LIBOR and pays fixed rate interest at 1.97%. The swap transaction matures on June 25, 2020, matching the current expected repayment date of the investment.</w:t>
      </w:r>
    </w:p>
    <w:p>
      <w:pPr>
        <w:spacing w:after="0" w:line="181" w:lineRule="exact"/>
        <w:rPr>
          <w:sz w:val="20"/>
          <w:szCs w:val="20"/>
          <w:color w:val="auto"/>
        </w:rPr>
      </w:pPr>
    </w:p>
    <w:p>
      <w:pPr>
        <w:ind w:right="200" w:firstLine="259"/>
        <w:spacing w:after="0" w:line="312" w:lineRule="auto"/>
        <w:rPr>
          <w:sz w:val="20"/>
          <w:szCs w:val="20"/>
          <w:color w:val="auto"/>
        </w:rPr>
      </w:pPr>
      <w:r>
        <w:rPr>
          <w:rFonts w:ascii="Arial" w:cs="Arial" w:eastAsia="Arial" w:hAnsi="Arial"/>
          <w:sz w:val="16"/>
          <w:szCs w:val="16"/>
          <w:color w:val="auto"/>
        </w:rPr>
        <w:t>In August 2019, in connection with two fixed rate investments, the Company entered into two interest rate swap transactions with notional amounts of $11.7 million and $3.2 million, respectively. The Company receives three-month LIBOR and pays fixed rate interest at 1.47% and 1.36%, respectively. The swap transactions mature on July 30, 2021 and July 29, 2022, respectively, matching the current expected repayment dates of each investment.</w:t>
      </w:r>
    </w:p>
    <w:p>
      <w:pPr>
        <w:spacing w:after="0" w:line="14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In September 2019, in connection with the repayment of a fixed rate investment, the Company closed out of a $33.3 million notional amount interest rate swap transaction resulting in a realized gain of less than $0.1 million.</w:t>
      </w:r>
    </w:p>
    <w:p>
      <w:pPr>
        <w:spacing w:after="0" w:line="170"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In November 2019, in connection with the issuance of the 2024 Notes, the Company entered into an interest rate swap transaction with a $300.0 million notional amount. The Company receives fixed rate interest at 3.88% and pays variable rate interest based on three-month LIBOR plus 2.25%. The swap transaction matures on November 1, 2024, matching the maturity date of the 2024 Notes. The Company designated this interest rate swap as the hedging instrument in a hedge accounting relationship with the 2024 Notes.</w:t>
      </w:r>
    </w:p>
    <w:p>
      <w:pPr>
        <w:spacing w:after="0" w:line="18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The following tables present the amounts paid and received on the Company’s interest rate swap transactions for the year ended December 31, 2019 and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5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Maturity Date</w:t>
            </w:r>
          </w:p>
        </w:tc>
        <w:tc>
          <w:tcPr>
            <w:tcW w:w="220" w:type="dxa"/>
            <w:vAlign w:val="bottom"/>
          </w:tcPr>
          <w:p>
            <w:pPr>
              <w:spacing w:after="0"/>
              <w:rPr>
                <w:sz w:val="14"/>
                <w:szCs w:val="14"/>
                <w:color w:val="auto"/>
              </w:rPr>
            </w:pPr>
          </w:p>
        </w:tc>
        <w:tc>
          <w:tcPr>
            <w:tcW w:w="1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Notional Amount</w:t>
            </w:r>
          </w:p>
        </w:tc>
        <w:tc>
          <w:tcPr>
            <w:tcW w:w="36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7"/>
          </w:tcPr>
          <w:p>
            <w:pPr>
              <w:jc w:val="center"/>
              <w:ind w:left="733"/>
              <w:spacing w:after="0"/>
              <w:rPr>
                <w:sz w:val="20"/>
                <w:szCs w:val="20"/>
                <w:color w:val="auto"/>
              </w:rPr>
            </w:pPr>
            <w:r>
              <w:rPr>
                <w:rFonts w:ascii="Arial" w:cs="Arial" w:eastAsia="Arial" w:hAnsi="Arial"/>
                <w:sz w:val="14"/>
                <w:szCs w:val="14"/>
                <w:b w:val="1"/>
                <w:bCs w:val="1"/>
                <w:color w:val="auto"/>
                <w:w w:val="92"/>
              </w:rPr>
              <w:t>For the Year Ended December 31, 2019</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2"/>
          </w:tcPr>
          <w:p>
            <w:pPr>
              <w:jc w:val="right"/>
              <w:ind w:right="960"/>
              <w:spacing w:after="0" w:line="155" w:lineRule="exact"/>
              <w:rPr>
                <w:sz w:val="20"/>
                <w:szCs w:val="20"/>
                <w:color w:val="auto"/>
              </w:rPr>
            </w:pPr>
            <w:r>
              <w:rPr>
                <w:rFonts w:ascii="Arial" w:cs="Arial" w:eastAsia="Arial" w:hAnsi="Arial"/>
                <w:sz w:val="14"/>
                <w:szCs w:val="14"/>
                <w:b w:val="1"/>
                <w:bCs w:val="1"/>
                <w:color w:val="auto"/>
              </w:rPr>
              <w:t>Paid</w:t>
            </w:r>
          </w:p>
        </w:tc>
        <w:tc>
          <w:tcPr>
            <w:tcW w:w="300" w:type="dxa"/>
            <w:vAlign w:val="bottom"/>
          </w:tcPr>
          <w:p>
            <w:pPr>
              <w:spacing w:after="0"/>
              <w:rPr>
                <w:sz w:val="13"/>
                <w:szCs w:val="13"/>
                <w:color w:val="auto"/>
              </w:rPr>
            </w:pPr>
          </w:p>
        </w:tc>
        <w:tc>
          <w:tcPr>
            <w:tcW w:w="1580" w:type="dxa"/>
            <w:vAlign w:val="bottom"/>
            <w:gridSpan w:val="2"/>
          </w:tcPr>
          <w:p>
            <w:pPr>
              <w:jc w:val="center"/>
              <w:ind w:right="620"/>
              <w:spacing w:after="0" w:line="155" w:lineRule="exact"/>
              <w:rPr>
                <w:sz w:val="20"/>
                <w:szCs w:val="20"/>
                <w:color w:val="auto"/>
              </w:rPr>
            </w:pPr>
            <w:r>
              <w:rPr>
                <w:rFonts w:ascii="Arial" w:cs="Arial" w:eastAsia="Arial" w:hAnsi="Arial"/>
                <w:sz w:val="14"/>
                <w:szCs w:val="14"/>
                <w:b w:val="1"/>
                <w:bCs w:val="1"/>
                <w:color w:val="auto"/>
                <w:w w:val="91"/>
              </w:rPr>
              <w:t>Received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611"/>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(1)(2)</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6/27/2019</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(2)</w:t>
            </w:r>
          </w:p>
        </w:tc>
        <w:tc>
          <w:tcPr>
            <w:tcW w:w="1360" w:type="dxa"/>
            <w:vAlign w:val="bottom"/>
          </w:tcPr>
          <w:p>
            <w:pPr>
              <w:jc w:val="right"/>
              <w:spacing w:after="0"/>
              <w:rPr>
                <w:sz w:val="20"/>
                <w:szCs w:val="20"/>
                <w:color w:val="auto"/>
              </w:rPr>
            </w:pPr>
            <w:r>
              <w:rPr>
                <w:rFonts w:ascii="Arial" w:cs="Arial" w:eastAsia="Arial" w:hAnsi="Arial"/>
                <w:sz w:val="18"/>
                <w:szCs w:val="18"/>
                <w:color w:val="auto"/>
              </w:rPr>
              <w:t>12/15/2019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(6,210)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5,175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(2)</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(2,094)</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6/25/2020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91,500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(907)</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7/30/2021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7/29/2022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(5,613)</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(2,047)</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1/22/2023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(6,749)</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11/1/2024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(1,876)</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234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968,733</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(27,110)</w:t>
            </w: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340" w:hanging="512"/>
        <w:spacing w:after="0" w:line="258"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As of December 31, 2019 these interest rate swaps had either matured or been terminated due to repayment of the underlying investment or security.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5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Maturity Date</w:t>
            </w:r>
          </w:p>
        </w:tc>
        <w:tc>
          <w:tcPr>
            <w:tcW w:w="220" w:type="dxa"/>
            <w:vAlign w:val="bottom"/>
          </w:tcPr>
          <w:p>
            <w:pPr>
              <w:spacing w:after="0"/>
              <w:rPr>
                <w:sz w:val="14"/>
                <w:szCs w:val="14"/>
                <w:color w:val="auto"/>
              </w:rPr>
            </w:pPr>
          </w:p>
        </w:tc>
        <w:tc>
          <w:tcPr>
            <w:tcW w:w="1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Notional Amount</w:t>
            </w:r>
          </w:p>
        </w:tc>
        <w:tc>
          <w:tcPr>
            <w:tcW w:w="36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6"/>
          </w:tcPr>
          <w:p>
            <w:pPr>
              <w:jc w:val="right"/>
              <w:ind w:right="205"/>
              <w:spacing w:after="0"/>
              <w:rPr>
                <w:sz w:val="20"/>
                <w:szCs w:val="20"/>
                <w:color w:val="auto"/>
              </w:rPr>
            </w:pPr>
            <w:r>
              <w:rPr>
                <w:rFonts w:ascii="Arial" w:cs="Arial" w:eastAsia="Arial" w:hAnsi="Arial"/>
                <w:sz w:val="14"/>
                <w:szCs w:val="14"/>
                <w:b w:val="1"/>
                <w:bCs w:val="1"/>
                <w:color w:val="auto"/>
              </w:rPr>
              <w:t>For the Year Ended December 31, 2018</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2"/>
          </w:tcPr>
          <w:p>
            <w:pPr>
              <w:jc w:val="right"/>
              <w:ind w:right="960"/>
              <w:spacing w:after="0" w:line="155" w:lineRule="exact"/>
              <w:rPr>
                <w:sz w:val="20"/>
                <w:szCs w:val="20"/>
                <w:color w:val="auto"/>
              </w:rPr>
            </w:pPr>
            <w:r>
              <w:rPr>
                <w:rFonts w:ascii="Arial" w:cs="Arial" w:eastAsia="Arial" w:hAnsi="Arial"/>
                <w:sz w:val="14"/>
                <w:szCs w:val="14"/>
                <w:b w:val="1"/>
                <w:bCs w:val="1"/>
                <w:color w:val="auto"/>
              </w:rPr>
              <w:t>Paid</w:t>
            </w:r>
          </w:p>
        </w:tc>
        <w:tc>
          <w:tcPr>
            <w:tcW w:w="300" w:type="dxa"/>
            <w:vAlign w:val="bottom"/>
          </w:tcPr>
          <w:p>
            <w:pPr>
              <w:spacing w:after="0"/>
              <w:rPr>
                <w:sz w:val="13"/>
                <w:szCs w:val="13"/>
                <w:color w:val="auto"/>
              </w:rPr>
            </w:pPr>
          </w:p>
        </w:tc>
        <w:tc>
          <w:tcPr>
            <w:tcW w:w="128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Received</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612"/>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(1)(2)</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6/27/2019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91,500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(562)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12/15/2019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(5,815)</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1/10/2020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33,333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(2,792)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2,974</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(5,339)</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(1,065)</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1,188</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Interest rate swap</w:t>
            </w:r>
          </w:p>
        </w:tc>
        <w:tc>
          <w:tcPr>
            <w:tcW w:w="1360" w:type="dxa"/>
            <w:vAlign w:val="bottom"/>
          </w:tcPr>
          <w:p>
            <w:pPr>
              <w:jc w:val="right"/>
              <w:spacing w:after="0"/>
              <w:rPr>
                <w:sz w:val="20"/>
                <w:szCs w:val="20"/>
                <w:color w:val="auto"/>
              </w:rPr>
            </w:pPr>
            <w:r>
              <w:rPr>
                <w:rFonts w:ascii="Arial" w:cs="Arial" w:eastAsia="Arial" w:hAnsi="Arial"/>
                <w:sz w:val="18"/>
                <w:szCs w:val="18"/>
                <w:color w:val="auto"/>
              </w:rPr>
              <w:t>1/22/2023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(6,008)</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6,319</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654,833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360" w:hanging="512"/>
        <w:spacing w:after="0" w:line="258" w:lineRule="auto"/>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As of December 31, 2018 these interest rate swaps had either matured or been terminated due to repayment of the underlying investment or security.</w:t>
      </w:r>
    </w:p>
    <w:p>
      <w:pPr>
        <w:spacing w:after="0" w:line="234" w:lineRule="exact"/>
        <w:rPr>
          <w:sz w:val="20"/>
          <w:szCs w:val="20"/>
          <w:color w:val="auto"/>
        </w:rPr>
      </w:pPr>
    </w:p>
    <w:p>
      <w:pPr>
        <w:ind w:right="200" w:firstLine="259"/>
        <w:spacing w:after="0" w:line="257" w:lineRule="auto"/>
        <w:rPr>
          <w:sz w:val="20"/>
          <w:szCs w:val="20"/>
          <w:color w:val="auto"/>
        </w:rPr>
      </w:pPr>
      <w:r>
        <w:rPr>
          <w:rFonts w:ascii="Arial" w:cs="Arial" w:eastAsia="Arial" w:hAnsi="Arial"/>
          <w:sz w:val="18"/>
          <w:szCs w:val="18"/>
          <w:color w:val="auto"/>
        </w:rPr>
        <w:t>For the years ended December 31, 2019 and 2018, the Company recognized $9.2 million in unrealized gains and $1.7 million in unrealized losses, respectively, in net change in unrealized gains/(losses) on interest rate swaps in the consolidated statement of operations related to the swap transactions. As of December 31, 2019, the swap transactions had a fair value of $4.7 million which is netted against cash collateral on the Company’s consolidated balance sheet. As of December 31, 2018, the swap transactions had a fair value of ($2.7) million which is netted against restricted cash collateral on the Company’s consolidated balance sheet.</w:t>
      </w:r>
    </w:p>
    <w:p>
      <w:pPr>
        <w:spacing w:after="0" w:line="188" w:lineRule="exact"/>
        <w:rPr>
          <w:sz w:val="20"/>
          <w:szCs w:val="20"/>
          <w:color w:val="auto"/>
        </w:rPr>
      </w:pPr>
    </w:p>
    <w:p>
      <w:pPr>
        <w:ind w:right="180" w:firstLine="259"/>
        <w:spacing w:after="0" w:line="302"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54" w:lineRule="exact"/>
        <w:rPr>
          <w:sz w:val="20"/>
          <w:szCs w:val="20"/>
          <w:color w:val="auto"/>
        </w:rPr>
      </w:pPr>
    </w:p>
    <w:p>
      <w:pPr>
        <w:ind w:right="380" w:firstLine="259"/>
        <w:spacing w:after="0" w:line="259" w:lineRule="auto"/>
        <w:rPr>
          <w:sz w:val="20"/>
          <w:szCs w:val="20"/>
          <w:color w:val="auto"/>
        </w:rPr>
      </w:pPr>
      <w:r>
        <w:rPr>
          <w:rFonts w:ascii="Arial" w:cs="Arial" w:eastAsia="Arial" w:hAnsi="Arial"/>
          <w:sz w:val="18"/>
          <w:szCs w:val="18"/>
          <w:color w:val="auto"/>
        </w:rPr>
        <w:t>As of December 31, 2019, $9.3 million of cash is pledged as collateral under the Company’s derivative instruments and is included in restricted cash as a component of cash and cash equivalents on the Company’s consolidated balance sheet. The Company had $10.0 million of cash collateral posted as of December 31, 2018, of which $7.3 million is included in restricted cash as a component of cash and cash equivalents on the Company’s consolidated balance sheet.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December 31, 2019 and 2018:</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gridSpan w:val="7"/>
          </w:tcPr>
          <w:p>
            <w:pPr>
              <w:ind w:left="200"/>
              <w:spacing w:after="0"/>
              <w:rPr>
                <w:sz w:val="20"/>
                <w:szCs w:val="20"/>
                <w:color w:val="auto"/>
              </w:rPr>
            </w:pPr>
            <w:r>
              <w:rPr>
                <w:rFonts w:ascii="Arial" w:cs="Arial" w:eastAsia="Arial" w:hAnsi="Arial"/>
                <w:sz w:val="14"/>
                <w:szCs w:val="14"/>
                <w:b w:val="1"/>
                <w:bCs w:val="1"/>
                <w:color w:val="auto"/>
              </w:rPr>
              <w:t>Fair Value Hierarchy at December 31, 2019</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156"/>
        </w:trPr>
        <w:tc>
          <w:tcPr>
            <w:tcW w:w="39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60" w:type="dxa"/>
            <w:vAlign w:val="bottom"/>
            <w:tcBorders>
              <w:top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9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7,280</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2,158,927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2,166,207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9,911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9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9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investments at fair value</w:t>
            </w:r>
          </w:p>
        </w:tc>
        <w:tc>
          <w:tcPr>
            <w:tcW w:w="19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2,228,731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2,245,928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Interest rate swaps</w:t>
            </w:r>
          </w:p>
        </w:tc>
        <w:tc>
          <w:tcPr>
            <w:tcW w:w="1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9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2,228,731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2,250,672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980" w:type="dxa"/>
            <w:vAlign w:val="bottom"/>
          </w:tcPr>
          <w:p>
            <w:pPr>
              <w:spacing w:after="0"/>
              <w:rPr>
                <w:sz w:val="24"/>
                <w:szCs w:val="24"/>
                <w:color w:val="auto"/>
              </w:rPr>
            </w:pPr>
          </w:p>
        </w:tc>
        <w:tc>
          <w:tcPr>
            <w:tcW w:w="2820" w:type="dxa"/>
            <w:vAlign w:val="bottom"/>
            <w:gridSpan w:val="2"/>
          </w:tcPr>
          <w:p>
            <w:pPr>
              <w:jc w:val="right"/>
              <w:ind w:right="846"/>
              <w:spacing w:after="0"/>
              <w:rPr>
                <w:sz w:val="20"/>
                <w:szCs w:val="20"/>
                <w:color w:val="auto"/>
              </w:rPr>
            </w:pPr>
            <w:r>
              <w:rPr>
                <w:rFonts w:ascii="Arial" w:cs="Arial" w:eastAsia="Arial" w:hAnsi="Arial"/>
                <w:sz w:val="18"/>
                <w:szCs w:val="18"/>
                <w:color w:val="auto"/>
              </w:rPr>
              <w:t>F-29</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60" w:type="dxa"/>
            <w:vAlign w:val="bottom"/>
            <w:gridSpan w:val="8"/>
          </w:tcPr>
          <w:p>
            <w:pPr>
              <w:ind w:left="200"/>
              <w:spacing w:after="0"/>
              <w:rPr>
                <w:sz w:val="20"/>
                <w:szCs w:val="20"/>
                <w:color w:val="auto"/>
              </w:rPr>
            </w:pPr>
            <w:r>
              <w:rPr>
                <w:rFonts w:ascii="Arial" w:cs="Arial" w:eastAsia="Arial" w:hAnsi="Arial"/>
                <w:sz w:val="14"/>
                <w:szCs w:val="14"/>
                <w:b w:val="1"/>
                <w:bCs w:val="1"/>
                <w:color w:val="auto"/>
              </w:rPr>
              <w:t>Fair Value Hierarchy at December 31, 2018</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156"/>
        </w:trPr>
        <w:tc>
          <w:tcPr>
            <w:tcW w:w="59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1,628,037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1,653,907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43,234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45,444</w:t>
            </w:r>
          </w:p>
        </w:tc>
        <w:tc>
          <w:tcPr>
            <w:tcW w:w="100" w:type="dxa"/>
            <w:vAlign w:val="bottom"/>
          </w:tcPr>
          <w:p>
            <w:pPr>
              <w:spacing w:after="0"/>
              <w:rPr>
                <w:sz w:val="19"/>
                <w:szCs w:val="19"/>
                <w:color w:val="auto"/>
              </w:rPr>
            </w:pPr>
          </w:p>
        </w:tc>
      </w:tr>
      <w:tr>
        <w:trPr>
          <w:trHeight w:val="223"/>
        </w:trPr>
        <w:tc>
          <w:tcPr>
            <w:tcW w:w="59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 at fair value</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1,677,889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1,705,969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(2,663)</w:t>
            </w:r>
          </w:p>
        </w:tc>
      </w:tr>
      <w:tr>
        <w:trPr>
          <w:trHeight w:val="223"/>
        </w:trPr>
        <w:tc>
          <w:tcPr>
            <w:tcW w:w="59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1,677,889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1,703,306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2019 and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2"/>
              </w:rPr>
              <w:t>As of and for the Year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2019</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2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First-lien debt</w:t>
            </w: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Second-lien</w:t>
            </w:r>
          </w:p>
        </w:tc>
        <w:tc>
          <w:tcPr>
            <w:tcW w:w="120" w:type="dxa"/>
            <w:vAlign w:val="bottom"/>
          </w:tcPr>
          <w:p>
            <w:pPr>
              <w:spacing w:after="0"/>
              <w:rPr>
                <w:sz w:val="11"/>
                <w:szCs w:val="11"/>
                <w:color w:val="auto"/>
              </w:rPr>
            </w:pPr>
          </w:p>
        </w:tc>
        <w:tc>
          <w:tcPr>
            <w:tcW w:w="11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Mezzanine debt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Equity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1,628,037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43,234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1,677,889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1,076,667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1,097,888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(578,764)</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(10,238)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(589,798)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(4,617)</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(6,693)</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2,158,927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2,228,731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2"/>
              </w:rPr>
              <w:t>As of and for the Year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2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First-lien debt</w:t>
            </w: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Second-lien</w:t>
            </w:r>
          </w:p>
        </w:tc>
        <w:tc>
          <w:tcPr>
            <w:tcW w:w="120" w:type="dxa"/>
            <w:vAlign w:val="bottom"/>
          </w:tcPr>
          <w:p>
            <w:pPr>
              <w:spacing w:after="0"/>
              <w:rPr>
                <w:sz w:val="11"/>
                <w:szCs w:val="11"/>
                <w:color w:val="auto"/>
              </w:rPr>
            </w:pPr>
          </w:p>
        </w:tc>
        <w:tc>
          <w:tcPr>
            <w:tcW w:w="11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Mezzanine debt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Equity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1,563,972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38,322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1,663,194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808,032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824,945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(726,497)</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(59,621)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(17,213)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(803,331)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(8,462)</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(12,796)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(20,043)</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(18,378)</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1,628,037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1,677,889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F-30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9" w:right="219" w:bottom="1440" w:gutter="0" w:footer="0" w:header="0"/>
        </w:sectPr>
      </w:pPr>
    </w:p>
    <w:bookmarkStart w:id="110" w:name="page111"/>
    <w:bookmarkEnd w:id="110"/>
    <w:p>
      <w:pPr>
        <w:ind w:right="300" w:firstLine="259"/>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gains or losses on investments for which Level 3 inputs were used in determining fair value that are still held by the Company at December 31, 2019 and 2018:</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Net Change in Unrealized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Change in Unrealized</w:t>
            </w: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Gains or (Losses)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Gains or (Losses)</w:t>
            </w: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 the 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 the Year Ended</w:t>
            </w: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 2019 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 2018 on</w:t>
            </w:r>
          </w:p>
        </w:tc>
      </w:t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Investments Held at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2018</w:t>
            </w:r>
          </w:p>
        </w:tc>
      </w:tr>
      <w:tr>
        <w:trPr>
          <w:trHeight w:val="223"/>
        </w:trPr>
        <w:tc>
          <w:tcPr>
            <w:tcW w:w="20" w:type="dxa"/>
            <w:vAlign w:val="bottom"/>
          </w:tcPr>
          <w:p>
            <w:pPr>
              <w:spacing w:after="0"/>
              <w:rPr>
                <w:sz w:val="19"/>
                <w:szCs w:val="19"/>
                <w:color w:val="auto"/>
              </w:rPr>
            </w:pPr>
          </w:p>
        </w:tc>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0" w:type="dxa"/>
            <w:vAlign w:val="bottom"/>
          </w:tcPr>
          <w:p>
            <w:pPr>
              <w:spacing w:after="0"/>
              <w:rPr>
                <w:sz w:val="19"/>
                <w:szCs w:val="19"/>
                <w:color w:val="auto"/>
              </w:rPr>
            </w:pPr>
          </w:p>
        </w:tc>
        <w:tc>
          <w:tcPr>
            <w:tcW w:w="19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4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(10,448)</w:t>
            </w:r>
          </w:p>
        </w:tc>
      </w:tr>
      <w:tr>
        <w:trPr>
          <w:trHeight w:val="223"/>
        </w:trPr>
        <w:tc>
          <w:tcPr>
            <w:tcW w:w="20" w:type="dxa"/>
            <w:vAlign w:val="bottom"/>
          </w:tcPr>
          <w:p>
            <w:pPr>
              <w:spacing w:after="0"/>
              <w:rPr>
                <w:sz w:val="19"/>
                <w:szCs w:val="19"/>
                <w:color w:val="auto"/>
              </w:rPr>
            </w:pPr>
          </w:p>
        </w:tc>
        <w:tc>
          <w:tcPr>
            <w:tcW w:w="48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following tables present the fair value of Level 3 Investments and the significant unobservable inputs used in the valuations as of December 31, 2019 and 2018. The tables are not intended to be all-inclusive, but instead capture the significant unobservable inputs relevant to the Company’s determination of fair values.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December 31, 2019</w:t>
            </w:r>
          </w:p>
        </w:tc>
        <w:tc>
          <w:tcPr>
            <w:tcW w:w="1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Valuation</w:t>
            </w:r>
          </w:p>
        </w:tc>
        <w:tc>
          <w:tcPr>
            <w:tcW w:w="19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Unobservable</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00" w:type="dxa"/>
            <w:vAlign w:val="bottom"/>
          </w:tcPr>
          <w:p>
            <w:pPr>
              <w:spacing w:after="0"/>
              <w:rPr>
                <w:sz w:val="11"/>
                <w:szCs w:val="11"/>
                <w:color w:val="auto"/>
              </w:rPr>
            </w:pPr>
          </w:p>
        </w:tc>
        <w:tc>
          <w:tcPr>
            <w:tcW w:w="1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860" w:type="dxa"/>
            <w:vAlign w:val="bottom"/>
          </w:tcPr>
          <w:p>
            <w:pPr>
              <w:jc w:val="right"/>
              <w:ind w:right="33"/>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920" w:type="dxa"/>
            <w:vAlign w:val="bottom"/>
            <w:gridSpan w:val="2"/>
          </w:tcPr>
          <w:p>
            <w:pPr>
              <w:ind w:left="580"/>
              <w:spacing w:after="0"/>
              <w:rPr>
                <w:sz w:val="20"/>
                <w:szCs w:val="20"/>
                <w:color w:val="auto"/>
              </w:rPr>
            </w:pPr>
            <w:r>
              <w:rPr>
                <w:rFonts w:ascii="Arial" w:cs="Arial" w:eastAsia="Arial" w:hAnsi="Arial"/>
                <w:sz w:val="14"/>
                <w:szCs w:val="14"/>
                <w:b w:val="1"/>
                <w:bCs w:val="1"/>
                <w:color w:val="auto"/>
              </w:rPr>
              <w:t>Technique</w:t>
            </w:r>
          </w:p>
        </w:tc>
        <w:tc>
          <w:tcPr>
            <w:tcW w:w="1960" w:type="dxa"/>
            <w:vAlign w:val="bottom"/>
            <w:gridSpan w:val="2"/>
          </w:tcPr>
          <w:p>
            <w:pPr>
              <w:ind w:left="740"/>
              <w:spacing w:after="0"/>
              <w:rPr>
                <w:sz w:val="20"/>
                <w:szCs w:val="20"/>
                <w:color w:val="auto"/>
              </w:rPr>
            </w:pPr>
            <w:r>
              <w:rPr>
                <w:rFonts w:ascii="Arial" w:cs="Arial" w:eastAsia="Arial" w:hAnsi="Arial"/>
                <w:sz w:val="14"/>
                <w:szCs w:val="14"/>
                <w:b w:val="1"/>
                <w:bCs w:val="1"/>
                <w:color w:val="auto"/>
              </w:rPr>
              <w:t>Input</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 to Input</w:t>
            </w: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$ 2,158,927</w:t>
            </w:r>
          </w:p>
        </w:tc>
        <w:tc>
          <w:tcPr>
            <w:tcW w:w="24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5.5% — 17.9% (10.0%)</w:t>
            </w:r>
          </w:p>
        </w:tc>
        <w:tc>
          <w:tcPr>
            <w:tcW w:w="10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860" w:type="dxa"/>
            <w:vAlign w:val="bottom"/>
          </w:tcPr>
          <w:p>
            <w:pPr>
              <w:jc w:val="right"/>
              <w:spacing w:after="0"/>
              <w:rPr>
                <w:sz w:val="20"/>
                <w:szCs w:val="20"/>
                <w:color w:val="auto"/>
              </w:rPr>
            </w:pPr>
            <w:r>
              <w:rPr>
                <w:rFonts w:ascii="Arial" w:cs="Arial" w:eastAsia="Arial" w:hAnsi="Arial"/>
                <w:sz w:val="18"/>
                <w:szCs w:val="18"/>
                <w:color w:val="auto"/>
              </w:rPr>
              <w:t>4,147</w:t>
            </w:r>
          </w:p>
        </w:tc>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Income approach</w:t>
            </w:r>
          </w:p>
        </w:tc>
        <w:tc>
          <w:tcPr>
            <w:tcW w:w="19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14.9% — 14.9% (14.9%)</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approach</w:t>
            </w:r>
          </w:p>
        </w:tc>
        <w:tc>
          <w:tcPr>
            <w:tcW w:w="1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16.4% — 16.4% (16.4%)</w:t>
            </w:r>
          </w:p>
        </w:tc>
        <w:tc>
          <w:tcPr>
            <w:tcW w:w="16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860" w:type="dxa"/>
            <w:vAlign w:val="bottom"/>
          </w:tcPr>
          <w:p>
            <w:pPr>
              <w:jc w:val="right"/>
              <w:spacing w:after="0"/>
              <w:rPr>
                <w:sz w:val="20"/>
                <w:szCs w:val="20"/>
                <w:color w:val="auto"/>
              </w:rPr>
            </w:pPr>
            <w:r>
              <w:rPr>
                <w:rFonts w:ascii="Arial" w:cs="Arial" w:eastAsia="Arial" w:hAnsi="Arial"/>
                <w:sz w:val="18"/>
                <w:szCs w:val="18"/>
                <w:color w:val="auto"/>
              </w:rPr>
              <w:t>63,107</w:t>
            </w:r>
          </w:p>
        </w:tc>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960" w:type="dxa"/>
            <w:vAlign w:val="bottom"/>
            <w:gridSpan w:val="2"/>
          </w:tcPr>
          <w:p>
            <w:pPr>
              <w:spacing w:after="0"/>
              <w:rPr>
                <w:sz w:val="20"/>
                <w:szCs w:val="20"/>
                <w:color w:val="auto"/>
              </w:rPr>
            </w:pPr>
            <w:r>
              <w:rPr>
                <w:rFonts w:ascii="Arial" w:cs="Arial" w:eastAsia="Arial" w:hAnsi="Arial"/>
                <w:sz w:val="18"/>
                <w:szCs w:val="18"/>
                <w:color w:val="auto"/>
              </w:rPr>
              <w:t>Comparable multiple</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3.0x — 14.5x (11.3x)</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$ 2,228,731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8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400" w:hanging="512"/>
        <w:spacing w:after="0" w:line="258" w:lineRule="auto"/>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$32.2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520" w:right="240" w:hanging="512"/>
        <w:spacing w:after="0" w:line="290" w:lineRule="auto"/>
        <w:tabs>
          <w:tab w:leader="none" w:pos="5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Includes $5.7 million of equity investments which were valued using a weighted valuation approach and $16.6 million of equity investments which, due to the proximity of the transactions relative to the measurement date, were valued using the cost of the investments.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December 31, 2018</w:t>
            </w:r>
          </w:p>
        </w:tc>
        <w:tc>
          <w:tcPr>
            <w:tcW w:w="1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Valuation</w:t>
            </w:r>
          </w:p>
        </w:tc>
        <w:tc>
          <w:tcPr>
            <w:tcW w:w="19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Unobservable</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00" w:type="dxa"/>
            <w:vAlign w:val="bottom"/>
          </w:tcPr>
          <w:p>
            <w:pPr>
              <w:spacing w:after="0"/>
              <w:rPr>
                <w:sz w:val="11"/>
                <w:szCs w:val="11"/>
                <w:color w:val="auto"/>
              </w:rPr>
            </w:pPr>
          </w:p>
        </w:tc>
        <w:tc>
          <w:tcPr>
            <w:tcW w:w="1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860" w:type="dxa"/>
            <w:vAlign w:val="bottom"/>
          </w:tcPr>
          <w:p>
            <w:pPr>
              <w:jc w:val="right"/>
              <w:ind w:right="33"/>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920" w:type="dxa"/>
            <w:vAlign w:val="bottom"/>
            <w:gridSpan w:val="2"/>
          </w:tcPr>
          <w:p>
            <w:pPr>
              <w:ind w:left="580"/>
              <w:spacing w:after="0"/>
              <w:rPr>
                <w:sz w:val="20"/>
                <w:szCs w:val="20"/>
                <w:color w:val="auto"/>
              </w:rPr>
            </w:pPr>
            <w:r>
              <w:rPr>
                <w:rFonts w:ascii="Arial" w:cs="Arial" w:eastAsia="Arial" w:hAnsi="Arial"/>
                <w:sz w:val="14"/>
                <w:szCs w:val="14"/>
                <w:b w:val="1"/>
                <w:bCs w:val="1"/>
                <w:color w:val="auto"/>
              </w:rPr>
              <w:t>Technique</w:t>
            </w:r>
          </w:p>
        </w:tc>
        <w:tc>
          <w:tcPr>
            <w:tcW w:w="1960" w:type="dxa"/>
            <w:vAlign w:val="bottom"/>
            <w:gridSpan w:val="2"/>
          </w:tcPr>
          <w:p>
            <w:pPr>
              <w:ind w:left="740"/>
              <w:spacing w:after="0"/>
              <w:rPr>
                <w:sz w:val="20"/>
                <w:szCs w:val="20"/>
                <w:color w:val="auto"/>
              </w:rPr>
            </w:pPr>
            <w:r>
              <w:rPr>
                <w:rFonts w:ascii="Arial" w:cs="Arial" w:eastAsia="Arial" w:hAnsi="Arial"/>
                <w:sz w:val="14"/>
                <w:szCs w:val="14"/>
                <w:b w:val="1"/>
                <w:bCs w:val="1"/>
                <w:color w:val="auto"/>
              </w:rPr>
              <w:t>Input</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 to Input</w:t>
            </w: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$ 1,628,037</w:t>
            </w:r>
          </w:p>
        </w:tc>
        <w:tc>
          <w:tcPr>
            <w:tcW w:w="24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6.8% — 15.8% (11.8%)</w:t>
            </w:r>
          </w:p>
        </w:tc>
        <w:tc>
          <w:tcPr>
            <w:tcW w:w="10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860" w:type="dxa"/>
            <w:vAlign w:val="bottom"/>
          </w:tcPr>
          <w:p>
            <w:pPr>
              <w:jc w:val="right"/>
              <w:spacing w:after="0"/>
              <w:rPr>
                <w:sz w:val="20"/>
                <w:szCs w:val="20"/>
                <w:color w:val="auto"/>
              </w:rPr>
            </w:pPr>
            <w:r>
              <w:rPr>
                <w:rFonts w:ascii="Arial" w:cs="Arial" w:eastAsia="Arial" w:hAnsi="Arial"/>
                <w:sz w:val="18"/>
                <w:szCs w:val="18"/>
                <w:color w:val="auto"/>
              </w:rPr>
              <w:t>4,137</w:t>
            </w:r>
          </w:p>
        </w:tc>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(2)</w:t>
            </w:r>
          </w:p>
        </w:tc>
        <w:tc>
          <w:tcPr>
            <w:tcW w:w="19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15.8% — 15.8% (15.8%)</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approach</w:t>
            </w:r>
          </w:p>
        </w:tc>
        <w:tc>
          <w:tcPr>
            <w:tcW w:w="1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16.4% — 16.4% (16.4%)</w:t>
            </w:r>
          </w:p>
        </w:tc>
        <w:tc>
          <w:tcPr>
            <w:tcW w:w="16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860" w:type="dxa"/>
            <w:vAlign w:val="bottom"/>
          </w:tcPr>
          <w:p>
            <w:pPr>
              <w:jc w:val="right"/>
              <w:spacing w:after="0"/>
              <w:rPr>
                <w:sz w:val="20"/>
                <w:szCs w:val="20"/>
                <w:color w:val="auto"/>
              </w:rPr>
            </w:pPr>
            <w:r>
              <w:rPr>
                <w:rFonts w:ascii="Arial" w:cs="Arial" w:eastAsia="Arial" w:hAnsi="Arial"/>
                <w:sz w:val="18"/>
                <w:szCs w:val="18"/>
                <w:color w:val="auto"/>
              </w:rPr>
              <w:t>43,234</w:t>
            </w:r>
          </w:p>
        </w:tc>
        <w:tc>
          <w:tcPr>
            <w:tcW w:w="2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(3)</w:t>
            </w:r>
          </w:p>
        </w:tc>
        <w:tc>
          <w:tcPr>
            <w:tcW w:w="1960" w:type="dxa"/>
            <w:vAlign w:val="bottom"/>
            <w:gridSpan w:val="2"/>
          </w:tcPr>
          <w:p>
            <w:pPr>
              <w:spacing w:after="0"/>
              <w:rPr>
                <w:sz w:val="20"/>
                <w:szCs w:val="20"/>
                <w:color w:val="auto"/>
              </w:rPr>
            </w:pPr>
            <w:r>
              <w:rPr>
                <w:rFonts w:ascii="Arial" w:cs="Arial" w:eastAsia="Arial" w:hAnsi="Arial"/>
                <w:sz w:val="18"/>
                <w:szCs w:val="18"/>
                <w:color w:val="auto"/>
              </w:rPr>
              <w:t>Comparable multiple</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3.0x — 13.2x (10.6x)</w:t>
            </w: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$ 1,677,889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8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400" w:hanging="512"/>
        <w:spacing w:after="0" w:line="258" w:lineRule="auto"/>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$19.7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520" w:right="280" w:hanging="512"/>
        <w:spacing w:after="0" w:line="250" w:lineRule="auto"/>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$0.8 million of second-lien debt investments which, due to the proximity of the transactions relative to the measurement date, were valued using the cost of the investments.</w:t>
      </w:r>
    </w:p>
    <w:p>
      <w:pPr>
        <w:ind w:left="520" w:right="20" w:hanging="512"/>
        <w:spacing w:after="0" w:line="290" w:lineRule="auto"/>
        <w:tabs>
          <w:tab w:leader="none" w:pos="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Includes $9.5 million of equity investments which were valued using a weighted valuation approach and $4.2 million of equity investments which, due to the proximity of the transactions relative to the measurement date, were valued using the cost of the investments.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1" w:name="page112"/>
    <w:bookmarkEnd w:id="111"/>
    <w:p>
      <w:pPr>
        <w:ind w:right="4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December 31, 2019, approximates its carrying value as the outstanding balance is callable at carrying value. The fair value of the Company’s 2022 Convertible Notes, 2023 Notes and 2024 Notes, which are categorized as Level 2 within the fair value hierarchy, as of December 31, 2019, was $640.1 million, based on broker quotes received by the Company. The aggregate principal amount of the Company’s 2022 Convertible Notes, 2023 Notes and 2024 Notes, as of December 31, 2019, was $622.5 million. The fair value of the Company’s Convertible Notes and 2023 Notes, as of December 31, 2018, was $428.9 million, based on broker quotes received by the Company. The aggregate principal amount of the Company’s Convertible Notes and 2023 Notes, as of December 31, 2018, was $437.5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the Convertible Notes, 2023 Notes and 2024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120" w:firstLine="259"/>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150% after such borrowing. As of December 31, 2019 and 2018, the Company’s asset coverage was 200.4% and 270.5%, respectively.</w:t>
      </w:r>
    </w:p>
    <w:p>
      <w:pPr>
        <w:spacing w:after="0" w:line="124"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On October 8, 2018, the Company’s stockholders approved the application of the minimum asset coverage ratio of 150% to the Company, as set forth in Section 61(a)(2) of the 1940 Act, as amended by the Small Business Credit Availability Act (the “SBCAA”). As a result and subject to certain additional disclosure requirements, as of October 9, 2018, the Company’s minimum asset coverage ratio was reduced from 200% to 150%. In other words, pursuant to Section 61(a) of the 1940 Act, as amended by the SBCAA, the Company is permitted to potentially increase its maximum debt-to-equity ratio from an effective level of one-to-one to two-to-one.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December 31, 2019 and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9"/>
              </w:rPr>
              <w:t>Outstanding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75"/>
              <w:spacing w:after="0"/>
              <w:rPr>
                <w:sz w:val="20"/>
                <w:szCs w:val="20"/>
                <w:color w:val="auto"/>
              </w:rPr>
            </w:pPr>
            <w:r>
              <w:rPr>
                <w:rFonts w:ascii="Arial" w:cs="Arial" w:eastAsia="Arial" w:hAnsi="Arial"/>
                <w:sz w:val="14"/>
                <w:szCs w:val="14"/>
                <w:b w:val="1"/>
                <w:bCs w:val="1"/>
                <w:color w:val="auto"/>
                <w:w w:val="99"/>
              </w:rPr>
              <w:t xml:space="preserve">Available </w:t>
            </w:r>
            <w:r>
              <w:rPr>
                <w:rFonts w:ascii="Arial" w:cs="Arial" w:eastAsia="Arial" w:hAnsi="Arial"/>
                <w:sz w:val="12"/>
                <w:szCs w:val="12"/>
                <w:b w:val="1"/>
                <w:bCs w:val="1"/>
                <w:color w:val="auto"/>
                <w:w w:val="99"/>
              </w:rPr>
              <w:t>(1)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(2)(3)</w:t>
            </w: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495,689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749,311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485,711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41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2024</w:t>
            </w:r>
          </w:p>
        </w:tc>
        <w:tc>
          <w:tcPr>
            <w:tcW w:w="41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1,867,500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1,118,189</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749,311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1,094,467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left="5540" w:right="20" w:hanging="5532"/>
        <w:spacing w:after="0" w:line="528" w:lineRule="auto"/>
        <w:tabs>
          <w:tab w:leader="none" w:pos="51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available may be subject to limitations related to the borrowing base under the Revolving Credit Facility and asset coverage requirements. 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2" w:name="page113"/>
    <w:bookmarkEnd w:id="112"/>
    <w:p>
      <w:pPr>
        <w:ind w:left="520" w:right="360" w:hanging="512"/>
        <w:spacing w:after="0" w:line="258" w:lineRule="auto"/>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2022 Convertible Notes, 2023 Notes, and 2024 Notes are presented net of deferred financing costs and original issue discounts of $10.0 million, $3.1 million, $2.0 million and $6.9 million, respectively.</w:t>
      </w:r>
    </w:p>
    <w:p>
      <w:pPr>
        <w:spacing w:after="0" w:line="1"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carrying value of the 2024 Notes is presented net of $1.8 million, which represents a change in the carrying value of the 2024 Notes resulting from a hedge accounting relationship.</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9"/>
              </w:rPr>
              <w:t>Outstanding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75"/>
              <w:spacing w:after="0"/>
              <w:rPr>
                <w:sz w:val="20"/>
                <w:szCs w:val="20"/>
                <w:color w:val="auto"/>
              </w:rPr>
            </w:pPr>
            <w:r>
              <w:rPr>
                <w:rFonts w:ascii="Arial" w:cs="Arial" w:eastAsia="Arial" w:hAnsi="Arial"/>
                <w:sz w:val="14"/>
                <w:szCs w:val="14"/>
                <w:b w:val="1"/>
                <w:bCs w:val="1"/>
                <w:color w:val="auto"/>
                <w:w w:val="99"/>
              </w:rPr>
              <w:t xml:space="preserve">Available </w:t>
            </w:r>
            <w:r>
              <w:rPr>
                <w:rFonts w:ascii="Arial" w:cs="Arial" w:eastAsia="Arial" w:hAnsi="Arial"/>
                <w:sz w:val="12"/>
                <w:szCs w:val="12"/>
                <w:b w:val="1"/>
                <w:bCs w:val="1"/>
                <w:color w:val="auto"/>
                <w:w w:val="99"/>
              </w:rPr>
              <w:t>(1)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187,543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752,457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41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41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1,377,500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625,043</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752,457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amount available may be subject to limitations related to the borrowing base under the Revolving Credit Facility and asset coverage requirements.</w:t>
      </w:r>
    </w:p>
    <w:p>
      <w:pPr>
        <w:spacing w:after="0" w:line="46" w:lineRule="exact"/>
        <w:rPr>
          <w:rFonts w:ascii="Arial" w:cs="Arial" w:eastAsia="Arial" w:hAnsi="Arial"/>
          <w:sz w:val="16"/>
          <w:szCs w:val="16"/>
          <w:color w:val="auto"/>
        </w:rPr>
      </w:pPr>
    </w:p>
    <w:p>
      <w:pPr>
        <w:ind w:left="520" w:right="360" w:hanging="512"/>
        <w:spacing w:after="0" w:line="261"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$8.7 million, $5.6 million and $2.7 million, respectively.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years ended December 31, 2019, 2018 and 2017, the components of interest expense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December 31, 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December 31, 2018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December 31, 2017</w:t>
            </w: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35,713</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22,933</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Commitment fees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2,041</w:t>
            </w:r>
          </w:p>
        </w:tc>
        <w:tc>
          <w:tcPr>
            <w:tcW w:w="180" w:type="dxa"/>
            <w:vAlign w:val="bottom"/>
          </w:tcPr>
          <w:p>
            <w:pPr>
              <w:spacing w:after="0"/>
              <w:rPr>
                <w:sz w:val="19"/>
                <w:szCs w:val="19"/>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w:t>
            </w:r>
          </w:p>
        </w:tc>
        <w:tc>
          <w:tcPr>
            <w:tcW w:w="180" w:type="dxa"/>
            <w:vAlign w:val="bottom"/>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9"/>
                <w:szCs w:val="19"/>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settlements</w:t>
            </w: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(1,379)</w:t>
            </w:r>
          </w:p>
        </w:tc>
      </w:tr>
      <w:tr>
        <w:trPr>
          <w:trHeight w:val="263"/>
        </w:trPr>
        <w:tc>
          <w:tcPr>
            <w:tcW w:w="4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0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49,110</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42,761</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27,441</w:t>
            </w:r>
          </w:p>
        </w:tc>
        <w:tc>
          <w:tcPr>
            <w:tcW w:w="180" w:type="dxa"/>
            <w:vAlign w:val="bottom"/>
            <w:tcBorders>
              <w:bottom w:val="single" w:sz="8" w:color="CFF0FC"/>
            </w:tcBorders>
          </w:tcPr>
          <w:p>
            <w:pPr>
              <w:spacing w:after="0"/>
              <w:rPr>
                <w:sz w:val="22"/>
                <w:szCs w:val="22"/>
                <w:color w:val="auto"/>
              </w:rPr>
            </w:pPr>
          </w:p>
        </w:tc>
      </w:tr>
      <w:tr>
        <w:trPr>
          <w:trHeight w:val="21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645.1</w:t>
            </w:r>
          </w:p>
        </w:tc>
        <w:tc>
          <w:tcPr>
            <w:tcW w:w="180" w:type="dxa"/>
            <w:vAlign w:val="bottom"/>
            <w:shd w:val="clear" w:color="auto" w:fill="CFF0FC"/>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81" w:lineRule="exact"/>
        <w:rPr>
          <w:sz w:val="20"/>
          <w:szCs w:val="20"/>
          <w:color w:val="auto"/>
        </w:rPr>
      </w:pPr>
    </w:p>
    <w:p>
      <w:pPr>
        <w:ind w:right="40" w:firstLine="259"/>
        <w:spacing w:after="0" w:line="312" w:lineRule="auto"/>
        <w:rPr>
          <w:sz w:val="20"/>
          <w:szCs w:val="20"/>
          <w:color w:val="auto"/>
        </w:rPr>
      </w:pPr>
      <w:r>
        <w:rPr>
          <w:rFonts w:ascii="Arial" w:cs="Arial" w:eastAsia="Arial" w:hAnsi="Arial"/>
          <w:sz w:val="16"/>
          <w:szCs w:val="16"/>
          <w:color w:val="auto"/>
        </w:rPr>
        <w:t>As of December 31 2019, aggregate commitments under the facility were $1,245 million. Pursuant to an amendment to the Revolving Credit Facility dated as of January 31, 2020 (the “Ninth Amendment”), the aggregate commitments under the facility were increased to $1,315 million. The facility includes an uncommitted accordion feature that allows the Company, under certain circumstances, to increase the size of the facility to up to $1,750 million.</w:t>
      </w:r>
    </w:p>
    <w:p>
      <w:pPr>
        <w:spacing w:after="0" w:line="147" w:lineRule="exact"/>
        <w:rPr>
          <w:sz w:val="20"/>
          <w:szCs w:val="20"/>
          <w:color w:val="auto"/>
        </w:rPr>
      </w:pPr>
    </w:p>
    <w:p>
      <w:pPr>
        <w:ind w:right="60" w:firstLine="259"/>
        <w:spacing w:after="0" w:line="342" w:lineRule="auto"/>
        <w:rPr>
          <w:sz w:val="20"/>
          <w:szCs w:val="20"/>
          <w:color w:val="auto"/>
        </w:rPr>
      </w:pPr>
      <w:r>
        <w:rPr>
          <w:rFonts w:ascii="Arial" w:cs="Arial" w:eastAsia="Arial" w:hAnsi="Arial"/>
          <w:sz w:val="16"/>
          <w:szCs w:val="16"/>
          <w:color w:val="auto"/>
        </w:rPr>
        <w:t>Pursuant to the Ninth Amendment, the revolving period, during which period the Company, subject to certain conditions, may make borrowings under the facility, was extended from February 14, 2023 to January 31, 2024 and the stated maturity date was extended from February 14, 2024 to January 31, 2025.</w:t>
      </w:r>
    </w:p>
    <w:p>
      <w:pPr>
        <w:spacing w:after="0" w:line="124"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December 31, 2019, the Company had outstanding debt denominated in Australian dollars (AUD) of 52.5 million, Canadian dollars (CAD) of 131.4 million, and Euro (EUR) of 7.6 million on its Revolving Credit Facility, included in the Outstanding Principal amount in the table above.</w:t>
      </w:r>
    </w:p>
    <w:p>
      <w:pPr>
        <w:spacing w:after="0" w:line="18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December 31, 2019 and December 31, 2018,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3" w:name="page114"/>
    <w:bookmarkEnd w:id="113"/>
    <w:p>
      <w:pPr>
        <w:ind w:firstLine="259"/>
        <w:spacing w:after="0" w:line="273"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8"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20" w:hanging="255"/>
        <w:spacing w:after="0"/>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20" w:right="20" w:hanging="255"/>
        <w:spacing w:after="0" w:line="264" w:lineRule="auto"/>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November 5, 2018;</w:t>
      </w:r>
    </w:p>
    <w:p>
      <w:pPr>
        <w:spacing w:after="0" w:line="117" w:lineRule="exact"/>
        <w:rPr>
          <w:rFonts w:ascii="Arial" w:cs="Arial" w:eastAsia="Arial" w:hAnsi="Arial"/>
          <w:sz w:val="18"/>
          <w:szCs w:val="18"/>
          <w:color w:val="auto"/>
        </w:rPr>
      </w:pPr>
    </w:p>
    <w:p>
      <w:pPr>
        <w:ind w:left="520" w:right="140" w:hanging="255"/>
        <w:spacing w:after="0" w:line="259" w:lineRule="auto"/>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20" w:right="240" w:hanging="255"/>
        <w:spacing w:after="0" w:line="342" w:lineRule="auto"/>
        <w:tabs>
          <w:tab w:leader="none" w:pos="5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Net proceeds received from the Company’s common stock issuance in March 2018 and net proceeds received from the issuance of the 2022 Convertible Notes, 2023 Notes and 2024 Notes were used to pay down borrowings on the Revolving Credit Facility.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2019, the Company was in compliance with the terms of the Revolving Credit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In June 2014, the Company issued in a private offering $115 million aggregate principal amount convertible notes due December 2019 (the “2019 Convertible Notes”). The 2019 Convertible Notes were issued in a private placement only to qualified institutional buyers pursuant to Rule 144A under the Securities Act. The 2019 Convertible Notes were unsecured, and bore interest at a rate of 4.50% per year, payable semiannually. The 2019 Convertible Notes matured on December 15, 2019 and were fully repaid in cash. The swap transaction associated with the issuance of the 2019 Convertible Notes also matured on December 15,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40" w:firstLine="259"/>
        <w:spacing w:after="0" w:line="270" w:lineRule="auto"/>
        <w:rPr>
          <w:sz w:val="20"/>
          <w:szCs w:val="20"/>
          <w:color w:val="auto"/>
        </w:rPr>
      </w:pPr>
      <w:r>
        <w:rPr>
          <w:rFonts w:ascii="Arial" w:cs="Arial" w:eastAsia="Arial" w:hAnsi="Arial"/>
          <w:sz w:val="17"/>
          <w:szCs w:val="17"/>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December 31, 2019, the estimated adjusted conversion price was approximately $20.66 per share of common stock. The sale of the 2022 Convertible Notes generated net proceeds of approximately $111.2 million. The Company used the net proceeds of the offering to pay down debt under the Revolving Credit Facility. In connection with the offering of 2022 Convertible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4" w:name="page115"/>
    <w:bookmarkEnd w:id="114"/>
    <w:p>
      <w:pPr>
        <w:ind w:right="20"/>
        <w:spacing w:after="0" w:line="264" w:lineRule="auto"/>
        <w:rPr>
          <w:sz w:val="20"/>
          <w:szCs w:val="20"/>
          <w:color w:val="auto"/>
        </w:rPr>
      </w:pPr>
      <w:r>
        <w:rPr>
          <w:rFonts w:ascii="Arial" w:cs="Arial" w:eastAsia="Arial" w:hAnsi="Arial"/>
          <w:sz w:val="18"/>
          <w:szCs w:val="18"/>
          <w:color w:val="auto"/>
        </w:rPr>
        <w:t>Notes, the Company has entered into an interest rate swap to continue to align the interest rates of its liabilities with its investment portfolio, which consists of predominately floating rate loans. As a result of the swap, the Company’s effective interest rate on the original issuance of 2022 Convertible Notes is three-month LIBOR plus 2.37%. See Note 5 for further information related to the Company’s interest rate swaps.</w:t>
      </w:r>
    </w:p>
    <w:p>
      <w:pPr>
        <w:spacing w:after="0" w:line="181"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In June 2018, the Company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entered into interest rate swaps to continue to align the interest rates of its liabilities with its investment portfolio, which consists of predominantly floating rate loans. As a result of the additional swaps, the Company’s effective interest rate on the additional 2022 Convertible Notes is approximately three-month LIBOR plus 1.60%. See Note 5 for further information related to the Company’s interest rate swaps.</w:t>
      </w:r>
    </w:p>
    <w:p>
      <w:pPr>
        <w:spacing w:after="0" w:line="178"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Holders may convert their 2022 Convertible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ind w:right="40" w:firstLine="259"/>
        <w:spacing w:after="0" w:line="276" w:lineRule="auto"/>
        <w:rPr>
          <w:sz w:val="20"/>
          <w:szCs w:val="20"/>
          <w:color w:val="auto"/>
        </w:rPr>
      </w:pPr>
      <w:r>
        <w:rPr>
          <w:rFonts w:ascii="Arial" w:cs="Arial" w:eastAsia="Arial" w:hAnsi="Arial"/>
          <w:sz w:val="17"/>
          <w:szCs w:val="17"/>
          <w:color w:val="auto"/>
        </w:rPr>
        <w:t>The 2022 Convertible Notes are the Company’s unsecured obligations and rank senior in right of payment to the Company’s future indebtedness that is expressly subordinated in right of payment to the 2022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years ended December 31, 2019, 2018, and 2017 the components of interest expense related to the Convertible Notes were as follows: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December 31, 2019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12,722</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120" w:type="dxa"/>
            <w:vAlign w:val="bottom"/>
            <w:shd w:val="clear" w:color="auto" w:fill="CFF0FC"/>
          </w:tcPr>
          <w:p>
            <w:pPr>
              <w:spacing w:after="0"/>
              <w:rPr>
                <w:sz w:val="19"/>
                <w:szCs w:val="19"/>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15,284</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12,001</w:t>
            </w:r>
          </w:p>
        </w:tc>
        <w:tc>
          <w:tcPr>
            <w:tcW w:w="1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Total interest expense in the table above does not include the effect of the interest rate swaps. During the years ended December 31, 2019, 2018 and 2017, the Company received $12.9 million, $11.7 million, and $9.9 million, respectively, and paid $14.2 million, $12.4 million, and $8.5 million, respectively, related to the quarterly settlement of its interest rate swaps. These net amounts are included in interest expense in the Company’s consolidated statements of operations.</w:t>
      </w:r>
    </w:p>
    <w:p>
      <w:pPr>
        <w:spacing w:after="0" w:line="18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As of December 31, 2019, the principal amount of the 2022 Convertible Notes was exceeded by the value of the underlying shares multiplied by the per share closing price of the Company’s common stock. However, the conditions required for conversion prior to maturity had not been satisfied. As of December 31, 2018, the principal amount of the Convertible Notes exceeded the value of the underlying shares multiplied by the per share closing price of the Company’s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5" w:name="page116"/>
    <w:bookmarkEnd w:id="115"/>
    <w:p>
      <w:pPr>
        <w:ind w:right="420" w:firstLine="259"/>
        <w:spacing w:after="0" w:line="277" w:lineRule="auto"/>
        <w:rPr>
          <w:sz w:val="20"/>
          <w:szCs w:val="20"/>
          <w:color w:val="auto"/>
        </w:rPr>
      </w:pPr>
      <w:r>
        <w:rPr>
          <w:rFonts w:ascii="Arial" w:cs="Arial" w:eastAsia="Arial" w:hAnsi="Arial"/>
          <w:sz w:val="18"/>
          <w:szCs w:val="18"/>
          <w:color w:val="auto"/>
        </w:rPr>
        <w:t>As of December 31, 2019 and December 31, 2018, the components of the carrying value of the Convertible Notes and the stated interest rate were as follows: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gridSpan w:val="7"/>
          </w:tcPr>
          <w:p>
            <w:pPr>
              <w:jc w:val="right"/>
              <w:ind w:right="1340"/>
              <w:spacing w:after="0"/>
              <w:rPr>
                <w:sz w:val="20"/>
                <w:szCs w:val="20"/>
                <w:color w:val="auto"/>
              </w:rPr>
            </w:pPr>
            <w:r>
              <w:rPr>
                <w:rFonts w:ascii="Arial" w:cs="Arial" w:eastAsia="Arial" w:hAnsi="Arial"/>
                <w:sz w:val="14"/>
                <w:szCs w:val="14"/>
                <w:b w:val="1"/>
                <w:bCs w:val="1"/>
                <w:color w:val="auto"/>
              </w:rPr>
              <w:t>December 31, 2019</w:t>
            </w:r>
          </w:p>
        </w:tc>
      </w:tr>
      <w:tr>
        <w:trPr>
          <w:trHeight w:val="146"/>
        </w:trPr>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58"/>
              <w:spacing w:after="0" w:line="147"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337"/>
              <w:spacing w:after="0" w:line="147"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r>
      <w:tr>
        <w:trPr>
          <w:trHeight w:val="149"/>
        </w:trPr>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Convertible</w:t>
            </w:r>
          </w:p>
        </w:tc>
      </w:tr>
      <w:tr>
        <w:trPr>
          <w:trHeight w:val="171"/>
        </w:trPr>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Notes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Notes</w:t>
            </w: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ind w:right="245"/>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(2,463)</w:t>
            </w:r>
          </w:p>
        </w:tc>
      </w:tr>
      <w:tr>
        <w:trPr>
          <w:trHeight w:val="263"/>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169,420</w:t>
            </w:r>
          </w:p>
        </w:tc>
        <w:tc>
          <w:tcPr>
            <w:tcW w:w="180" w:type="dxa"/>
            <w:vAlign w:val="bottom"/>
            <w:tcBorders>
              <w:bottom w:val="single" w:sz="8" w:color="CFF0FC"/>
            </w:tcBorders>
          </w:tcPr>
          <w:p>
            <w:pPr>
              <w:spacing w:after="0"/>
              <w:rPr>
                <w:sz w:val="22"/>
                <w:szCs w:val="22"/>
                <w:color w:val="auto"/>
              </w:rPr>
            </w:pPr>
          </w:p>
        </w:tc>
      </w:tr>
      <w:tr>
        <w:trPr>
          <w:trHeight w:val="21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r>
      <w:tr>
        <w:trPr>
          <w:trHeight w:val="378"/>
        </w:trPr>
        <w:tc>
          <w:tcPr>
            <w:tcW w:w="4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2018</w:t>
            </w:r>
          </w:p>
        </w:tc>
        <w:tc>
          <w:tcPr>
            <w:tcW w:w="1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6"/>
        </w:trPr>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238"/>
              <w:spacing w:after="0" w:line="147"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jc w:val="center"/>
              <w:ind w:right="337"/>
              <w:spacing w:after="0" w:line="147"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r>
      <w:tr>
        <w:trPr>
          <w:trHeight w:val="149"/>
        </w:trPr>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Convertible</w:t>
            </w:r>
          </w:p>
        </w:tc>
      </w:tr>
      <w:tr>
        <w:trPr>
          <w:trHeight w:val="171"/>
        </w:trPr>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Notes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Notes</w:t>
            </w: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300" w:type="dxa"/>
            <w:vAlign w:val="bottom"/>
            <w:tcBorders>
              <w:top w:val="single" w:sz="8" w:color="auto"/>
            </w:tcBorders>
            <w:gridSpan w:val="2"/>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(3,416)</w:t>
            </w:r>
          </w:p>
        </w:tc>
      </w:tr>
      <w:tr>
        <w:trPr>
          <w:trHeight w:val="263"/>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300" w:type="dxa"/>
            <w:vAlign w:val="bottom"/>
            <w:tcBorders>
              <w:top w:val="single" w:sz="8" w:color="auto"/>
              <w:bottom w:val="single" w:sz="8" w:color="auto"/>
            </w:tcBorders>
            <w:gridSpan w:val="2"/>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113,606</w:t>
            </w: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168,251</w:t>
            </w:r>
          </w:p>
        </w:tc>
        <w:tc>
          <w:tcPr>
            <w:tcW w:w="180" w:type="dxa"/>
            <w:vAlign w:val="bottom"/>
            <w:tcBorders>
              <w:bottom w:val="single" w:sz="8" w:color="CFF0FC"/>
            </w:tcBorders>
          </w:tcPr>
          <w:p>
            <w:pPr>
              <w:spacing w:after="0"/>
              <w:rPr>
                <w:sz w:val="22"/>
                <w:szCs w:val="22"/>
                <w:color w:val="auto"/>
              </w:rPr>
            </w:pPr>
          </w:p>
        </w:tc>
      </w:tr>
      <w:tr>
        <w:trPr>
          <w:trHeight w:val="21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4.50%</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r>
    </w:tbl>
    <w:p>
      <w:pPr>
        <w:spacing w:after="0" w:line="242"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was three month LIBOR plus 2.86% for the 2019 Convertible Notes, and three month LIBOR plus 2.11% (on a weighted average basis) for the 2022 Convertible Notes. Please see Note 5 for further information about the Company’s interest rate swaps.</w:t>
      </w:r>
    </w:p>
    <w:p>
      <w:pPr>
        <w:spacing w:after="0" w:line="181"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The indenture governing the 2022 Convertible Notes contains certain covenants, including covenants requiring the Company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December 31, 2019, and 2018 the Company was in compliance with the terms of the indenture governing the 2022 Convertible Notes.</w:t>
      </w:r>
    </w:p>
    <w:p>
      <w:pPr>
        <w:spacing w:after="0" w:line="154" w:lineRule="exact"/>
        <w:rPr>
          <w:sz w:val="20"/>
          <w:szCs w:val="20"/>
          <w:color w:val="auto"/>
        </w:rPr>
      </w:pPr>
    </w:p>
    <w:p>
      <w:pPr>
        <w:ind w:right="40" w:firstLine="259"/>
        <w:spacing w:after="0" w:line="289" w:lineRule="auto"/>
        <w:rPr>
          <w:sz w:val="20"/>
          <w:szCs w:val="20"/>
          <w:color w:val="auto"/>
        </w:rPr>
      </w:pPr>
      <w:r>
        <w:rPr>
          <w:rFonts w:ascii="Arial" w:cs="Arial" w:eastAsia="Arial" w:hAnsi="Arial"/>
          <w:sz w:val="16"/>
          <w:szCs w:val="16"/>
          <w:color w:val="auto"/>
        </w:rPr>
        <w:t>The 2022 Convertible Notes are accounted for in accordance with Accounting Standards Codification (“ASC”) 470-20. Upon conversion of any of the 2022 Convertible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 governing the 2022 Convertible Notes. The Company has determined that the embedded conversion options in the 2022 Convertible Notes are not required to be separately accounted for as a derivative under U.S. GAAP. In accounting for the 2022 Convertible Notes, the Company estimated at the time of issuance separate debt and equity components of the 2022 Convertible Notes. An original issue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88" w:lineRule="exact"/>
        <w:rPr>
          <w:sz w:val="20"/>
          <w:szCs w:val="20"/>
          <w:color w:val="auto"/>
        </w:rPr>
      </w:pPr>
    </w:p>
    <w:p>
      <w:pPr>
        <w:ind w:right="140" w:firstLine="259"/>
        <w:spacing w:after="0" w:line="286" w:lineRule="auto"/>
        <w:rPr>
          <w:sz w:val="20"/>
          <w:szCs w:val="20"/>
          <w:color w:val="auto"/>
        </w:rPr>
      </w:pPr>
      <w:r>
        <w:rPr>
          <w:rFonts w:ascii="Arial" w:cs="Arial" w:eastAsia="Arial" w:hAnsi="Arial"/>
          <w:sz w:val="17"/>
          <w:szCs w:val="17"/>
          <w:color w:val="auto"/>
        </w:rPr>
        <w:t>In connection with the 2023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2023 Notes is three-month LIBOR plus 1.99%. Please see Note 5 for further information about the Company’s interest rate swaps.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and offering costs, were $295.8 million. The Company used the net proceeds of the 2024 Notes to repay outstanding indebtedness under the Revolving Credit Facility.</w:t>
      </w:r>
    </w:p>
    <w:p>
      <w:pPr>
        <w:spacing w:after="0" w:line="188" w:lineRule="exact"/>
        <w:rPr>
          <w:sz w:val="20"/>
          <w:szCs w:val="20"/>
          <w:color w:val="auto"/>
        </w:rPr>
      </w:pPr>
    </w:p>
    <w:p>
      <w:pPr>
        <w:ind w:right="120" w:firstLine="259"/>
        <w:spacing w:after="0" w:line="273" w:lineRule="auto"/>
        <w:rPr>
          <w:sz w:val="20"/>
          <w:szCs w:val="20"/>
          <w:color w:val="auto"/>
        </w:rPr>
      </w:pPr>
      <w:r>
        <w:rPr>
          <w:rFonts w:ascii="Arial" w:cs="Arial" w:eastAsia="Arial" w:hAnsi="Arial"/>
          <w:sz w:val="17"/>
          <w:szCs w:val="17"/>
          <w:color w:val="auto"/>
        </w:rPr>
        <w:t>In connection with the 2024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2024 Notes is three-month LIBOR plus 2.25%. The interest expense related to the 2024 Notes is offset by proceeds received from the interest rate swap designated as a hedge. The swap adjusted interest expense is included as a component of interest expense on the Company’s Consolidated Statement of Operations. As of December 31, 2019 the effective hedge interest rate swap had a fair value of ($1.8) million, which is offset within interest expense by an equal, but opposite, fair value change for the hedged risk on the 2024 Notes.</w:t>
      </w:r>
    </w:p>
    <w:p>
      <w:pPr>
        <w:spacing w:after="0" w:line="17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On February 5, 2020, the Company issued $50.0 million aggregate principal amount of unsecured notes that mature on November 1, 2024 (the “Reopened 2024 Notes”). The Reopened 2024 Notes are a further issuance of, fungible with, rank equally in right of payment with and have the same terms (other than the issue date and the public offering price) as the initial issuance of 2024 Notes. Total proceeds from the issuance of the Reopened 2024 Notes, net of underwriting discounts and estimated offering costs, were approximately $50.1 million. The Company used the net proceeds of the 2024 Notes to repay outstanding indebtedness under the Revolving Credit Facility.</w:t>
      </w:r>
    </w:p>
    <w:p>
      <w:pPr>
        <w:spacing w:after="0" w:line="188"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In connection with the issuance of the Reopened 2024 Notes, the Company entered into an interest rate swap to continue to align the interest rates of its liabilities with the Company’s investment portfolio, which consists of predominantly floating rate loans. As a result of the swap, the Company’s effective interest rate on the Reopened 2024 Notes is three-month LIBOR plus 2.46%.</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years ended December 31, 2019 and 2018 the components of interest expense related to the 2023 Notes and 2024 Notes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259"/>
        <w:spacing w:after="0" w:line="279" w:lineRule="auto"/>
        <w:rPr>
          <w:sz w:val="20"/>
          <w:szCs w:val="20"/>
          <w:color w:val="auto"/>
        </w:rPr>
      </w:pPr>
      <w:r>
        <w:rPr>
          <w:rFonts w:ascii="Arial" w:cs="Arial" w:eastAsia="Arial" w:hAnsi="Arial"/>
          <w:sz w:val="17"/>
          <w:szCs w:val="17"/>
          <w:color w:val="auto"/>
        </w:rPr>
        <w:t>Total interest expense in the table above does not include the effect of the interest rate swaps related to the 2023 Notes and 2024 Notes. During the years ended December 31, 2019 and 2018, the Company received $8.5 million and $6.3 million, respectively, and paid $8.6 million and $6.0 million, respectively, related to the settlements of its interest rate swaps related to the Notes. These net amounts are included in interest expense in the Company’s consolidated statements of operations. Please see Note 5 for further information about the Company’s interest rate swaps.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2019, the components of the carrying value of the 2023 Notes and 2024 Notes and the stated interest rates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2019</w:t>
            </w:r>
          </w:p>
        </w:tc>
        <w:tc>
          <w:tcPr>
            <w:tcW w:w="1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2023 Notes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2024 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Change in fair value of an effective hedge</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value of debt</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Stated interest rate</w:t>
            </w: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4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2023 Notes and 2024 Notes is three month LIBOR plus 1.99% and 2.25%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17" w:name="page118"/>
    <w:bookmarkEnd w:id="117"/>
    <w:p>
      <w:pPr>
        <w:ind w:left="260"/>
        <w:spacing w:after="0"/>
        <w:rPr>
          <w:sz w:val="20"/>
          <w:szCs w:val="20"/>
          <w:color w:val="auto"/>
        </w:rPr>
      </w:pPr>
      <w:r>
        <w:rPr>
          <w:rFonts w:ascii="Arial" w:cs="Arial" w:eastAsia="Arial" w:hAnsi="Arial"/>
          <w:sz w:val="18"/>
          <w:szCs w:val="18"/>
          <w:color w:val="auto"/>
        </w:rPr>
        <w:t>As of December 31, 2018, the components of the carrying value of the 2023 Notes and the stated interest rate were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8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43"/>
        </w:trPr>
        <w:tc>
          <w:tcPr>
            <w:tcW w:w="472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84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147,343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000000"/>
          </w:tcPr>
          <w:p>
            <w:pPr>
              <w:spacing w:after="0" w:line="20" w:lineRule="exact"/>
              <w:rPr>
                <w:sz w:val="1"/>
                <w:szCs w:val="1"/>
                <w:color w:val="auto"/>
              </w:rPr>
            </w:pPr>
          </w:p>
        </w:tc>
        <w:tc>
          <w:tcPr>
            <w:tcW w:w="206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vMerge w:val="continue"/>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2023 Notes is three month LIBOR plus 1.99%.</w:t>
      </w:r>
    </w:p>
    <w:p>
      <w:pPr>
        <w:spacing w:after="0" w:line="170"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As of December 31, 2019 and December 31, 2018, the Company was in compliance with the terms of the indentures governing the 2023 Notes and 2024 Notes.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18" w:name="page119"/>
    <w:bookmarkEnd w:id="118"/>
    <w:p>
      <w:pPr>
        <w:ind w:left="260"/>
        <w:spacing w:after="0"/>
        <w:rPr>
          <w:sz w:val="20"/>
          <w:szCs w:val="20"/>
          <w:color w:val="auto"/>
        </w:rPr>
      </w:pPr>
      <w:r>
        <w:rPr>
          <w:rFonts w:ascii="Arial" w:cs="Arial" w:eastAsia="Arial" w:hAnsi="Arial"/>
          <w:sz w:val="16"/>
          <w:szCs w:val="16"/>
          <w:color w:val="auto"/>
        </w:rPr>
        <w:t>As of December 31, 2019 and December 31, 2018, the Company had the following commitments to fund investments in current portfolio companies: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50"/>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Alpha Midco, Inc. - Delayed Draw</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19,598</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AppStar Financial, LLC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AvidXchange, Inc.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BlueSnap, Inc.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Caris Life Sciences, Ltd.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ClearCompany, LLC - Delayed Draw</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Clinicient, Inc.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DaySmart Holdings, LLC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DaySmart Holdings, LLC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Dye &amp; Durham Corp.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Energy Alloys, LLC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Ferrellgas, L.P.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Frontline Technologies Group, LLC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9,377</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G Treasury SS, LLC - Delayed Draw</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Gainsight, Inc. - Delayed Draw</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Government Brands, LLC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Integration Appliance, Inc.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IntelePeer Holdings, Inc.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Kyriba Corp.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Kyriba Corp.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Lithium Technologies, LLC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3,959</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Lucidworks, Inc.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3,333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MD America Energy, LLC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Motus, LLC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5,619</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PageUp People, Ltd.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PayLease, LLC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3,333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PayScale Holdings, Inc.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PrimeRevenue, Inc.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6,250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ResMan, LLC - Delayed Draw</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ResMan, LLC - Revolver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Sovos Compliance, LLC - Delayed Draw</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TherapeuticsMD, Inc. - Delayed Draw A1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TherapeuticsMD, Inc. - Delayed Draw A2</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Valant Medical Solutions, Inc. - Delayed Draw</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Revolver</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7,778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187,014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As of December 31, 2019 and 2018, the Company did not have any unfunded commitments to fund investments to new borrowers that were not current portfolio companies as of such date.</w:t>
      </w:r>
    </w:p>
    <w:p>
      <w:pPr>
        <w:spacing w:after="0" w:line="170" w:lineRule="exact"/>
        <w:rPr>
          <w:sz w:val="20"/>
          <w:szCs w:val="20"/>
          <w:color w:val="auto"/>
        </w:rPr>
      </w:pPr>
    </w:p>
    <w:p>
      <w:pPr>
        <w:jc w:val="both"/>
        <w:ind w:right="60" w:firstLine="259"/>
        <w:spacing w:after="0" w:line="264"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2019 and 2018, management is not aware of any material pending or threatened litigation that would require accounting recognition or financial statement disclosure.</w:t>
      </w:r>
    </w:p>
    <w:p>
      <w:pPr>
        <w:spacing w:after="0" w:line="200" w:lineRule="exact"/>
        <w:rPr>
          <w:sz w:val="20"/>
          <w:szCs w:val="20"/>
          <w:color w:val="auto"/>
        </w:rPr>
      </w:pP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557" w:right="4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100" w:firstLine="259"/>
        <w:spacing w:after="0" w:line="286" w:lineRule="auto"/>
        <w:rPr>
          <w:sz w:val="20"/>
          <w:szCs w:val="20"/>
          <w:color w:val="auto"/>
        </w:rPr>
      </w:pPr>
      <w:r>
        <w:rPr>
          <w:rFonts w:ascii="Arial" w:cs="Arial" w:eastAsia="Arial" w:hAnsi="Arial"/>
          <w:sz w:val="17"/>
          <w:szCs w:val="17"/>
          <w:color w:val="auto"/>
        </w:rPr>
        <w:t>In March 2018, the Company issued a total of 3,750,000 shares of common stock at $17.45 per share. Net of underwriting fees and offering costs, the Company received total cash proceeds of $63.0 million. Subsequent to the offering the Company issued an additional 522,224 shares in April 2018 pursuant to the overallotment option granted to underwriters and received, net of underwriting fees, total cash proceeds of $8.8 million.</w:t>
      </w:r>
    </w:p>
    <w:p>
      <w:pPr>
        <w:spacing w:after="0" w:line="166"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year ended December 31, 2019 and 2018. All shares issued to stockholders in the tables below are newly issued shares.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3"/>
          </w:tcPr>
          <w:p>
            <w:pPr>
              <w:jc w:val="center"/>
              <w:ind w:left="1975"/>
              <w:spacing w:after="0"/>
              <w:rPr>
                <w:sz w:val="20"/>
                <w:szCs w:val="20"/>
                <w:color w:val="auto"/>
              </w:rPr>
            </w:pPr>
            <w:r>
              <w:rPr>
                <w:rFonts w:ascii="Arial" w:cs="Arial" w:eastAsia="Arial" w:hAnsi="Arial"/>
                <w:sz w:val="14"/>
                <w:szCs w:val="14"/>
                <w:b w:val="1"/>
                <w:bCs w:val="1"/>
                <w:color w:val="auto"/>
                <w:w w:val="93"/>
              </w:rPr>
              <w:t>Year Ended</w:t>
            </w: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540" w:type="dxa"/>
            <w:vAlign w:val="bottom"/>
            <w:tcBorders>
              <w:bottom w:val="single" w:sz="8" w:color="auto"/>
            </w:tcBorders>
            <w:gridSpan w:val="5"/>
          </w:tcPr>
          <w:p>
            <w:pPr>
              <w:jc w:val="center"/>
              <w:ind w:left="335"/>
              <w:spacing w:after="0"/>
              <w:rPr>
                <w:sz w:val="20"/>
                <w:szCs w:val="20"/>
                <w:color w:val="auto"/>
              </w:rPr>
            </w:pPr>
            <w:r>
              <w:rPr>
                <w:rFonts w:ascii="Arial" w:cs="Arial" w:eastAsia="Arial" w:hAnsi="Arial"/>
                <w:sz w:val="14"/>
                <w:szCs w:val="14"/>
                <w:b w:val="1"/>
                <w:bCs w:val="1"/>
                <w:color w:val="auto"/>
                <w:w w:val="91"/>
              </w:rPr>
              <w:t>December 31, 2019</w:t>
            </w:r>
          </w:p>
        </w:tc>
        <w:tc>
          <w:tcPr>
            <w:tcW w:w="1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98"/>
              </w:rPr>
              <w:t>Date</w:t>
            </w: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900" w:type="dxa"/>
            <w:vAlign w:val="bottom"/>
            <w:gridSpan w:val="3"/>
          </w:tcPr>
          <w:p>
            <w:pPr>
              <w:ind w:left="720"/>
              <w:spacing w:after="0"/>
              <w:rPr>
                <w:sz w:val="20"/>
                <w:szCs w:val="20"/>
                <w:color w:val="auto"/>
              </w:rPr>
            </w:pPr>
            <w:r>
              <w:rPr>
                <w:rFonts w:ascii="Arial" w:cs="Arial" w:eastAsia="Arial" w:hAnsi="Arial"/>
                <w:sz w:val="14"/>
                <w:szCs w:val="14"/>
                <w:b w:val="1"/>
                <w:bCs w:val="1"/>
                <w:color w:val="auto"/>
              </w:rPr>
              <w:t>Record Date</w:t>
            </w:r>
          </w:p>
        </w:tc>
        <w:tc>
          <w:tcPr>
            <w:tcW w:w="16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Shares Issued</w:t>
            </w:r>
          </w:p>
        </w:tc>
        <w:tc>
          <w:tcPr>
            <w:tcW w:w="178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6, 2018</w:t>
            </w:r>
          </w:p>
        </w:tc>
        <w:tc>
          <w:tcPr>
            <w:tcW w:w="3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2"/>
              </w:rPr>
              <w:t>Base</w:t>
            </w:r>
          </w:p>
        </w:tc>
        <w:tc>
          <w:tcPr>
            <w:tcW w:w="12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14, 2018</w:t>
            </w: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2019</w:t>
            </w:r>
          </w:p>
        </w:tc>
        <w:tc>
          <w:tcPr>
            <w:tcW w:w="14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212,818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February 20, 2019</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Supplemental</w:t>
            </w:r>
          </w:p>
        </w:tc>
        <w:tc>
          <w:tcPr>
            <w:tcW w:w="2900" w:type="dxa"/>
            <w:vAlign w:val="bottom"/>
            <w:gridSpan w:val="3"/>
          </w:tcPr>
          <w:p>
            <w:pPr>
              <w:jc w:val="right"/>
              <w:ind w:right="680"/>
              <w:spacing w:after="0"/>
              <w:rPr>
                <w:sz w:val="20"/>
                <w:szCs w:val="20"/>
                <w:color w:val="auto"/>
              </w:rPr>
            </w:pPr>
            <w:r>
              <w:rPr>
                <w:rFonts w:ascii="Arial" w:cs="Arial" w:eastAsia="Arial" w:hAnsi="Arial"/>
                <w:sz w:val="18"/>
                <w:szCs w:val="18"/>
                <w:color w:val="auto"/>
              </w:rPr>
              <w:t>February 28, 2019</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March 29, 2019</w:t>
            </w:r>
          </w:p>
        </w:tc>
        <w:tc>
          <w:tcPr>
            <w:tcW w:w="1680" w:type="dxa"/>
            <w:vAlign w:val="bottom"/>
          </w:tcPr>
          <w:p>
            <w:pPr>
              <w:jc w:val="right"/>
              <w:spacing w:after="0"/>
              <w:rPr>
                <w:sz w:val="20"/>
                <w:szCs w:val="20"/>
                <w:color w:val="auto"/>
              </w:rPr>
            </w:pPr>
            <w:r>
              <w:rPr>
                <w:rFonts w:ascii="Arial" w:cs="Arial" w:eastAsia="Arial" w:hAnsi="Arial"/>
                <w:sz w:val="18"/>
                <w:szCs w:val="18"/>
                <w:color w:val="auto"/>
              </w:rPr>
              <w:t>87,327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20, 2019</w:t>
            </w:r>
          </w:p>
        </w:tc>
        <w:tc>
          <w:tcPr>
            <w:tcW w:w="12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2"/>
              </w:rPr>
              <w:t>Base</w:t>
            </w:r>
          </w:p>
        </w:tc>
        <w:tc>
          <w:tcPr>
            <w:tcW w:w="290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March 15, 2019</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April 15, 2019</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May 2, 2019</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Supplemental</w:t>
            </w:r>
          </w:p>
        </w:tc>
        <w:tc>
          <w:tcPr>
            <w:tcW w:w="2900" w:type="dxa"/>
            <w:vAlign w:val="bottom"/>
            <w:gridSpan w:val="3"/>
          </w:tcPr>
          <w:p>
            <w:pPr>
              <w:jc w:val="right"/>
              <w:ind w:right="680"/>
              <w:spacing w:after="0"/>
              <w:rPr>
                <w:sz w:val="20"/>
                <w:szCs w:val="20"/>
                <w:color w:val="auto"/>
              </w:rPr>
            </w:pPr>
            <w:r>
              <w:rPr>
                <w:rFonts w:ascii="Arial" w:cs="Arial" w:eastAsia="Arial" w:hAnsi="Arial"/>
                <w:sz w:val="18"/>
                <w:szCs w:val="18"/>
                <w:color w:val="auto"/>
              </w:rPr>
              <w:t>May 31, 2019</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June 28, 2019</w:t>
            </w:r>
          </w:p>
        </w:tc>
        <w:tc>
          <w:tcPr>
            <w:tcW w:w="1680" w:type="dxa"/>
            <w:vAlign w:val="bottom"/>
          </w:tcPr>
          <w:p>
            <w:pPr>
              <w:jc w:val="right"/>
              <w:spacing w:after="0"/>
              <w:rPr>
                <w:sz w:val="20"/>
                <w:szCs w:val="20"/>
                <w:color w:val="auto"/>
              </w:rPr>
            </w:pPr>
            <w:r>
              <w:rPr>
                <w:rFonts w:ascii="Arial" w:cs="Arial" w:eastAsia="Arial" w:hAnsi="Arial"/>
                <w:sz w:val="18"/>
                <w:szCs w:val="18"/>
                <w:color w:val="auto"/>
              </w:rPr>
              <w:t>7,214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2, 2019</w:t>
            </w:r>
          </w:p>
        </w:tc>
        <w:tc>
          <w:tcPr>
            <w:tcW w:w="12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2"/>
              </w:rPr>
              <w:t>Base</w:t>
            </w:r>
          </w:p>
        </w:tc>
        <w:tc>
          <w:tcPr>
            <w:tcW w:w="290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June 14, 2019</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July 15, 2019</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232,427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July 31, 2019</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Supplemental</w:t>
            </w:r>
          </w:p>
        </w:tc>
        <w:tc>
          <w:tcPr>
            <w:tcW w:w="2900" w:type="dxa"/>
            <w:vAlign w:val="bottom"/>
            <w:gridSpan w:val="3"/>
          </w:tcPr>
          <w:p>
            <w:pPr>
              <w:jc w:val="right"/>
              <w:ind w:right="680"/>
              <w:spacing w:after="0"/>
              <w:rPr>
                <w:sz w:val="20"/>
                <w:szCs w:val="20"/>
                <w:color w:val="auto"/>
              </w:rPr>
            </w:pPr>
            <w:r>
              <w:rPr>
                <w:rFonts w:ascii="Arial" w:cs="Arial" w:eastAsia="Arial" w:hAnsi="Arial"/>
                <w:sz w:val="18"/>
                <w:szCs w:val="18"/>
                <w:color w:val="auto"/>
              </w:rPr>
              <w:t>August 30, 2019</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September 30, 2019</w:t>
            </w:r>
          </w:p>
        </w:tc>
        <w:tc>
          <w:tcPr>
            <w:tcW w:w="1680" w:type="dxa"/>
            <w:vAlign w:val="bottom"/>
          </w:tcPr>
          <w:p>
            <w:pPr>
              <w:jc w:val="right"/>
              <w:spacing w:after="0"/>
              <w:rPr>
                <w:sz w:val="20"/>
                <w:szCs w:val="20"/>
                <w:color w:val="auto"/>
              </w:rPr>
            </w:pPr>
            <w:r>
              <w:rPr>
                <w:rFonts w:ascii="Arial" w:cs="Arial" w:eastAsia="Arial" w:hAnsi="Arial"/>
                <w:sz w:val="18"/>
                <w:szCs w:val="18"/>
                <w:color w:val="auto"/>
              </w:rPr>
              <w:t>22,656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July 31, 2019</w:t>
            </w:r>
          </w:p>
        </w:tc>
        <w:tc>
          <w:tcPr>
            <w:tcW w:w="12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2"/>
              </w:rPr>
              <w:t>Base</w:t>
            </w:r>
          </w:p>
        </w:tc>
        <w:tc>
          <w:tcPr>
            <w:tcW w:w="290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September 13, 2019</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October 15, 2019</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November 5, 2019</w:t>
            </w:r>
          </w:p>
        </w:tc>
        <w:tc>
          <w:tcPr>
            <w:tcW w:w="122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89"/>
              </w:rPr>
              <w:t>Supplemental</w:t>
            </w:r>
          </w:p>
        </w:tc>
        <w:tc>
          <w:tcPr>
            <w:tcW w:w="2900" w:type="dxa"/>
            <w:vAlign w:val="bottom"/>
            <w:tcBorders>
              <w:bottom w:val="single" w:sz="8" w:color="CFF0FC"/>
            </w:tcBorders>
            <w:gridSpan w:val="3"/>
          </w:tcPr>
          <w:p>
            <w:pPr>
              <w:jc w:val="right"/>
              <w:ind w:right="680"/>
              <w:spacing w:after="0"/>
              <w:rPr>
                <w:sz w:val="20"/>
                <w:szCs w:val="20"/>
                <w:color w:val="auto"/>
              </w:rPr>
            </w:pPr>
            <w:r>
              <w:rPr>
                <w:rFonts w:ascii="Arial" w:cs="Arial" w:eastAsia="Arial" w:hAnsi="Arial"/>
                <w:sz w:val="18"/>
                <w:szCs w:val="18"/>
                <w:color w:val="auto"/>
              </w:rPr>
              <w:t>November 29, 2019</w:t>
            </w:r>
          </w:p>
        </w:tc>
        <w:tc>
          <w:tcPr>
            <w:tcW w:w="16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w w:val="92"/>
              </w:rPr>
              <w:t>December 31, 2019</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1,111,774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gridSpan w:val="3"/>
            <w:vMerge w:val="restart"/>
          </w:tcPr>
          <w:p>
            <w:pPr>
              <w:jc w:val="center"/>
              <w:ind w:left="1975"/>
              <w:spacing w:after="0"/>
              <w:rPr>
                <w:sz w:val="20"/>
                <w:szCs w:val="20"/>
                <w:color w:val="auto"/>
              </w:rPr>
            </w:pPr>
            <w:r>
              <w:rPr>
                <w:rFonts w:ascii="Arial" w:cs="Arial" w:eastAsia="Arial" w:hAnsi="Arial"/>
                <w:sz w:val="14"/>
                <w:szCs w:val="14"/>
                <w:b w:val="1"/>
                <w:bCs w:val="1"/>
                <w:color w:val="auto"/>
                <w:w w:val="93"/>
              </w:rPr>
              <w:t>Year Ended</w:t>
            </w: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540" w:type="dxa"/>
            <w:vAlign w:val="bottom"/>
            <w:tcBorders>
              <w:bottom w:val="single" w:sz="8" w:color="auto"/>
            </w:tcBorders>
            <w:gridSpan w:val="5"/>
          </w:tcPr>
          <w:p>
            <w:pPr>
              <w:jc w:val="center"/>
              <w:ind w:left="335"/>
              <w:spacing w:after="0"/>
              <w:rPr>
                <w:sz w:val="20"/>
                <w:szCs w:val="20"/>
                <w:color w:val="auto"/>
              </w:rPr>
            </w:pPr>
            <w:r>
              <w:rPr>
                <w:rFonts w:ascii="Arial" w:cs="Arial" w:eastAsia="Arial" w:hAnsi="Arial"/>
                <w:sz w:val="14"/>
                <w:szCs w:val="14"/>
                <w:b w:val="1"/>
                <w:bCs w:val="1"/>
                <w:color w:val="auto"/>
                <w:w w:val="91"/>
              </w:rPr>
              <w:t>December 31, 2018</w:t>
            </w:r>
          </w:p>
        </w:tc>
        <w:tc>
          <w:tcPr>
            <w:tcW w:w="1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gridSpan w:val="2"/>
          </w:tcPr>
          <w:p>
            <w:pPr>
              <w:jc w:val="center"/>
              <w:ind w:right="700"/>
              <w:spacing w:after="0" w:line="147" w:lineRule="exact"/>
              <w:rPr>
                <w:sz w:val="20"/>
                <w:szCs w:val="20"/>
                <w:color w:val="auto"/>
              </w:rPr>
            </w:pPr>
            <w:r>
              <w:rPr>
                <w:rFonts w:ascii="Arial" w:cs="Arial" w:eastAsia="Arial" w:hAnsi="Arial"/>
                <w:sz w:val="14"/>
                <w:szCs w:val="14"/>
                <w:b w:val="1"/>
                <w:bCs w:val="1"/>
                <w:color w:val="auto"/>
                <w:w w:val="98"/>
              </w:rPr>
              <w:t>Date</w:t>
            </w: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 xml:space="preserve">Dividend </w:t>
            </w:r>
            <w:r>
              <w:rPr>
                <w:rFonts w:ascii="Arial" w:cs="Arial" w:eastAsia="Arial" w:hAnsi="Arial"/>
                <w:sz w:val="12"/>
                <w:szCs w:val="12"/>
                <w:b w:val="1"/>
                <w:bCs w:val="1"/>
                <w:color w:val="auto"/>
                <w:w w:val="95"/>
              </w:rPr>
              <w:t>(1)</w:t>
            </w:r>
          </w:p>
        </w:tc>
        <w:tc>
          <w:tcPr>
            <w:tcW w:w="2900" w:type="dxa"/>
            <w:vAlign w:val="bottom"/>
            <w:gridSpan w:val="3"/>
          </w:tcPr>
          <w:p>
            <w:pPr>
              <w:ind w:left="720"/>
              <w:spacing w:after="0"/>
              <w:rPr>
                <w:sz w:val="20"/>
                <w:szCs w:val="20"/>
                <w:color w:val="auto"/>
              </w:rPr>
            </w:pPr>
            <w:r>
              <w:rPr>
                <w:rFonts w:ascii="Arial" w:cs="Arial" w:eastAsia="Arial" w:hAnsi="Arial"/>
                <w:sz w:val="14"/>
                <w:szCs w:val="14"/>
                <w:b w:val="1"/>
                <w:bCs w:val="1"/>
                <w:color w:val="auto"/>
              </w:rPr>
              <w:t>Record Date</w:t>
            </w:r>
          </w:p>
        </w:tc>
        <w:tc>
          <w:tcPr>
            <w:tcW w:w="16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Shares Issued</w:t>
            </w:r>
          </w:p>
        </w:tc>
        <w:tc>
          <w:tcPr>
            <w:tcW w:w="178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7, 2017</w:t>
            </w:r>
          </w:p>
        </w:tc>
        <w:tc>
          <w:tcPr>
            <w:tcW w:w="3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2"/>
              </w:rPr>
              <w:t>Base</w:t>
            </w:r>
          </w:p>
        </w:tc>
        <w:tc>
          <w:tcPr>
            <w:tcW w:w="12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15, 2017</w:t>
            </w: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12, 2018</w:t>
            </w:r>
          </w:p>
        </w:tc>
        <w:tc>
          <w:tcPr>
            <w:tcW w:w="14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February 21, 2018</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Supplemental</w:t>
            </w:r>
          </w:p>
        </w:tc>
        <w:tc>
          <w:tcPr>
            <w:tcW w:w="2900" w:type="dxa"/>
            <w:vAlign w:val="bottom"/>
            <w:gridSpan w:val="3"/>
          </w:tcPr>
          <w:p>
            <w:pPr>
              <w:jc w:val="right"/>
              <w:ind w:right="680"/>
              <w:spacing w:after="0"/>
              <w:rPr>
                <w:sz w:val="20"/>
                <w:szCs w:val="20"/>
                <w:color w:val="auto"/>
              </w:rPr>
            </w:pPr>
            <w:r>
              <w:rPr>
                <w:rFonts w:ascii="Arial" w:cs="Arial" w:eastAsia="Arial" w:hAnsi="Arial"/>
                <w:sz w:val="18"/>
                <w:szCs w:val="18"/>
                <w:color w:val="auto"/>
              </w:rPr>
              <w:t>February 28, 2018</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March 30, 2018</w:t>
            </w:r>
          </w:p>
        </w:tc>
        <w:tc>
          <w:tcPr>
            <w:tcW w:w="1680" w:type="dxa"/>
            <w:vAlign w:val="bottom"/>
          </w:tcPr>
          <w:p>
            <w:pPr>
              <w:jc w:val="right"/>
              <w:spacing w:after="0"/>
              <w:rPr>
                <w:sz w:val="20"/>
                <w:szCs w:val="20"/>
                <w:color w:val="auto"/>
              </w:rPr>
            </w:pPr>
            <w:r>
              <w:rPr>
                <w:rFonts w:ascii="Arial" w:cs="Arial" w:eastAsia="Arial" w:hAnsi="Arial"/>
                <w:sz w:val="18"/>
                <w:szCs w:val="18"/>
                <w:color w:val="auto"/>
              </w:rPr>
              <w:t>16,455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21, 2018</w:t>
            </w:r>
          </w:p>
        </w:tc>
        <w:tc>
          <w:tcPr>
            <w:tcW w:w="12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2"/>
              </w:rPr>
              <w:t>Base</w:t>
            </w:r>
          </w:p>
        </w:tc>
        <w:tc>
          <w:tcPr>
            <w:tcW w:w="290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March 15, 2018</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April 13, 2018</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May 3, 2018</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Supplemental</w:t>
            </w:r>
          </w:p>
        </w:tc>
        <w:tc>
          <w:tcPr>
            <w:tcW w:w="2900" w:type="dxa"/>
            <w:vAlign w:val="bottom"/>
            <w:gridSpan w:val="3"/>
          </w:tcPr>
          <w:p>
            <w:pPr>
              <w:jc w:val="right"/>
              <w:ind w:right="680"/>
              <w:spacing w:after="0"/>
              <w:rPr>
                <w:sz w:val="20"/>
                <w:szCs w:val="20"/>
                <w:color w:val="auto"/>
              </w:rPr>
            </w:pPr>
            <w:r>
              <w:rPr>
                <w:rFonts w:ascii="Arial" w:cs="Arial" w:eastAsia="Arial" w:hAnsi="Arial"/>
                <w:sz w:val="18"/>
                <w:szCs w:val="18"/>
                <w:color w:val="auto"/>
              </w:rPr>
              <w:t>May 31, 2018</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June 29, 2018</w:t>
            </w:r>
          </w:p>
        </w:tc>
        <w:tc>
          <w:tcPr>
            <w:tcW w:w="1680" w:type="dxa"/>
            <w:vAlign w:val="bottom"/>
          </w:tcPr>
          <w:p>
            <w:pPr>
              <w:jc w:val="right"/>
              <w:spacing w:after="0"/>
              <w:rPr>
                <w:sz w:val="20"/>
                <w:szCs w:val="20"/>
                <w:color w:val="auto"/>
              </w:rPr>
            </w:pPr>
            <w:r>
              <w:rPr>
                <w:rFonts w:ascii="Arial" w:cs="Arial" w:eastAsia="Arial" w:hAnsi="Arial"/>
                <w:sz w:val="18"/>
                <w:szCs w:val="18"/>
                <w:color w:val="auto"/>
              </w:rPr>
              <w:t>33,055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3, 2018</w:t>
            </w:r>
          </w:p>
        </w:tc>
        <w:tc>
          <w:tcPr>
            <w:tcW w:w="12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2"/>
              </w:rPr>
              <w:t>Base</w:t>
            </w:r>
          </w:p>
        </w:tc>
        <w:tc>
          <w:tcPr>
            <w:tcW w:w="290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June 15, 2018</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July 13, 2018</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August 1, 2018</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Supplemental</w:t>
            </w:r>
          </w:p>
        </w:tc>
        <w:tc>
          <w:tcPr>
            <w:tcW w:w="2900" w:type="dxa"/>
            <w:vAlign w:val="bottom"/>
            <w:gridSpan w:val="3"/>
          </w:tcPr>
          <w:p>
            <w:pPr>
              <w:jc w:val="right"/>
              <w:ind w:right="680"/>
              <w:spacing w:after="0"/>
              <w:rPr>
                <w:sz w:val="20"/>
                <w:szCs w:val="20"/>
                <w:color w:val="auto"/>
              </w:rPr>
            </w:pPr>
            <w:r>
              <w:rPr>
                <w:rFonts w:ascii="Arial" w:cs="Arial" w:eastAsia="Arial" w:hAnsi="Arial"/>
                <w:sz w:val="18"/>
                <w:szCs w:val="18"/>
                <w:color w:val="auto"/>
              </w:rPr>
              <w:t>August 31, 2018</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September 28, 2018</w:t>
            </w:r>
          </w:p>
        </w:tc>
        <w:tc>
          <w:tcPr>
            <w:tcW w:w="1680" w:type="dxa"/>
            <w:vAlign w:val="bottom"/>
          </w:tcPr>
          <w:p>
            <w:pPr>
              <w:jc w:val="right"/>
              <w:spacing w:after="0"/>
              <w:rPr>
                <w:sz w:val="20"/>
                <w:szCs w:val="20"/>
                <w:color w:val="auto"/>
              </w:rPr>
            </w:pPr>
            <w:r>
              <w:rPr>
                <w:rFonts w:ascii="Arial" w:cs="Arial" w:eastAsia="Arial" w:hAnsi="Arial"/>
                <w:sz w:val="18"/>
                <w:szCs w:val="18"/>
                <w:color w:val="auto"/>
              </w:rPr>
              <w:t>41,169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August 1, 2018</w:t>
            </w:r>
          </w:p>
        </w:tc>
        <w:tc>
          <w:tcPr>
            <w:tcW w:w="12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2"/>
              </w:rPr>
              <w:t>Base</w:t>
            </w:r>
          </w:p>
        </w:tc>
        <w:tc>
          <w:tcPr>
            <w:tcW w:w="290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September 14, 2018</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October 15, 2018</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November 6, 2018</w:t>
            </w:r>
          </w:p>
        </w:tc>
        <w:tc>
          <w:tcPr>
            <w:tcW w:w="122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89"/>
              </w:rPr>
              <w:t>Supplemental</w:t>
            </w:r>
          </w:p>
        </w:tc>
        <w:tc>
          <w:tcPr>
            <w:tcW w:w="2900" w:type="dxa"/>
            <w:vAlign w:val="bottom"/>
            <w:tcBorders>
              <w:bottom w:val="single" w:sz="8" w:color="CFF0FC"/>
            </w:tcBorders>
            <w:gridSpan w:val="3"/>
          </w:tcPr>
          <w:p>
            <w:pPr>
              <w:jc w:val="right"/>
              <w:ind w:right="680"/>
              <w:spacing w:after="0"/>
              <w:rPr>
                <w:sz w:val="20"/>
                <w:szCs w:val="20"/>
                <w:color w:val="auto"/>
              </w:rPr>
            </w:pPr>
            <w:r>
              <w:rPr>
                <w:rFonts w:ascii="Arial" w:cs="Arial" w:eastAsia="Arial" w:hAnsi="Arial"/>
                <w:sz w:val="18"/>
                <w:szCs w:val="18"/>
                <w:color w:val="auto"/>
              </w:rPr>
              <w:t>November 30, 2018</w:t>
            </w:r>
          </w:p>
        </w:tc>
        <w:tc>
          <w:tcPr>
            <w:tcW w:w="16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w w:val="92"/>
              </w:rPr>
              <w:t>December 31, 2018</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893,392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 Note 11 for further information on base and supplemental dividends.</w:t>
      </w:r>
    </w:p>
    <w:p>
      <w:pPr>
        <w:spacing w:after="0" w:line="225"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On August 4, 2015, the Company's Board approved a stock repurchase plan, the Company 10b5-1 Plan, to acquire up to $50 million in the aggregate of the Company’s common stock at prices just below the Company’s net asset value per share over an initial six month period, in accordance with the guidelines specified in Rule 10b-18 and Rule 10b5-1 of the Exchange Act, and has continued to authorize extensions of the plan termination date prior to its expiration since that time.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20" w:name="page121"/>
    <w:bookmarkEnd w:id="120"/>
    <w:p>
      <w:pPr>
        <w:ind w:firstLine="259"/>
        <w:spacing w:after="0" w:line="289" w:lineRule="auto"/>
        <w:rPr>
          <w:sz w:val="20"/>
          <w:szCs w:val="20"/>
          <w:color w:val="auto"/>
        </w:rPr>
      </w:pPr>
      <w:r>
        <w:rPr>
          <w:rFonts w:ascii="Arial" w:cs="Arial" w:eastAsia="Arial" w:hAnsi="Arial"/>
          <w:sz w:val="16"/>
          <w:szCs w:val="16"/>
          <w:color w:val="auto"/>
        </w:rPr>
        <w:t>The Company 10b5-1 Plan is designed to allow the Company to repurchase its common stock at times when it otherwise might be prevented from doing so under insider trading laws. The Company 10b5-1 Plan, as currently in effect, requires Goldman Sachs &amp; Co. LLC, as agent, to repurchase shares of common stock on the Company’s behalf when the market price per share is just below 1.05x the most recently reported net asset value per share in the Company’s public financial statements or publicly announced by the Company, less the amount of any supplemental dividend that has been publicly announced by the Company but that has yet to be reflected in the net asset value per share most recently reported in public financial statements (including any updates, corrections or adjustments publicly announced by the Company to any such net asset value per share or supplemental dividend).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67" w:lineRule="exact"/>
        <w:rPr>
          <w:sz w:val="20"/>
          <w:szCs w:val="20"/>
          <w:color w:val="auto"/>
        </w:rPr>
      </w:pPr>
    </w:p>
    <w:p>
      <w:pPr>
        <w:ind w:right="26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jc w:val="both"/>
        <w:ind w:right="380" w:firstLine="259"/>
        <w:spacing w:after="0" w:line="264" w:lineRule="auto"/>
        <w:rPr>
          <w:sz w:val="20"/>
          <w:szCs w:val="20"/>
          <w:color w:val="auto"/>
        </w:rPr>
      </w:pPr>
      <w:r>
        <w:rPr>
          <w:rFonts w:ascii="Arial" w:cs="Arial" w:eastAsia="Arial" w:hAnsi="Arial"/>
          <w:sz w:val="18"/>
          <w:szCs w:val="18"/>
          <w:color w:val="auto"/>
        </w:rPr>
        <w:t>On November 5, 2019, the Board authorized the extension of the termination date of the Company 10b5-1 Plan to May 31, 2020. Unless extended or terminated by the Board, the Company 10b5-1 Plan will be in effect through the earlier of May 31, 2020 or such time as the current approved repurchase amount of up to $50 million has been fully utilized, subject to certain conditions.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years ended December 31, 2019 and 2018, no shares were repurchased under the Company 10b5-1 Plan.</w:t>
      </w:r>
    </w:p>
    <w:p>
      <w:pPr>
        <w:spacing w:after="0" w:line="200" w:lineRule="exact"/>
        <w:rPr>
          <w:sz w:val="20"/>
          <w:szCs w:val="20"/>
          <w:color w:val="auto"/>
        </w:rPr>
      </w:pPr>
    </w:p>
    <w:p>
      <w:pPr>
        <w:spacing w:after="0" w:line="210" w:lineRule="exact"/>
        <w:rPr>
          <w:sz w:val="20"/>
          <w:szCs w:val="20"/>
          <w:color w:val="auto"/>
        </w:rPr>
      </w:pPr>
    </w:p>
    <w:p>
      <w:pPr>
        <w:ind w:left="280" w:hanging="272"/>
        <w:spacing w:after="0"/>
        <w:tabs>
          <w:tab w:leader="none" w:pos="2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Year Ended</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28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w w:val="93"/>
              </w:rPr>
              <w:t>December 31, 2019</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3"/>
              </w:rPr>
              <w:t>December 31, 2018</w:t>
            </w:r>
          </w:p>
        </w:tc>
        <w:tc>
          <w:tcPr>
            <w:tcW w:w="2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w w:val="93"/>
              </w:rPr>
              <w:t>December 31, 2017</w:t>
            </w:r>
          </w:p>
        </w:tc>
        <w:tc>
          <w:tcPr>
            <w:tcW w:w="100" w:type="dxa"/>
            <w:vAlign w:val="bottom"/>
            <w:tcBorders>
              <w:bottom w:val="single" w:sz="8" w:color="CFF0FC"/>
            </w:tcBorders>
          </w:tcPr>
          <w:p>
            <w:pPr>
              <w:spacing w:after="0"/>
              <w:rPr>
                <w:sz w:val="13"/>
                <w:szCs w:val="13"/>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154,583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119,017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111,609</w:t>
            </w:r>
          </w:p>
        </w:tc>
        <w:tc>
          <w:tcPr>
            <w:tcW w:w="100" w:type="dxa"/>
            <w:vAlign w:val="bottom"/>
            <w:shd w:val="clear" w:color="auto" w:fill="CFF0FC"/>
          </w:tcPr>
          <w:p>
            <w:pPr>
              <w:spacing w:after="0"/>
              <w:rPr>
                <w:sz w:val="19"/>
                <w:szCs w:val="19"/>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Weighted average shares of common stock</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outstanding—basic and diluted</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66,069,305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64,028,137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59,995,387</w:t>
            </w:r>
          </w:p>
        </w:tc>
        <w:tc>
          <w:tcPr>
            <w:tcW w:w="100" w:type="dxa"/>
            <w:vAlign w:val="bottom"/>
          </w:tcPr>
          <w:p>
            <w:pPr>
              <w:spacing w:after="0"/>
              <w:rPr>
                <w:sz w:val="20"/>
                <w:szCs w:val="20"/>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For the purpose of calculating diluted earnings per common share, the average closing price of the Company’s common stock for the year ended December 31, 2019 was less than the conversion price for the 2022 Convertible Notes outstanding as of December 31, 2019, and the average closing price of the Company’s common stock for the years ended December 31, 2018 and 2017, was less than the conversion price for the Convertible Notes outstanding as of December 31, 2018 and 2017. Therefore, for all periods presented in the consolidated financial statements, the underlying shares for the intrinsic value of the embedded options in the Convertible Notes have no impact on the computation of diluted earnings per common share.</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Company has historically paid a dividend to stockholders on a quarterly basis. Following the completion of the quarter ended March 31, 2017, the Company introduced a dividend framework that provides for a quarterly base dividend and a variable supplemental dividend, subject to satisfaction of certain measurement tests and the approval of the Board.</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years ended December 31, 2019,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3"/>
          </w:tcPr>
          <w:p>
            <w:pPr>
              <w:jc w:val="center"/>
              <w:ind w:right="1633"/>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700" w:type="dxa"/>
            <w:vAlign w:val="bottom"/>
            <w:tcBorders>
              <w:bottom w:val="single" w:sz="8" w:color="auto"/>
            </w:tcBorders>
            <w:gridSpan w:val="5"/>
          </w:tcPr>
          <w:p>
            <w:pPr>
              <w:jc w:val="center"/>
              <w:ind w:left="413"/>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Dividend</w:t>
            </w:r>
          </w:p>
        </w:tc>
        <w:tc>
          <w:tcPr>
            <w:tcW w:w="2200" w:type="dxa"/>
            <w:vAlign w:val="bottom"/>
            <w:gridSpan w:val="2"/>
          </w:tcPr>
          <w:p>
            <w:pPr>
              <w:ind w:left="700"/>
              <w:spacing w:after="0" w:line="155" w:lineRule="exact"/>
              <w:rPr>
                <w:sz w:val="20"/>
                <w:szCs w:val="20"/>
                <w:color w:val="auto"/>
              </w:rPr>
            </w:pPr>
            <w:r>
              <w:rPr>
                <w:rFonts w:ascii="Arial" w:cs="Arial" w:eastAsia="Arial" w:hAnsi="Arial"/>
                <w:sz w:val="14"/>
                <w:szCs w:val="14"/>
                <w:b w:val="1"/>
                <w:bCs w:val="1"/>
                <w:color w:val="auto"/>
              </w:rPr>
              <w:t>Record Date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Pr>
          <w:p>
            <w:pPr>
              <w:jc w:val="right"/>
              <w:ind w:right="673"/>
              <w:spacing w:after="0" w:line="155" w:lineRule="exact"/>
              <w:rPr>
                <w:sz w:val="20"/>
                <w:szCs w:val="20"/>
                <w:color w:val="auto"/>
              </w:rPr>
            </w:pPr>
            <w:r>
              <w:rPr>
                <w:rFonts w:ascii="Arial" w:cs="Arial" w:eastAsia="Arial" w:hAnsi="Arial"/>
                <w:sz w:val="14"/>
                <w:szCs w:val="14"/>
                <w:b w:val="1"/>
                <w:bCs w:val="1"/>
                <w:color w:val="auto"/>
              </w:rPr>
              <w:t>Payment Date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20, 2019</w:t>
            </w: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90"/>
              </w:rPr>
              <w:t>Supplemental</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February 28, 2019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29, 2019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February 20, 2019</w:t>
            </w:r>
          </w:p>
        </w:tc>
        <w:tc>
          <w:tcPr>
            <w:tcW w:w="20" w:type="dxa"/>
            <w:vAlign w:val="bottom"/>
          </w:tcPr>
          <w:p>
            <w:pPr>
              <w:spacing w:after="0"/>
              <w:rPr>
                <w:sz w:val="19"/>
                <w:szCs w:val="19"/>
                <w:color w:val="auto"/>
              </w:rPr>
            </w:pPr>
          </w:p>
        </w:tc>
        <w:tc>
          <w:tcPr>
            <w:tcW w:w="1160" w:type="dxa"/>
            <w:vAlign w:val="bottom"/>
            <w:gridSpan w:val="4"/>
          </w:tcPr>
          <w:p>
            <w:pPr>
              <w:jc w:val="center"/>
              <w:ind w:right="160"/>
              <w:spacing w:after="0"/>
              <w:rPr>
                <w:sz w:val="20"/>
                <w:szCs w:val="20"/>
                <w:color w:val="auto"/>
              </w:rPr>
            </w:pPr>
            <w:r>
              <w:rPr>
                <w:rFonts w:ascii="Arial" w:cs="Arial" w:eastAsia="Arial" w:hAnsi="Arial"/>
                <w:sz w:val="18"/>
                <w:szCs w:val="18"/>
                <w:color w:val="auto"/>
                <w:w w:val="87"/>
              </w:rPr>
              <w:t>Base</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March 15, 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April 15, 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May 2, 2019</w:t>
            </w:r>
          </w:p>
        </w:tc>
        <w:tc>
          <w:tcPr>
            <w:tcW w:w="2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center"/>
              <w:ind w:right="160"/>
              <w:spacing w:after="0"/>
              <w:rPr>
                <w:sz w:val="20"/>
                <w:szCs w:val="20"/>
                <w:color w:val="auto"/>
              </w:rPr>
            </w:pPr>
            <w:r>
              <w:rPr>
                <w:rFonts w:ascii="Arial" w:cs="Arial" w:eastAsia="Arial" w:hAnsi="Arial"/>
                <w:sz w:val="18"/>
                <w:szCs w:val="18"/>
                <w:color w:val="auto"/>
                <w:w w:val="90"/>
              </w:rPr>
              <w:t>Supplemental</w:t>
            </w: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May 31, 2019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28, 2019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May 2, 2019</w:t>
            </w:r>
          </w:p>
        </w:tc>
        <w:tc>
          <w:tcPr>
            <w:tcW w:w="20" w:type="dxa"/>
            <w:vAlign w:val="bottom"/>
          </w:tcPr>
          <w:p>
            <w:pPr>
              <w:spacing w:after="0"/>
              <w:rPr>
                <w:sz w:val="19"/>
                <w:szCs w:val="19"/>
                <w:color w:val="auto"/>
              </w:rPr>
            </w:pPr>
          </w:p>
        </w:tc>
        <w:tc>
          <w:tcPr>
            <w:tcW w:w="1160" w:type="dxa"/>
            <w:vAlign w:val="bottom"/>
            <w:gridSpan w:val="4"/>
          </w:tcPr>
          <w:p>
            <w:pPr>
              <w:jc w:val="center"/>
              <w:ind w:right="160"/>
              <w:spacing w:after="0"/>
              <w:rPr>
                <w:sz w:val="20"/>
                <w:szCs w:val="20"/>
                <w:color w:val="auto"/>
              </w:rPr>
            </w:pPr>
            <w:r>
              <w:rPr>
                <w:rFonts w:ascii="Arial" w:cs="Arial" w:eastAsia="Arial" w:hAnsi="Arial"/>
                <w:sz w:val="18"/>
                <w:szCs w:val="18"/>
                <w:color w:val="auto"/>
                <w:w w:val="87"/>
              </w:rPr>
              <w:t>Base</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June 14, 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July 15, 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July 31, 2019</w:t>
            </w:r>
          </w:p>
        </w:tc>
        <w:tc>
          <w:tcPr>
            <w:tcW w:w="2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center"/>
              <w:ind w:right="160"/>
              <w:spacing w:after="0"/>
              <w:rPr>
                <w:sz w:val="20"/>
                <w:szCs w:val="20"/>
                <w:color w:val="auto"/>
              </w:rPr>
            </w:pPr>
            <w:r>
              <w:rPr>
                <w:rFonts w:ascii="Arial" w:cs="Arial" w:eastAsia="Arial" w:hAnsi="Arial"/>
                <w:sz w:val="18"/>
                <w:szCs w:val="18"/>
                <w:color w:val="auto"/>
                <w:w w:val="90"/>
              </w:rPr>
              <w:t>Supplemental</w:t>
            </w: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August 30, 2019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September 30, 2019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July 31, 2019</w:t>
            </w:r>
          </w:p>
        </w:tc>
        <w:tc>
          <w:tcPr>
            <w:tcW w:w="20" w:type="dxa"/>
            <w:vAlign w:val="bottom"/>
          </w:tcPr>
          <w:p>
            <w:pPr>
              <w:spacing w:after="0"/>
              <w:rPr>
                <w:sz w:val="19"/>
                <w:szCs w:val="19"/>
                <w:color w:val="auto"/>
              </w:rPr>
            </w:pPr>
          </w:p>
        </w:tc>
        <w:tc>
          <w:tcPr>
            <w:tcW w:w="1160" w:type="dxa"/>
            <w:vAlign w:val="bottom"/>
            <w:gridSpan w:val="4"/>
          </w:tcPr>
          <w:p>
            <w:pPr>
              <w:jc w:val="center"/>
              <w:ind w:right="160"/>
              <w:spacing w:after="0"/>
              <w:rPr>
                <w:sz w:val="20"/>
                <w:szCs w:val="20"/>
                <w:color w:val="auto"/>
              </w:rPr>
            </w:pPr>
            <w:r>
              <w:rPr>
                <w:rFonts w:ascii="Arial" w:cs="Arial" w:eastAsia="Arial" w:hAnsi="Arial"/>
                <w:sz w:val="18"/>
                <w:szCs w:val="18"/>
                <w:color w:val="auto"/>
                <w:w w:val="87"/>
              </w:rPr>
              <w:t>Base</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September 13, 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October 15, 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November 5, 2019</w:t>
            </w:r>
          </w:p>
        </w:tc>
        <w:tc>
          <w:tcPr>
            <w:tcW w:w="2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center"/>
              <w:ind w:right="160"/>
              <w:spacing w:after="0"/>
              <w:rPr>
                <w:sz w:val="20"/>
                <w:szCs w:val="20"/>
                <w:color w:val="auto"/>
              </w:rPr>
            </w:pPr>
            <w:r>
              <w:rPr>
                <w:rFonts w:ascii="Arial" w:cs="Arial" w:eastAsia="Arial" w:hAnsi="Arial"/>
                <w:sz w:val="18"/>
                <w:szCs w:val="18"/>
                <w:color w:val="auto"/>
                <w:w w:val="90"/>
              </w:rPr>
              <w:t>Supplemental</w:t>
            </w: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November 29, 2019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31, 2019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5, 2019</w:t>
            </w:r>
          </w:p>
        </w:tc>
        <w:tc>
          <w:tcPr>
            <w:tcW w:w="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4"/>
          </w:tcPr>
          <w:p>
            <w:pPr>
              <w:jc w:val="center"/>
              <w:ind w:right="160"/>
              <w:spacing w:after="0"/>
              <w:rPr>
                <w:sz w:val="20"/>
                <w:szCs w:val="20"/>
                <w:color w:val="auto"/>
              </w:rPr>
            </w:pPr>
            <w:r>
              <w:rPr>
                <w:rFonts w:ascii="Arial" w:cs="Arial" w:eastAsia="Arial" w:hAnsi="Arial"/>
                <w:sz w:val="18"/>
                <w:szCs w:val="18"/>
                <w:color w:val="auto"/>
                <w:w w:val="87"/>
              </w:rPr>
              <w:t>Base</w:t>
            </w:r>
          </w:p>
        </w:tc>
        <w:tc>
          <w:tcPr>
            <w:tcW w:w="2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December 13, 2019</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January 15, 2020</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Dividends Declared</w:t>
            </w:r>
          </w:p>
        </w:tc>
        <w:tc>
          <w:tcPr>
            <w:tcW w:w="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3"/>
            <w:vMerge w:val="restart"/>
          </w:tcPr>
          <w:p>
            <w:pPr>
              <w:jc w:val="center"/>
              <w:ind w:right="1633"/>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700" w:type="dxa"/>
            <w:vAlign w:val="bottom"/>
            <w:tcBorders>
              <w:bottom w:val="single" w:sz="8" w:color="auto"/>
            </w:tcBorders>
            <w:gridSpan w:val="5"/>
          </w:tcPr>
          <w:p>
            <w:pPr>
              <w:jc w:val="center"/>
              <w:ind w:left="413"/>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160"/>
              <w:spacing w:after="0" w:line="155" w:lineRule="exact"/>
              <w:rPr>
                <w:sz w:val="20"/>
                <w:szCs w:val="20"/>
                <w:color w:val="auto"/>
              </w:rPr>
            </w:pPr>
            <w:r>
              <w:rPr>
                <w:rFonts w:ascii="Arial" w:cs="Arial" w:eastAsia="Arial" w:hAnsi="Arial"/>
                <w:sz w:val="14"/>
                <w:szCs w:val="14"/>
                <w:b w:val="1"/>
                <w:bCs w:val="1"/>
                <w:color w:val="auto"/>
                <w:w w:val="94"/>
              </w:rPr>
              <w:t>Dividend</w:t>
            </w:r>
          </w:p>
        </w:tc>
        <w:tc>
          <w:tcPr>
            <w:tcW w:w="2200" w:type="dxa"/>
            <w:vAlign w:val="bottom"/>
            <w:gridSpan w:val="2"/>
          </w:tcPr>
          <w:p>
            <w:pPr>
              <w:ind w:left="700"/>
              <w:spacing w:after="0" w:line="155" w:lineRule="exact"/>
              <w:rPr>
                <w:sz w:val="20"/>
                <w:szCs w:val="20"/>
                <w:color w:val="auto"/>
              </w:rPr>
            </w:pPr>
            <w:r>
              <w:rPr>
                <w:rFonts w:ascii="Arial" w:cs="Arial" w:eastAsia="Arial" w:hAnsi="Arial"/>
                <w:sz w:val="14"/>
                <w:szCs w:val="14"/>
                <w:b w:val="1"/>
                <w:bCs w:val="1"/>
                <w:color w:val="auto"/>
              </w:rPr>
              <w:t>Record Date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Pr>
          <w:p>
            <w:pPr>
              <w:jc w:val="right"/>
              <w:ind w:right="673"/>
              <w:spacing w:after="0" w:line="155" w:lineRule="exact"/>
              <w:rPr>
                <w:sz w:val="20"/>
                <w:szCs w:val="20"/>
                <w:color w:val="auto"/>
              </w:rPr>
            </w:pPr>
            <w:r>
              <w:rPr>
                <w:rFonts w:ascii="Arial" w:cs="Arial" w:eastAsia="Arial" w:hAnsi="Arial"/>
                <w:sz w:val="14"/>
                <w:szCs w:val="14"/>
                <w:b w:val="1"/>
                <w:bCs w:val="1"/>
                <w:color w:val="auto"/>
              </w:rPr>
              <w:t>Payment Date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21, 2018</w:t>
            </w: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90"/>
              </w:rPr>
              <w:t>Supplemental</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February 28, 2018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30, 2018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February 21, 2018</w:t>
            </w:r>
          </w:p>
        </w:tc>
        <w:tc>
          <w:tcPr>
            <w:tcW w:w="20" w:type="dxa"/>
            <w:vAlign w:val="bottom"/>
          </w:tcPr>
          <w:p>
            <w:pPr>
              <w:spacing w:after="0"/>
              <w:rPr>
                <w:sz w:val="19"/>
                <w:szCs w:val="19"/>
                <w:color w:val="auto"/>
              </w:rPr>
            </w:pPr>
          </w:p>
        </w:tc>
        <w:tc>
          <w:tcPr>
            <w:tcW w:w="1160" w:type="dxa"/>
            <w:vAlign w:val="bottom"/>
            <w:gridSpan w:val="4"/>
          </w:tcPr>
          <w:p>
            <w:pPr>
              <w:jc w:val="center"/>
              <w:ind w:right="160"/>
              <w:spacing w:after="0"/>
              <w:rPr>
                <w:sz w:val="20"/>
                <w:szCs w:val="20"/>
                <w:color w:val="auto"/>
              </w:rPr>
            </w:pPr>
            <w:r>
              <w:rPr>
                <w:rFonts w:ascii="Arial" w:cs="Arial" w:eastAsia="Arial" w:hAnsi="Arial"/>
                <w:sz w:val="18"/>
                <w:szCs w:val="18"/>
                <w:color w:val="auto"/>
                <w:w w:val="87"/>
              </w:rPr>
              <w:t>Base</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March 15, 2018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April 13, 2018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May 3, 2018</w:t>
            </w:r>
          </w:p>
        </w:tc>
        <w:tc>
          <w:tcPr>
            <w:tcW w:w="2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center"/>
              <w:ind w:right="160"/>
              <w:spacing w:after="0"/>
              <w:rPr>
                <w:sz w:val="20"/>
                <w:szCs w:val="20"/>
                <w:color w:val="auto"/>
              </w:rPr>
            </w:pPr>
            <w:r>
              <w:rPr>
                <w:rFonts w:ascii="Arial" w:cs="Arial" w:eastAsia="Arial" w:hAnsi="Arial"/>
                <w:sz w:val="18"/>
                <w:szCs w:val="18"/>
                <w:color w:val="auto"/>
                <w:w w:val="90"/>
              </w:rPr>
              <w:t>Supplemental</w:t>
            </w: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May 31, 2018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29, 2018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May 3, 2018</w:t>
            </w:r>
          </w:p>
        </w:tc>
        <w:tc>
          <w:tcPr>
            <w:tcW w:w="20" w:type="dxa"/>
            <w:vAlign w:val="bottom"/>
          </w:tcPr>
          <w:p>
            <w:pPr>
              <w:spacing w:after="0"/>
              <w:rPr>
                <w:sz w:val="19"/>
                <w:szCs w:val="19"/>
                <w:color w:val="auto"/>
              </w:rPr>
            </w:pPr>
          </w:p>
        </w:tc>
        <w:tc>
          <w:tcPr>
            <w:tcW w:w="1160" w:type="dxa"/>
            <w:vAlign w:val="bottom"/>
            <w:gridSpan w:val="4"/>
          </w:tcPr>
          <w:p>
            <w:pPr>
              <w:jc w:val="center"/>
              <w:ind w:right="160"/>
              <w:spacing w:after="0"/>
              <w:rPr>
                <w:sz w:val="20"/>
                <w:szCs w:val="20"/>
                <w:color w:val="auto"/>
              </w:rPr>
            </w:pPr>
            <w:r>
              <w:rPr>
                <w:rFonts w:ascii="Arial" w:cs="Arial" w:eastAsia="Arial" w:hAnsi="Arial"/>
                <w:sz w:val="18"/>
                <w:szCs w:val="18"/>
                <w:color w:val="auto"/>
                <w:w w:val="87"/>
              </w:rPr>
              <w:t>Base</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June 15, 2018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July 13, 2018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August 1, 2018</w:t>
            </w:r>
          </w:p>
        </w:tc>
        <w:tc>
          <w:tcPr>
            <w:tcW w:w="2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center"/>
              <w:ind w:right="160"/>
              <w:spacing w:after="0"/>
              <w:rPr>
                <w:sz w:val="20"/>
                <w:szCs w:val="20"/>
                <w:color w:val="auto"/>
              </w:rPr>
            </w:pPr>
            <w:r>
              <w:rPr>
                <w:rFonts w:ascii="Arial" w:cs="Arial" w:eastAsia="Arial" w:hAnsi="Arial"/>
                <w:sz w:val="18"/>
                <w:szCs w:val="18"/>
                <w:color w:val="auto"/>
                <w:w w:val="90"/>
              </w:rPr>
              <w:t>Supplemental</w:t>
            </w: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August 31, 2018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September 28, 2018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August 1, 2018</w:t>
            </w:r>
          </w:p>
        </w:tc>
        <w:tc>
          <w:tcPr>
            <w:tcW w:w="20" w:type="dxa"/>
            <w:vAlign w:val="bottom"/>
          </w:tcPr>
          <w:p>
            <w:pPr>
              <w:spacing w:after="0"/>
              <w:rPr>
                <w:sz w:val="19"/>
                <w:szCs w:val="19"/>
                <w:color w:val="auto"/>
              </w:rPr>
            </w:pPr>
          </w:p>
        </w:tc>
        <w:tc>
          <w:tcPr>
            <w:tcW w:w="1160" w:type="dxa"/>
            <w:vAlign w:val="bottom"/>
            <w:gridSpan w:val="4"/>
          </w:tcPr>
          <w:p>
            <w:pPr>
              <w:jc w:val="center"/>
              <w:ind w:right="160"/>
              <w:spacing w:after="0"/>
              <w:rPr>
                <w:sz w:val="20"/>
                <w:szCs w:val="20"/>
                <w:color w:val="auto"/>
              </w:rPr>
            </w:pPr>
            <w:r>
              <w:rPr>
                <w:rFonts w:ascii="Arial" w:cs="Arial" w:eastAsia="Arial" w:hAnsi="Arial"/>
                <w:sz w:val="18"/>
                <w:szCs w:val="18"/>
                <w:color w:val="auto"/>
                <w:w w:val="87"/>
              </w:rPr>
              <w:t>Base</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September 14, 2018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October 15, 2018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November 6, 2018</w:t>
            </w:r>
          </w:p>
        </w:tc>
        <w:tc>
          <w:tcPr>
            <w:tcW w:w="2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center"/>
              <w:ind w:right="160"/>
              <w:spacing w:after="0"/>
              <w:rPr>
                <w:sz w:val="20"/>
                <w:szCs w:val="20"/>
                <w:color w:val="auto"/>
              </w:rPr>
            </w:pPr>
            <w:r>
              <w:rPr>
                <w:rFonts w:ascii="Arial" w:cs="Arial" w:eastAsia="Arial" w:hAnsi="Arial"/>
                <w:sz w:val="18"/>
                <w:szCs w:val="18"/>
                <w:color w:val="auto"/>
                <w:w w:val="90"/>
              </w:rPr>
              <w:t>Supplemental</w:t>
            </w:r>
          </w:p>
        </w:tc>
        <w:tc>
          <w:tcPr>
            <w:tcW w:w="2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November 30, 2018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November 6, 2018</w:t>
            </w:r>
          </w:p>
        </w:tc>
        <w:tc>
          <w:tcPr>
            <w:tcW w:w="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4"/>
          </w:tcPr>
          <w:p>
            <w:pPr>
              <w:jc w:val="center"/>
              <w:ind w:right="160"/>
              <w:spacing w:after="0"/>
              <w:rPr>
                <w:sz w:val="20"/>
                <w:szCs w:val="20"/>
                <w:color w:val="auto"/>
              </w:rPr>
            </w:pPr>
            <w:r>
              <w:rPr>
                <w:rFonts w:ascii="Arial" w:cs="Arial" w:eastAsia="Arial" w:hAnsi="Arial"/>
                <w:sz w:val="18"/>
                <w:szCs w:val="18"/>
                <w:color w:val="auto"/>
                <w:w w:val="87"/>
              </w:rPr>
              <w:t>Base</w:t>
            </w:r>
          </w:p>
        </w:tc>
        <w:tc>
          <w:tcPr>
            <w:tcW w:w="2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December 14, 2018</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January 15, 2019</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Dividends Declared</w:t>
            </w:r>
          </w:p>
        </w:tc>
        <w:tc>
          <w:tcPr>
            <w:tcW w:w="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vMerge w:val="restart"/>
          </w:tcPr>
          <w:p>
            <w:pPr>
              <w:jc w:val="right"/>
              <w:ind w:right="1093"/>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200"/>
              <w:spacing w:after="0" w:line="155" w:lineRule="exact"/>
              <w:rPr>
                <w:sz w:val="20"/>
                <w:szCs w:val="20"/>
                <w:color w:val="auto"/>
              </w:rPr>
            </w:pPr>
            <w:r>
              <w:rPr>
                <w:rFonts w:ascii="Arial" w:cs="Arial" w:eastAsia="Arial" w:hAnsi="Arial"/>
                <w:sz w:val="14"/>
                <w:szCs w:val="14"/>
                <w:b w:val="1"/>
                <w:bCs w:val="1"/>
                <w:color w:val="auto"/>
                <w:w w:val="94"/>
              </w:rPr>
              <w:t>Dividend</w:t>
            </w:r>
          </w:p>
        </w:tc>
        <w:tc>
          <w:tcPr>
            <w:tcW w:w="2200" w:type="dxa"/>
            <w:vAlign w:val="bottom"/>
            <w:gridSpan w:val="2"/>
          </w:tcPr>
          <w:p>
            <w:pPr>
              <w:ind w:left="680"/>
              <w:spacing w:after="0" w:line="155" w:lineRule="exact"/>
              <w:rPr>
                <w:sz w:val="20"/>
                <w:szCs w:val="20"/>
                <w:color w:val="auto"/>
              </w:rPr>
            </w:pPr>
            <w:r>
              <w:rPr>
                <w:rFonts w:ascii="Arial" w:cs="Arial" w:eastAsia="Arial" w:hAnsi="Arial"/>
                <w:sz w:val="14"/>
                <w:szCs w:val="14"/>
                <w:b w:val="1"/>
                <w:bCs w:val="1"/>
                <w:color w:val="auto"/>
              </w:rPr>
              <w:t>Record Date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Pr>
          <w:p>
            <w:pPr>
              <w:jc w:val="right"/>
              <w:ind w:right="693"/>
              <w:spacing w:after="0" w:line="155" w:lineRule="exact"/>
              <w:rPr>
                <w:sz w:val="20"/>
                <w:szCs w:val="20"/>
                <w:color w:val="auto"/>
              </w:rPr>
            </w:pPr>
            <w:r>
              <w:rPr>
                <w:rFonts w:ascii="Arial" w:cs="Arial" w:eastAsia="Arial" w:hAnsi="Arial"/>
                <w:sz w:val="14"/>
                <w:szCs w:val="14"/>
                <w:b w:val="1"/>
                <w:bCs w:val="1"/>
                <w:color w:val="auto"/>
              </w:rPr>
              <w:t>Payment Date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22, 2017</w:t>
            </w:r>
          </w:p>
        </w:tc>
        <w:tc>
          <w:tcPr>
            <w:tcW w:w="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2"/>
              </w:rPr>
              <w:t>Base</w:t>
            </w:r>
          </w:p>
        </w:tc>
        <w:tc>
          <w:tcPr>
            <w:tcW w:w="14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xml:space="preserve">April 7, 2017 </w:t>
            </w:r>
            <w:r>
              <w:rPr>
                <w:rFonts w:ascii="Arial" w:cs="Arial" w:eastAsia="Arial" w:hAnsi="Arial"/>
                <w:sz w:val="15"/>
                <w:szCs w:val="15"/>
                <w:color w:val="auto"/>
              </w:rPr>
              <w:t>(1)</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28, 2017</w:t>
            </w:r>
          </w:p>
        </w:tc>
        <w:tc>
          <w:tcPr>
            <w:tcW w:w="14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May 3, 2017</w:t>
            </w:r>
          </w:p>
        </w:tc>
        <w:tc>
          <w:tcPr>
            <w:tcW w:w="1180" w:type="dxa"/>
            <w:vAlign w:val="bottom"/>
            <w:gridSpan w:val="5"/>
          </w:tcPr>
          <w:p>
            <w:pPr>
              <w:jc w:val="center"/>
              <w:ind w:right="160"/>
              <w:spacing w:after="0"/>
              <w:rPr>
                <w:sz w:val="20"/>
                <w:szCs w:val="20"/>
                <w:color w:val="auto"/>
              </w:rPr>
            </w:pPr>
            <w:r>
              <w:rPr>
                <w:rFonts w:ascii="Arial" w:cs="Arial" w:eastAsia="Arial" w:hAnsi="Arial"/>
                <w:sz w:val="18"/>
                <w:szCs w:val="18"/>
                <w:color w:val="auto"/>
                <w:w w:val="89"/>
              </w:rPr>
              <w:t>Supplemental</w:t>
            </w:r>
          </w:p>
        </w:tc>
        <w:tc>
          <w:tcPr>
            <w:tcW w:w="2200" w:type="dxa"/>
            <w:vAlign w:val="bottom"/>
            <w:gridSpan w:val="2"/>
          </w:tcPr>
          <w:p>
            <w:pPr>
              <w:jc w:val="right"/>
              <w:ind w:right="40"/>
              <w:spacing w:after="0"/>
              <w:rPr>
                <w:sz w:val="20"/>
                <w:szCs w:val="20"/>
                <w:color w:val="auto"/>
              </w:rPr>
            </w:pPr>
            <w:r>
              <w:rPr>
                <w:rFonts w:ascii="Arial" w:cs="Arial" w:eastAsia="Arial" w:hAnsi="Arial"/>
                <w:sz w:val="18"/>
                <w:szCs w:val="18"/>
                <w:color w:val="auto"/>
              </w:rPr>
              <w:t>May 31, 2017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June 30, 2017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May 3, 2017</w:t>
            </w:r>
          </w:p>
        </w:tc>
        <w:tc>
          <w:tcPr>
            <w:tcW w:w="2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center"/>
              <w:ind w:right="180"/>
              <w:spacing w:after="0"/>
              <w:rPr>
                <w:sz w:val="20"/>
                <w:szCs w:val="20"/>
                <w:color w:val="auto"/>
              </w:rPr>
            </w:pPr>
            <w:r>
              <w:rPr>
                <w:rFonts w:ascii="Arial" w:cs="Arial" w:eastAsia="Arial" w:hAnsi="Arial"/>
                <w:sz w:val="18"/>
                <w:szCs w:val="18"/>
                <w:color w:val="auto"/>
                <w:w w:val="82"/>
              </w:rPr>
              <w:t>Base</w:t>
            </w:r>
          </w:p>
        </w:tc>
        <w:tc>
          <w:tcPr>
            <w:tcW w:w="2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June 15, 2017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14, 2017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August 2, 2017</w:t>
            </w:r>
          </w:p>
        </w:tc>
        <w:tc>
          <w:tcPr>
            <w:tcW w:w="1180" w:type="dxa"/>
            <w:vAlign w:val="bottom"/>
            <w:gridSpan w:val="5"/>
          </w:tcPr>
          <w:p>
            <w:pPr>
              <w:jc w:val="center"/>
              <w:ind w:right="160"/>
              <w:spacing w:after="0"/>
              <w:rPr>
                <w:sz w:val="20"/>
                <w:szCs w:val="20"/>
                <w:color w:val="auto"/>
              </w:rPr>
            </w:pPr>
            <w:r>
              <w:rPr>
                <w:rFonts w:ascii="Arial" w:cs="Arial" w:eastAsia="Arial" w:hAnsi="Arial"/>
                <w:sz w:val="18"/>
                <w:szCs w:val="18"/>
                <w:color w:val="auto"/>
                <w:w w:val="89"/>
              </w:rPr>
              <w:t>Supplemental</w:t>
            </w:r>
          </w:p>
        </w:tc>
        <w:tc>
          <w:tcPr>
            <w:tcW w:w="2200" w:type="dxa"/>
            <w:vAlign w:val="bottom"/>
            <w:gridSpan w:val="2"/>
          </w:tcPr>
          <w:p>
            <w:pPr>
              <w:jc w:val="right"/>
              <w:ind w:right="40"/>
              <w:spacing w:after="0"/>
              <w:rPr>
                <w:sz w:val="20"/>
                <w:szCs w:val="20"/>
                <w:color w:val="auto"/>
              </w:rPr>
            </w:pPr>
            <w:r>
              <w:rPr>
                <w:rFonts w:ascii="Arial" w:cs="Arial" w:eastAsia="Arial" w:hAnsi="Arial"/>
                <w:sz w:val="18"/>
                <w:szCs w:val="18"/>
                <w:color w:val="auto"/>
              </w:rPr>
              <w:t>August 31, 2017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September 29, 2017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August 2, 2017</w:t>
            </w:r>
          </w:p>
        </w:tc>
        <w:tc>
          <w:tcPr>
            <w:tcW w:w="2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center"/>
              <w:ind w:right="180"/>
              <w:spacing w:after="0"/>
              <w:rPr>
                <w:sz w:val="20"/>
                <w:szCs w:val="20"/>
                <w:color w:val="auto"/>
              </w:rPr>
            </w:pPr>
            <w:r>
              <w:rPr>
                <w:rFonts w:ascii="Arial" w:cs="Arial" w:eastAsia="Arial" w:hAnsi="Arial"/>
                <w:sz w:val="18"/>
                <w:szCs w:val="18"/>
                <w:color w:val="auto"/>
                <w:w w:val="82"/>
              </w:rPr>
              <w:t>Base</w:t>
            </w:r>
          </w:p>
        </w:tc>
        <w:tc>
          <w:tcPr>
            <w:tcW w:w="2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September 15, 2017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13, 2017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November 7, 2017</w:t>
            </w:r>
          </w:p>
        </w:tc>
        <w:tc>
          <w:tcPr>
            <w:tcW w:w="1180" w:type="dxa"/>
            <w:vAlign w:val="bottom"/>
            <w:gridSpan w:val="5"/>
          </w:tcPr>
          <w:p>
            <w:pPr>
              <w:jc w:val="center"/>
              <w:ind w:right="160"/>
              <w:spacing w:after="0"/>
              <w:rPr>
                <w:sz w:val="20"/>
                <w:szCs w:val="20"/>
                <w:color w:val="auto"/>
              </w:rPr>
            </w:pPr>
            <w:r>
              <w:rPr>
                <w:rFonts w:ascii="Arial" w:cs="Arial" w:eastAsia="Arial" w:hAnsi="Arial"/>
                <w:sz w:val="18"/>
                <w:szCs w:val="18"/>
                <w:color w:val="auto"/>
                <w:w w:val="89"/>
              </w:rPr>
              <w:t>Supplemental</w:t>
            </w:r>
          </w:p>
        </w:tc>
        <w:tc>
          <w:tcPr>
            <w:tcW w:w="2200" w:type="dxa"/>
            <w:vAlign w:val="bottom"/>
            <w:gridSpan w:val="2"/>
          </w:tcPr>
          <w:p>
            <w:pPr>
              <w:jc w:val="right"/>
              <w:ind w:right="40"/>
              <w:spacing w:after="0"/>
              <w:rPr>
                <w:sz w:val="20"/>
                <w:szCs w:val="20"/>
                <w:color w:val="auto"/>
              </w:rPr>
            </w:pPr>
            <w:r>
              <w:rPr>
                <w:rFonts w:ascii="Arial" w:cs="Arial" w:eastAsia="Arial" w:hAnsi="Arial"/>
                <w:sz w:val="18"/>
                <w:szCs w:val="18"/>
                <w:color w:val="auto"/>
              </w:rPr>
              <w:t>November 30, 2017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December 29, 2017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November 7, 2017</w:t>
            </w:r>
          </w:p>
        </w:tc>
        <w:tc>
          <w:tcPr>
            <w:tcW w:w="2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center"/>
              <w:ind w:right="180"/>
              <w:spacing w:after="0"/>
              <w:rPr>
                <w:sz w:val="20"/>
                <w:szCs w:val="20"/>
                <w:color w:val="auto"/>
              </w:rPr>
            </w:pPr>
            <w:r>
              <w:rPr>
                <w:rFonts w:ascii="Arial" w:cs="Arial" w:eastAsia="Arial" w:hAnsi="Arial"/>
                <w:sz w:val="18"/>
                <w:szCs w:val="18"/>
                <w:color w:val="auto"/>
                <w:w w:val="82"/>
              </w:rPr>
              <w:t>Base</w:t>
            </w:r>
          </w:p>
        </w:tc>
        <w:tc>
          <w:tcPr>
            <w:tcW w:w="2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December 15, 2017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January 12, 2018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ind w:left="260"/>
              <w:spacing w:after="0"/>
              <w:rPr>
                <w:sz w:val="20"/>
                <w:szCs w:val="20"/>
                <w:color w:val="auto"/>
              </w:rPr>
            </w:pPr>
            <w:r>
              <w:rPr>
                <w:rFonts w:ascii="Arial" w:cs="Arial" w:eastAsia="Arial" w:hAnsi="Arial"/>
                <w:sz w:val="18"/>
                <w:szCs w:val="18"/>
                <w:b w:val="1"/>
                <w:bCs w:val="1"/>
                <w:color w:val="auto"/>
              </w:rPr>
              <w:t>Total Dividends Declared</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0" w:hanging="512"/>
        <w:spacing w:after="0" w:line="259" w:lineRule="auto"/>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227"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The dividends declared during the years ended December 31, 2019, 2018, and 2017, were derived from net investment income and long-term capital gains, determined on a tax basis.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2" w:name="page123"/>
    <w:bookmarkEnd w:id="122"/>
    <w:p>
      <w:pPr>
        <w:ind w:left="280" w:hanging="272"/>
        <w:spacing w:after="0"/>
        <w:tabs>
          <w:tab w:leader="none" w:pos="2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tax character of shareholder distributions attributable to the fiscal years ended December 31, 2019, 2018 and 2017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 Ended</w:t>
            </w:r>
          </w:p>
        </w:tc>
      </w:tr>
      <w:tr>
        <w:trPr>
          <w:trHeight w:val="156"/>
        </w:trPr>
        <w:tc>
          <w:tcPr>
            <w:tcW w:w="20" w:type="dxa"/>
            <w:vAlign w:val="bottom"/>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2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Ordinary Income </w:t>
            </w:r>
            <w:r>
              <w:rPr>
                <w:rFonts w:ascii="Arial" w:cs="Arial" w:eastAsia="Arial" w:hAnsi="Arial"/>
                <w:sz w:val="15"/>
                <w:szCs w:val="15"/>
                <w:color w:val="auto"/>
              </w:rPr>
              <w:t>(1)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113,946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Capital Gains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119,623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113,946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105,051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line="277" w:lineRule="auto"/>
        <w:tabs>
          <w:tab w:leader="none" w:pos="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the years ended December 31, 2019, 2018 and 2017, 80.49%, 87.16%, and 89.16% of ordinary income qualified as interest related dividend which is exempt from U.S. withholding tax applicable to non-U.S. shareholders.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tax basis components of distributable earnings for the years ended December 31, 2019, 2018 and 2017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56"/>
        </w:trPr>
        <w:tc>
          <w:tcPr>
            <w:tcW w:w="20" w:type="dxa"/>
            <w:vAlign w:val="bottom"/>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investment income - tax basis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87,826</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Undistributed net realized gains (losses) - tax</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basis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7,863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(3,877)</w:t>
            </w: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gains (losses) on investments</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(3,598)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10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(30,343)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(30,016)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(28,103)</w:t>
            </w:r>
          </w:p>
        </w:tc>
      </w:tr>
      <w:tr>
        <w:trPr>
          <w:trHeight w:val="223"/>
        </w:trPr>
        <w:tc>
          <w:tcPr>
            <w:tcW w:w="20" w:type="dxa"/>
            <w:vAlign w:val="bottom"/>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distributable earnings - book basis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63,519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2019, 2018 and 2017, to taxable income at December 31, 2019, 2018 and 2017:</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56"/>
        </w:trPr>
        <w:tc>
          <w:tcPr>
            <w:tcW w:w="20" w:type="dxa"/>
            <w:vAlign w:val="bottom"/>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119,017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111,609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loss on investments</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(24,262)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(5,295)</w:t>
            </w:r>
          </w:p>
        </w:tc>
      </w:tr>
      <w:tr>
        <w:trPr>
          <w:trHeight w:val="215"/>
        </w:trPr>
        <w:tc>
          <w:tcPr>
            <w:tcW w:w="2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Other income for tax purposes, not</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380"/>
              <w:spacing w:after="0"/>
              <w:rPr>
                <w:sz w:val="20"/>
                <w:szCs w:val="20"/>
                <w:color w:val="auto"/>
              </w:rPr>
            </w:pPr>
            <w:r>
              <w:rPr>
                <w:rFonts w:ascii="Arial" w:cs="Arial" w:eastAsia="Arial" w:hAnsi="Arial"/>
                <w:sz w:val="18"/>
                <w:szCs w:val="18"/>
                <w:color w:val="auto"/>
              </w:rPr>
              <w:t>book</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organization costs</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Other expenses not currently deductible</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book-tax differences</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(1,618)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FF0FC"/>
          </w:tcPr>
          <w:p>
            <w:pPr>
              <w:spacing w:after="0"/>
              <w:rPr>
                <w:sz w:val="19"/>
                <w:szCs w:val="19"/>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Taxable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135,360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112,024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Note: Taxable income is an estimate and is not fully determined until the Company’s tax return is filed. The Company’s tax year end is March 31</w:t>
      </w:r>
      <w:r>
        <w:rPr>
          <w:rFonts w:ascii="Arial" w:cs="Arial" w:eastAsia="Arial" w:hAnsi="Arial"/>
          <w:sz w:val="14"/>
          <w:szCs w:val="14"/>
          <w:color w:val="auto"/>
        </w:rPr>
        <w:t>st</w:t>
      </w:r>
      <w:r>
        <w:rPr>
          <w:rFonts w:ascii="Arial" w:cs="Arial" w:eastAsia="Arial" w:hAnsi="Arial"/>
          <w:sz w:val="17"/>
          <w:szCs w:val="17"/>
          <w:color w:val="auto"/>
        </w:rPr>
        <w:t>.</w:t>
      </w:r>
    </w:p>
    <w:p>
      <w:pPr>
        <w:spacing w:after="0" w:line="237" w:lineRule="exact"/>
        <w:rPr>
          <w:sz w:val="20"/>
          <w:szCs w:val="20"/>
          <w:color w:val="auto"/>
        </w:rPr>
      </w:pPr>
    </w:p>
    <w:p>
      <w:pPr>
        <w:jc w:val="both"/>
        <w:ind w:right="180" w:firstLine="259"/>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right="200" w:firstLine="259"/>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color w:val="auto"/>
        </w:rPr>
        <w:t>During the period April 1, 2019 through December 31, 2019, the Company increased distributable earnings and decreased additional paid in capital by $3.5 million attributable to U.S. federal excise taxes.</w:t>
      </w:r>
    </w:p>
    <w:p>
      <w:pPr>
        <w:spacing w:after="0" w:line="170"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color w:val="auto"/>
        </w:rPr>
        <w:t>During the period April 1, 2018 through December 31, 2018, the Company increased distributable earnings and decreased additional paid in capital by $2.5 million attributable to U.S. federal excise taxes.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23" w:name="page124"/>
    <w:bookmarkEnd w:id="123"/>
    <w:p>
      <w:pPr>
        <w:ind w:right="300" w:firstLine="259"/>
        <w:spacing w:after="0" w:line="277" w:lineRule="auto"/>
        <w:rPr>
          <w:sz w:val="20"/>
          <w:szCs w:val="20"/>
          <w:color w:val="auto"/>
        </w:rPr>
      </w:pPr>
      <w:r>
        <w:rPr>
          <w:rFonts w:ascii="Arial" w:cs="Arial" w:eastAsia="Arial" w:hAnsi="Arial"/>
          <w:sz w:val="18"/>
          <w:szCs w:val="18"/>
          <w:color w:val="auto"/>
        </w:rPr>
        <w:t>During the period April 1, 2017 through December 31, 2017, the Company increased distributable earnings and decreased additional paid in capital by $2.1 million attributable to U.S. federal excise taxes.</w:t>
      </w:r>
    </w:p>
    <w:p>
      <w:pPr>
        <w:spacing w:after="0" w:line="170" w:lineRule="exact"/>
        <w:rPr>
          <w:sz w:val="20"/>
          <w:szCs w:val="20"/>
          <w:color w:val="auto"/>
        </w:rPr>
      </w:pPr>
    </w:p>
    <w:p>
      <w:pPr>
        <w:jc w:val="both"/>
        <w:ind w:right="40" w:firstLine="259"/>
        <w:spacing w:after="0" w:line="286" w:lineRule="auto"/>
        <w:rPr>
          <w:sz w:val="20"/>
          <w:szCs w:val="20"/>
          <w:color w:val="auto"/>
        </w:rPr>
      </w:pPr>
      <w:r>
        <w:rPr>
          <w:rFonts w:ascii="Arial" w:cs="Arial" w:eastAsia="Arial" w:hAnsi="Arial"/>
          <w:sz w:val="17"/>
          <w:szCs w:val="17"/>
          <w:color w:val="auto"/>
        </w:rPr>
        <w:t>The Company’s wholly-owned subsidiary, TSL MR, LLC, is a taxable subsidiary in which the Company holds certain equity investments. TSL MR,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66" w:lineRule="exact"/>
        <w:rPr>
          <w:sz w:val="20"/>
          <w:szCs w:val="20"/>
          <w:color w:val="auto"/>
        </w:rPr>
      </w:pPr>
    </w:p>
    <w:p>
      <w:pPr>
        <w:jc w:val="both"/>
        <w:ind w:right="60" w:firstLine="259"/>
        <w:spacing w:after="0" w:line="277" w:lineRule="auto"/>
        <w:rPr>
          <w:sz w:val="20"/>
          <w:szCs w:val="20"/>
          <w:color w:val="auto"/>
        </w:rPr>
      </w:pPr>
      <w:r>
        <w:rPr>
          <w:rFonts w:ascii="Arial" w:cs="Arial" w:eastAsia="Arial" w:hAnsi="Arial"/>
          <w:sz w:val="18"/>
          <w:szCs w:val="18"/>
          <w:color w:val="auto"/>
        </w:rPr>
        <w:t>As of December 31, 2019, the Company had a deferred tax asset of $5.9 million pertaining to operating losses, related to one of its investments. Given the losses generated by the entity, the deferred tax asset has been offset by a valuation allowance of $5.9 million.</w:t>
      </w:r>
    </w:p>
    <w:p>
      <w:pPr>
        <w:spacing w:after="0" w:line="170" w:lineRule="exact"/>
        <w:rPr>
          <w:sz w:val="20"/>
          <w:szCs w:val="20"/>
          <w:color w:val="auto"/>
        </w:rPr>
      </w:pPr>
    </w:p>
    <w:p>
      <w:pPr>
        <w:jc w:val="both"/>
        <w:ind w:right="60" w:firstLine="259"/>
        <w:spacing w:after="0" w:line="277" w:lineRule="auto"/>
        <w:rPr>
          <w:sz w:val="20"/>
          <w:szCs w:val="20"/>
          <w:color w:val="auto"/>
        </w:rPr>
      </w:pPr>
      <w:r>
        <w:rPr>
          <w:rFonts w:ascii="Arial" w:cs="Arial" w:eastAsia="Arial" w:hAnsi="Arial"/>
          <w:sz w:val="18"/>
          <w:szCs w:val="18"/>
          <w:color w:val="auto"/>
        </w:rPr>
        <w:t>As of December 31, 2018, the Company had a deferred tax asset of $4.4 million pertaining to operating losses, related to one of its investments. Given the losses generated by the entity, the deferred tax asset has been offset by a valuation allowance of $4.4 million.</w:t>
      </w:r>
    </w:p>
    <w:p>
      <w:pPr>
        <w:spacing w:after="0" w:line="170" w:lineRule="exact"/>
        <w:rPr>
          <w:sz w:val="20"/>
          <w:szCs w:val="20"/>
          <w:color w:val="auto"/>
        </w:rPr>
      </w:pPr>
    </w:p>
    <w:p>
      <w:pPr>
        <w:jc w:val="both"/>
        <w:ind w:right="60" w:firstLine="259"/>
        <w:spacing w:after="0" w:line="277" w:lineRule="auto"/>
        <w:rPr>
          <w:sz w:val="20"/>
          <w:szCs w:val="20"/>
          <w:color w:val="auto"/>
        </w:rPr>
      </w:pPr>
      <w:r>
        <w:rPr>
          <w:rFonts w:ascii="Arial" w:cs="Arial" w:eastAsia="Arial" w:hAnsi="Arial"/>
          <w:sz w:val="18"/>
          <w:szCs w:val="18"/>
          <w:color w:val="auto"/>
        </w:rPr>
        <w:t>As of December 31, 2017, the Company had a deferred tax asset of $2.9 million pertaining to operating losses, related to one of its investments. Given the losses generated by the entity, the deferred tax asset has been offset by a valuation allowance of $2.9 million.</w:t>
      </w:r>
    </w:p>
    <w:p>
      <w:pPr>
        <w:spacing w:after="0" w:line="170" w:lineRule="exact"/>
        <w:rPr>
          <w:sz w:val="20"/>
          <w:szCs w:val="20"/>
          <w:color w:val="auto"/>
        </w:rPr>
      </w:pPr>
    </w:p>
    <w:p>
      <w:pPr>
        <w:ind w:right="140" w:firstLine="259"/>
        <w:spacing w:after="0" w:line="342" w:lineRule="auto"/>
        <w:rPr>
          <w:sz w:val="20"/>
          <w:szCs w:val="20"/>
          <w:color w:val="auto"/>
        </w:rPr>
      </w:pPr>
      <w:r>
        <w:rPr>
          <w:rFonts w:ascii="Arial" w:cs="Arial" w:eastAsia="Arial" w:hAnsi="Arial"/>
          <w:sz w:val="16"/>
          <w:szCs w:val="16"/>
          <w:color w:val="auto"/>
        </w:rPr>
        <w:t>The tax cost of the Company’s investments as of December 31, 2019 was $2,230,116, resulting in estimated gross unrealized gains and losses of $87,386 and $78,478, respectively. The tax cost of the Company’s investments as of December 31, 2018 and 2017, approximates their amortized cost.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480" w:firstLine="259"/>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2019, 2018, 2017, 2016, and 2015.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Year Ended</w:t>
            </w:r>
          </w:p>
        </w:tc>
        <w:tc>
          <w:tcPr>
            <w:tcW w:w="80" w:type="dxa"/>
            <w:vAlign w:val="bottom"/>
          </w:tcPr>
          <w:p>
            <w:pPr>
              <w:spacing w:after="0"/>
              <w:rPr>
                <w:sz w:val="14"/>
                <w:szCs w:val="14"/>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December 31, 2019</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Pr>
          <w:p>
            <w:pPr>
              <w:spacing w:after="0"/>
              <w:rPr>
                <w:sz w:val="14"/>
                <w:szCs w:val="14"/>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December 31, 2017</w:t>
            </w:r>
          </w:p>
        </w:tc>
        <w:tc>
          <w:tcPr>
            <w:tcW w:w="100" w:type="dxa"/>
            <w:vAlign w:val="bottom"/>
          </w:tcPr>
          <w:p>
            <w:pPr>
              <w:spacing w:after="0"/>
              <w:rPr>
                <w:sz w:val="14"/>
                <w:szCs w:val="14"/>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December 31, 2016</w:t>
            </w:r>
          </w:p>
        </w:tc>
        <w:tc>
          <w:tcPr>
            <w:tcW w:w="1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December 31,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(6)</w:t>
            </w: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16.25</w:t>
            </w: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16.09</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15.95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15.15</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(loss) </w:t>
            </w:r>
            <w:r>
              <w:rPr>
                <w:rFonts w:ascii="Arial" w:cs="Arial" w:eastAsia="Arial" w:hAnsi="Arial"/>
                <w:sz w:val="15"/>
                <w:szCs w:val="15"/>
                <w:color w:val="auto"/>
              </w:rPr>
              <w:t>(1)</w:t>
            </w: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ind w:left="240"/>
              <w:spacing w:after="0"/>
              <w:rPr>
                <w:sz w:val="20"/>
                <w:szCs w:val="20"/>
                <w:color w:val="auto"/>
              </w:rPr>
            </w:pPr>
            <w:r>
              <w:rPr>
                <w:rFonts w:ascii="Arial" w:cs="Arial" w:eastAsia="Arial" w:hAnsi="Arial"/>
                <w:sz w:val="18"/>
                <w:szCs w:val="18"/>
                <w:color w:val="auto"/>
              </w:rPr>
              <w:t>Total from operations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Dividends declared from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1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Dividends declared from realized</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gains </w:t>
            </w:r>
            <w:r>
              <w:rPr>
                <w:rFonts w:ascii="Arial" w:cs="Arial" w:eastAsia="Arial" w:hAnsi="Arial"/>
                <w:sz w:val="15"/>
                <w:szCs w:val="15"/>
                <w:color w:val="auto"/>
              </w:rPr>
              <w:t>(2)</w:t>
            </w: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9"/>
        </w:trPr>
        <w:tc>
          <w:tcPr>
            <w:tcW w:w="3020" w:type="dxa"/>
            <w:vAlign w:val="bottom"/>
            <w:gridSpan w:val="2"/>
          </w:tcPr>
          <w:p>
            <w:pPr>
              <w:spacing w:after="0"/>
              <w:rPr>
                <w:sz w:val="20"/>
                <w:szCs w:val="20"/>
                <w:color w:val="auto"/>
              </w:rPr>
            </w:pPr>
            <w:r>
              <w:rPr>
                <w:rFonts w:ascii="Arial" w:cs="Arial" w:eastAsia="Arial" w:hAnsi="Arial"/>
                <w:sz w:val="18"/>
                <w:szCs w:val="18"/>
                <w:color w:val="auto"/>
              </w:rPr>
              <w:t>Total increase in net</w:t>
            </w: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12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Asset Value, End of Period</w:t>
            </w: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3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spacing w:after="0"/>
              <w:rPr>
                <w:sz w:val="20"/>
                <w:szCs w:val="20"/>
                <w:color w:val="auto"/>
              </w:rPr>
            </w:pPr>
            <w:r>
              <w:rPr>
                <w:rFonts w:ascii="Arial" w:cs="Arial" w:eastAsia="Arial" w:hAnsi="Arial"/>
                <w:sz w:val="18"/>
                <w:szCs w:val="18"/>
                <w:color w:val="auto"/>
              </w:rPr>
              <w:t>Per share market value at end of</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120"/>
              <w:spacing w:after="0"/>
              <w:rPr>
                <w:sz w:val="20"/>
                <w:szCs w:val="20"/>
                <w:color w:val="auto"/>
              </w:rPr>
            </w:pPr>
            <w:r>
              <w:rPr>
                <w:rFonts w:ascii="Arial" w:cs="Arial" w:eastAsia="Arial" w:hAnsi="Arial"/>
                <w:sz w:val="18"/>
                <w:szCs w:val="18"/>
                <w:color w:val="auto"/>
              </w:rPr>
              <w:t>period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21.47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18.09</w:t>
            </w:r>
          </w:p>
        </w:tc>
        <w:tc>
          <w:tcPr>
            <w:tcW w:w="3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19.80</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18.68</w:t>
            </w: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Total return based on market value </w:t>
            </w:r>
            <w:r>
              <w:rPr>
                <w:rFonts w:ascii="Arial" w:cs="Arial" w:eastAsia="Arial" w:hAnsi="Arial"/>
                <w:sz w:val="15"/>
                <w:szCs w:val="15"/>
                <w:color w:val="auto"/>
                <w:w w:val="98"/>
              </w:rPr>
              <w:t>(3)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28.69%</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Total return based on net asset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1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(4)</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14.71%</w:t>
            </w:r>
          </w:p>
        </w:tc>
        <w:tc>
          <w:tcPr>
            <w:tcW w:w="1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12.06%</w:t>
            </w:r>
          </w:p>
        </w:tc>
        <w:tc>
          <w:tcPr>
            <w:tcW w:w="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Shares Outstanding, End of Period</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66,524,591</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65,412,817</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60,247,201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59,716,205</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54,163,960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Ratio of net expenses to average</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assets</w:t>
            </w: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11.27%</w:t>
            </w: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11.32%</w:t>
            </w:r>
          </w:p>
        </w:tc>
        <w:tc>
          <w:tcPr>
            <w:tcW w:w="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Ratio of net investment income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220"/>
              <w:spacing w:after="0"/>
              <w:rPr>
                <w:sz w:val="20"/>
                <w:szCs w:val="20"/>
                <w:color w:val="auto"/>
              </w:rPr>
            </w:pPr>
            <w:r>
              <w:rPr>
                <w:rFonts w:ascii="Arial" w:cs="Arial" w:eastAsia="Arial" w:hAnsi="Arial"/>
                <w:sz w:val="18"/>
                <w:szCs w:val="18"/>
                <w:color w:val="auto"/>
              </w:rPr>
              <w:t>to average net assets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11.73%</w:t>
            </w:r>
          </w:p>
        </w:tc>
        <w:tc>
          <w:tcPr>
            <w:tcW w:w="1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13.80%</w:t>
            </w:r>
          </w:p>
        </w:tc>
        <w:tc>
          <w:tcPr>
            <w:tcW w:w="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Portfolio turnover</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30.89%</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44.57%</w:t>
            </w:r>
          </w:p>
        </w:tc>
        <w:tc>
          <w:tcPr>
            <w:tcW w:w="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58.08%</w:t>
            </w:r>
          </w:p>
        </w:tc>
        <w:tc>
          <w:tcPr>
            <w:tcW w:w="1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37.40%</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1,119,297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1,063,202</w:t>
            </w:r>
          </w:p>
        </w:tc>
        <w:tc>
          <w:tcPr>
            <w:tcW w:w="3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969,284</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952,212</w:t>
            </w: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820,741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540" w:right="3720" w:hanging="5532"/>
        <w:spacing w:after="0" w:line="528" w:lineRule="auto"/>
        <w:tabs>
          <w:tab w:leader="none" w:pos="5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 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4" w:name="page125"/>
    <w:bookmarkEnd w:id="124"/>
    <w:p>
      <w:pPr>
        <w:ind w:left="520" w:hanging="512"/>
        <w:spacing w:after="0"/>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20" w:right="540" w:hanging="512"/>
        <w:spacing w:after="0" w:line="250" w:lineRule="auto"/>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20" w:right="40" w:hanging="512"/>
        <w:spacing w:after="0" w:line="250" w:lineRule="auto"/>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ratio of net expenses to average net assets in the table above reflects the Adviser’s waivers of its right to receive a portion of the Management Fee and Incentive Fees with respect to the Company’s ownership of shares of common stock of Oxford Square Capital Corp. and Triangle Capital Corp. Excluding the effects of the waivers, the ratio of net expenses to average net assets would have been 11.33%, 9.42%, 9.43% and 9.33% for the years ended December 31, 2018, 2017, 2016 and 2015, respectively. The Adviser did not waive any Management Fees or Incentive Fees for the year ended December 31, 2019.</w:t>
      </w:r>
    </w:p>
    <w:p>
      <w:pPr>
        <w:spacing w:after="0" w:line="2" w:lineRule="exact"/>
        <w:rPr>
          <w:rFonts w:ascii="Arial" w:cs="Arial" w:eastAsia="Arial" w:hAnsi="Arial"/>
          <w:sz w:val="18"/>
          <w:szCs w:val="18"/>
          <w:color w:val="auto"/>
        </w:rPr>
      </w:pPr>
    </w:p>
    <w:p>
      <w:pPr>
        <w:ind w:left="520" w:hanging="512"/>
        <w:spacing w:after="0"/>
        <w:tabs>
          <w:tab w:leader="none" w:pos="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6"/>
          </w:tcPr>
          <w:p>
            <w:pPr>
              <w:jc w:val="right"/>
              <w:ind w:right="145"/>
              <w:spacing w:after="0"/>
              <w:rPr>
                <w:sz w:val="20"/>
                <w:szCs w:val="20"/>
                <w:color w:val="auto"/>
              </w:rPr>
            </w:pPr>
            <w:r>
              <w:rPr>
                <w:rFonts w:ascii="Arial" w:cs="Arial" w:eastAsia="Arial" w:hAnsi="Arial"/>
                <w:sz w:val="14"/>
                <w:szCs w:val="14"/>
                <w:b w:val="1"/>
                <w:bCs w:val="1"/>
                <w:color w:val="auto"/>
              </w:rPr>
              <w:t>2019</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4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4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Q3</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rPr>
              <w:t>Q2</w:t>
            </w: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Q1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7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66,531</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70,050</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62,427</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52,487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96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32,771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33,307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31,285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25,849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96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36,743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96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(6,402)</w:t>
            </w: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96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37,702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47,795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96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16.83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4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6"/>
          </w:tcPr>
          <w:p>
            <w:pPr>
              <w:jc w:val="right"/>
              <w:ind w:right="145"/>
              <w:spacing w:after="0"/>
              <w:rPr>
                <w:sz w:val="20"/>
                <w:szCs w:val="20"/>
                <w:color w:val="auto"/>
              </w:rPr>
            </w:pPr>
            <w:r>
              <w:rPr>
                <w:rFonts w:ascii="Arial" w:cs="Arial" w:eastAsia="Arial" w:hAnsi="Arial"/>
                <w:sz w:val="14"/>
                <w:szCs w:val="14"/>
                <w:b w:val="1"/>
                <w:bCs w:val="1"/>
                <w:color w:val="auto"/>
              </w:rPr>
              <w:t>2018</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4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4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Q3</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rPr>
              <w:t>Q2</w:t>
            </w: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Q1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7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74,741</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63,004</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66,401</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57,768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96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30,634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30,711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30,099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26,581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96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44,107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32,293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36,302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96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(29,875)</w:t>
            </w: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(2,733)</w:t>
            </w: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96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96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right"/>
              <w:ind w:right="145"/>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48,825</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52,305</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58,819</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50,948</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 xml:space="preserve">Net Expenses </w:t>
            </w:r>
            <w:r>
              <w:rPr>
                <w:rFonts w:ascii="Arial" w:cs="Arial" w:eastAsia="Arial" w:hAnsi="Arial"/>
                <w:sz w:val="15"/>
                <w:szCs w:val="15"/>
                <w:color w:val="auto"/>
              </w:rPr>
              <w:t>(1)</w:t>
            </w:r>
          </w:p>
        </w:tc>
        <w:tc>
          <w:tcPr>
            <w:tcW w:w="9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21,946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21,376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22,429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9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33,932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Total unrealized and realized losses</w:t>
            </w:r>
          </w:p>
        </w:tc>
        <w:tc>
          <w:tcPr>
            <w:tcW w:w="9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 Operations</w:t>
            </w:r>
          </w:p>
        </w:tc>
        <w:tc>
          <w:tcPr>
            <w:tcW w:w="9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9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left="520" w:hanging="512"/>
        <w:spacing w:after="0"/>
        <w:tabs>
          <w:tab w:leader="none" w:pos="52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Net expenses include income taxes, including excise taxes.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firstLine="259"/>
        <w:spacing w:after="0" w:line="286" w:lineRule="auto"/>
        <w:rPr>
          <w:sz w:val="20"/>
          <w:szCs w:val="20"/>
          <w:color w:val="auto"/>
        </w:rPr>
      </w:pPr>
      <w:r>
        <w:rPr>
          <w:rFonts w:ascii="Arial" w:cs="Arial" w:eastAsia="Arial" w:hAnsi="Arial"/>
          <w:sz w:val="17"/>
          <w:szCs w:val="17"/>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10-K or would be required to be recognized in the consolidated financial statements as of and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b w:val="1"/>
          <w:bCs w:val="1"/>
          <w:i w:val="1"/>
          <w:iCs w:val="1"/>
          <w:color w:val="auto"/>
        </w:rPr>
        <w:t xml:space="preserve">Management’s Report on Internal Control Over Financial Reporting. </w:t>
      </w:r>
      <w:r>
        <w:rPr>
          <w:rFonts w:ascii="Arial" w:cs="Arial" w:eastAsia="Arial" w:hAnsi="Arial"/>
          <w:sz w:val="17"/>
          <w:szCs w:val="17"/>
          <w:color w:val="auto"/>
        </w:rPr>
        <w:t>Our management is responsible for establishing and maintaining adequate internal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control over financial reporting (as defined in Rules 13a-15(f)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(2013 COSO Framework). Based on our evaluation under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management concluded that our internal control over financial reporting was effective as of December 31, 2019.</w:t>
      </w:r>
    </w:p>
    <w:p>
      <w:pPr>
        <w:spacing w:after="0" w:line="178"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b w:val="1"/>
          <w:bCs w:val="1"/>
          <w:i w:val="1"/>
          <w:iCs w:val="1"/>
          <w:color w:val="auto"/>
        </w:rPr>
        <w:t xml:space="preserve">Attestation Report of the Independent Registered Public Accounting Firm. </w:t>
      </w:r>
      <w:r>
        <w:rPr>
          <w:rFonts w:ascii="Arial" w:cs="Arial" w:eastAsia="Arial" w:hAnsi="Arial"/>
          <w:sz w:val="18"/>
          <w:szCs w:val="18"/>
          <w:color w:val="auto"/>
        </w:rPr>
        <w:t>Our independent registered public accounting firm, KPMG LLP, has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audit report on the effectiveness of our internal control over financial reporting, which is set forth under the heading “Report of Independent Registered Public Accounting Firm” on page F-2.</w:t>
      </w:r>
    </w:p>
    <w:p>
      <w:pPr>
        <w:spacing w:after="0" w:line="181"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6" w:name="page127"/>
    <w:bookmarkEnd w:id="126"/>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200" w:firstLine="259"/>
        <w:spacing w:after="0" w:line="286" w:lineRule="auto"/>
        <w:rPr>
          <w:sz w:val="20"/>
          <w:szCs w:val="20"/>
          <w:color w:val="auto"/>
        </w:rPr>
      </w:pPr>
      <w:r>
        <w:rPr>
          <w:rFonts w:ascii="Arial" w:cs="Arial" w:eastAsia="Arial" w:hAnsi="Arial"/>
          <w:sz w:val="17"/>
          <w:szCs w:val="17"/>
          <w:color w:val="auto"/>
        </w:rPr>
        <w:t>Except for the information regarding the SOX Code of Business Conduct and Ethics (which is set forth below), information in response to this item is incorporated by reference from our Proxy Statement relating to our 2020 annual meeting of stockholders. The Proxy Statement will be filed with the SEC within 120 days after the end of the fiscal year covered by this Form 10-K pursuant to Regulation 14A under the Exchange Act.</w:t>
      </w:r>
    </w:p>
    <w:p>
      <w:pPr>
        <w:spacing w:after="0" w:line="166"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Our SOX Code of Business Conduct and Ethics may be found at http://www.tpgspecialtylending.com in the “Investor Resources” section of our website. We intend to disclose any substantive amendments to or waivers of required provisions of the SOX Code of Business Conduct and Ethics on our website or on a current report on Form 8-K.</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2020 annual meeting of stockholders.</w:t>
      </w:r>
    </w:p>
    <w:p>
      <w:pPr>
        <w:spacing w:after="0" w:line="200" w:lineRule="exact"/>
        <w:rPr>
          <w:sz w:val="20"/>
          <w:szCs w:val="20"/>
          <w:color w:val="auto"/>
        </w:rPr>
      </w:pPr>
    </w:p>
    <w:p>
      <w:pPr>
        <w:spacing w:after="0" w:line="222"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2020 annual meeting of stockholders.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 AND RELATED TRANSACTION, AND DIRECTOR INDEPENDENCE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2020 annual meeting of stockholders.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Information in response to this item is incorporated by reference from our Proxy Statement relating to our 2020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127" w:name="page128"/>
    <w:bookmarkEnd w:id="127"/>
    <w:p>
      <w:pPr>
        <w:ind w:left="534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17" w:lineRule="exact"/>
        <w:rPr>
          <w:sz w:val="20"/>
          <w:szCs w:val="20"/>
          <w:color w:val="auto"/>
        </w:rPr>
      </w:pPr>
    </w:p>
    <w:p>
      <w:pPr>
        <w:ind w:left="260" w:right="400" w:hanging="252"/>
        <w:spacing w:after="0" w:line="277" w:lineRule="auto"/>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Financial Statements—Financial statements are included in Item 8. See the Index to the Consolidated Financial Statements on page F-1 of this annual report on Form 10-K.</w:t>
      </w:r>
    </w:p>
    <w:p>
      <w:pPr>
        <w:spacing w:after="0" w:line="62" w:lineRule="exact"/>
        <w:rPr>
          <w:rFonts w:ascii="Arial" w:cs="Arial" w:eastAsia="Arial" w:hAnsi="Arial"/>
          <w:sz w:val="18"/>
          <w:szCs w:val="18"/>
          <w:color w:val="auto"/>
        </w:rPr>
      </w:pPr>
    </w:p>
    <w:p>
      <w:pPr>
        <w:ind w:left="260" w:right="40" w:hanging="252"/>
        <w:spacing w:after="0" w:line="264" w:lineRule="auto"/>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Exhibits—The following is a list of all exhibits filed as a part of this annual report on Form 10-K, including those incorporated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10340" w:type="dxa"/>
            <w:vAlign w:val="bottom"/>
            <w:gridSpan w:val="24"/>
          </w:tcPr>
          <w:p>
            <w:pPr>
              <w:spacing w:after="0"/>
              <w:rPr>
                <w:sz w:val="20"/>
                <w:szCs w:val="20"/>
                <w:color w:val="auto"/>
              </w:rPr>
            </w:pPr>
            <w:r>
              <w:rPr>
                <w:rFonts w:ascii="Arial" w:cs="Arial" w:eastAsia="Arial" w:hAnsi="Arial"/>
                <w:sz w:val="14"/>
                <w:szCs w:val="14"/>
                <w:color w:val="auto"/>
              </w:rPr>
              <w:t>Description of Exhibits</w:t>
            </w:r>
          </w:p>
        </w:tc>
        <w:tc>
          <w:tcPr>
            <w:tcW w:w="20" w:type="dxa"/>
            <w:vAlign w:val="bottom"/>
          </w:tcPr>
          <w:p>
            <w:pPr>
              <w:spacing w:after="0"/>
              <w:rPr>
                <w:sz w:val="14"/>
                <w:szCs w:val="14"/>
                <w:color w:val="auto"/>
              </w:rPr>
            </w:pPr>
          </w:p>
        </w:tc>
      </w:tr>
      <w:tr>
        <w:trPr>
          <w:trHeight w:val="291"/>
        </w:trPr>
        <w:tc>
          <w:tcPr>
            <w:tcW w:w="88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0340" w:type="dxa"/>
            <w:vAlign w:val="bottom"/>
            <w:tcBorders>
              <w:top w:val="single" w:sz="8" w:color="auto"/>
            </w:tcBorders>
            <w:gridSpan w:val="24"/>
          </w:tcPr>
          <w:p>
            <w:pPr>
              <w:spacing w:after="0"/>
              <w:rPr>
                <w:rFonts w:ascii="Arial" w:cs="Arial" w:eastAsia="Arial" w:hAnsi="Arial"/>
                <w:sz w:val="18"/>
                <w:szCs w:val="18"/>
                <w:color w:val="0000EE"/>
                <w:w w:val="98"/>
              </w:rPr>
            </w:pPr>
            <w:hyperlink r:id="rId155">
              <w:r>
                <w:rPr>
                  <w:rFonts w:ascii="Arial" w:cs="Arial" w:eastAsia="Arial" w:hAnsi="Arial"/>
                  <w:sz w:val="18"/>
                  <w:szCs w:val="18"/>
                  <w:color w:val="0000EE"/>
                  <w:w w:val="98"/>
                </w:rPr>
                <w:t>Amended and Restated Certificate of Incorporation (incorporated by reference to Exhibit 3.1 to Amendment No. 1 to the Company’s</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Registration Statement on Form 10 filed on March 14, 2011).</w:t>
              </w:r>
            </w:hyperlink>
          </w:p>
        </w:tc>
        <w:tc>
          <w:tcPr>
            <w:tcW w:w="7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jc w:val="right"/>
              <w:ind w:right="471"/>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0120" w:type="dxa"/>
            <w:vAlign w:val="bottom"/>
            <w:tcBorders>
              <w:bottom w:val="single" w:sz="8" w:color="0000EE"/>
            </w:tcBorders>
            <w:gridSpan w:val="19"/>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Certificate of Amendment to Amended and Restated Certificate of Incorporation (incorporated by reference to Exhibit 3.1 to the Company’s</w:t>
              </w:r>
            </w:hyperlink>
          </w:p>
        </w:tc>
        <w:tc>
          <w:tcPr>
            <w:tcW w:w="2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Current Report on Form 8-K filed on March 12, 2014).</w:t>
              </w:r>
            </w:hyperlink>
          </w:p>
        </w:tc>
        <w:tc>
          <w:tcPr>
            <w:tcW w:w="636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jc w:val="right"/>
              <w:ind w:right="471"/>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10340" w:type="dxa"/>
            <w:vAlign w:val="bottom"/>
            <w:gridSpan w:val="24"/>
          </w:tcPr>
          <w:p>
            <w:pPr>
              <w:spacing w:after="0"/>
              <w:rPr>
                <w:rFonts w:ascii="Arial" w:cs="Arial" w:eastAsia="Arial" w:hAnsi="Arial"/>
                <w:sz w:val="18"/>
                <w:szCs w:val="18"/>
                <w:color w:val="0000EE"/>
                <w:w w:val="95"/>
              </w:rPr>
            </w:pPr>
            <w:hyperlink r:id="rId157">
              <w:r>
                <w:rPr>
                  <w:rFonts w:ascii="Arial" w:cs="Arial" w:eastAsia="Arial" w:hAnsi="Arial"/>
                  <w:sz w:val="18"/>
                  <w:szCs w:val="18"/>
                  <w:color w:val="0000EE"/>
                  <w:w w:val="95"/>
                </w:rPr>
                <w:t>Certificate of Change of Registered Agent and/or Registered Office (incorporated by reference to Exhibit 3.1 to the Company’s Quarterly</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Report on Form 10-Q filed on November 7, 2016).</w:t>
              </w:r>
            </w:hyperlink>
          </w:p>
        </w:tc>
        <w:tc>
          <w:tcPr>
            <w:tcW w:w="44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jc w:val="right"/>
              <w:ind w:right="471"/>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10180" w:type="dxa"/>
            <w:vAlign w:val="bottom"/>
            <w:tcBorders>
              <w:bottom w:val="single" w:sz="8" w:color="0000EE"/>
            </w:tcBorders>
            <w:gridSpan w:val="21"/>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Amended and Restated Bylaws of TPG Specialty Lending, Inc., effective as of May 15, 2019 (incorporated by reference to Exhibit 3.2 to the</w:t>
              </w:r>
            </w:hyperlink>
          </w:p>
        </w:tc>
        <w:tc>
          <w:tcPr>
            <w:tcW w:w="1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Company’s Current Report on Form 8-K filed on May 15, 2019).</w:t>
              </w:r>
            </w:hyperlink>
          </w:p>
        </w:tc>
        <w:tc>
          <w:tcPr>
            <w:tcW w:w="564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jc w:val="right"/>
              <w:ind w:right="471"/>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10340" w:type="dxa"/>
            <w:vAlign w:val="bottom"/>
            <w:gridSpan w:val="24"/>
          </w:tcPr>
          <w:p>
            <w:pPr>
              <w:spacing w:after="0"/>
              <w:rPr>
                <w:rFonts w:ascii="Arial" w:cs="Arial" w:eastAsia="Arial" w:hAnsi="Arial"/>
                <w:sz w:val="18"/>
                <w:szCs w:val="18"/>
                <w:color w:val="0000EE"/>
                <w:w w:val="93"/>
              </w:rPr>
            </w:pPr>
            <w:hyperlink r:id="rId159">
              <w:r>
                <w:rPr>
                  <w:rFonts w:ascii="Arial" w:cs="Arial" w:eastAsia="Arial" w:hAnsi="Arial"/>
                  <w:sz w:val="18"/>
                  <w:szCs w:val="18"/>
                  <w:color w:val="0000EE"/>
                  <w:w w:val="93"/>
                </w:rPr>
                <w:t>Form of Common Stock Certificate (incorporated by reference to Exhibit 4.2 to the Company’s Annual Report on Form 10-K filed on March</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22, 2012).</w:t>
              </w:r>
            </w:hyperlink>
          </w:p>
        </w:tc>
        <w:tc>
          <w:tcPr>
            <w:tcW w:w="46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jc w:val="right"/>
              <w:ind w:right="471"/>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9720" w:type="dxa"/>
            <w:vAlign w:val="bottom"/>
            <w:tcBorders>
              <w:bottom w:val="single" w:sz="8" w:color="0000EE"/>
            </w:tcBorders>
            <w:gridSpan w:val="14"/>
          </w:tcPr>
          <w:p>
            <w:pPr>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Indenture, dated as of February 1, 2017, between TPG Specialty Lending, Inc. and Wells Fargo Bank, National Association, as Trustee</w:t>
              </w:r>
            </w:hyperlink>
          </w:p>
        </w:tc>
        <w:tc>
          <w:tcPr>
            <w:tcW w:w="6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24"/>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(incorporated by reference to Exhibit 4.1 to the Company’s Current Report on Form 8-K filed on February 1, 2017).</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320" w:type="dxa"/>
            <w:vAlign w:val="bottom"/>
            <w:gridSpan w:val="5"/>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jc w:val="right"/>
              <w:ind w:right="471"/>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10160" w:type="dxa"/>
            <w:vAlign w:val="bottom"/>
            <w:tcBorders>
              <w:bottom w:val="single" w:sz="8" w:color="0000EE"/>
            </w:tcBorders>
            <w:gridSpan w:val="20"/>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Form of 4.50% Convertible Note Due 2022 (incorporated by reference to Exhibit 4.2 to the Company’s Current Report on Form 8-K filed on</w:t>
              </w:r>
            </w:hyperlink>
          </w:p>
        </w:tc>
        <w:tc>
          <w:tcPr>
            <w:tcW w:w="1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24"/>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February 1, 2017).</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jc w:val="right"/>
              <w:ind w:right="471"/>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9720" w:type="dxa"/>
            <w:vAlign w:val="bottom"/>
            <w:tcBorders>
              <w:bottom w:val="single" w:sz="8" w:color="0000EE"/>
            </w:tcBorders>
            <w:gridSpan w:val="14"/>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Indenture, dated as of January 22, 2018, between TPG Specialty Lending, Inc. and Wells Fargo Bank, National Association, as Trustee</w:t>
              </w:r>
            </w:hyperlink>
          </w:p>
        </w:tc>
        <w:tc>
          <w:tcPr>
            <w:tcW w:w="6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24"/>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(incorporated by reference to Exhibit 4.1 to the Company’s Current Report on Form 8-K filed on January 22, 2018).</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320" w:type="dxa"/>
            <w:vAlign w:val="bottom"/>
            <w:gridSpan w:val="5"/>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jc w:val="right"/>
              <w:ind w:right="471"/>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10340" w:type="dxa"/>
            <w:vAlign w:val="bottom"/>
            <w:gridSpan w:val="24"/>
          </w:tcPr>
          <w:p>
            <w:pPr>
              <w:spacing w:after="0"/>
              <w:rPr>
                <w:rFonts w:ascii="Arial" w:cs="Arial" w:eastAsia="Arial" w:hAnsi="Arial"/>
                <w:sz w:val="18"/>
                <w:szCs w:val="18"/>
                <w:color w:val="0000EE"/>
                <w:w w:val="99"/>
              </w:rPr>
            </w:pPr>
            <w:hyperlink r:id="rId162">
              <w:r>
                <w:rPr>
                  <w:rFonts w:ascii="Arial" w:cs="Arial" w:eastAsia="Arial" w:hAnsi="Arial"/>
                  <w:sz w:val="18"/>
                  <w:szCs w:val="18"/>
                  <w:color w:val="0000EE"/>
                  <w:w w:val="99"/>
                </w:rPr>
                <w:t>First Supplemental Indenture, dated as of January 22, 2018, between TPG Specialty Lending, Inc. and Wells Fargo Bank, National</w:t>
              </w:r>
            </w:hyperlink>
          </w:p>
        </w:tc>
        <w:tc>
          <w:tcPr>
            <w:tcW w:w="2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320" w:type="dxa"/>
            <w:vAlign w:val="bottom"/>
            <w:gridSpan w:val="5"/>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Association, as Trustee (incorporated by reference to Exhibit 4.2 to the Company’s Current Report on Form 8-K filed on January 22, 2018).</w:t>
              </w:r>
            </w:hyperlink>
          </w:p>
        </w:tc>
        <w:tc>
          <w:tcPr>
            <w:tcW w:w="2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jc w:val="right"/>
              <w:ind w:right="471"/>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10340" w:type="dxa"/>
            <w:vAlign w:val="bottom"/>
            <w:gridSpan w:val="24"/>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Form of 4.500% Note Due 2023 (incorporated by reference to Exhibit 4.3 to the Company’s Current Report on Form 8-K filed on January 22,</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2018).</w:t>
              </w:r>
            </w:hyperlink>
          </w:p>
        </w:tc>
        <w:tc>
          <w:tcPr>
            <w:tcW w:w="2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jc w:val="right"/>
              <w:ind w:right="471"/>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4"/>
                <w:szCs w:val="24"/>
                <w:color w:val="auto"/>
              </w:rPr>
            </w:pPr>
          </w:p>
        </w:tc>
        <w:tc>
          <w:tcPr>
            <w:tcW w:w="10320" w:type="dxa"/>
            <w:vAlign w:val="bottom"/>
            <w:tcBorders>
              <w:bottom w:val="single" w:sz="8" w:color="0000EE"/>
            </w:tcBorders>
            <w:gridSpan w:val="23"/>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First Supplemental Indenture, dated as of June 19, 2018, between TPG Specialty Lending, Inc. and Wells Fargo Bank, National Association, as</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Trustee (incorporated by reference to Exhibit 4.1 to the Company’s Current Report on Form 8-K filed on June 19, 2018).</w:t>
              </w:r>
            </w:hyperlink>
          </w:p>
        </w:tc>
        <w:tc>
          <w:tcPr>
            <w:tcW w:w="16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jc w:val="right"/>
              <w:ind w:right="471"/>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4"/>
                <w:szCs w:val="24"/>
                <w:color w:val="auto"/>
              </w:rPr>
            </w:pPr>
          </w:p>
        </w:tc>
        <w:tc>
          <w:tcPr>
            <w:tcW w:w="9720" w:type="dxa"/>
            <w:vAlign w:val="bottom"/>
            <w:tcBorders>
              <w:bottom w:val="single" w:sz="8" w:color="0000EE"/>
            </w:tcBorders>
            <w:gridSpan w:val="14"/>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Second Supplemental Indenture, dated as of November 1, 2019, between TPG Specialty Lending, Inc. and Wells Fargo Bank, National</w:t>
              </w:r>
            </w:hyperlink>
          </w:p>
        </w:tc>
        <w:tc>
          <w:tcPr>
            <w:tcW w:w="6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24"/>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Association, as Trustee (incorporated by reference to Exhibit 4.2 to the Company’s Current Report on Form 8-K filed on November 1, 2019).</w:t>
              </w:r>
            </w:hyperlink>
          </w:p>
        </w:tc>
        <w:tc>
          <w:tcPr>
            <w:tcW w:w="20" w:type="dxa"/>
            <w:vAlign w:val="bottom"/>
          </w:tcPr>
          <w:p>
            <w:pPr>
              <w:spacing w:after="0"/>
              <w:rPr>
                <w:sz w:val="17"/>
                <w:szCs w:val="17"/>
                <w:color w:val="auto"/>
              </w:rPr>
            </w:pPr>
          </w:p>
        </w:tc>
      </w:tr>
      <w:tr>
        <w:trPr>
          <w:trHeight w:val="318"/>
        </w:trPr>
        <w:tc>
          <w:tcPr>
            <w:tcW w:w="880" w:type="dxa"/>
            <w:vAlign w:val="bottom"/>
          </w:tcPr>
          <w:p>
            <w:pPr>
              <w:jc w:val="right"/>
              <w:ind w:right="471"/>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4"/>
                <w:szCs w:val="24"/>
                <w:color w:val="auto"/>
              </w:rPr>
            </w:pPr>
          </w:p>
        </w:tc>
        <w:tc>
          <w:tcPr>
            <w:tcW w:w="101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Form of 3.875% Note (incorporated by reference to Exhibit 4.2 to the Company’s Current Report on Form 8-K filed on November 1, 2019).</w:t>
              </w:r>
            </w:hyperlink>
          </w:p>
        </w:tc>
        <w:tc>
          <w:tcPr>
            <w:tcW w:w="80" w:type="dxa"/>
            <w:vAlign w:val="bottom"/>
            <w:tcBorders>
              <w:top w:val="single" w:sz="8" w:color="0000EE"/>
            </w:tcBorders>
            <w:gridSpan w:val="3"/>
          </w:tcPr>
          <w:p>
            <w:pPr>
              <w:spacing w:after="0"/>
              <w:rPr>
                <w:sz w:val="24"/>
                <w:szCs w:val="24"/>
                <w:color w:val="auto"/>
              </w:rPr>
            </w:pPr>
          </w:p>
        </w:tc>
        <w:tc>
          <w:tcPr>
            <w:tcW w:w="1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jc w:val="right"/>
              <w:ind w:right="371"/>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24"/>
                <w:szCs w:val="24"/>
                <w:color w:val="auto"/>
              </w:rPr>
            </w:pPr>
          </w:p>
        </w:tc>
        <w:tc>
          <w:tcPr>
            <w:tcW w:w="18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32">
              <w:r>
                <w:rPr>
                  <w:rFonts w:ascii="Arial" w:cs="Arial" w:eastAsia="Arial" w:hAnsi="Arial"/>
                  <w:sz w:val="18"/>
                  <w:szCs w:val="18"/>
                  <w:color w:val="0000EE"/>
                  <w:w w:val="91"/>
                </w:rPr>
                <w:t>Description of Securities</w:t>
              </w:r>
            </w:hyperlink>
          </w:p>
        </w:tc>
        <w:tc>
          <w:tcPr>
            <w:tcW w:w="8540" w:type="dxa"/>
            <w:vAlign w:val="bottom"/>
            <w:gridSpan w:val="20"/>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jc w:val="right"/>
              <w:ind w:right="471"/>
              <w:spacing w:after="0"/>
              <w:rPr>
                <w:sz w:val="20"/>
                <w:szCs w:val="20"/>
                <w:color w:val="auto"/>
              </w:rPr>
            </w:pPr>
            <w:r>
              <w:rPr>
                <w:rFonts w:ascii="Arial" w:cs="Arial" w:eastAsia="Arial" w:hAnsi="Arial"/>
                <w:sz w:val="18"/>
                <w:szCs w:val="18"/>
                <w:color w:val="auto"/>
                <w:w w:val="85"/>
              </w:rPr>
              <w:t>10.1</w:t>
            </w:r>
          </w:p>
        </w:tc>
        <w:tc>
          <w:tcPr>
            <w:tcW w:w="200" w:type="dxa"/>
            <w:vAlign w:val="bottom"/>
          </w:tcPr>
          <w:p>
            <w:pPr>
              <w:spacing w:after="0"/>
              <w:rPr>
                <w:sz w:val="24"/>
                <w:szCs w:val="24"/>
                <w:color w:val="auto"/>
              </w:rPr>
            </w:pPr>
          </w:p>
        </w:tc>
        <w:tc>
          <w:tcPr>
            <w:tcW w:w="9920" w:type="dxa"/>
            <w:vAlign w:val="bottom"/>
            <w:tcBorders>
              <w:bottom w:val="single" w:sz="8" w:color="0000EE"/>
            </w:tcBorders>
            <w:gridSpan w:val="16"/>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Form of Indemnification Agreement between the Company and certain officers and directors (incorporated by reference toExhibit 10.3 to</w:t>
              </w:r>
            </w:hyperlink>
          </w:p>
        </w:tc>
        <w:tc>
          <w:tcPr>
            <w:tcW w:w="42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24"/>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Amendment No. 1 to the Company’s Registration Statement on Form 10 filed on March 14, 2011).</w:t>
              </w:r>
            </w:hyperlink>
          </w:p>
        </w:tc>
        <w:tc>
          <w:tcPr>
            <w:tcW w:w="20" w:type="dxa"/>
            <w:vAlign w:val="bottom"/>
          </w:tcPr>
          <w:p>
            <w:pPr>
              <w:spacing w:after="0"/>
              <w:rPr>
                <w:sz w:val="17"/>
                <w:szCs w:val="17"/>
                <w:color w:val="auto"/>
              </w:rPr>
            </w:pPr>
          </w:p>
        </w:tc>
      </w:tr>
      <w:tr>
        <w:trPr>
          <w:trHeight w:val="574"/>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20" w:type="dxa"/>
            <w:vAlign w:val="bottom"/>
            <w:tcBorders>
              <w:top w:val="single" w:sz="8" w:color="0000EE"/>
            </w:tcBorders>
            <w:gridSpan w:val="9"/>
          </w:tcPr>
          <w:p>
            <w:pPr>
              <w:ind w:left="4540"/>
              <w:spacing w:after="0"/>
              <w:rPr>
                <w:sz w:val="20"/>
                <w:szCs w:val="20"/>
                <w:color w:val="auto"/>
              </w:rPr>
            </w:pPr>
            <w:r>
              <w:rPr>
                <w:rFonts w:ascii="Arial" w:cs="Arial" w:eastAsia="Arial" w:hAnsi="Arial"/>
                <w:sz w:val="18"/>
                <w:szCs w:val="18"/>
                <w:color w:val="auto"/>
              </w:rPr>
              <w:t>83</w:t>
            </w: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10340" w:type="dxa"/>
            <w:vAlign w:val="bottom"/>
            <w:gridSpan w:val="30"/>
          </w:tcPr>
          <w:p>
            <w:pPr>
              <w:spacing w:after="0"/>
              <w:rPr>
                <w:sz w:val="20"/>
                <w:szCs w:val="20"/>
                <w:color w:val="auto"/>
              </w:rPr>
            </w:pPr>
            <w:r>
              <w:rPr>
                <w:rFonts w:ascii="Arial" w:cs="Arial" w:eastAsia="Arial" w:hAnsi="Arial"/>
                <w:sz w:val="14"/>
                <w:szCs w:val="14"/>
                <w:color w:val="auto"/>
              </w:rPr>
              <w:t>Description of Exhibits</w:t>
            </w:r>
          </w:p>
        </w:tc>
        <w:tc>
          <w:tcPr>
            <w:tcW w:w="20" w:type="dxa"/>
            <w:vAlign w:val="bottom"/>
          </w:tcPr>
          <w:p>
            <w:pPr>
              <w:spacing w:after="0"/>
              <w:rPr>
                <w:sz w:val="14"/>
                <w:szCs w:val="14"/>
                <w:color w:val="auto"/>
              </w:rPr>
            </w:pPr>
          </w:p>
        </w:tc>
      </w:tr>
      <w:tr>
        <w:trPr>
          <w:trHeight w:val="291"/>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0340" w:type="dxa"/>
            <w:vAlign w:val="bottom"/>
            <w:tcBorders>
              <w:top w:val="single" w:sz="8" w:color="auto"/>
            </w:tcBorders>
            <w:gridSpan w:val="30"/>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Amended and Restated Investment Advisory and Management Agreement, dated December 12, 2011, between the Company and the Adviser</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(incorporated by reference to Exhibit 10.1 to the Company’s Current Report on Form 8-K filed on December 13, 2011).</w:t>
              </w:r>
            </w:hyperlink>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0000EE"/>
                <w:w w:val="94"/>
              </w:rPr>
            </w:pPr>
            <w:hyperlink r:id="rId169">
              <w:r>
                <w:rPr>
                  <w:rFonts w:ascii="Arial" w:cs="Arial" w:eastAsia="Arial" w:hAnsi="Arial"/>
                  <w:sz w:val="18"/>
                  <w:szCs w:val="18"/>
                  <w:color w:val="0000EE"/>
                  <w:w w:val="94"/>
                </w:rPr>
                <w:t>Custodian Agreement dated November 29, 2012 (incorporated by reference to Exhibit 10.1 to the Company’s Current Report on Form 8-K</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filed on December 4, 2012).</w:t>
              </w:r>
            </w:hyperlink>
          </w:p>
        </w:tc>
        <w:tc>
          <w:tcPr>
            <w:tcW w:w="7960" w:type="dxa"/>
            <w:vAlign w:val="bottom"/>
            <w:tcBorders>
              <w:top w:val="single" w:sz="8" w:color="0000EE"/>
            </w:tcBorders>
            <w:gridSpan w:val="16"/>
          </w:tcPr>
          <w:p>
            <w:pPr>
              <w:spacing w:after="0"/>
              <w:rPr>
                <w:sz w:val="17"/>
                <w:szCs w:val="17"/>
                <w:color w:val="auto"/>
              </w:rPr>
            </w:pPr>
          </w:p>
        </w:tc>
        <w:tc>
          <w:tcPr>
            <w:tcW w:w="3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Second Amended and Restated Senior Secured Credit Agreement, dated February 27, 2014, among TPG Specialty Lending, Inc., as Borrower,</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the Lenders Party Hereto and Truist Bank (as successor by merger to SunTrust Bank), as Administrative Agent, and JPMorgan Chase Bank,</w:t>
              </w:r>
            </w:hyperlink>
          </w:p>
        </w:tc>
        <w:tc>
          <w:tcPr>
            <w:tcW w:w="18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w w:val="95"/>
              </w:rPr>
            </w:pPr>
            <w:hyperlink r:id="rId170">
              <w:r>
                <w:rPr>
                  <w:rFonts w:ascii="Arial" w:cs="Arial" w:eastAsia="Arial" w:hAnsi="Arial"/>
                  <w:sz w:val="18"/>
                  <w:szCs w:val="18"/>
                  <w:color w:val="0000EE"/>
                  <w:w w:val="95"/>
                </w:rPr>
                <w:t>N.A., as Syndication Agent (incorporated by reference to Exhibit 10.20 to the Company’s Annual Report on Form 10-K filed on March 4,</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170">
              <w:r>
                <w:rPr>
                  <w:rFonts w:ascii="Arial" w:cs="Arial" w:eastAsia="Arial" w:hAnsi="Arial"/>
                  <w:sz w:val="18"/>
                  <w:szCs w:val="18"/>
                  <w:color w:val="0000EE"/>
                  <w:w w:val="93"/>
                </w:rPr>
                <w:t>2014).</w:t>
              </w:r>
            </w:hyperlink>
          </w:p>
        </w:tc>
        <w:tc>
          <w:tcPr>
            <w:tcW w:w="15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10100" w:type="dxa"/>
            <w:vAlign w:val="bottom"/>
            <w:tcBorders>
              <w:bottom w:val="single" w:sz="8" w:color="0000EE"/>
            </w:tcBorders>
            <w:gridSpan w:val="22"/>
          </w:tcPr>
          <w:p>
            <w:pPr>
              <w:spacing w:after="0"/>
              <w:rPr>
                <w:rFonts w:ascii="Arial" w:cs="Arial" w:eastAsia="Arial" w:hAnsi="Arial"/>
                <w:sz w:val="18"/>
                <w:szCs w:val="18"/>
                <w:color w:val="0000EE"/>
                <w:w w:val="92"/>
              </w:rPr>
            </w:pPr>
            <w:hyperlink r:id="rId171">
              <w:r>
                <w:rPr>
                  <w:rFonts w:ascii="Arial" w:cs="Arial" w:eastAsia="Arial" w:hAnsi="Arial"/>
                  <w:sz w:val="18"/>
                  <w:szCs w:val="18"/>
                  <w:color w:val="0000EE"/>
                  <w:w w:val="92"/>
                </w:rPr>
                <w:t>Dividend Reinvestment Plan of TPG Specialty Lending, Inc. (incorporated by reference to Exhibit (e) to Pre-Effective Amendment No. 4 to</w:t>
              </w:r>
            </w:hyperlink>
          </w:p>
        </w:tc>
        <w:tc>
          <w:tcPr>
            <w:tcW w:w="24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the Company’s Registration Statement on Form N-2 filed on March 17, 2014).</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0000EE"/>
                <w:w w:val="92"/>
              </w:rPr>
            </w:pPr>
            <w:hyperlink r:id="rId172">
              <w:r>
                <w:rPr>
                  <w:rFonts w:ascii="Arial" w:cs="Arial" w:eastAsia="Arial" w:hAnsi="Arial"/>
                  <w:sz w:val="18"/>
                  <w:szCs w:val="18"/>
                  <w:color w:val="0000EE"/>
                  <w:w w:val="92"/>
                </w:rPr>
                <w:t>Form of Increase Letter pursuant to the Second Amended and Restated Senior Secured Credit Agreement, dated February 27, 2014, among</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TPG Specialty Lending, Inc., as Borrower, the Lenders Party Hereto and Truist Bank (as successor by merger to SunTrust Bank), as</w:t>
              </w:r>
            </w:hyperlink>
          </w:p>
        </w:tc>
        <w:tc>
          <w:tcPr>
            <w:tcW w:w="500" w:type="dxa"/>
            <w:vAlign w:val="bottom"/>
            <w:tcBorders>
              <w:top w:val="single" w:sz="8" w:color="0000EE"/>
            </w:tcBorders>
            <w:gridSpan w:val="8"/>
          </w:tcPr>
          <w:p>
            <w:pPr>
              <w:spacing w:after="0"/>
              <w:rPr>
                <w:sz w:val="17"/>
                <w:szCs w:val="17"/>
                <w:color w:val="auto"/>
              </w:rPr>
            </w:pPr>
          </w:p>
        </w:tc>
        <w:tc>
          <w:tcPr>
            <w:tcW w:w="3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Administrative Agent, and JPMorgan Chase Bank, N.A., as Syndication Agent (incorporated by reference to Exhibit 10.3 to the Company’s</w:t>
              </w:r>
            </w:hyperlink>
          </w:p>
        </w:tc>
        <w:tc>
          <w:tcPr>
            <w:tcW w:w="26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Quarterly Annual Report on Form 10-Q filed on August 4, 2014).</w:t>
              </w:r>
            </w:hyperlink>
          </w:p>
        </w:tc>
        <w:tc>
          <w:tcPr>
            <w:tcW w:w="560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First Amendment to Second Amended and Restated Senior Secured Revolving Credit Agreement, dated June 3, 2014, among TPG Specialty</w:t>
              </w:r>
            </w:hyperlink>
          </w:p>
        </w:tc>
        <w:tc>
          <w:tcPr>
            <w:tcW w:w="2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980" w:type="dxa"/>
            <w:vAlign w:val="bottom"/>
            <w:gridSpan w:val="5"/>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Lending, Inc., as Borrower, the Lenders party thereto and Truist Bank (as successor by merger to SunTrust Bank), as Administrative Agent and</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Collateral Agent (incorporated by reference to Exhibit 10.4 to the Company’s Quarterly Report on Form 10-Q filed on August 4, 2014).</w:t>
              </w:r>
            </w:hyperlink>
          </w:p>
        </w:tc>
        <w:tc>
          <w:tcPr>
            <w:tcW w:w="52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9720" w:type="dxa"/>
            <w:vAlign w:val="bottom"/>
            <w:tcBorders>
              <w:bottom w:val="single" w:sz="8" w:color="0000EE"/>
            </w:tcBorders>
            <w:gridSpan w:val="13"/>
          </w:tcPr>
          <w:p>
            <w:pPr>
              <w:spacing w:after="0"/>
              <w:rPr>
                <w:rFonts w:ascii="Arial" w:cs="Arial" w:eastAsia="Arial" w:hAnsi="Arial"/>
                <w:sz w:val="18"/>
                <w:szCs w:val="18"/>
                <w:color w:val="0000EE"/>
                <w:w w:val="89"/>
              </w:rPr>
            </w:pPr>
            <w:hyperlink r:id="rId174">
              <w:r>
                <w:rPr>
                  <w:rFonts w:ascii="Arial" w:cs="Arial" w:eastAsia="Arial" w:hAnsi="Arial"/>
                  <w:sz w:val="18"/>
                  <w:szCs w:val="18"/>
                  <w:color w:val="0000EE"/>
                  <w:w w:val="89"/>
                </w:rPr>
                <w:t>Second Amendment to Second Amended and Restated Senior Secured Revolving Credit Agreement, dated June 27, 2014, among TPG</w:t>
              </w:r>
            </w:hyperlink>
          </w:p>
        </w:tc>
        <w:tc>
          <w:tcPr>
            <w:tcW w:w="62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Specialty Lending, Inc., as Borrower, Morgan Stanley Bank, N.A., as a Lender, and Truist Bank (as successor by merger to SunTrust Bank), as</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w w:val="93"/>
              </w:rPr>
            </w:pPr>
            <w:hyperlink r:id="rId174">
              <w:r>
                <w:rPr>
                  <w:rFonts w:ascii="Arial" w:cs="Arial" w:eastAsia="Arial" w:hAnsi="Arial"/>
                  <w:sz w:val="18"/>
                  <w:szCs w:val="18"/>
                  <w:color w:val="0000EE"/>
                  <w:w w:val="93"/>
                </w:rPr>
                <w:t>Administrative Agent (incorporated by reference to Exhibit 10.5 to the Company’s Quarterly Report on Form 10-Q filed on August 4, 2014).</w:t>
              </w:r>
            </w:hyperlink>
          </w:p>
        </w:tc>
        <w:tc>
          <w:tcPr>
            <w:tcW w:w="2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4"/>
                <w:szCs w:val="24"/>
                <w:color w:val="auto"/>
              </w:rPr>
            </w:pPr>
          </w:p>
        </w:tc>
        <w:tc>
          <w:tcPr>
            <w:tcW w:w="98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Third Amendment to Second Amended and Restated Senior Secured Revolving Credit Agreement, dated October 17, 2014, among TPG</w:t>
              </w:r>
            </w:hyperlink>
          </w:p>
        </w:tc>
        <w:tc>
          <w:tcPr>
            <w:tcW w:w="320" w:type="dxa"/>
            <w:vAlign w:val="bottom"/>
            <w:tcBorders>
              <w:top w:val="single" w:sz="8" w:color="0000EE"/>
            </w:tcBorders>
            <w:gridSpan w:val="8"/>
          </w:tcPr>
          <w:p>
            <w:pPr>
              <w:spacing w:after="0"/>
              <w:rPr>
                <w:sz w:val="24"/>
                <w:szCs w:val="24"/>
                <w:color w:val="auto"/>
              </w:rPr>
            </w:pPr>
          </w:p>
        </w:tc>
        <w:tc>
          <w:tcPr>
            <w:tcW w:w="1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Specialty Lending, Inc., as Borrower, the Lenders party thereto and Truist Bank (as successor by merger to SunTrust Bank), as Administrative</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Agent (incorporated by reference to Exhibit 10.1 to the Company’s Quarterly Report on Form 10-Q filed on November 3, 2014).</w:t>
              </w:r>
            </w:hyperlink>
          </w:p>
        </w:tc>
        <w:tc>
          <w:tcPr>
            <w:tcW w:w="960" w:type="dxa"/>
            <w:vAlign w:val="bottom"/>
            <w:tcBorders>
              <w:top w:val="single" w:sz="8" w:color="0000EE"/>
            </w:tcBorders>
            <w:gridSpan w:val="16"/>
          </w:tcPr>
          <w:p>
            <w:pPr>
              <w:spacing w:after="0"/>
              <w:rPr>
                <w:sz w:val="17"/>
                <w:szCs w:val="17"/>
                <w:color w:val="auto"/>
              </w:rPr>
            </w:pPr>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0000EE"/>
                <w:w w:val="94"/>
              </w:rPr>
            </w:pPr>
            <w:hyperlink r:id="rId176">
              <w:r>
                <w:rPr>
                  <w:rFonts w:ascii="Arial" w:cs="Arial" w:eastAsia="Arial" w:hAnsi="Arial"/>
                  <w:sz w:val="18"/>
                  <w:szCs w:val="18"/>
                  <w:color w:val="0000EE"/>
                  <w:w w:val="94"/>
                </w:rPr>
                <w:t>Second Amended and Restated Credit and Security Agreement, dated as of March 27, 2015, among TPG SL SPV, LLC, as Borrower, the</w:t>
              </w:r>
            </w:hyperlink>
          </w:p>
        </w:tc>
        <w:tc>
          <w:tcPr>
            <w:tcW w:w="2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980" w:type="dxa"/>
            <w:vAlign w:val="bottom"/>
            <w:gridSpan w:val="5"/>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Lenders from time to time parties thereto, Natixis, New York Branch, as Facility Agent and State Street Bank and Trust Company, as Collateral</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Agent (incorporated by reference to Exhibit 10.1 to the Company’s Current Report on Form 8-K filed on March 30, 2015).</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980" w:type="dxa"/>
            <w:vAlign w:val="bottom"/>
            <w:gridSpan w:val="5"/>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0000EE"/>
                <w:w w:val="94"/>
              </w:rPr>
            </w:pPr>
            <w:hyperlink r:id="rId177">
              <w:r>
                <w:rPr>
                  <w:rFonts w:ascii="Arial" w:cs="Arial" w:eastAsia="Arial" w:hAnsi="Arial"/>
                  <w:sz w:val="18"/>
                  <w:szCs w:val="18"/>
                  <w:color w:val="0000EE"/>
                  <w:w w:val="94"/>
                </w:rPr>
                <w:t>Fourth Amendment to Second Amended and Restated Senior Secured Revolving Credit Agreement, dated October 2, 2015, among TPG</w:t>
              </w:r>
            </w:hyperlink>
          </w:p>
        </w:tc>
        <w:tc>
          <w:tcPr>
            <w:tcW w:w="2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980" w:type="dxa"/>
            <w:vAlign w:val="bottom"/>
            <w:gridSpan w:val="5"/>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Specialty Lending, Inc., as Borrower, the Lenders party thereto and Truist Bank (as successor by merger to SunTrust Bank), as Administrative</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Agent (incorporated by reference to Exhibit 10.1 to the Company’s Quarterly Report on Form 10-Q filed on November 3, 2015).</w:t>
              </w:r>
            </w:hyperlink>
          </w:p>
        </w:tc>
        <w:tc>
          <w:tcPr>
            <w:tcW w:w="960" w:type="dxa"/>
            <w:vAlign w:val="bottom"/>
            <w:tcBorders>
              <w:top w:val="single" w:sz="8" w:color="0000EE"/>
            </w:tcBorders>
            <w:gridSpan w:val="16"/>
          </w:tcPr>
          <w:p>
            <w:pPr>
              <w:spacing w:after="0"/>
              <w:rPr>
                <w:sz w:val="17"/>
                <w:szCs w:val="17"/>
                <w:color w:val="auto"/>
              </w:rPr>
            </w:pPr>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0000EE"/>
                <w:w w:val="93"/>
              </w:rPr>
            </w:pPr>
            <w:hyperlink r:id="rId178">
              <w:r>
                <w:rPr>
                  <w:rFonts w:ascii="Arial" w:cs="Arial" w:eastAsia="Arial" w:hAnsi="Arial"/>
                  <w:sz w:val="18"/>
                  <w:szCs w:val="18"/>
                  <w:color w:val="0000EE"/>
                  <w:w w:val="93"/>
                </w:rPr>
                <w:t>Fifth Amendment to Second Amended and Restated Senior Secured Revolving Credit Agreement, dated December 22, 2016, among TPG</w:t>
              </w:r>
            </w:hyperlink>
          </w:p>
        </w:tc>
        <w:tc>
          <w:tcPr>
            <w:tcW w:w="2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980" w:type="dxa"/>
            <w:vAlign w:val="bottom"/>
            <w:gridSpan w:val="5"/>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Specialty Lending, Inc., as Borrower, the Lenders party thereto and Truist Bank (as successor by merger to SunTrust Bank), as Administrative</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Agent (incorporated by reference to Exhibit 10.15 to the Company’s Annual Report on Form 10-K filed on February 22, 2017).</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980" w:type="dxa"/>
            <w:vAlign w:val="bottom"/>
            <w:gridSpan w:val="5"/>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4"/>
                <w:szCs w:val="24"/>
                <w:color w:val="auto"/>
              </w:rPr>
            </w:pPr>
          </w:p>
        </w:tc>
        <w:tc>
          <w:tcPr>
            <w:tcW w:w="9980" w:type="dxa"/>
            <w:vAlign w:val="bottom"/>
            <w:tcBorders>
              <w:bottom w:val="single" w:sz="8" w:color="0000EE"/>
            </w:tcBorders>
            <w:gridSpan w:val="18"/>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Amended and Restated Administration Agreement, dated as of February 22, 2017 between the Company and the Adviser (incorporated by</w:t>
              </w:r>
            </w:hyperlink>
          </w:p>
        </w:tc>
        <w:tc>
          <w:tcPr>
            <w:tcW w:w="36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reference to Exhibit 10.16 to the Company’s Annual Report on Form 10-K filed on February 22, 2017).</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980" w:type="dxa"/>
            <w:vAlign w:val="bottom"/>
            <w:gridSpan w:val="5"/>
            <w:shd w:val="clear" w:color="auto" w:fill="0000EE"/>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24"/>
                <w:szCs w:val="24"/>
                <w:color w:val="auto"/>
              </w:rPr>
            </w:pPr>
          </w:p>
        </w:tc>
        <w:tc>
          <w:tcPr>
            <w:tcW w:w="10340" w:type="dxa"/>
            <w:vAlign w:val="bottom"/>
            <w:gridSpan w:val="30"/>
          </w:tcPr>
          <w:p>
            <w:pPr>
              <w:spacing w:after="0"/>
              <w:rPr>
                <w:rFonts w:ascii="Arial" w:cs="Arial" w:eastAsia="Arial" w:hAnsi="Arial"/>
                <w:sz w:val="18"/>
                <w:szCs w:val="18"/>
                <w:color w:val="0000EE"/>
                <w:w w:val="94"/>
              </w:rPr>
            </w:pPr>
            <w:hyperlink r:id="rId180">
              <w:r>
                <w:rPr>
                  <w:rFonts w:ascii="Arial" w:cs="Arial" w:eastAsia="Arial" w:hAnsi="Arial"/>
                  <w:sz w:val="18"/>
                  <w:szCs w:val="18"/>
                  <w:color w:val="0000EE"/>
                  <w:w w:val="94"/>
                </w:rPr>
                <w:t>Sixth Amendment to Second Amended and Restated Senior Secured Revolving Credit Agreement, dated February 20, 2018, among TPG</w:t>
              </w:r>
            </w:hyperlink>
          </w:p>
        </w:tc>
        <w:tc>
          <w:tcPr>
            <w:tcW w:w="2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20" w:type="dxa"/>
            <w:vAlign w:val="bottom"/>
            <w:gridSpan w:val="10"/>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Specialty Lending, Inc., as Borrower, the Lenders party thereto and Truist Bank (as successor by merger to SunTrust Bank), as Administrative</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Agent (incorporated by reference to Exhibit 10.16 to the Company’s Annual Report on Form 10-K filed on February 21, 2018).</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700" w:type="dxa"/>
            <w:vAlign w:val="bottom"/>
            <w:gridSpan w:val="8"/>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4"/>
                <w:szCs w:val="24"/>
                <w:color w:val="auto"/>
              </w:rPr>
            </w:pPr>
          </w:p>
        </w:tc>
        <w:tc>
          <w:tcPr>
            <w:tcW w:w="10140" w:type="dxa"/>
            <w:vAlign w:val="bottom"/>
            <w:tcBorders>
              <w:bottom w:val="single" w:sz="8" w:color="0000EE"/>
            </w:tcBorders>
            <w:gridSpan w:val="23"/>
          </w:tcPr>
          <w:p>
            <w:pPr>
              <w:spacing w:after="0"/>
              <w:rPr>
                <w:rFonts w:ascii="Arial" w:cs="Arial" w:eastAsia="Arial" w:hAnsi="Arial"/>
                <w:sz w:val="18"/>
                <w:szCs w:val="18"/>
                <w:color w:val="0000EE"/>
                <w:w w:val="89"/>
              </w:rPr>
            </w:pPr>
            <w:hyperlink r:id="rId181">
              <w:r>
                <w:rPr>
                  <w:rFonts w:ascii="Arial" w:cs="Arial" w:eastAsia="Arial" w:hAnsi="Arial"/>
                  <w:sz w:val="18"/>
                  <w:szCs w:val="18"/>
                  <w:color w:val="0000EE"/>
                  <w:w w:val="89"/>
                </w:rPr>
                <w:t>Seventh Amendment to Second Amended and Restated Senior Secured Revolving Credit Agreement, dated as of November 5, 2018, among</w:t>
              </w:r>
            </w:hyperlink>
          </w:p>
        </w:tc>
        <w:tc>
          <w:tcPr>
            <w:tcW w:w="20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w w:val="97"/>
              </w:rPr>
            </w:pPr>
            <w:hyperlink r:id="rId181">
              <w:r>
                <w:rPr>
                  <w:rFonts w:ascii="Arial" w:cs="Arial" w:eastAsia="Arial" w:hAnsi="Arial"/>
                  <w:sz w:val="18"/>
                  <w:szCs w:val="18"/>
                  <w:color w:val="0000EE"/>
                  <w:w w:val="97"/>
                </w:rPr>
                <w:t>TPG Specialty Lending, Inc., as Borrower, the Lenders party thereto and Truist Bank (as successor by merger to SunTrust Bank), as</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20" w:type="dxa"/>
            <w:vAlign w:val="bottom"/>
            <w:gridSpan w:val="10"/>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30"/>
          </w:tcPr>
          <w:p>
            <w:pPr>
              <w:spacing w:after="0" w:line="196" w:lineRule="exact"/>
              <w:rPr>
                <w:rFonts w:ascii="Arial" w:cs="Arial" w:eastAsia="Arial" w:hAnsi="Arial"/>
                <w:sz w:val="18"/>
                <w:szCs w:val="18"/>
                <w:color w:val="0000EE"/>
                <w:w w:val="96"/>
              </w:rPr>
            </w:pPr>
            <w:hyperlink r:id="rId181">
              <w:r>
                <w:rPr>
                  <w:rFonts w:ascii="Arial" w:cs="Arial" w:eastAsia="Arial" w:hAnsi="Arial"/>
                  <w:sz w:val="18"/>
                  <w:szCs w:val="18"/>
                  <w:color w:val="0000EE"/>
                  <w:w w:val="96"/>
                </w:rPr>
                <w:t>Administrative Agent (incorporated by reference to Exhibit 10.1 to the Company's Quarterly Report on Form 10-Q filed on November 6,</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2018).</w:t>
              </w:r>
            </w:hyperlink>
          </w:p>
        </w:tc>
        <w:tc>
          <w:tcPr>
            <w:tcW w:w="2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gridSpan w:val="4"/>
          </w:tcPr>
          <w:p>
            <w:pPr>
              <w:ind w:left="4540"/>
              <w:spacing w:after="0"/>
              <w:rPr>
                <w:sz w:val="20"/>
                <w:szCs w:val="20"/>
                <w:color w:val="auto"/>
              </w:rPr>
            </w:pPr>
            <w:r>
              <w:rPr>
                <w:rFonts w:ascii="Arial" w:cs="Arial" w:eastAsia="Arial" w:hAnsi="Arial"/>
                <w:sz w:val="18"/>
                <w:szCs w:val="18"/>
                <w:color w:val="auto"/>
                <w:w w:val="89"/>
              </w:rPr>
              <w:t>84</w:t>
            </w:r>
          </w:p>
        </w:tc>
        <w:tc>
          <w:tcPr>
            <w:tcW w:w="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10340" w:type="dxa"/>
            <w:vAlign w:val="bottom"/>
            <w:gridSpan w:val="13"/>
          </w:tcPr>
          <w:p>
            <w:pPr>
              <w:spacing w:after="0"/>
              <w:rPr>
                <w:sz w:val="20"/>
                <w:szCs w:val="20"/>
                <w:color w:val="auto"/>
              </w:rPr>
            </w:pPr>
            <w:r>
              <w:rPr>
                <w:rFonts w:ascii="Arial" w:cs="Arial" w:eastAsia="Arial" w:hAnsi="Arial"/>
                <w:sz w:val="14"/>
                <w:szCs w:val="14"/>
                <w:color w:val="auto"/>
              </w:rPr>
              <w:t>Description of Exhibits</w:t>
            </w:r>
          </w:p>
        </w:tc>
      </w:tr>
      <w:tr>
        <w:trPr>
          <w:trHeight w:val="291"/>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4"/>
                <w:szCs w:val="24"/>
                <w:color w:val="auto"/>
              </w:rPr>
            </w:pPr>
          </w:p>
        </w:tc>
        <w:tc>
          <w:tcPr>
            <w:tcW w:w="10000" w:type="dxa"/>
            <w:vAlign w:val="bottom"/>
            <w:tcBorders>
              <w:top w:val="single" w:sz="8" w:color="auto"/>
              <w:bottom w:val="single" w:sz="8" w:color="0000EE"/>
            </w:tcBorders>
            <w:gridSpan w:val="8"/>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Eighth Amendment to Second Amended and Restated Senior Secured Revolving Credit Agreement, dated as of February 14, 2019, among</w:t>
              </w:r>
            </w:hyperlink>
          </w:p>
        </w:tc>
        <w:tc>
          <w:tcPr>
            <w:tcW w:w="340" w:type="dxa"/>
            <w:vAlign w:val="bottom"/>
            <w:tcBorders>
              <w:top w:val="single" w:sz="8" w:color="auto"/>
            </w:tcBorders>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13"/>
          </w:tcPr>
          <w:p>
            <w:pPr>
              <w:spacing w:after="0" w:line="196" w:lineRule="exact"/>
              <w:rPr>
                <w:rFonts w:ascii="Arial" w:cs="Arial" w:eastAsia="Arial" w:hAnsi="Arial"/>
                <w:sz w:val="18"/>
                <w:szCs w:val="18"/>
                <w:color w:val="0000EE"/>
                <w:w w:val="97"/>
              </w:rPr>
            </w:pPr>
            <w:hyperlink r:id="rId184">
              <w:r>
                <w:rPr>
                  <w:rFonts w:ascii="Arial" w:cs="Arial" w:eastAsia="Arial" w:hAnsi="Arial"/>
                  <w:sz w:val="18"/>
                  <w:szCs w:val="18"/>
                  <w:color w:val="0000EE"/>
                  <w:w w:val="97"/>
                </w:rPr>
                <w:t>TPG Specialty Lending, Inc., as Borrower, the Lenders party thereto and Truist Bank (as successor by merger to SunTrust Bank), as</w:t>
              </w:r>
            </w:hyperlink>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13"/>
          </w:tcPr>
          <w:p>
            <w:pPr>
              <w:spacing w:after="0" w:line="196" w:lineRule="exact"/>
              <w:rPr>
                <w:rFonts w:ascii="Arial" w:cs="Arial" w:eastAsia="Arial" w:hAnsi="Arial"/>
                <w:sz w:val="18"/>
                <w:szCs w:val="18"/>
                <w:color w:val="0000EE"/>
                <w:w w:val="96"/>
              </w:rPr>
            </w:pPr>
            <w:hyperlink r:id="rId184">
              <w:r>
                <w:rPr>
                  <w:rFonts w:ascii="Arial" w:cs="Arial" w:eastAsia="Arial" w:hAnsi="Arial"/>
                  <w:sz w:val="18"/>
                  <w:szCs w:val="18"/>
                  <w:color w:val="0000EE"/>
                  <w:w w:val="96"/>
                </w:rPr>
                <w:t>Administrative Agent. (incorporated by reference to Exhibit 10.16 to the Company’s Annual Report on Form 10-K filed on February 20,</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2019).</w:t>
              </w:r>
            </w:hyperlink>
          </w:p>
        </w:tc>
        <w:tc>
          <w:tcPr>
            <w:tcW w:w="2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5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4"/>
                <w:szCs w:val="24"/>
                <w:color w:val="auto"/>
              </w:rPr>
            </w:pPr>
          </w:p>
        </w:tc>
        <w:tc>
          <w:tcPr>
            <w:tcW w:w="102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36">
              <w:r>
                <w:rPr>
                  <w:rFonts w:ascii="Arial" w:cs="Arial" w:eastAsia="Arial" w:hAnsi="Arial"/>
                  <w:sz w:val="18"/>
                  <w:szCs w:val="18"/>
                  <w:color w:val="0000EE"/>
                  <w:w w:val="89"/>
                </w:rPr>
                <w:t>Ninth Amendment to Second Amended and Restated Senior Secured Revolving Credit Agreement, dated as of January 31, 2020, among TPG</w:t>
              </w:r>
            </w:hyperlink>
          </w:p>
        </w:tc>
        <w:tc>
          <w:tcPr>
            <w:tcW w:w="12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40" w:type="dxa"/>
            <w:vAlign w:val="bottom"/>
            <w:gridSpan w:val="13"/>
          </w:tcPr>
          <w:p>
            <w:pPr>
              <w:spacing w:after="0" w:line="196" w:lineRule="exact"/>
              <w:rPr>
                <w:rFonts w:ascii="Arial" w:cs="Arial" w:eastAsia="Arial" w:hAnsi="Arial"/>
                <w:sz w:val="18"/>
                <w:szCs w:val="18"/>
                <w:color w:val="0000EE"/>
                <w:w w:val="91"/>
              </w:rPr>
            </w:pPr>
            <w:hyperlink w:anchor="page136">
              <w:r>
                <w:rPr>
                  <w:rFonts w:ascii="Arial" w:cs="Arial" w:eastAsia="Arial" w:hAnsi="Arial"/>
                  <w:sz w:val="18"/>
                  <w:szCs w:val="18"/>
                  <w:color w:val="0000EE"/>
                  <w:w w:val="91"/>
                </w:rPr>
                <w:t>Specialty Lending, Inc., as Borrower, the Lenders party thereto and Truist Bank (as successor by merger to SunTrust Bank), as Administrative</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136">
              <w:r>
                <w:rPr>
                  <w:rFonts w:ascii="Arial" w:cs="Arial" w:eastAsia="Arial" w:hAnsi="Arial"/>
                  <w:sz w:val="18"/>
                  <w:szCs w:val="18"/>
                  <w:color w:val="0000EE"/>
                  <w:w w:val="92"/>
                </w:rPr>
                <w:t>Agent.</w:t>
              </w:r>
            </w:hyperlink>
          </w:p>
        </w:tc>
        <w:tc>
          <w:tcPr>
            <w:tcW w:w="9740" w:type="dxa"/>
            <w:vAlign w:val="bottom"/>
            <w:tcBorders>
              <w:top w:val="single" w:sz="8" w:color="0000EE"/>
            </w:tcBorders>
            <w:gridSpan w:val="7"/>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24"/>
                <w:szCs w:val="24"/>
                <w:color w:val="auto"/>
              </w:rPr>
            </w:pPr>
          </w:p>
        </w:tc>
        <w:tc>
          <w:tcPr>
            <w:tcW w:w="32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03">
              <w:r>
                <w:rPr>
                  <w:rFonts w:ascii="Arial" w:cs="Arial" w:eastAsia="Arial" w:hAnsi="Arial"/>
                  <w:sz w:val="18"/>
                  <w:szCs w:val="18"/>
                  <w:color w:val="0000EE"/>
                  <w:w w:val="91"/>
                </w:rPr>
                <w:t>Subsidiaries of TPG Specialty Lending, Inc.</w:t>
              </w:r>
            </w:hyperlink>
          </w:p>
        </w:tc>
        <w:tc>
          <w:tcPr>
            <w:tcW w:w="7140" w:type="dxa"/>
            <w:vAlign w:val="bottom"/>
            <w:gridSpan w:val="9"/>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4"/>
                <w:szCs w:val="24"/>
                <w:color w:val="auto"/>
              </w:rPr>
            </w:pPr>
          </w:p>
        </w:tc>
        <w:tc>
          <w:tcPr>
            <w:tcW w:w="10340" w:type="dxa"/>
            <w:vAlign w:val="bottom"/>
            <w:gridSpan w:val="13"/>
          </w:tcPr>
          <w:p>
            <w:pPr>
              <w:spacing w:after="0"/>
              <w:rPr>
                <w:rFonts w:ascii="Arial" w:cs="Arial" w:eastAsia="Arial" w:hAnsi="Arial"/>
                <w:sz w:val="18"/>
                <w:szCs w:val="18"/>
                <w:color w:val="0000EE"/>
              </w:rPr>
            </w:pPr>
            <w:hyperlink w:anchor="page304">
              <w:r>
                <w:rPr>
                  <w:rFonts w:ascii="Arial" w:cs="Arial" w:eastAsia="Arial" w:hAnsi="Arial"/>
                  <w:sz w:val="18"/>
                  <w:szCs w:val="18"/>
                  <w:color w:val="0000EE"/>
                </w:rPr>
                <w:t>Consent of Independent Registered Public Accounting Firm</w:t>
              </w:r>
            </w:hyperlink>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340" w:type="dxa"/>
            <w:vAlign w:val="bottom"/>
            <w:gridSpan w:val="13"/>
          </w:tcPr>
          <w:p>
            <w:pPr>
              <w:spacing w:after="0"/>
              <w:rPr>
                <w:rFonts w:ascii="Arial" w:cs="Arial" w:eastAsia="Arial" w:hAnsi="Arial"/>
                <w:sz w:val="18"/>
                <w:szCs w:val="18"/>
                <w:color w:val="0000EE"/>
                <w:w w:val="91"/>
              </w:rPr>
            </w:pPr>
            <w:hyperlink w:anchor="page305">
              <w:r>
                <w:rPr>
                  <w:rFonts w:ascii="Arial" w:cs="Arial" w:eastAsia="Arial" w:hAnsi="Arial"/>
                  <w:sz w:val="18"/>
                  <w:szCs w:val="18"/>
                  <w:color w:val="0000EE"/>
                  <w:w w:val="91"/>
                </w:rPr>
                <w:t>Certification of Chief Executive Officer Pursuant to 18 U.S.C. Section 1350, as Adopted Pursuant to Section 302 of the Sarbanes-Oxley Act of</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05">
              <w:r>
                <w:rPr>
                  <w:rFonts w:ascii="Arial" w:cs="Arial" w:eastAsia="Arial" w:hAnsi="Arial"/>
                  <w:sz w:val="18"/>
                  <w:szCs w:val="18"/>
                  <w:color w:val="0000EE"/>
                  <w:w w:val="88"/>
                </w:rPr>
                <w:t>2002.</w:t>
              </w:r>
            </w:hyperlink>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5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340" w:type="dxa"/>
            <w:vAlign w:val="bottom"/>
            <w:gridSpan w:val="13"/>
          </w:tcPr>
          <w:p>
            <w:pPr>
              <w:spacing w:after="0"/>
              <w:rPr>
                <w:rFonts w:ascii="Arial" w:cs="Arial" w:eastAsia="Arial" w:hAnsi="Arial"/>
                <w:sz w:val="18"/>
                <w:szCs w:val="18"/>
                <w:color w:val="0000EE"/>
                <w:w w:val="92"/>
              </w:rPr>
            </w:pPr>
            <w:hyperlink w:anchor="page306">
              <w:r>
                <w:rPr>
                  <w:rFonts w:ascii="Arial" w:cs="Arial" w:eastAsia="Arial" w:hAnsi="Arial"/>
                  <w:sz w:val="18"/>
                  <w:szCs w:val="18"/>
                  <w:color w:val="0000EE"/>
                  <w:w w:val="92"/>
                </w:rPr>
                <w:t>Certification of Chief Financial Officer Pursuant to 18 U.S.C. Section 1350, as Adopted Pursuant to Section 302 of the Sarbanes-Oxley Act of</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06">
              <w:r>
                <w:rPr>
                  <w:rFonts w:ascii="Arial" w:cs="Arial" w:eastAsia="Arial" w:hAnsi="Arial"/>
                  <w:sz w:val="18"/>
                  <w:szCs w:val="18"/>
                  <w:color w:val="0000EE"/>
                  <w:w w:val="88"/>
                </w:rPr>
                <w:t>2002.</w:t>
              </w:r>
            </w:hyperlink>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5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134" w:lineRule="exact"/>
        <w:rPr>
          <w:sz w:val="20"/>
          <w:szCs w:val="20"/>
          <w:color w:val="auto"/>
        </w:rPr>
      </w:pPr>
    </w:p>
    <w:p>
      <w:pPr>
        <w:ind w:left="1080" w:hanging="1072"/>
        <w:spacing w:after="0"/>
        <w:tabs>
          <w:tab w:leader="none" w:pos="1080" w:val="left"/>
        </w:tabs>
        <w:numPr>
          <w:ilvl w:val="0"/>
          <w:numId w:val="104"/>
        </w:numPr>
        <w:rPr>
          <w:rFonts w:ascii="Arial" w:cs="Arial" w:eastAsia="Arial" w:hAnsi="Arial"/>
          <w:sz w:val="16"/>
          <w:szCs w:val="16"/>
          <w:u w:val="single" w:color="auto"/>
          <w:color w:val="0000EE"/>
        </w:rPr>
      </w:pPr>
      <w:hyperlink w:anchor="page307">
        <w:r>
          <w:rPr>
            <w:rFonts w:ascii="Arial" w:cs="Arial" w:eastAsia="Arial" w:hAnsi="Arial"/>
            <w:sz w:val="16"/>
            <w:szCs w:val="16"/>
            <w:u w:val="single" w:color="auto"/>
            <w:color w:val="0000EE"/>
          </w:rPr>
          <w:t>Certification of CEO and CFO Pursuant to 18 U.S.C. Section 1350, as Adopted Pursuant to Section 906 of the Sarbanes-Oxley Act of 2002.</w:t>
        </w:r>
      </w:hyperlink>
    </w:p>
    <w:p>
      <w:pPr>
        <w:spacing w:after="0" w:line="154"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308">
        <w:r>
          <w:rPr>
            <w:rFonts w:ascii="Arial" w:cs="Arial" w:eastAsia="Arial" w:hAnsi="Arial"/>
            <w:sz w:val="16"/>
            <w:szCs w:val="16"/>
            <w:u w:val="single" w:color="auto"/>
            <w:color w:val="0000EE"/>
          </w:rPr>
          <w:t>Report of Independent Registered Public Accounting Firm on Supplemental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96901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8"/>
          <w:szCs w:val="18"/>
          <w:b w:val="1"/>
          <w:bCs w:val="1"/>
          <w:color w:val="auto"/>
        </w:rPr>
        <w:t>TPG SPECIALTY LENDING, INC.</w:t>
      </w:r>
    </w:p>
    <w:p>
      <w:pPr>
        <w:spacing w:after="0" w:line="25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45" w:lineRule="exact"/>
        <w:rPr>
          <w:sz w:val="20"/>
          <w:szCs w:val="20"/>
          <w:color w:val="auto"/>
        </w:rPr>
      </w:pPr>
    </w:p>
    <w:p>
      <w:pPr>
        <w:ind w:right="140" w:firstLine="259"/>
        <w:spacing w:after="0" w:line="254" w:lineRule="auto"/>
        <w:rPr>
          <w:sz w:val="20"/>
          <w:szCs w:val="20"/>
          <w:color w:val="auto"/>
        </w:rPr>
      </w:pPr>
      <w:r>
        <w:rPr>
          <w:rFonts w:ascii="Arial" w:cs="Arial" w:eastAsia="Arial" w:hAnsi="Arial"/>
          <w:sz w:val="18"/>
          <w:szCs w:val="18"/>
          <w:color w:val="auto"/>
        </w:rPr>
        <w:t>Each person whose signature appears below constitutes and appoints Michael Fishman, Joshua Easterly, Ian Simmonds, David Stiepleman and Jennifer Gordon,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2019,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92"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19,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6500" w:type="dxa"/>
            <w:vAlign w:val="bottom"/>
            <w:tcBorders>
              <w:bottom w:val="single" w:sz="8" w:color="auto"/>
            </w:tcBorders>
          </w:tcPr>
          <w:p>
            <w:pPr>
              <w:ind w:left="3100"/>
              <w:spacing w:after="0"/>
              <w:rPr>
                <w:sz w:val="20"/>
                <w:szCs w:val="20"/>
                <w:color w:val="auto"/>
              </w:rPr>
            </w:pPr>
            <w:r>
              <w:rPr>
                <w:rFonts w:ascii="Arial" w:cs="Arial" w:eastAsia="Arial" w:hAnsi="Arial"/>
                <w:sz w:val="14"/>
                <w:szCs w:val="14"/>
                <w:b w:val="1"/>
                <w:bCs w:val="1"/>
                <w:color w:val="auto"/>
              </w:rPr>
              <w:t>Title</w:t>
            </w:r>
          </w:p>
        </w:tc>
      </w:tr>
      <w:tr>
        <w:trPr>
          <w:trHeight w:val="399"/>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Easterly</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Executive Officer, Director and Chairman of the Board of Directors</w:t>
            </w:r>
          </w:p>
        </w:tc>
      </w:tr>
      <w:tr>
        <w:trPr>
          <w:trHeight w:val="224"/>
        </w:trPr>
        <w:tc>
          <w:tcPr>
            <w:tcW w:w="4800" w:type="dxa"/>
            <w:vAlign w:val="bottom"/>
          </w:tcPr>
          <w:p>
            <w:pPr>
              <w:spacing w:after="0"/>
              <w:rPr>
                <w:sz w:val="20"/>
                <w:szCs w:val="20"/>
                <w:color w:val="auto"/>
              </w:rPr>
            </w:pPr>
            <w:r>
              <w:rPr>
                <w:rFonts w:ascii="Arial" w:cs="Arial" w:eastAsia="Arial" w:hAnsi="Arial"/>
                <w:sz w:val="18"/>
                <w:szCs w:val="18"/>
                <w:color w:val="auto"/>
              </w:rPr>
              <w:t>Joshua Easterly</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31"/>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Simmonds</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224"/>
        </w:trPr>
        <w:tc>
          <w:tcPr>
            <w:tcW w:w="4800" w:type="dxa"/>
            <w:vAlign w:val="bottom"/>
          </w:tcPr>
          <w:p>
            <w:pPr>
              <w:spacing w:after="0"/>
              <w:rPr>
                <w:sz w:val="20"/>
                <w:szCs w:val="20"/>
                <w:color w:val="auto"/>
              </w:rPr>
            </w:pPr>
            <w:r>
              <w:rPr>
                <w:rFonts w:ascii="Arial" w:cs="Arial" w:eastAsia="Arial" w:hAnsi="Arial"/>
                <w:sz w:val="18"/>
                <w:szCs w:val="18"/>
                <w:color w:val="auto"/>
              </w:rPr>
              <w:t>Ian Simmonds</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31"/>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Graf</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Vice President (Principal Accounting Officer)</w:t>
            </w:r>
          </w:p>
        </w:tc>
      </w:tr>
      <w:tr>
        <w:trPr>
          <w:trHeight w:val="224"/>
        </w:trPr>
        <w:tc>
          <w:tcPr>
            <w:tcW w:w="4800" w:type="dxa"/>
            <w:vAlign w:val="bottom"/>
          </w:tcPr>
          <w:p>
            <w:pPr>
              <w:spacing w:after="0"/>
              <w:rPr>
                <w:sz w:val="20"/>
                <w:szCs w:val="20"/>
                <w:color w:val="auto"/>
              </w:rPr>
            </w:pPr>
            <w:r>
              <w:rPr>
                <w:rFonts w:ascii="Arial" w:cs="Arial" w:eastAsia="Arial" w:hAnsi="Arial"/>
                <w:sz w:val="18"/>
                <w:szCs w:val="18"/>
                <w:color w:val="auto"/>
              </w:rPr>
              <w:t>Michael Graf</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31"/>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Ross</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 and Chairman of the Audit Committee</w:t>
            </w:r>
          </w:p>
        </w:tc>
      </w:tr>
      <w:tr>
        <w:trPr>
          <w:trHeight w:val="224"/>
        </w:trPr>
        <w:tc>
          <w:tcPr>
            <w:tcW w:w="4800" w:type="dxa"/>
            <w:vAlign w:val="bottom"/>
          </w:tcPr>
          <w:p>
            <w:pPr>
              <w:spacing w:after="0"/>
              <w:rPr>
                <w:sz w:val="20"/>
                <w:szCs w:val="20"/>
                <w:color w:val="auto"/>
              </w:rPr>
            </w:pPr>
            <w:r>
              <w:rPr>
                <w:rFonts w:ascii="Arial" w:cs="Arial" w:eastAsia="Arial" w:hAnsi="Arial"/>
                <w:sz w:val="18"/>
                <w:szCs w:val="18"/>
                <w:color w:val="auto"/>
              </w:rPr>
              <w:t>John A. Ross</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31"/>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Hurley Doddy</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800" w:type="dxa"/>
            <w:vAlign w:val="bottom"/>
          </w:tcPr>
          <w:p>
            <w:pPr>
              <w:spacing w:after="0"/>
              <w:rPr>
                <w:sz w:val="20"/>
                <w:szCs w:val="20"/>
                <w:color w:val="auto"/>
              </w:rPr>
            </w:pPr>
            <w:r>
              <w:rPr>
                <w:rFonts w:ascii="Arial" w:cs="Arial" w:eastAsia="Arial" w:hAnsi="Arial"/>
                <w:sz w:val="18"/>
                <w:szCs w:val="18"/>
                <w:color w:val="auto"/>
              </w:rPr>
              <w:t>Hurley Doddy</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31"/>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Fishman</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800" w:type="dxa"/>
            <w:vAlign w:val="bottom"/>
          </w:tcPr>
          <w:p>
            <w:pPr>
              <w:spacing w:after="0"/>
              <w:rPr>
                <w:sz w:val="20"/>
                <w:szCs w:val="20"/>
                <w:color w:val="auto"/>
              </w:rPr>
            </w:pPr>
            <w:r>
              <w:rPr>
                <w:rFonts w:ascii="Arial" w:cs="Arial" w:eastAsia="Arial" w:hAnsi="Arial"/>
                <w:sz w:val="18"/>
                <w:szCs w:val="18"/>
                <w:color w:val="auto"/>
              </w:rPr>
              <w:t>Michael Fishman</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31"/>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Gordon</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800" w:type="dxa"/>
            <w:vAlign w:val="bottom"/>
          </w:tcPr>
          <w:p>
            <w:pPr>
              <w:spacing w:after="0"/>
              <w:rPr>
                <w:sz w:val="20"/>
                <w:szCs w:val="20"/>
                <w:color w:val="auto"/>
              </w:rPr>
            </w:pPr>
            <w:r>
              <w:rPr>
                <w:rFonts w:ascii="Arial" w:cs="Arial" w:eastAsia="Arial" w:hAnsi="Arial"/>
                <w:sz w:val="18"/>
                <w:szCs w:val="18"/>
                <w:color w:val="auto"/>
              </w:rPr>
              <w:t>Jennifer Gordon</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31"/>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Higginbotham</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800" w:type="dxa"/>
            <w:vAlign w:val="bottom"/>
          </w:tcPr>
          <w:p>
            <w:pPr>
              <w:spacing w:after="0"/>
              <w:rPr>
                <w:sz w:val="20"/>
                <w:szCs w:val="20"/>
                <w:color w:val="auto"/>
              </w:rPr>
            </w:pPr>
            <w:r>
              <w:rPr>
                <w:rFonts w:ascii="Arial" w:cs="Arial" w:eastAsia="Arial" w:hAnsi="Arial"/>
                <w:sz w:val="18"/>
                <w:szCs w:val="18"/>
                <w:color w:val="auto"/>
              </w:rPr>
              <w:t>Richard A. Higginbotham</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31"/>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Judy Slotkin</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800" w:type="dxa"/>
            <w:vAlign w:val="bottom"/>
          </w:tcPr>
          <w:p>
            <w:pPr>
              <w:spacing w:after="0"/>
              <w:rPr>
                <w:sz w:val="20"/>
                <w:szCs w:val="20"/>
                <w:color w:val="auto"/>
              </w:rPr>
            </w:pPr>
            <w:r>
              <w:rPr>
                <w:rFonts w:ascii="Arial" w:cs="Arial" w:eastAsia="Arial" w:hAnsi="Arial"/>
                <w:sz w:val="18"/>
                <w:szCs w:val="18"/>
                <w:color w:val="auto"/>
              </w:rPr>
              <w:t>Judy Slotkin</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31"/>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Stiepleman</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800" w:type="dxa"/>
            <w:vAlign w:val="bottom"/>
          </w:tcPr>
          <w:p>
            <w:pPr>
              <w:spacing w:after="0"/>
              <w:rPr>
                <w:sz w:val="20"/>
                <w:szCs w:val="20"/>
                <w:color w:val="auto"/>
              </w:rPr>
            </w:pPr>
            <w:r>
              <w:rPr>
                <w:rFonts w:ascii="Arial" w:cs="Arial" w:eastAsia="Arial" w:hAnsi="Arial"/>
                <w:sz w:val="18"/>
                <w:szCs w:val="18"/>
                <w:color w:val="auto"/>
              </w:rPr>
              <w:t>David Stiepleman</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31"/>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K. Tanemura</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24"/>
        </w:trPr>
        <w:tc>
          <w:tcPr>
            <w:tcW w:w="4800" w:type="dxa"/>
            <w:vAlign w:val="bottom"/>
          </w:tcPr>
          <w:p>
            <w:pPr>
              <w:spacing w:after="0"/>
              <w:rPr>
                <w:sz w:val="20"/>
                <w:szCs w:val="20"/>
                <w:color w:val="auto"/>
              </w:rPr>
            </w:pPr>
            <w:r>
              <w:rPr>
                <w:rFonts w:ascii="Arial" w:cs="Arial" w:eastAsia="Arial" w:hAnsi="Arial"/>
                <w:sz w:val="18"/>
                <w:szCs w:val="18"/>
                <w:color w:val="auto"/>
              </w:rPr>
              <w:t>Ronald K. Tanemura</w:t>
            </w: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45"/>
        </w:trPr>
        <w:tc>
          <w:tcPr>
            <w:tcW w:w="4800" w:type="dxa"/>
            <w:vAlign w:val="bottom"/>
          </w:tcPr>
          <w:p>
            <w:pPr>
              <w:spacing w:after="0"/>
              <w:rPr>
                <w:sz w:val="24"/>
                <w:szCs w:val="24"/>
                <w:color w:val="auto"/>
              </w:rPr>
            </w:pPr>
          </w:p>
        </w:tc>
        <w:tc>
          <w:tcPr>
            <w:tcW w:w="6620" w:type="dxa"/>
            <w:vAlign w:val="bottom"/>
            <w:gridSpan w:val="2"/>
          </w:tcPr>
          <w:p>
            <w:pPr>
              <w:jc w:val="right"/>
              <w:ind w:right="5531"/>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420"/>
          </w:cols>
          <w:pgMar w:left="240" w:top="337"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4.10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presents our outstanding classes of securities as of February 19,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Amount Held by Us or for Our</w:t>
            </w:r>
          </w:p>
        </w:tc>
        <w:tc>
          <w:tcPr>
            <w:tcW w:w="120" w:type="dxa"/>
            <w:vAlign w:val="bottom"/>
          </w:tcPr>
          <w:p>
            <w:pPr>
              <w:spacing w:after="0"/>
              <w:rPr>
                <w:sz w:val="14"/>
                <w:szCs w:val="14"/>
                <w:color w:val="auto"/>
              </w:rPr>
            </w:pP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Outstanding Exclusive of</w:t>
            </w:r>
          </w:p>
        </w:tc>
        <w:tc>
          <w:tcPr>
            <w:tcW w:w="0" w:type="dxa"/>
            <w:vAlign w:val="bottom"/>
          </w:tcPr>
          <w:p>
            <w:pPr>
              <w:spacing w:after="0"/>
              <w:rPr>
                <w:sz w:val="1"/>
                <w:szCs w:val="1"/>
                <w:color w:val="auto"/>
              </w:rPr>
            </w:pPr>
          </w:p>
        </w:tc>
      </w:tr>
      <w:tr>
        <w:trPr>
          <w:trHeight w:val="149"/>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14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Amount Authorized</w:t>
            </w:r>
          </w:p>
        </w:tc>
        <w:tc>
          <w:tcPr>
            <w:tcW w:w="140" w:type="dxa"/>
            <w:vAlign w:val="bottom"/>
          </w:tcPr>
          <w:p>
            <w:pPr>
              <w:spacing w:after="0"/>
              <w:rPr>
                <w:sz w:val="12"/>
                <w:szCs w:val="12"/>
                <w:color w:val="auto"/>
              </w:rPr>
            </w:pPr>
          </w:p>
        </w:tc>
        <w:tc>
          <w:tcPr>
            <w:tcW w:w="2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Amount Held by Us or for Our</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Account</w:t>
            </w:r>
          </w:p>
        </w:tc>
        <w:tc>
          <w:tcPr>
            <w:tcW w:w="120" w:type="dxa"/>
            <w:vAlign w:val="bottom"/>
          </w:tcPr>
          <w:p>
            <w:pPr>
              <w:spacing w:after="0"/>
              <w:rPr>
                <w:sz w:val="14"/>
                <w:szCs w:val="14"/>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Account</w:t>
            </w: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0"/>
                <w:szCs w:val="20"/>
                <w:color w:val="auto"/>
              </w:rPr>
            </w:pPr>
            <w:r>
              <w:rPr>
                <w:rFonts w:ascii="Arial" w:cs="Arial" w:eastAsia="Arial" w:hAnsi="Arial"/>
                <w:sz w:val="18"/>
                <w:szCs w:val="18"/>
                <w:color w:val="auto"/>
              </w:rPr>
              <w:t>Common Stock</w:t>
            </w:r>
          </w:p>
        </w:tc>
        <w:tc>
          <w:tcPr>
            <w:tcW w:w="1920" w:type="dxa"/>
            <w:vAlign w:val="bottom"/>
            <w:gridSpan w:val="2"/>
          </w:tcPr>
          <w:p>
            <w:pPr>
              <w:jc w:val="right"/>
              <w:ind w:right="368"/>
              <w:spacing w:after="0"/>
              <w:rPr>
                <w:sz w:val="20"/>
                <w:szCs w:val="20"/>
                <w:color w:val="auto"/>
              </w:rPr>
            </w:pPr>
            <w:r>
              <w:rPr>
                <w:rFonts w:ascii="Arial" w:cs="Arial" w:eastAsia="Arial" w:hAnsi="Arial"/>
                <w:sz w:val="18"/>
                <w:szCs w:val="18"/>
                <w:color w:val="auto"/>
              </w:rPr>
              <w:t>400,000,000</w:t>
            </w:r>
          </w:p>
        </w:tc>
        <w:tc>
          <w:tcPr>
            <w:tcW w:w="30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89,080</w:t>
            </w:r>
          </w:p>
        </w:tc>
        <w:tc>
          <w:tcPr>
            <w:tcW w:w="3060" w:type="dxa"/>
            <w:vAlign w:val="bottom"/>
            <w:gridSpan w:val="2"/>
          </w:tcPr>
          <w:p>
            <w:pPr>
              <w:jc w:val="center"/>
              <w:ind w:left="35"/>
              <w:spacing w:after="0"/>
              <w:rPr>
                <w:sz w:val="20"/>
                <w:szCs w:val="20"/>
                <w:color w:val="auto"/>
              </w:rPr>
            </w:pPr>
            <w:r>
              <w:rPr>
                <w:rFonts w:ascii="Arial" w:cs="Arial" w:eastAsia="Arial" w:hAnsi="Arial"/>
                <w:sz w:val="17"/>
                <w:szCs w:val="17"/>
                <w:color w:val="auto"/>
                <w:w w:val="91"/>
              </w:rPr>
              <w:t>66,719,061</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The following description is based on relevant portions of the Delaware General Corporate Law, or the DGCL, and on our Amended and Restated Certificate of Incorporation (the “certificate of incorporation”) and our Amended and Restated Bylaws (the “bylaws”), both incorporated by reference to our Annual Report on Form 10-K. This summary is not necessarily complete, and we refer you to the DGCL and our certificate of incorporation and bylaws for a more detailed description of the provisions summarized below. As of February 19, 2020, there are no outstanding shares of preferred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Common Stock</w:t>
      </w:r>
    </w:p>
    <w:p>
      <w:pPr>
        <w:spacing w:after="0" w:line="117"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of directors (the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2" w:name="page133"/>
    <w:bookmarkEnd w:id="132"/>
    <w:p>
      <w:pPr>
        <w:ind w:right="20" w:firstLine="598"/>
        <w:spacing w:after="0" w:line="293"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17" w:lineRule="exact"/>
        <w:rPr>
          <w:sz w:val="20"/>
          <w:szCs w:val="20"/>
          <w:color w:val="auto"/>
        </w:rPr>
      </w:pPr>
    </w:p>
    <w:p>
      <w:pPr>
        <w:ind w:left="1200" w:right="80" w:hanging="449"/>
        <w:spacing w:after="0" w:line="277" w:lineRule="auto"/>
        <w:tabs>
          <w:tab w:leader="none" w:pos="1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62" w:lineRule="exact"/>
        <w:rPr>
          <w:rFonts w:ascii="Arial" w:cs="Arial" w:eastAsia="Arial" w:hAnsi="Arial"/>
          <w:sz w:val="18"/>
          <w:szCs w:val="18"/>
          <w:color w:val="auto"/>
        </w:rPr>
      </w:pPr>
    </w:p>
    <w:p>
      <w:pPr>
        <w:ind w:left="1200" w:right="220" w:hanging="449"/>
        <w:spacing w:after="0" w:line="277" w:lineRule="auto"/>
        <w:tabs>
          <w:tab w:leader="none" w:pos="1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75" w:lineRule="exact"/>
        <w:rPr>
          <w:rFonts w:ascii="Arial" w:cs="Arial" w:eastAsia="Arial" w:hAnsi="Arial"/>
          <w:sz w:val="18"/>
          <w:szCs w:val="18"/>
          <w:color w:val="auto"/>
        </w:rPr>
      </w:pPr>
    </w:p>
    <w:p>
      <w:pPr>
        <w:ind w:left="1200" w:right="80" w:hanging="449"/>
        <w:spacing w:after="0" w:line="277" w:lineRule="auto"/>
        <w:tabs>
          <w:tab w:leader="none" w:pos="1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jc w:val="both"/>
        <w:ind w:right="200" w:firstLine="598"/>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bylaws also provide that:</w:t>
      </w:r>
    </w:p>
    <w:p>
      <w:pPr>
        <w:spacing w:after="0" w:line="117" w:lineRule="exact"/>
        <w:rPr>
          <w:sz w:val="20"/>
          <w:szCs w:val="20"/>
          <w:color w:val="auto"/>
        </w:rPr>
      </w:pPr>
    </w:p>
    <w:p>
      <w:pPr>
        <w:ind w:left="1200" w:right="20" w:hanging="449"/>
        <w:spacing w:after="0" w:line="277" w:lineRule="auto"/>
        <w:tabs>
          <w:tab w:leader="none" w:pos="1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right="220" w:firstLine="598"/>
        <w:spacing w:after="0" w:line="270" w:lineRule="auto"/>
        <w:rPr>
          <w:sz w:val="20"/>
          <w:szCs w:val="20"/>
          <w:color w:val="auto"/>
        </w:rPr>
      </w:pPr>
      <w:r>
        <w:rPr>
          <w:rFonts w:ascii="Arial" w:cs="Arial" w:eastAsia="Arial" w:hAnsi="Arial"/>
          <w:sz w:val="17"/>
          <w:szCs w:val="17"/>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2"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290195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3" w:name="page134"/>
    <w:bookmarkEnd w:id="133"/>
    <w:p>
      <w:pPr>
        <w:ind w:right="180" w:firstLine="598"/>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Investment Company Act of 1940, as amended, or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17" w:lineRule="exact"/>
        <w:rPr>
          <w:sz w:val="20"/>
          <w:szCs w:val="20"/>
          <w:color w:val="auto"/>
        </w:rPr>
      </w:pPr>
    </w:p>
    <w:p>
      <w:pPr>
        <w:ind w:left="1200" w:hanging="449"/>
        <w:spacing w:after="0"/>
        <w:tabs>
          <w:tab w:leader="none" w:pos="12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17" w:lineRule="exact"/>
        <w:rPr>
          <w:rFonts w:ascii="Arial" w:cs="Arial" w:eastAsia="Arial" w:hAnsi="Arial"/>
          <w:sz w:val="18"/>
          <w:szCs w:val="18"/>
          <w:color w:val="auto"/>
        </w:rPr>
      </w:pPr>
    </w:p>
    <w:p>
      <w:pPr>
        <w:jc w:val="both"/>
        <w:ind w:left="1200" w:hanging="449"/>
        <w:spacing w:after="0" w:line="286" w:lineRule="auto"/>
        <w:tabs>
          <w:tab w:leader="none" w:pos="12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57" w:lineRule="exact"/>
        <w:rPr>
          <w:rFonts w:ascii="Arial" w:cs="Arial" w:eastAsia="Arial" w:hAnsi="Arial"/>
          <w:sz w:val="17"/>
          <w:szCs w:val="17"/>
          <w:color w:val="auto"/>
        </w:rPr>
      </w:pPr>
    </w:p>
    <w:p>
      <w:pPr>
        <w:ind w:left="1200" w:right="240" w:hanging="449"/>
        <w:spacing w:after="0" w:line="264" w:lineRule="auto"/>
        <w:tabs>
          <w:tab w:leader="none" w:pos="12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73" w:lineRule="exact"/>
        <w:rPr>
          <w:rFonts w:ascii="Arial" w:cs="Arial" w:eastAsia="Arial" w:hAnsi="Arial"/>
          <w:sz w:val="18"/>
          <w:szCs w:val="18"/>
          <w:color w:val="auto"/>
        </w:rPr>
      </w:pPr>
    </w:p>
    <w:p>
      <w:pPr>
        <w:ind w:left="1200" w:right="180" w:hanging="449"/>
        <w:spacing w:after="0" w:line="286" w:lineRule="auto"/>
        <w:tabs>
          <w:tab w:leader="none" w:pos="12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66"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17" w:lineRule="exact"/>
        <w:rPr>
          <w:sz w:val="20"/>
          <w:szCs w:val="20"/>
          <w:color w:val="auto"/>
        </w:rPr>
      </w:pPr>
    </w:p>
    <w:p>
      <w:pPr>
        <w:ind w:left="1200" w:right="280" w:hanging="449"/>
        <w:spacing w:after="0" w:line="277" w:lineRule="auto"/>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62" w:lineRule="exact"/>
        <w:rPr>
          <w:rFonts w:ascii="Arial" w:cs="Arial" w:eastAsia="Arial" w:hAnsi="Arial"/>
          <w:sz w:val="18"/>
          <w:szCs w:val="18"/>
          <w:color w:val="auto"/>
        </w:rPr>
      </w:pPr>
    </w:p>
    <w:p>
      <w:pPr>
        <w:ind w:left="1200" w:hanging="449"/>
        <w:spacing w:after="0"/>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4" w:name="page135"/>
    <w:bookmarkEnd w:id="134"/>
    <w:p>
      <w:pPr>
        <w:ind w:firstLine="598"/>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right="600" w:firstLine="598"/>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ectPr>
          <w:pgSz w:w="11900" w:h="16838" w:orient="portrait"/>
          <w:cols w:equalWidth="0" w:num="1">
            <w:col w:w="11260"/>
          </w:cols>
          <w:pgMar w:left="240" w:top="557" w:right="39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Exhibit 10.17</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NINTH AMENDMENT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SECOND AMENDED AND RESTATED SENIOR SECURED REVOLVING CREDIT AGREEMENT</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THIS NINTH AMENDMENT TO SECOND AMENDED AND RESTATED SENIOR SECURED REVOLVING CREDIT AGREEMENT, dated as of January 31, 2020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to the Existing Credit Agreement (capitalized terms used herein and not otherwise defined shall have the meanings given to such terms in </w:t>
      </w:r>
      <w:r>
        <w:rPr>
          <w:rFonts w:ascii="Arial" w:cs="Arial" w:eastAsia="Arial" w:hAnsi="Arial"/>
          <w:sz w:val="22"/>
          <w:szCs w:val="22"/>
          <w:u w:val="single" w:color="auto"/>
          <w:color w:val="auto"/>
        </w:rPr>
        <w:t>Article I</w:t>
      </w:r>
      <w:r>
        <w:rPr>
          <w:rFonts w:ascii="Arial" w:cs="Arial" w:eastAsia="Arial" w:hAnsi="Arial"/>
          <w:sz w:val="22"/>
          <w:szCs w:val="22"/>
          <w:color w:val="auto"/>
        </w:rPr>
        <w:t>) is among TPG SPECIALTY LENDING,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party hereto and TRUIST BANK (as successor by merger to SunTrust Bank), as Administrative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WHEREAS, the Borrower, the Lenders party hereto (other than Royal Bank of Canada (“</w:t>
      </w:r>
      <w:r>
        <w:rPr>
          <w:rFonts w:ascii="Arial" w:cs="Arial" w:eastAsia="Arial" w:hAnsi="Arial"/>
          <w:sz w:val="19"/>
          <w:szCs w:val="19"/>
          <w:u w:val="single" w:color="auto"/>
          <w:color w:val="auto"/>
        </w:rPr>
        <w:t>RBC</w:t>
      </w:r>
      <w:r>
        <w:rPr>
          <w:rFonts w:ascii="Arial" w:cs="Arial" w:eastAsia="Arial" w:hAnsi="Arial"/>
          <w:sz w:val="19"/>
          <w:szCs w:val="19"/>
          <w:color w:val="auto"/>
        </w:rPr>
        <w:t>”))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and the Eighth Amendment to Second Amended and Restated Senior Secured Revolving Credit Agreement, dated as of February 14, 2019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and by this Amendment and as the same may be further amended, supplemented, amended and restated or otherwise modified from time to time,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WHEREAS, RBC desires to become a party to the Credit Agreement as a Lender; and</w:t>
      </w:r>
    </w:p>
    <w:p>
      <w:pPr>
        <w:spacing w:after="0" w:line="20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WHEREAS, the Borrower has requested that the Lenders agree to amend the Existing Credit Agreement, and the Lenders party hereto are willing, on the terms and subject to the conditions hereinafter set forth, to agree to the amendment set forth below and the other terms hereof;</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NOW, THEREFORE, the parties hereto hereby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Certain Definitions</w:t>
      </w:r>
      <w:r>
        <w:rPr>
          <w:rFonts w:ascii="Arial" w:cs="Arial" w:eastAsia="Arial" w:hAnsi="Arial"/>
          <w:sz w:val="22"/>
          <w:szCs w:val="22"/>
          <w:color w:val="auto"/>
        </w:rPr>
        <w:t>. The following terms when used in this Amendment shall have the following meanings (such meanings to be equally applicable to the singular and plural forms thereof):</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first recital</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first recital</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Ninth Amendment Effective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Article IV</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RBC</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first recital</w:t>
      </w:r>
      <w:r>
        <w:rPr>
          <w:rFonts w:ascii="Arial" w:cs="Arial" w:eastAsia="Arial" w:hAnsi="Arial"/>
          <w:sz w:val="22"/>
          <w:szCs w:val="22"/>
          <w:color w:val="auto"/>
        </w:rPr>
        <w:t>.</w:t>
      </w:r>
    </w:p>
    <w:p>
      <w:pPr>
        <w:spacing w:after="0" w:line="206" w:lineRule="exact"/>
        <w:rPr>
          <w:sz w:val="20"/>
          <w:szCs w:val="20"/>
          <w:color w:val="auto"/>
        </w:rPr>
      </w:pPr>
    </w:p>
    <w:p>
      <w:pPr>
        <w:jc w:val="both"/>
        <w:ind w:right="20" w:firstLine="877"/>
        <w:spacing w:after="0" w:line="328"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Other Definitions</w:t>
      </w:r>
      <w:r>
        <w:rPr>
          <w:rFonts w:ascii="Arial" w:cs="Arial" w:eastAsia="Arial" w:hAnsi="Arial"/>
          <w:sz w:val="19"/>
          <w:szCs w:val="19"/>
          <w:color w:val="auto"/>
        </w:rPr>
        <w:t>. Capitalized terms for which meanings are provided in the Existing Credit Agreement are, unless otherwise defined herein or the context otherwise requires, used in this Amendment with such meanings.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JOINDER OF RBC TO CREDIT AGREEMENT</w:t>
      </w:r>
    </w:p>
    <w:p>
      <w:pPr>
        <w:spacing w:after="0" w:line="206"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Subject to the occurrence of the Ninth Amendment Effective Date (as hereinafter defined), each of the parties hereto hereby agrees that RBC will (and does hereby) become a “Lender” under and for all purposes of the Credit Agreement with a Multicurrency Commitment equal to $25,000,000 and RBC hereby agrees to be bound by and comply with all of the terms and provisions of the Credit Agreement applicable to it as a “Lender” and “Extending Lender” thereunder and that it will perform all of the obligations which by the terms of the Credit Agreement are required to be performed by it as a Lender or Extending Lender, as applicable. RBC represents and warrants that it has full power and authority, and has taken all action necessary, to execute this Amendment and to consummate the transactions contemplated hereby and to become a Lender under the Credit Agreement.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TO EXISTING CREDIT AGREEMENT</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Subject to the occurrence of the Ninth Amendment Effective Date, the Existing Credit Agreement is amended in accordance with this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173"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 xml:space="preserve">. The Existing Credit Agreement is hereby amended in its entirety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73"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Amendments to Schedule 1.01(b)</w:t>
      </w:r>
      <w:r>
        <w:rPr>
          <w:rFonts w:ascii="Arial" w:cs="Arial" w:eastAsia="Arial" w:hAnsi="Arial"/>
          <w:sz w:val="22"/>
          <w:szCs w:val="22"/>
          <w:color w:val="auto"/>
        </w:rPr>
        <w:t xml:space="preserve">. Schedule 1.01(b) to the Existing Credit Agreement is hereby amended in its entirety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EFFECTIVENESS</w:t>
      </w:r>
    </w:p>
    <w:p>
      <w:pPr>
        <w:spacing w:after="0" w:line="206"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Effective Date</w:t>
      </w:r>
      <w:r>
        <w:rPr>
          <w:rFonts w:ascii="Arial" w:cs="Arial" w:eastAsia="Arial" w:hAnsi="Arial"/>
          <w:sz w:val="19"/>
          <w:szCs w:val="19"/>
          <w:color w:val="auto"/>
        </w:rPr>
        <w:t>. This Amendment shall become effective on the date (the “</w:t>
      </w:r>
      <w:r>
        <w:rPr>
          <w:rFonts w:ascii="Arial" w:cs="Arial" w:eastAsia="Arial" w:hAnsi="Arial"/>
          <w:sz w:val="19"/>
          <w:szCs w:val="19"/>
          <w:u w:val="single" w:color="auto"/>
          <w:color w:val="auto"/>
        </w:rPr>
        <w:t>Ninth Amendment Effective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when the Administrative Agent shall have received (a) counterparts of this Amendment duly executed and delivered on behalf of the Borrower and each of the Lenders party hereto, (b) a favorable written opinion (addressed to the Administrative Agent and the Lenders party hereto and dated as of the date hereof) of (i) Cleary Gottlieb Steen &amp; Hamilton LLP, New York counsel for the Borrower, and (ii) Young Conaway Stargatt &amp; Taylor, LLP, Delaware counsel for the Borrower, in each case, in form and substance reasonably acceptable to the Administrative Agent (and the Borrower hereby instructs such counsel to deliver such opinions to the Lenders party hereto and the Administrative Agent), (c) such documents and certificates as the Administrative Agent or its counsel may reasonably request relating to the organization, existence and good standing of the Borrower, the authorization of this Amendment and any other legal matters relating to the Borrower, this Amendment, all in form and substance satisfactory to the Administrative Agent and its counsel and (d) for the benefit of Administrative Agent and each of the Lenders party hereto, as applicable, fees and expenses owing by the Borrower in connection with this Amendment as of the date hereof.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06"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Representations</w:t>
      </w:r>
      <w:r>
        <w:rPr>
          <w:rFonts w:ascii="Arial" w:cs="Arial" w:eastAsia="Arial" w:hAnsi="Arial"/>
          <w:sz w:val="19"/>
          <w:szCs w:val="19"/>
          <w:color w:val="auto"/>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58"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Cross-References</w:t>
      </w:r>
      <w:r>
        <w:rPr>
          <w:rFonts w:ascii="Arial" w:cs="Arial" w:eastAsia="Arial" w:hAnsi="Arial"/>
          <w:sz w:val="22"/>
          <w:szCs w:val="22"/>
          <w:color w:val="auto"/>
        </w:rPr>
        <w:t>. References in this Amendment to any Article or Section are, unless otherwise specified, to such Article or Section of this Amendment.</w:t>
      </w:r>
    </w:p>
    <w:p>
      <w:pPr>
        <w:spacing w:after="0" w:line="17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Loan Document Pursuant to Existing Credit Agreement</w:t>
      </w:r>
      <w:r>
        <w:rPr>
          <w:rFonts w:ascii="Arial" w:cs="Arial" w:eastAsia="Arial" w:hAnsi="Arial"/>
          <w:sz w:val="22"/>
          <w:szCs w:val="22"/>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38" w:name="page139"/>
    <w:bookmarkEnd w:id="138"/>
    <w:p>
      <w:pPr>
        <w:jc w:val="both"/>
        <w:ind w:firstLine="877"/>
        <w:spacing w:after="0" w:line="251"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provisions of this Amendment shall be binding upon and inure to the benefit of the parties hereto and their respective successors and assigns.</w:t>
      </w:r>
    </w:p>
    <w:p>
      <w:pPr>
        <w:spacing w:after="0" w:line="17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85"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New York.</w:t>
      </w:r>
    </w:p>
    <w:p>
      <w:pPr>
        <w:spacing w:after="0" w:line="173"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u w:val="single" w:color="auto"/>
          <w:color w:val="auto"/>
        </w:rPr>
        <w:t>Full Force and Effect; Limited Amendment</w:t>
      </w:r>
      <w:r>
        <w:rPr>
          <w:rFonts w:ascii="Arial" w:cs="Arial" w:eastAsia="Arial" w:hAnsi="Arial"/>
          <w:sz w:val="19"/>
          <w:szCs w:val="19"/>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spacing w:after="0" w:line="162"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 xml:space="preserve">SECTION 5.8. </w:t>
      </w:r>
      <w:r>
        <w:rPr>
          <w:rFonts w:ascii="Arial" w:cs="Arial" w:eastAsia="Arial" w:hAnsi="Arial"/>
          <w:sz w:val="19"/>
          <w:szCs w:val="19"/>
          <w:u w:val="single" w:color="auto"/>
          <w:color w:val="auto"/>
        </w:rPr>
        <w:t>Reaffirmation</w:t>
      </w:r>
      <w:r>
        <w:rPr>
          <w:rFonts w:ascii="Arial" w:cs="Arial" w:eastAsia="Arial" w:hAnsi="Arial"/>
          <w:sz w:val="19"/>
          <w:szCs w:val="19"/>
          <w:color w:val="auto"/>
        </w:rPr>
        <w:t>. Each of TSL MR, LLC, TC Lending, LLC and TPG SL SPV,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139" w:name="page140"/>
    <w:bookmarkEnd w:id="139"/>
    <w:p>
      <w:pPr>
        <w:ind w:left="760"/>
        <w:spacing w:after="0"/>
        <w:rPr>
          <w:sz w:val="20"/>
          <w:szCs w:val="20"/>
          <w:color w:val="auto"/>
        </w:rPr>
      </w:pPr>
      <w:r>
        <w:rPr>
          <w:rFonts w:ascii="Arial" w:cs="Arial" w:eastAsia="Arial" w:hAnsi="Arial"/>
          <w:sz w:val="19"/>
          <w:szCs w:val="19"/>
          <w:color w:val="auto"/>
        </w:rPr>
        <w:t>IN WITNESS WHEREOF, the parties hereto have executed and delivered this Amendment as of the date first above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182" w:lineRule="exact"/>
        <w:rPr>
          <w:sz w:val="20"/>
          <w:szCs w:val="20"/>
          <w:color w:val="auto"/>
        </w:rPr>
      </w:pPr>
    </w:p>
    <w:p>
      <w:pPr>
        <w:spacing w:after="0"/>
        <w:tabs>
          <w:tab w:leader="none" w:pos="5540" w:val="left"/>
        </w:tabs>
        <w:rPr>
          <w:sz w:val="20"/>
          <w:szCs w:val="20"/>
          <w:color w:val="auto"/>
        </w:rPr>
      </w:pPr>
      <w:r>
        <w:rPr>
          <w:rFonts w:ascii="Arial" w:cs="Arial" w:eastAsia="Arial" w:hAnsi="Arial"/>
          <w:sz w:val="22"/>
          <w:szCs w:val="22"/>
          <w:u w:val="single" w:color="auto"/>
          <w:color w:val="auto"/>
        </w:rPr>
        <w:t>BORROWER:</w:t>
      </w:r>
      <w:r>
        <w:rPr>
          <w:sz w:val="20"/>
          <w:szCs w:val="20"/>
          <w:color w:val="auto"/>
        </w:rPr>
        <w:tab/>
      </w:r>
      <w:r>
        <w:rPr>
          <w:rFonts w:ascii="Arial" w:cs="Arial" w:eastAsia="Arial" w:hAnsi="Arial"/>
          <w:sz w:val="22"/>
          <w:szCs w:val="22"/>
          <w:b w:val="1"/>
          <w:bCs w:val="1"/>
          <w:color w:val="auto"/>
        </w:rPr>
        <w:t>TPG SPECIALTY LENDING, INC</w:t>
      </w:r>
      <w:r>
        <w:rPr>
          <w:rFonts w:ascii="Arial" w:cs="Arial" w:eastAsia="Arial" w:hAnsi="Arial"/>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ind w:left="5560"/>
        <w:spacing w:after="0"/>
        <w:tabs>
          <w:tab w:leader="none" w:pos="6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7620</wp:posOffset>
            </wp:positionV>
            <wp:extent cx="32931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6240"/>
        <w:spacing w:after="0"/>
        <w:rPr>
          <w:sz w:val="20"/>
          <w:szCs w:val="20"/>
          <w:color w:val="auto"/>
        </w:rPr>
      </w:pPr>
      <w:r>
        <w:rPr>
          <w:rFonts w:ascii="Arial" w:cs="Arial" w:eastAsia="Arial" w:hAnsi="Arial"/>
          <w:sz w:val="22"/>
          <w:szCs w:val="22"/>
          <w:color w:val="auto"/>
        </w:rPr>
        <w:t>Name: Ian Simmonds</w:t>
      </w:r>
    </w:p>
    <w:p>
      <w:pPr>
        <w:ind w:left="6240"/>
        <w:spacing w:after="0"/>
        <w:rPr>
          <w:sz w:val="20"/>
          <w:szCs w:val="20"/>
          <w:color w:val="auto"/>
        </w:rPr>
      </w:pPr>
      <w:r>
        <w:rPr>
          <w:rFonts w:ascii="Arial" w:cs="Arial" w:eastAsia="Arial" w:hAnsi="Arial"/>
          <w:sz w:val="22"/>
          <w:szCs w:val="22"/>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240" w:top="361" w:right="8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53"/>
        </w:trPr>
        <w:tc>
          <w:tcPr>
            <w:tcW w:w="3300" w:type="dxa"/>
            <w:vAlign w:val="bottom"/>
            <w:gridSpan w:val="2"/>
          </w:tcPr>
          <w:p>
            <w:pPr>
              <w:spacing w:after="0"/>
              <w:rPr>
                <w:sz w:val="20"/>
                <w:szCs w:val="20"/>
                <w:color w:val="auto"/>
              </w:rPr>
            </w:pPr>
            <w:r>
              <w:rPr>
                <w:rFonts w:ascii="Arial" w:cs="Arial" w:eastAsia="Arial" w:hAnsi="Arial"/>
                <w:sz w:val="22"/>
                <w:szCs w:val="22"/>
                <w:color w:val="auto"/>
              </w:rPr>
              <w:t>LENDERS:</w:t>
            </w:r>
          </w:p>
        </w:tc>
        <w:tc>
          <w:tcPr>
            <w:tcW w:w="8120" w:type="dxa"/>
            <w:vAlign w:val="bottom"/>
            <w:gridSpan w:val="2"/>
          </w:tcPr>
          <w:p>
            <w:pPr>
              <w:ind w:left="2260"/>
              <w:spacing w:after="0"/>
              <w:rPr>
                <w:sz w:val="20"/>
                <w:szCs w:val="20"/>
                <w:color w:val="auto"/>
              </w:rPr>
            </w:pPr>
            <w:r>
              <w:rPr>
                <w:rFonts w:ascii="Arial" w:cs="Arial" w:eastAsia="Arial" w:hAnsi="Arial"/>
                <w:sz w:val="22"/>
                <w:szCs w:val="22"/>
                <w:b w:val="1"/>
                <w:bCs w:val="1"/>
                <w:color w:val="auto"/>
                <w:w w:val="99"/>
              </w:rPr>
              <w:t xml:space="preserve">TRUIST BANK </w:t>
            </w:r>
            <w:r>
              <w:rPr>
                <w:rFonts w:ascii="Arial" w:cs="Arial" w:eastAsia="Arial" w:hAnsi="Arial"/>
                <w:sz w:val="22"/>
                <w:szCs w:val="22"/>
                <w:color w:val="auto"/>
                <w:w w:val="99"/>
              </w:rPr>
              <w:t>(as successor by merger to SunTrust Bank),</w:t>
            </w:r>
          </w:p>
        </w:tc>
        <w:tc>
          <w:tcPr>
            <w:tcW w:w="20" w:type="dxa"/>
            <w:vAlign w:val="bottom"/>
          </w:tcPr>
          <w:p>
            <w:pPr>
              <w:spacing w:after="0"/>
              <w:rPr>
                <w:sz w:val="21"/>
                <w:szCs w:val="21"/>
                <w:color w:val="auto"/>
              </w:rPr>
            </w:pPr>
          </w:p>
        </w:tc>
      </w:tr>
      <w:tr>
        <w:trPr>
          <w:trHeight w:val="242"/>
        </w:trPr>
        <w:tc>
          <w:tcPr>
            <w:tcW w:w="980" w:type="dxa"/>
            <w:vAlign w:val="bottom"/>
            <w:tcBorders>
              <w:top w:val="single" w:sz="8" w:color="auto"/>
            </w:tcBorders>
          </w:tcPr>
          <w:p>
            <w:pPr>
              <w:spacing w:after="0"/>
              <w:rPr>
                <w:sz w:val="21"/>
                <w:szCs w:val="21"/>
                <w:color w:val="auto"/>
              </w:rPr>
            </w:pPr>
          </w:p>
        </w:tc>
        <w:tc>
          <w:tcPr>
            <w:tcW w:w="2320" w:type="dxa"/>
            <w:vAlign w:val="bottom"/>
          </w:tcPr>
          <w:p>
            <w:pPr>
              <w:spacing w:after="0"/>
              <w:rPr>
                <w:sz w:val="21"/>
                <w:szCs w:val="21"/>
                <w:color w:val="auto"/>
              </w:rPr>
            </w:pPr>
          </w:p>
        </w:tc>
        <w:tc>
          <w:tcPr>
            <w:tcW w:w="8120" w:type="dxa"/>
            <w:vAlign w:val="bottom"/>
            <w:gridSpan w:val="2"/>
          </w:tcPr>
          <w:p>
            <w:pPr>
              <w:ind w:left="2260"/>
              <w:spacing w:after="0" w:line="242" w:lineRule="exact"/>
              <w:rPr>
                <w:sz w:val="20"/>
                <w:szCs w:val="20"/>
                <w:color w:val="auto"/>
              </w:rPr>
            </w:pPr>
            <w:r>
              <w:rPr>
                <w:rFonts w:ascii="Arial" w:cs="Arial" w:eastAsia="Arial" w:hAnsi="Arial"/>
                <w:sz w:val="22"/>
                <w:szCs w:val="22"/>
                <w:color w:val="auto"/>
                <w:w w:val="91"/>
              </w:rPr>
              <w:t>as Administrative Agent, Swingline Lender, Issuing Bank and as a</w:t>
            </w:r>
          </w:p>
        </w:tc>
        <w:tc>
          <w:tcPr>
            <w:tcW w:w="20" w:type="dxa"/>
            <w:vAlign w:val="bottom"/>
          </w:tcPr>
          <w:p>
            <w:pPr>
              <w:spacing w:after="0"/>
              <w:rPr>
                <w:sz w:val="21"/>
                <w:szCs w:val="21"/>
                <w:color w:val="auto"/>
              </w:rPr>
            </w:pPr>
          </w:p>
        </w:tc>
      </w:tr>
      <w:tr>
        <w:trPr>
          <w:trHeight w:val="275"/>
        </w:trPr>
        <w:tc>
          <w:tcPr>
            <w:tcW w:w="9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8120" w:type="dxa"/>
            <w:vAlign w:val="bottom"/>
            <w:gridSpan w:val="2"/>
          </w:tcPr>
          <w:p>
            <w:pPr>
              <w:ind w:left="2260"/>
              <w:spacing w:after="0"/>
              <w:rPr>
                <w:sz w:val="20"/>
                <w:szCs w:val="20"/>
                <w:color w:val="auto"/>
              </w:rPr>
            </w:pPr>
            <w:r>
              <w:rPr>
                <w:rFonts w:ascii="Arial" w:cs="Arial" w:eastAsia="Arial" w:hAnsi="Arial"/>
                <w:sz w:val="22"/>
                <w:szCs w:val="22"/>
                <w:color w:val="auto"/>
              </w:rPr>
              <w:t>Lender</w:t>
            </w:r>
          </w:p>
        </w:tc>
        <w:tc>
          <w:tcPr>
            <w:tcW w:w="20" w:type="dxa"/>
            <w:vAlign w:val="bottom"/>
          </w:tcPr>
          <w:p>
            <w:pPr>
              <w:spacing w:after="0"/>
              <w:rPr>
                <w:sz w:val="23"/>
                <w:szCs w:val="23"/>
                <w:color w:val="auto"/>
              </w:rPr>
            </w:pPr>
          </w:p>
        </w:tc>
      </w:tr>
      <w:tr>
        <w:trPr>
          <w:trHeight w:val="665"/>
        </w:trPr>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120" w:type="dxa"/>
            <w:vAlign w:val="bottom"/>
            <w:gridSpan w:val="2"/>
          </w:tcPr>
          <w:p>
            <w:pPr>
              <w:ind w:left="2260"/>
              <w:spacing w:after="0"/>
              <w:rPr>
                <w:sz w:val="20"/>
                <w:szCs w:val="20"/>
                <w:color w:val="auto"/>
              </w:rPr>
            </w:pPr>
            <w:r>
              <w:rPr>
                <w:rFonts w:ascii="Arial" w:cs="Arial" w:eastAsia="Arial" w:hAnsi="Arial"/>
                <w:sz w:val="22"/>
                <w:szCs w:val="22"/>
                <w:color w:val="auto"/>
              </w:rPr>
              <w:t>By:   /s/ Hays Wood</w:t>
            </w:r>
          </w:p>
        </w:tc>
        <w:tc>
          <w:tcPr>
            <w:tcW w:w="20" w:type="dxa"/>
            <w:vAlign w:val="bottom"/>
          </w:tcPr>
          <w:p>
            <w:pPr>
              <w:spacing w:after="0"/>
              <w:rPr>
                <w:sz w:val="24"/>
                <w:szCs w:val="24"/>
                <w:color w:val="auto"/>
              </w:rPr>
            </w:pPr>
          </w:p>
        </w:tc>
      </w:tr>
      <w:tr>
        <w:trPr>
          <w:trHeight w:val="215"/>
        </w:trPr>
        <w:tc>
          <w:tcPr>
            <w:tcW w:w="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18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 Hays Wood</w:t>
            </w:r>
          </w:p>
        </w:tc>
        <w:tc>
          <w:tcPr>
            <w:tcW w:w="20" w:type="dxa"/>
            <w:vAlign w:val="bottom"/>
          </w:tcPr>
          <w:p>
            <w:pPr>
              <w:spacing w:after="0"/>
              <w:rPr>
                <w:sz w:val="18"/>
                <w:szCs w:val="18"/>
                <w:color w:val="auto"/>
              </w:rPr>
            </w:pPr>
          </w:p>
        </w:tc>
      </w:tr>
      <w:tr>
        <w:trPr>
          <w:trHeight w:val="275"/>
        </w:trPr>
        <w:tc>
          <w:tcPr>
            <w:tcW w:w="9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22"/>
                <w:szCs w:val="22"/>
                <w:color w:val="auto"/>
              </w:rPr>
              <w:t>Title:  Director</w:t>
            </w:r>
          </w:p>
        </w:tc>
        <w:tc>
          <w:tcPr>
            <w:tcW w:w="20" w:type="dxa"/>
            <w:vAlign w:val="bottom"/>
          </w:tcPr>
          <w:p>
            <w:pPr>
              <w:spacing w:after="0"/>
              <w:rPr>
                <w:sz w:val="23"/>
                <w:szCs w:val="23"/>
                <w:color w:val="auto"/>
              </w:rPr>
            </w:pPr>
          </w:p>
        </w:tc>
      </w:tr>
      <w:tr>
        <w:trPr>
          <w:trHeight w:val="996"/>
        </w:trPr>
        <w:tc>
          <w:tcPr>
            <w:tcW w:w="9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141" w:name="page142"/>
    <w:bookmarkEnd w:id="141"/>
    <w:p>
      <w:pPr>
        <w:ind w:left="556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as Issuing Bank and as a Lender:</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240" w:type="dxa"/>
            <w:vAlign w:val="bottom"/>
          </w:tcPr>
          <w:p>
            <w:pPr>
              <w:ind w:left="5560"/>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Diego E Nunes</w:t>
            </w:r>
          </w:p>
        </w:tc>
        <w:tc>
          <w:tcPr>
            <w:tcW w:w="20" w:type="dxa"/>
            <w:vAlign w:val="bottom"/>
          </w:tcPr>
          <w:p>
            <w:pPr>
              <w:spacing w:after="0"/>
              <w:rPr>
                <w:sz w:val="23"/>
                <w:szCs w:val="23"/>
                <w:color w:val="auto"/>
              </w:rPr>
            </w:pPr>
          </w:p>
        </w:tc>
      </w:tr>
      <w:tr>
        <w:trPr>
          <w:trHeight w:val="215"/>
        </w:trPr>
        <w:tc>
          <w:tcPr>
            <w:tcW w:w="6240" w:type="dxa"/>
            <w:vAlign w:val="bottom"/>
          </w:tcPr>
          <w:p>
            <w:pPr>
              <w:spacing w:after="0"/>
              <w:rPr>
                <w:sz w:val="18"/>
                <w:szCs w:val="18"/>
                <w:color w:val="auto"/>
              </w:rPr>
            </w:pPr>
          </w:p>
        </w:tc>
        <w:tc>
          <w:tcPr>
            <w:tcW w:w="5180" w:type="dxa"/>
            <w:vAlign w:val="bottom"/>
          </w:tcPr>
          <w:p>
            <w:pPr>
              <w:spacing w:after="0" w:line="216" w:lineRule="exact"/>
              <w:rPr>
                <w:sz w:val="20"/>
                <w:szCs w:val="20"/>
                <w:color w:val="auto"/>
              </w:rPr>
            </w:pPr>
            <w:r>
              <w:rPr>
                <w:rFonts w:ascii="Arial" w:cs="Arial" w:eastAsia="Arial" w:hAnsi="Arial"/>
                <w:sz w:val="22"/>
                <w:szCs w:val="22"/>
                <w:color w:val="auto"/>
              </w:rPr>
              <w:t>Name: Diego E Nunes</w:t>
            </w:r>
          </w:p>
        </w:tc>
        <w:tc>
          <w:tcPr>
            <w:tcW w:w="20" w:type="dxa"/>
            <w:vAlign w:val="bottom"/>
          </w:tcPr>
          <w:p>
            <w:pPr>
              <w:spacing w:after="0"/>
              <w:rPr>
                <w:sz w:val="18"/>
                <w:szCs w:val="18"/>
                <w:color w:val="auto"/>
              </w:rPr>
            </w:pPr>
          </w:p>
        </w:tc>
      </w:tr>
      <w:tr>
        <w:trPr>
          <w:trHeight w:val="243"/>
        </w:trPr>
        <w:tc>
          <w:tcPr>
            <w:tcW w:w="6240" w:type="dxa"/>
            <w:vAlign w:val="bottom"/>
          </w:tcPr>
          <w:p>
            <w:pPr>
              <w:spacing w:after="0"/>
              <w:rPr>
                <w:sz w:val="21"/>
                <w:szCs w:val="21"/>
                <w:color w:val="auto"/>
              </w:rPr>
            </w:pPr>
          </w:p>
        </w:tc>
        <w:tc>
          <w:tcPr>
            <w:tcW w:w="5180" w:type="dxa"/>
            <w:vAlign w:val="bottom"/>
          </w:tcPr>
          <w:p>
            <w:pPr>
              <w:spacing w:after="0" w:line="243" w:lineRule="exact"/>
              <w:rPr>
                <w:sz w:val="20"/>
                <w:szCs w:val="20"/>
                <w:color w:val="auto"/>
              </w:rPr>
            </w:pPr>
            <w:r>
              <w:rPr>
                <w:rFonts w:ascii="Arial" w:cs="Arial" w:eastAsia="Arial" w:hAnsi="Arial"/>
                <w:sz w:val="22"/>
                <w:szCs w:val="22"/>
                <w:color w:val="auto"/>
              </w:rPr>
              <w:t>Title:  Executive Director</w:t>
            </w:r>
          </w:p>
        </w:tc>
        <w:tc>
          <w:tcPr>
            <w:tcW w:w="20" w:type="dxa"/>
            <w:vAlign w:val="bottom"/>
          </w:tcPr>
          <w:p>
            <w:pPr>
              <w:spacing w:after="0"/>
              <w:rPr>
                <w:sz w:val="21"/>
                <w:szCs w:val="21"/>
                <w:color w:val="auto"/>
              </w:rPr>
            </w:pPr>
          </w:p>
        </w:tc>
      </w:tr>
      <w:tr>
        <w:trPr>
          <w:trHeight w:val="275"/>
        </w:trPr>
        <w:tc>
          <w:tcPr>
            <w:tcW w:w="6240" w:type="dxa"/>
            <w:vAlign w:val="bottom"/>
          </w:tcPr>
          <w:p>
            <w:pPr>
              <w:spacing w:after="0"/>
              <w:rPr>
                <w:sz w:val="23"/>
                <w:szCs w:val="23"/>
                <w:color w:val="auto"/>
              </w:rPr>
            </w:pPr>
          </w:p>
        </w:tc>
        <w:tc>
          <w:tcPr>
            <w:tcW w:w="5180" w:type="dxa"/>
            <w:vAlign w:val="bottom"/>
          </w:tcPr>
          <w:p>
            <w:pPr>
              <w:ind w:left="800"/>
              <w:spacing w:after="0"/>
              <w:rPr>
                <w:sz w:val="20"/>
                <w:szCs w:val="20"/>
                <w:color w:val="auto"/>
              </w:rPr>
            </w:pPr>
            <w:r>
              <w:rPr>
                <w:rFonts w:ascii="Arial" w:cs="Arial" w:eastAsia="Arial" w:hAnsi="Arial"/>
                <w:sz w:val="22"/>
                <w:szCs w:val="22"/>
                <w:color w:val="auto"/>
              </w:rPr>
              <w:t>J.P. Morgan</w:t>
            </w:r>
          </w:p>
        </w:tc>
        <w:tc>
          <w:tcPr>
            <w:tcW w:w="20" w:type="dxa"/>
            <w:vAlign w:val="bottom"/>
          </w:tcPr>
          <w:p>
            <w:pPr>
              <w:spacing w:after="0"/>
              <w:rPr>
                <w:sz w:val="23"/>
                <w:szCs w:val="23"/>
                <w:color w:val="auto"/>
              </w:rPr>
            </w:pPr>
          </w:p>
        </w:tc>
      </w:tr>
      <w:tr>
        <w:trPr>
          <w:trHeight w:val="996"/>
        </w:trPr>
        <w:tc>
          <w:tcPr>
            <w:tcW w:w="62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42" w:name="page143"/>
    <w:bookmarkEnd w:id="142"/>
    <w:p>
      <w:pPr>
        <w:ind w:left="4360"/>
        <w:spacing w:after="0"/>
        <w:rPr>
          <w:sz w:val="20"/>
          <w:szCs w:val="20"/>
          <w:color w:val="auto"/>
        </w:rPr>
      </w:pPr>
      <w:r>
        <w:rPr>
          <w:rFonts w:ascii="Arial" w:cs="Arial" w:eastAsia="Arial" w:hAnsi="Arial"/>
          <w:sz w:val="19"/>
          <w:szCs w:val="19"/>
          <w:color w:val="auto"/>
        </w:rPr>
        <w:t>MUFG UNION BANK, N.A., as a Lender</w:t>
      </w:r>
    </w:p>
    <w:p>
      <w:pPr>
        <w:spacing w:after="0" w:line="200" w:lineRule="exact"/>
        <w:rPr>
          <w:sz w:val="20"/>
          <w:szCs w:val="20"/>
          <w:color w:val="auto"/>
        </w:rPr>
      </w:pPr>
    </w:p>
    <w:p>
      <w:pPr>
        <w:spacing w:after="0" w:line="25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Jeanne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Jeanne Horn</w:t>
      </w:r>
    </w:p>
    <w:p>
      <w:pPr>
        <w:ind w:left="504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617855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3" w:name="page144"/>
    <w:bookmarkEnd w:id="143"/>
    <w:p>
      <w:pPr>
        <w:ind w:left="4360"/>
        <w:spacing w:after="0"/>
        <w:rPr>
          <w:sz w:val="20"/>
          <w:szCs w:val="20"/>
          <w:color w:val="auto"/>
        </w:rPr>
      </w:pPr>
      <w:r>
        <w:rPr>
          <w:rFonts w:ascii="Arial" w:cs="Arial" w:eastAsia="Arial" w:hAnsi="Arial"/>
          <w:sz w:val="19"/>
          <w:szCs w:val="19"/>
          <w:color w:val="auto"/>
        </w:rPr>
        <w:t>STATE STREET BANK AND TRUST COMPANY, as a Lender</w:t>
      </w:r>
    </w:p>
    <w:p>
      <w:pPr>
        <w:spacing w:after="0" w:line="200" w:lineRule="exact"/>
        <w:rPr>
          <w:sz w:val="20"/>
          <w:szCs w:val="20"/>
          <w:color w:val="auto"/>
        </w:rPr>
      </w:pPr>
    </w:p>
    <w:p>
      <w:pPr>
        <w:spacing w:after="0" w:line="25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John Doherty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John Doherty</w:t>
      </w:r>
    </w:p>
    <w:p>
      <w:pPr>
        <w:ind w:left="504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617855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960"/>
          </w:cols>
          <w:pgMar w:left="1440" w:top="577" w:right="499" w:bottom="1440" w:gutter="0" w:footer="0" w:header="0"/>
        </w:sectPr>
      </w:pPr>
    </w:p>
    <w:bookmarkStart w:id="144" w:name="page145"/>
    <w:bookmarkEnd w:id="144"/>
    <w:p>
      <w:pPr>
        <w:ind w:left="4360"/>
        <w:spacing w:after="0"/>
        <w:rPr>
          <w:sz w:val="20"/>
          <w:szCs w:val="20"/>
          <w:color w:val="auto"/>
        </w:rPr>
      </w:pPr>
      <w:r>
        <w:rPr>
          <w:rFonts w:ascii="Arial" w:cs="Arial" w:eastAsia="Arial" w:hAnsi="Arial"/>
          <w:sz w:val="19"/>
          <w:szCs w:val="19"/>
          <w:color w:val="auto"/>
        </w:rPr>
        <w:t>Bank of America, N.A., as a Lender</w:t>
      </w:r>
    </w:p>
    <w:p>
      <w:pPr>
        <w:spacing w:after="0" w:line="200" w:lineRule="exact"/>
        <w:rPr>
          <w:sz w:val="20"/>
          <w:szCs w:val="20"/>
          <w:color w:val="auto"/>
        </w:rPr>
      </w:pPr>
    </w:p>
    <w:p>
      <w:pPr>
        <w:spacing w:after="0" w:line="25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Hema Kishnani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Hema Kishnani</w:t>
      </w:r>
    </w:p>
    <w:p>
      <w:pPr>
        <w:ind w:left="504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617855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5" w:name="page146"/>
    <w:bookmarkEnd w:id="145"/>
    <w:p>
      <w:pPr>
        <w:ind w:left="4360"/>
        <w:spacing w:after="0"/>
        <w:rPr>
          <w:sz w:val="20"/>
          <w:szCs w:val="20"/>
          <w:color w:val="auto"/>
        </w:rPr>
      </w:pPr>
      <w:r>
        <w:rPr>
          <w:rFonts w:ascii="Arial" w:cs="Arial" w:eastAsia="Arial" w:hAnsi="Arial"/>
          <w:sz w:val="19"/>
          <w:szCs w:val="19"/>
          <w:color w:val="auto"/>
        </w:rPr>
        <w:t>Sumitomo Mitsui Banking Corporation, as a Lender</w:t>
      </w:r>
    </w:p>
    <w:p>
      <w:pPr>
        <w:spacing w:after="0" w:line="200" w:lineRule="exact"/>
        <w:rPr>
          <w:sz w:val="20"/>
          <w:szCs w:val="20"/>
          <w:color w:val="auto"/>
        </w:rPr>
      </w:pPr>
    </w:p>
    <w:p>
      <w:pPr>
        <w:spacing w:after="0" w:line="25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Shane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Shane Klein</w:t>
      </w:r>
    </w:p>
    <w:p>
      <w:pPr>
        <w:ind w:left="504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617855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6" w:name="page147"/>
    <w:bookmarkEnd w:id="146"/>
    <w:p>
      <w:pPr>
        <w:ind w:left="4360"/>
        <w:spacing w:after="0" w:line="274" w:lineRule="auto"/>
        <w:rPr>
          <w:sz w:val="20"/>
          <w:szCs w:val="20"/>
          <w:color w:val="auto"/>
        </w:rPr>
      </w:pPr>
      <w:r>
        <w:rPr>
          <w:rFonts w:ascii="Arial" w:cs="Arial" w:eastAsia="Arial" w:hAnsi="Arial"/>
          <w:sz w:val="21"/>
          <w:szCs w:val="21"/>
          <w:color w:val="auto"/>
        </w:rPr>
        <w:t>INDUSTRIAL AND COMMERCIAL BANK OF CHINA LIMITED, NEW YORK BRANCH, as a Lender</w:t>
      </w:r>
    </w:p>
    <w:p>
      <w:pPr>
        <w:spacing w:after="0" w:line="36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Zhuoyi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Zhuoyi Fan</w:t>
      </w:r>
    </w:p>
    <w:p>
      <w:pPr>
        <w:ind w:left="50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Dan 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Dan Dai</w:t>
      </w:r>
    </w:p>
    <w:p>
      <w:pPr>
        <w:ind w:left="5040"/>
        <w:spacing w:after="0"/>
        <w:rPr>
          <w:sz w:val="20"/>
          <w:szCs w:val="20"/>
          <w:color w:val="auto"/>
        </w:rPr>
      </w:pPr>
      <w:r>
        <w:rPr>
          <w:rFonts w:ascii="Arial" w:cs="Arial" w:eastAsia="Arial" w:hAnsi="Arial"/>
          <w:sz w:val="22"/>
          <w:szCs w:val="22"/>
          <w:color w:val="auto"/>
        </w:rPr>
        <w:t>Title: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617855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440"/>
          </w:cols>
          <w:pgMar w:left="1440" w:top="577" w:right="1019" w:bottom="1440" w:gutter="0" w:footer="0" w:header="0"/>
        </w:sectPr>
      </w:pPr>
    </w:p>
    <w:bookmarkStart w:id="147" w:name="page148"/>
    <w:bookmarkEnd w:id="147"/>
    <w:p>
      <w:pPr>
        <w:ind w:left="4360"/>
        <w:spacing w:after="0"/>
        <w:rPr>
          <w:sz w:val="20"/>
          <w:szCs w:val="20"/>
          <w:color w:val="auto"/>
        </w:rPr>
      </w:pPr>
      <w:r>
        <w:rPr>
          <w:rFonts w:ascii="Arial" w:cs="Arial" w:eastAsia="Arial" w:hAnsi="Arial"/>
          <w:sz w:val="19"/>
          <w:szCs w:val="19"/>
          <w:color w:val="auto"/>
        </w:rPr>
        <w:t>MIZUHO BANK, LTD., as a Lender</w:t>
      </w:r>
    </w:p>
    <w:p>
      <w:pPr>
        <w:spacing w:after="0" w:line="200" w:lineRule="exact"/>
        <w:rPr>
          <w:sz w:val="20"/>
          <w:szCs w:val="20"/>
          <w:color w:val="auto"/>
        </w:rPr>
      </w:pPr>
    </w:p>
    <w:p>
      <w:pPr>
        <w:spacing w:after="0" w:line="25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Donna DeMagistris</w:t>
      </w:r>
    </w:p>
    <w:p>
      <w:pPr>
        <w:spacing w:after="0" w:line="2"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639445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8" w:name="page149"/>
    <w:bookmarkEnd w:id="148"/>
    <w:p>
      <w:pPr>
        <w:ind w:left="4360"/>
        <w:spacing w:after="0"/>
        <w:rPr>
          <w:sz w:val="20"/>
          <w:szCs w:val="20"/>
          <w:color w:val="auto"/>
        </w:rPr>
      </w:pPr>
      <w:r>
        <w:rPr>
          <w:rFonts w:ascii="Arial" w:cs="Arial" w:eastAsia="Arial" w:hAnsi="Arial"/>
          <w:sz w:val="21"/>
          <w:szCs w:val="21"/>
          <w:color w:val="auto"/>
        </w:rPr>
        <w:t>Santander Bank, NA, as a Lender</w:t>
      </w:r>
    </w:p>
    <w:p>
      <w:pPr>
        <w:spacing w:after="0" w:line="200" w:lineRule="exact"/>
        <w:rPr>
          <w:sz w:val="20"/>
          <w:szCs w:val="20"/>
          <w:color w:val="auto"/>
        </w:rPr>
      </w:pPr>
    </w:p>
    <w:p>
      <w:pPr>
        <w:spacing w:after="0" w:line="234"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Keith Holler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Keith Holler</w:t>
      </w:r>
    </w:p>
    <w:p>
      <w:pPr>
        <w:jc w:val="right"/>
        <w:ind w:right="1499"/>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Santander Bank, NA, as a Lender</w:t>
      </w:r>
    </w:p>
    <w:p>
      <w:pPr>
        <w:spacing w:after="0" w:line="200" w:lineRule="exact"/>
        <w:rPr>
          <w:sz w:val="20"/>
          <w:szCs w:val="20"/>
          <w:color w:val="auto"/>
        </w:rPr>
      </w:pPr>
    </w:p>
    <w:p>
      <w:pPr>
        <w:spacing w:after="0" w:line="234"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Mark Metsky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Mark Metsky</w:t>
      </w:r>
    </w:p>
    <w:p>
      <w:pPr>
        <w:ind w:left="5040"/>
        <w:spacing w:after="0"/>
        <w:rPr>
          <w:sz w:val="20"/>
          <w:szCs w:val="20"/>
          <w:color w:val="auto"/>
        </w:rPr>
      </w:pPr>
      <w:r>
        <w:rPr>
          <w:rFonts w:ascii="Arial" w:cs="Arial" w:eastAsia="Arial" w:hAnsi="Arial"/>
          <w:sz w:val="19"/>
          <w:szCs w:val="19"/>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639445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49" w:name="page150"/>
    <w:bookmarkEnd w:id="149"/>
    <w:p>
      <w:pPr>
        <w:ind w:left="4360"/>
        <w:spacing w:after="0"/>
        <w:rPr>
          <w:sz w:val="20"/>
          <w:szCs w:val="20"/>
          <w:color w:val="auto"/>
        </w:rPr>
      </w:pPr>
      <w:r>
        <w:rPr>
          <w:rFonts w:ascii="Arial" w:cs="Arial" w:eastAsia="Arial" w:hAnsi="Arial"/>
          <w:sz w:val="19"/>
          <w:szCs w:val="19"/>
          <w:color w:val="auto"/>
        </w:rPr>
        <w:t>HSBC Bank USA, N.A. as a Lender</w:t>
      </w:r>
    </w:p>
    <w:p>
      <w:pPr>
        <w:spacing w:after="0" w:line="200" w:lineRule="exact"/>
        <w:rPr>
          <w:sz w:val="20"/>
          <w:szCs w:val="20"/>
          <w:color w:val="auto"/>
        </w:rPr>
      </w:pPr>
    </w:p>
    <w:p>
      <w:pPr>
        <w:spacing w:after="0" w:line="25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Myles Bae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Myles Bae</w:t>
      </w:r>
    </w:p>
    <w:p>
      <w:pPr>
        <w:jc w:val="right"/>
        <w:ind w:right="1499"/>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617855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0" w:name="page151"/>
    <w:bookmarkEnd w:id="150"/>
    <w:p>
      <w:pPr>
        <w:ind w:left="4360"/>
        <w:spacing w:after="0"/>
        <w:rPr>
          <w:sz w:val="20"/>
          <w:szCs w:val="20"/>
          <w:color w:val="auto"/>
        </w:rPr>
      </w:pPr>
      <w:r>
        <w:rPr>
          <w:rFonts w:ascii="Arial" w:cs="Arial" w:eastAsia="Arial" w:hAnsi="Arial"/>
          <w:sz w:val="21"/>
          <w:szCs w:val="21"/>
          <w:color w:val="auto"/>
        </w:rPr>
        <w:t>Citibank, N.A., as a Lender</w:t>
      </w:r>
    </w:p>
    <w:p>
      <w:pPr>
        <w:spacing w:after="0" w:line="200" w:lineRule="exact"/>
        <w:rPr>
          <w:sz w:val="20"/>
          <w:szCs w:val="20"/>
          <w:color w:val="auto"/>
        </w:rPr>
      </w:pPr>
    </w:p>
    <w:p>
      <w:pPr>
        <w:spacing w:after="0" w:line="234"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Eros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Name: Eros Marshall</w:t>
      </w:r>
    </w:p>
    <w:p>
      <w:pPr>
        <w:spacing w:after="0" w:line="25"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639445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1" w:name="page152"/>
    <w:bookmarkEnd w:id="151"/>
    <w:p>
      <w:pPr>
        <w:ind w:left="4360"/>
        <w:spacing w:after="0"/>
        <w:rPr>
          <w:sz w:val="20"/>
          <w:szCs w:val="20"/>
          <w:color w:val="auto"/>
        </w:rPr>
      </w:pPr>
      <w:r>
        <w:rPr>
          <w:rFonts w:ascii="Arial" w:cs="Arial" w:eastAsia="Arial" w:hAnsi="Arial"/>
          <w:sz w:val="19"/>
          <w:szCs w:val="19"/>
          <w:color w:val="auto"/>
        </w:rPr>
        <w:t>CIT FINANCE LLC, as a Lender</w:t>
      </w:r>
    </w:p>
    <w:p>
      <w:pPr>
        <w:spacing w:after="0" w:line="200" w:lineRule="exact"/>
        <w:rPr>
          <w:sz w:val="20"/>
          <w:szCs w:val="20"/>
          <w:color w:val="auto"/>
        </w:rPr>
      </w:pPr>
    </w:p>
    <w:p>
      <w:pPr>
        <w:spacing w:after="0" w:line="25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Robert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Robert Klein</w:t>
      </w:r>
    </w:p>
    <w:p>
      <w:pPr>
        <w:ind w:left="504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617855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2" w:name="page153"/>
    <w:bookmarkEnd w:id="152"/>
    <w:p>
      <w:pPr>
        <w:ind w:left="4360"/>
        <w:spacing w:after="0"/>
        <w:rPr>
          <w:sz w:val="20"/>
          <w:szCs w:val="20"/>
          <w:color w:val="auto"/>
        </w:rPr>
      </w:pPr>
      <w:r>
        <w:rPr>
          <w:rFonts w:ascii="Arial" w:cs="Arial" w:eastAsia="Arial" w:hAnsi="Arial"/>
          <w:sz w:val="19"/>
          <w:szCs w:val="19"/>
          <w:color w:val="auto"/>
        </w:rPr>
        <w:t>GOLDMAN SACHS BANK USA, as a Lender</w:t>
      </w:r>
    </w:p>
    <w:p>
      <w:pPr>
        <w:spacing w:after="0" w:line="200" w:lineRule="exact"/>
        <w:rPr>
          <w:sz w:val="20"/>
          <w:szCs w:val="20"/>
          <w:color w:val="auto"/>
        </w:rPr>
      </w:pPr>
    </w:p>
    <w:p>
      <w:pPr>
        <w:spacing w:after="0" w:line="25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Ryan Durkin</w:t>
      </w:r>
    </w:p>
    <w:p>
      <w:pPr>
        <w:ind w:left="5040"/>
        <w:spacing w:after="0"/>
        <w:rPr>
          <w:sz w:val="20"/>
          <w:szCs w:val="20"/>
          <w:color w:val="auto"/>
        </w:rPr>
      </w:pPr>
      <w:r>
        <w:rPr>
          <w:rFonts w:ascii="Arial" w:cs="Arial" w:eastAsia="Arial" w:hAnsi="Arial"/>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617855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3" w:name="page154"/>
    <w:bookmarkEnd w:id="153"/>
    <w:p>
      <w:pPr>
        <w:ind w:left="4360"/>
        <w:spacing w:after="0"/>
        <w:rPr>
          <w:sz w:val="20"/>
          <w:szCs w:val="20"/>
          <w:color w:val="auto"/>
        </w:rPr>
      </w:pPr>
      <w:r>
        <w:rPr>
          <w:rFonts w:ascii="Arial" w:cs="Arial" w:eastAsia="Arial" w:hAnsi="Arial"/>
          <w:sz w:val="19"/>
          <w:szCs w:val="19"/>
          <w:color w:val="auto"/>
        </w:rPr>
        <w:t>MORGAN STANLEY BANK, N.A., as a Lender</w:t>
      </w:r>
    </w:p>
    <w:p>
      <w:pPr>
        <w:spacing w:after="0" w:line="200" w:lineRule="exact"/>
        <w:rPr>
          <w:sz w:val="20"/>
          <w:szCs w:val="20"/>
          <w:color w:val="auto"/>
        </w:rPr>
      </w:pPr>
    </w:p>
    <w:p>
      <w:pPr>
        <w:spacing w:after="0" w:line="25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Alysha Salinger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Alysha Salinger</w:t>
      </w:r>
    </w:p>
    <w:p>
      <w:pPr>
        <w:ind w:left="5040"/>
        <w:spacing w:after="0"/>
        <w:rPr>
          <w:sz w:val="20"/>
          <w:szCs w:val="20"/>
          <w:color w:val="auto"/>
        </w:rPr>
      </w:pPr>
      <w:r>
        <w:rPr>
          <w:rFonts w:ascii="Arial" w:cs="Arial" w:eastAsia="Arial" w:hAnsi="Arial"/>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617855</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78" w:right="1440" w:bottom="1440" w:gutter="0" w:footer="0" w:header="0"/>
        </w:sectPr>
      </w:pPr>
    </w:p>
    <w:bookmarkStart w:id="154" w:name="page155"/>
    <w:bookmarkEnd w:id="154"/>
    <w:p>
      <w:pPr>
        <w:ind w:left="4360"/>
        <w:spacing w:after="0"/>
        <w:rPr>
          <w:sz w:val="20"/>
          <w:szCs w:val="20"/>
          <w:color w:val="auto"/>
        </w:rPr>
      </w:pPr>
      <w:r>
        <w:rPr>
          <w:rFonts w:ascii="Arial" w:cs="Arial" w:eastAsia="Arial" w:hAnsi="Arial"/>
          <w:sz w:val="22"/>
          <w:szCs w:val="22"/>
          <w:color w:val="auto"/>
        </w:rPr>
        <w:t>Bank United, N.A., as a Lender</w:t>
      </w:r>
    </w:p>
    <w:p>
      <w:pPr>
        <w:spacing w:after="0" w:line="200" w:lineRule="exact"/>
        <w:rPr>
          <w:sz w:val="20"/>
          <w:szCs w:val="20"/>
          <w:color w:val="auto"/>
        </w:rPr>
      </w:pPr>
    </w:p>
    <w:p>
      <w:pPr>
        <w:spacing w:after="0" w:line="222"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Heather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Heather Mitchell</w:t>
      </w:r>
    </w:p>
    <w:p>
      <w:pPr>
        <w:ind w:left="5040"/>
        <w:spacing w:after="0"/>
        <w:rPr>
          <w:sz w:val="20"/>
          <w:szCs w:val="20"/>
          <w:color w:val="auto"/>
        </w:rPr>
      </w:pPr>
      <w:r>
        <w:rPr>
          <w:rFonts w:ascii="Arial" w:cs="Arial" w:eastAsia="Arial" w:hAnsi="Arial"/>
          <w:sz w:val="19"/>
          <w:szCs w:val="19"/>
          <w:color w:val="auto"/>
        </w:rPr>
        <w:t>Title:  VP, Portfolio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639445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5" w:name="page156"/>
    <w:bookmarkEnd w:id="155"/>
    <w:p>
      <w:pPr>
        <w:ind w:left="5560"/>
        <w:spacing w:after="0"/>
        <w:rPr>
          <w:sz w:val="20"/>
          <w:szCs w:val="20"/>
          <w:color w:val="auto"/>
        </w:rPr>
      </w:pPr>
      <w:r>
        <w:rPr>
          <w:rFonts w:ascii="Arial" w:cs="Arial" w:eastAsia="Arial" w:hAnsi="Arial"/>
          <w:sz w:val="22"/>
          <w:szCs w:val="22"/>
          <w:color w:val="auto"/>
        </w:rPr>
        <w:t>ROYAL BANK OF CANADA, as a Lender</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240" w:type="dxa"/>
            <w:vAlign w:val="bottom"/>
          </w:tcPr>
          <w:p>
            <w:pPr>
              <w:ind w:left="5560"/>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Glenn Van Allen</w:t>
            </w:r>
          </w:p>
        </w:tc>
        <w:tc>
          <w:tcPr>
            <w:tcW w:w="20" w:type="dxa"/>
            <w:vAlign w:val="bottom"/>
          </w:tcPr>
          <w:p>
            <w:pPr>
              <w:spacing w:after="0"/>
              <w:rPr>
                <w:sz w:val="23"/>
                <w:szCs w:val="23"/>
                <w:color w:val="auto"/>
              </w:rPr>
            </w:pPr>
          </w:p>
        </w:tc>
      </w:tr>
      <w:tr>
        <w:trPr>
          <w:trHeight w:val="215"/>
        </w:trPr>
        <w:tc>
          <w:tcPr>
            <w:tcW w:w="6240" w:type="dxa"/>
            <w:vAlign w:val="bottom"/>
          </w:tcPr>
          <w:p>
            <w:pPr>
              <w:spacing w:after="0"/>
              <w:rPr>
                <w:sz w:val="18"/>
                <w:szCs w:val="18"/>
                <w:color w:val="auto"/>
              </w:rPr>
            </w:pPr>
          </w:p>
        </w:tc>
        <w:tc>
          <w:tcPr>
            <w:tcW w:w="5180" w:type="dxa"/>
            <w:vAlign w:val="bottom"/>
          </w:tcPr>
          <w:p>
            <w:pPr>
              <w:spacing w:after="0" w:line="216" w:lineRule="exact"/>
              <w:rPr>
                <w:sz w:val="20"/>
                <w:szCs w:val="20"/>
                <w:color w:val="auto"/>
              </w:rPr>
            </w:pPr>
            <w:r>
              <w:rPr>
                <w:rFonts w:ascii="Arial" w:cs="Arial" w:eastAsia="Arial" w:hAnsi="Arial"/>
                <w:sz w:val="22"/>
                <w:szCs w:val="22"/>
                <w:color w:val="auto"/>
              </w:rPr>
              <w:t>Name: Glenn Van Allen</w:t>
            </w:r>
          </w:p>
        </w:tc>
        <w:tc>
          <w:tcPr>
            <w:tcW w:w="20" w:type="dxa"/>
            <w:vAlign w:val="bottom"/>
          </w:tcPr>
          <w:p>
            <w:pPr>
              <w:spacing w:after="0"/>
              <w:rPr>
                <w:sz w:val="18"/>
                <w:szCs w:val="18"/>
                <w:color w:val="auto"/>
              </w:rPr>
            </w:pPr>
          </w:p>
        </w:tc>
      </w:tr>
      <w:tr>
        <w:trPr>
          <w:trHeight w:val="275"/>
        </w:trPr>
        <w:tc>
          <w:tcPr>
            <w:tcW w:w="624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22"/>
                <w:szCs w:val="22"/>
                <w:color w:val="auto"/>
              </w:rPr>
              <w:t>Title:  Authorized Signatory</w:t>
            </w:r>
          </w:p>
        </w:tc>
        <w:tc>
          <w:tcPr>
            <w:tcW w:w="20" w:type="dxa"/>
            <w:vAlign w:val="bottom"/>
          </w:tcPr>
          <w:p>
            <w:pPr>
              <w:spacing w:after="0"/>
              <w:rPr>
                <w:sz w:val="23"/>
                <w:szCs w:val="23"/>
                <w:color w:val="auto"/>
              </w:rPr>
            </w:pPr>
          </w:p>
        </w:tc>
      </w:tr>
      <w:tr>
        <w:trPr>
          <w:trHeight w:val="996"/>
        </w:trPr>
        <w:tc>
          <w:tcPr>
            <w:tcW w:w="62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56" w:name="page157"/>
    <w:bookmarkEnd w:id="156"/>
    <w:p>
      <w:pPr>
        <w:ind w:left="4360"/>
        <w:spacing w:after="0"/>
        <w:rPr>
          <w:sz w:val="20"/>
          <w:szCs w:val="20"/>
          <w:color w:val="auto"/>
        </w:rPr>
      </w:pPr>
      <w:r>
        <w:rPr>
          <w:rFonts w:ascii="Arial" w:cs="Arial" w:eastAsia="Arial" w:hAnsi="Arial"/>
          <w:sz w:val="22"/>
          <w:szCs w:val="22"/>
          <w:color w:val="auto"/>
        </w:rPr>
        <w:t>Signature Bank, as a Lender</w:t>
      </w:r>
    </w:p>
    <w:p>
      <w:pPr>
        <w:spacing w:after="0" w:line="200" w:lineRule="exact"/>
        <w:rPr>
          <w:sz w:val="20"/>
          <w:szCs w:val="20"/>
          <w:color w:val="auto"/>
        </w:rPr>
      </w:pPr>
    </w:p>
    <w:p>
      <w:pPr>
        <w:spacing w:after="0" w:line="222"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Charles W.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 xml:space="preserve">Name: </w:t>
      </w:r>
      <w:r>
        <w:rPr>
          <w:rFonts w:ascii="Arial" w:cs="Arial" w:eastAsia="Arial" w:hAnsi="Arial"/>
          <w:sz w:val="19"/>
          <w:szCs w:val="19"/>
          <w:color w:val="181817"/>
        </w:rPr>
        <w:t>Charles W. Newcomb</w:t>
      </w:r>
    </w:p>
    <w:p>
      <w:pPr>
        <w:spacing w:after="0" w:line="25"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color w:val="181817"/>
        </w:rPr>
        <w:t>Managing Director</w:t>
      </w:r>
    </w:p>
    <w:p>
      <w:pPr>
        <w:spacing w:after="0" w:line="200" w:lineRule="exact"/>
        <w:rPr>
          <w:sz w:val="20"/>
          <w:szCs w:val="20"/>
          <w:color w:val="auto"/>
        </w:rPr>
      </w:pPr>
    </w:p>
    <w:p>
      <w:pPr>
        <w:spacing w:after="0" w:line="204"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181817"/>
        </w:rPr>
        <w:t>By:</w:t>
      </w:r>
      <w:r>
        <w:rPr>
          <w:sz w:val="20"/>
          <w:szCs w:val="20"/>
          <w:color w:val="auto"/>
        </w:rPr>
        <w:tab/>
      </w:r>
      <w:r>
        <w:rPr>
          <w:rFonts w:ascii="Arial" w:cs="Arial" w:eastAsia="Arial" w:hAnsi="Arial"/>
          <w:sz w:val="22"/>
          <w:szCs w:val="22"/>
          <w:color w:val="181817"/>
        </w:rPr>
        <w:t>/s/ Kaylin Searles</w:t>
      </w:r>
    </w:p>
    <w:p>
      <w:pPr>
        <w:ind w:left="5040"/>
        <w:spacing w:after="0" w:line="238" w:lineRule="auto"/>
        <w:rPr>
          <w:sz w:val="20"/>
          <w:szCs w:val="20"/>
          <w:color w:val="auto"/>
        </w:rPr>
      </w:pPr>
      <w:r>
        <w:rPr>
          <w:rFonts w:ascii="Arial" w:cs="Arial" w:eastAsia="Arial" w:hAnsi="Arial"/>
          <w:sz w:val="22"/>
          <w:szCs w:val="22"/>
          <w:color w:val="181817"/>
        </w:rPr>
        <w:t>Name: Kaylin Searles</w:t>
      </w:r>
    </w:p>
    <w:p>
      <w:pPr>
        <w:ind w:left="5040"/>
        <w:spacing w:after="0"/>
        <w:rPr>
          <w:sz w:val="20"/>
          <w:szCs w:val="20"/>
          <w:color w:val="auto"/>
        </w:rPr>
      </w:pPr>
      <w:r>
        <w:rPr>
          <w:rFonts w:ascii="Arial" w:cs="Arial" w:eastAsia="Arial" w:hAnsi="Arial"/>
          <w:sz w:val="22"/>
          <w:szCs w:val="22"/>
          <w:color w:val="181817"/>
        </w:rPr>
        <w:t>Title:  Senior 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617855</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57" w:name="page158"/>
    <w:bookmarkEnd w:id="157"/>
    <w:p>
      <w:pPr>
        <w:ind w:left="5560"/>
        <w:spacing w:after="0"/>
        <w:rPr>
          <w:sz w:val="20"/>
          <w:szCs w:val="20"/>
          <w:color w:val="auto"/>
        </w:rPr>
      </w:pPr>
      <w:r>
        <w:rPr>
          <w:rFonts w:ascii="Arial" w:cs="Arial" w:eastAsia="Arial" w:hAnsi="Arial"/>
          <w:sz w:val="22"/>
          <w:szCs w:val="22"/>
          <w:color w:val="auto"/>
        </w:rPr>
        <w:t>Comerica Bank, as a Lender</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240" w:type="dxa"/>
            <w:vAlign w:val="bottom"/>
          </w:tcPr>
          <w:p>
            <w:pPr>
              <w:ind w:left="5560"/>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Collin Butler</w:t>
            </w:r>
          </w:p>
        </w:tc>
        <w:tc>
          <w:tcPr>
            <w:tcW w:w="20" w:type="dxa"/>
            <w:vAlign w:val="bottom"/>
          </w:tcPr>
          <w:p>
            <w:pPr>
              <w:spacing w:after="0"/>
              <w:rPr>
                <w:sz w:val="23"/>
                <w:szCs w:val="23"/>
                <w:color w:val="auto"/>
              </w:rPr>
            </w:pPr>
          </w:p>
        </w:tc>
      </w:tr>
      <w:tr>
        <w:trPr>
          <w:trHeight w:val="215"/>
        </w:trPr>
        <w:tc>
          <w:tcPr>
            <w:tcW w:w="6240" w:type="dxa"/>
            <w:vAlign w:val="bottom"/>
          </w:tcPr>
          <w:p>
            <w:pPr>
              <w:spacing w:after="0"/>
              <w:rPr>
                <w:sz w:val="18"/>
                <w:szCs w:val="18"/>
                <w:color w:val="auto"/>
              </w:rPr>
            </w:pPr>
          </w:p>
        </w:tc>
        <w:tc>
          <w:tcPr>
            <w:tcW w:w="5180" w:type="dxa"/>
            <w:vAlign w:val="bottom"/>
          </w:tcPr>
          <w:p>
            <w:pPr>
              <w:spacing w:after="0" w:line="216" w:lineRule="exact"/>
              <w:rPr>
                <w:sz w:val="20"/>
                <w:szCs w:val="20"/>
                <w:color w:val="auto"/>
              </w:rPr>
            </w:pPr>
            <w:r>
              <w:rPr>
                <w:rFonts w:ascii="Arial" w:cs="Arial" w:eastAsia="Arial" w:hAnsi="Arial"/>
                <w:sz w:val="22"/>
                <w:szCs w:val="22"/>
                <w:color w:val="auto"/>
              </w:rPr>
              <w:t>Name: Collin Butler</w:t>
            </w:r>
          </w:p>
        </w:tc>
        <w:tc>
          <w:tcPr>
            <w:tcW w:w="20" w:type="dxa"/>
            <w:vAlign w:val="bottom"/>
          </w:tcPr>
          <w:p>
            <w:pPr>
              <w:spacing w:after="0"/>
              <w:rPr>
                <w:sz w:val="18"/>
                <w:szCs w:val="18"/>
                <w:color w:val="auto"/>
              </w:rPr>
            </w:pPr>
          </w:p>
        </w:tc>
      </w:tr>
      <w:tr>
        <w:trPr>
          <w:trHeight w:val="275"/>
        </w:trPr>
        <w:tc>
          <w:tcPr>
            <w:tcW w:w="624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22"/>
                <w:szCs w:val="22"/>
                <w:color w:val="auto"/>
              </w:rPr>
              <w:t>Title:  Portfolio Manager</w:t>
            </w:r>
          </w:p>
        </w:tc>
        <w:tc>
          <w:tcPr>
            <w:tcW w:w="20" w:type="dxa"/>
            <w:vAlign w:val="bottom"/>
          </w:tcPr>
          <w:p>
            <w:pPr>
              <w:spacing w:after="0"/>
              <w:rPr>
                <w:sz w:val="23"/>
                <w:szCs w:val="23"/>
                <w:color w:val="auto"/>
              </w:rPr>
            </w:pPr>
          </w:p>
        </w:tc>
      </w:tr>
      <w:tr>
        <w:trPr>
          <w:trHeight w:val="996"/>
        </w:trPr>
        <w:tc>
          <w:tcPr>
            <w:tcW w:w="62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58" w:name="page159"/>
    <w:bookmarkEnd w:id="158"/>
    <w:p>
      <w:pPr>
        <w:ind w:left="5560"/>
        <w:spacing w:after="0"/>
        <w:rPr>
          <w:sz w:val="20"/>
          <w:szCs w:val="20"/>
          <w:color w:val="auto"/>
        </w:rPr>
      </w:pPr>
      <w:r>
        <w:rPr>
          <w:rFonts w:ascii="Arial" w:cs="Arial" w:eastAsia="Arial" w:hAnsi="Arial"/>
          <w:sz w:val="22"/>
          <w:szCs w:val="22"/>
          <w:color w:val="auto"/>
        </w:rPr>
        <w:t>Stifel Bank &amp; Trust, as a Lender</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240" w:type="dxa"/>
            <w:vAlign w:val="bottom"/>
          </w:tcPr>
          <w:p>
            <w:pPr>
              <w:ind w:left="5560"/>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Joseph L. Sooter, Jr.</w:t>
            </w:r>
          </w:p>
        </w:tc>
        <w:tc>
          <w:tcPr>
            <w:tcW w:w="20" w:type="dxa"/>
            <w:vAlign w:val="bottom"/>
          </w:tcPr>
          <w:p>
            <w:pPr>
              <w:spacing w:after="0"/>
              <w:rPr>
                <w:sz w:val="23"/>
                <w:szCs w:val="23"/>
                <w:color w:val="auto"/>
              </w:rPr>
            </w:pPr>
          </w:p>
        </w:tc>
      </w:tr>
      <w:tr>
        <w:trPr>
          <w:trHeight w:val="215"/>
        </w:trPr>
        <w:tc>
          <w:tcPr>
            <w:tcW w:w="6240" w:type="dxa"/>
            <w:vAlign w:val="bottom"/>
          </w:tcPr>
          <w:p>
            <w:pPr>
              <w:spacing w:after="0"/>
              <w:rPr>
                <w:sz w:val="18"/>
                <w:szCs w:val="18"/>
                <w:color w:val="auto"/>
              </w:rPr>
            </w:pPr>
          </w:p>
        </w:tc>
        <w:tc>
          <w:tcPr>
            <w:tcW w:w="5180" w:type="dxa"/>
            <w:vAlign w:val="bottom"/>
          </w:tcPr>
          <w:p>
            <w:pPr>
              <w:spacing w:after="0" w:line="216" w:lineRule="exact"/>
              <w:rPr>
                <w:sz w:val="20"/>
                <w:szCs w:val="20"/>
                <w:color w:val="auto"/>
              </w:rPr>
            </w:pPr>
            <w:r>
              <w:rPr>
                <w:rFonts w:ascii="Arial" w:cs="Arial" w:eastAsia="Arial" w:hAnsi="Arial"/>
                <w:sz w:val="22"/>
                <w:szCs w:val="22"/>
                <w:color w:val="auto"/>
              </w:rPr>
              <w:t>Name: Joseph L. Sooter, Jr.</w:t>
            </w:r>
          </w:p>
        </w:tc>
        <w:tc>
          <w:tcPr>
            <w:tcW w:w="20" w:type="dxa"/>
            <w:vAlign w:val="bottom"/>
          </w:tcPr>
          <w:p>
            <w:pPr>
              <w:spacing w:after="0"/>
              <w:rPr>
                <w:sz w:val="18"/>
                <w:szCs w:val="18"/>
                <w:color w:val="auto"/>
              </w:rPr>
            </w:pPr>
          </w:p>
        </w:tc>
      </w:tr>
      <w:tr>
        <w:trPr>
          <w:trHeight w:val="275"/>
        </w:trPr>
        <w:tc>
          <w:tcPr>
            <w:tcW w:w="624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22"/>
                <w:szCs w:val="22"/>
                <w:color w:val="auto"/>
              </w:rPr>
              <w:t>Title:  Senior Vice President</w:t>
            </w:r>
          </w:p>
        </w:tc>
        <w:tc>
          <w:tcPr>
            <w:tcW w:w="20" w:type="dxa"/>
            <w:vAlign w:val="bottom"/>
          </w:tcPr>
          <w:p>
            <w:pPr>
              <w:spacing w:after="0"/>
              <w:rPr>
                <w:sz w:val="23"/>
                <w:szCs w:val="23"/>
                <w:color w:val="auto"/>
              </w:rPr>
            </w:pPr>
          </w:p>
        </w:tc>
      </w:tr>
      <w:tr>
        <w:trPr>
          <w:trHeight w:val="996"/>
        </w:trPr>
        <w:tc>
          <w:tcPr>
            <w:tcW w:w="62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8" w:right="219" w:bottom="1440" w:gutter="0" w:footer="0" w:header="0"/>
        </w:sectPr>
      </w:pPr>
    </w:p>
    <w:bookmarkStart w:id="159" w:name="page160"/>
    <w:bookmarkEnd w:id="159"/>
    <w:p>
      <w:pPr>
        <w:ind w:left="4360"/>
        <w:spacing w:after="0"/>
        <w:rPr>
          <w:sz w:val="20"/>
          <w:szCs w:val="20"/>
          <w:color w:val="auto"/>
        </w:rPr>
      </w:pPr>
      <w:r>
        <w:rPr>
          <w:rFonts w:ascii="Arial" w:cs="Arial" w:eastAsia="Arial" w:hAnsi="Arial"/>
          <w:sz w:val="19"/>
          <w:szCs w:val="19"/>
          <w:color w:val="auto"/>
        </w:rPr>
        <w:t>City National Bank, NA, as a Lender</w:t>
      </w:r>
    </w:p>
    <w:p>
      <w:pPr>
        <w:spacing w:after="0" w:line="200" w:lineRule="exact"/>
        <w:rPr>
          <w:sz w:val="20"/>
          <w:szCs w:val="20"/>
          <w:color w:val="auto"/>
        </w:rPr>
      </w:pPr>
    </w:p>
    <w:p>
      <w:pPr>
        <w:spacing w:after="0" w:line="25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Brandon Feitelson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Brandon Feitelson</w:t>
      </w:r>
    </w:p>
    <w:p>
      <w:pPr>
        <w:ind w:left="5040"/>
        <w:spacing w:after="0"/>
        <w:rPr>
          <w:sz w:val="20"/>
          <w:szCs w:val="20"/>
          <w:color w:val="auto"/>
        </w:rPr>
      </w:pPr>
      <w:r>
        <w:rPr>
          <w:rFonts w:ascii="Arial" w:cs="Arial" w:eastAsia="Arial" w:hAnsi="Arial"/>
          <w:sz w:val="19"/>
          <w:szCs w:val="19"/>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639445</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160" w:name="page161"/>
    <w:bookmarkEnd w:id="160"/>
    <w:p>
      <w:pPr>
        <w:ind w:left="4360"/>
        <w:spacing w:after="0"/>
        <w:rPr>
          <w:sz w:val="20"/>
          <w:szCs w:val="20"/>
          <w:color w:val="auto"/>
        </w:rPr>
      </w:pPr>
      <w:r>
        <w:rPr>
          <w:rFonts w:ascii="Arial" w:cs="Arial" w:eastAsia="Arial" w:hAnsi="Arial"/>
          <w:sz w:val="19"/>
          <w:szCs w:val="19"/>
          <w:color w:val="auto"/>
        </w:rPr>
        <w:t xml:space="preserve">Agreed and acknowledged solely with respect to </w:t>
      </w:r>
      <w:r>
        <w:rPr>
          <w:rFonts w:ascii="Arial" w:cs="Arial" w:eastAsia="Arial" w:hAnsi="Arial"/>
          <w:sz w:val="19"/>
          <w:szCs w:val="19"/>
          <w:u w:val="single" w:color="auto"/>
          <w:color w:val="auto"/>
        </w:rPr>
        <w:t>Section 5.8</w:t>
      </w:r>
      <w:r>
        <w:rPr>
          <w:rFonts w:ascii="Arial" w:cs="Arial" w:eastAsia="Arial" w:hAnsi="Arial"/>
          <w:sz w:val="19"/>
          <w:szCs w:val="19"/>
          <w:color w:val="auto"/>
        </w:rPr>
        <w:t>.</w:t>
      </w:r>
    </w:p>
    <w:p>
      <w:pPr>
        <w:spacing w:after="0" w:line="200" w:lineRule="exact"/>
        <w:rPr>
          <w:sz w:val="20"/>
          <w:szCs w:val="20"/>
          <w:color w:val="auto"/>
        </w:rPr>
      </w:pPr>
    </w:p>
    <w:p>
      <w:pPr>
        <w:spacing w:after="0" w:line="251"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TC LENDING, LLC</w:t>
      </w:r>
    </w:p>
    <w:p>
      <w:pPr>
        <w:spacing w:after="0" w:line="200" w:lineRule="exact"/>
        <w:rPr>
          <w:sz w:val="20"/>
          <w:szCs w:val="20"/>
          <w:color w:val="auto"/>
        </w:rPr>
      </w:pPr>
    </w:p>
    <w:p>
      <w:pPr>
        <w:spacing w:after="0" w:line="228"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329311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Name: Ian Simmonds</w:t>
      </w:r>
    </w:p>
    <w:p>
      <w:pPr>
        <w:ind w:left="5040"/>
        <w:spacing w:after="0"/>
        <w:rPr>
          <w:sz w:val="20"/>
          <w:szCs w:val="20"/>
          <w:color w:val="auto"/>
        </w:rPr>
      </w:pPr>
      <w:r>
        <w:rPr>
          <w:rFonts w:ascii="Arial" w:cs="Arial" w:eastAsia="Arial" w:hAnsi="Arial"/>
          <w:sz w:val="22"/>
          <w:szCs w:val="22"/>
          <w:color w:val="auto"/>
        </w:rPr>
        <w:t>Title:  Chief Financial Officer</w:t>
      </w:r>
    </w:p>
    <w:p>
      <w:pPr>
        <w:spacing w:after="0" w:line="398"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TSL MR, LLC</w:t>
      </w:r>
    </w:p>
    <w:p>
      <w:pPr>
        <w:spacing w:after="0" w:line="200" w:lineRule="exact"/>
        <w:rPr>
          <w:sz w:val="20"/>
          <w:szCs w:val="20"/>
          <w:color w:val="auto"/>
        </w:rPr>
      </w:pPr>
    </w:p>
    <w:p>
      <w:pPr>
        <w:spacing w:after="0" w:line="228"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Ian Simmonds</w:t>
      </w:r>
    </w:p>
    <w:p>
      <w:pPr>
        <w:ind w:left="5040"/>
        <w:spacing w:after="0" w:line="238" w:lineRule="auto"/>
        <w:rPr>
          <w:sz w:val="20"/>
          <w:szCs w:val="20"/>
          <w:color w:val="auto"/>
        </w:rPr>
      </w:pPr>
      <w:r>
        <w:rPr>
          <w:rFonts w:ascii="Arial" w:cs="Arial" w:eastAsia="Arial" w:hAnsi="Arial"/>
          <w:sz w:val="22"/>
          <w:szCs w:val="22"/>
          <w:color w:val="auto"/>
        </w:rPr>
        <w:t>Name: Ian Simmonds</w:t>
      </w:r>
    </w:p>
    <w:p>
      <w:pPr>
        <w:ind w:left="5040"/>
        <w:spacing w:after="0"/>
        <w:rPr>
          <w:sz w:val="20"/>
          <w:szCs w:val="20"/>
          <w:color w:val="auto"/>
        </w:rPr>
      </w:pPr>
      <w:r>
        <w:rPr>
          <w:rFonts w:ascii="Arial" w:cs="Arial" w:eastAsia="Arial" w:hAnsi="Arial"/>
          <w:sz w:val="22"/>
          <w:szCs w:val="22"/>
          <w:color w:val="auto"/>
        </w:rPr>
        <w:t>Title:  Chief Financial Officer</w:t>
      </w:r>
    </w:p>
    <w:p>
      <w:pPr>
        <w:spacing w:after="0" w:line="398"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TPG SL SPV, LLC</w:t>
      </w:r>
    </w:p>
    <w:p>
      <w:pPr>
        <w:spacing w:after="0" w:line="200" w:lineRule="exact"/>
        <w:rPr>
          <w:sz w:val="20"/>
          <w:szCs w:val="20"/>
          <w:color w:val="auto"/>
        </w:rPr>
      </w:pPr>
    </w:p>
    <w:p>
      <w:pPr>
        <w:spacing w:after="0" w:line="228"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Ian Simmonds</w:t>
      </w:r>
    </w:p>
    <w:p>
      <w:pPr>
        <w:ind w:left="5040"/>
        <w:spacing w:after="0" w:line="238" w:lineRule="auto"/>
        <w:rPr>
          <w:sz w:val="20"/>
          <w:szCs w:val="20"/>
          <w:color w:val="auto"/>
        </w:rPr>
      </w:pPr>
      <w:r>
        <w:rPr>
          <w:rFonts w:ascii="Arial" w:cs="Arial" w:eastAsia="Arial" w:hAnsi="Arial"/>
          <w:sz w:val="22"/>
          <w:szCs w:val="22"/>
          <w:color w:val="auto"/>
        </w:rPr>
        <w:t>Name: Ian Simmonds</w:t>
      </w:r>
    </w:p>
    <w:p>
      <w:pPr>
        <w:ind w:left="5040"/>
        <w:spacing w:after="0"/>
        <w:rPr>
          <w:sz w:val="20"/>
          <w:szCs w:val="20"/>
          <w:color w:val="auto"/>
        </w:rPr>
      </w:pPr>
      <w:r>
        <w:rPr>
          <w:rFonts w:ascii="Arial" w:cs="Arial" w:eastAsia="Arial" w:hAnsi="Arial"/>
          <w:sz w:val="22"/>
          <w:szCs w:val="22"/>
          <w:color w:val="auto"/>
        </w:rPr>
        <w:t>Title:  Chief Financial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463550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40"/>
          </w:cols>
          <w:pgMar w:left="1440" w:top="577" w:right="81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148590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165735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SECOND AMENDED AND RESTATED</w:t>
      </w:r>
    </w:p>
    <w:p>
      <w:pPr>
        <w:jc w:val="center"/>
        <w:ind w:right="20"/>
        <w:spacing w:after="0" w:line="238" w:lineRule="auto"/>
        <w:rPr>
          <w:sz w:val="20"/>
          <w:szCs w:val="20"/>
          <w:color w:val="auto"/>
        </w:rPr>
      </w:pPr>
      <w:r>
        <w:rPr>
          <w:rFonts w:ascii="Arial" w:cs="Arial" w:eastAsia="Arial" w:hAnsi="Arial"/>
          <w:sz w:val="22"/>
          <w:szCs w:val="22"/>
          <w:color w:val="auto"/>
        </w:rPr>
        <w:t>SENIOR SECURED</w:t>
      </w:r>
    </w:p>
    <w:p>
      <w:pPr>
        <w:jc w:val="center"/>
        <w:ind w:right="20"/>
        <w:spacing w:after="0" w:line="230" w:lineRule="auto"/>
        <w:rPr>
          <w:sz w:val="20"/>
          <w:szCs w:val="20"/>
          <w:color w:val="auto"/>
        </w:rPr>
      </w:pPr>
      <w:r>
        <w:rPr>
          <w:rFonts w:ascii="Arial" w:cs="Arial" w:eastAsia="Arial" w:hAnsi="Arial"/>
          <w:sz w:val="22"/>
          <w:szCs w:val="22"/>
          <w:color w:val="auto"/>
        </w:rPr>
        <w:t>REVOLVING CREDIT AGREEMENT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as of</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February 27, 2014</w:t>
      </w:r>
    </w:p>
    <w:p>
      <w:pPr>
        <w:spacing w:after="0" w:line="206" w:lineRule="exact"/>
        <w:rPr>
          <w:sz w:val="20"/>
          <w:szCs w:val="20"/>
          <w:color w:val="auto"/>
        </w:rPr>
      </w:pPr>
    </w:p>
    <w:p>
      <w:pPr>
        <w:jc w:val="center"/>
        <w:ind w:right="20"/>
        <w:spacing w:after="0" w:line="269" w:lineRule="auto"/>
        <w:rPr>
          <w:sz w:val="20"/>
          <w:szCs w:val="20"/>
          <w:color w:val="auto"/>
        </w:rPr>
      </w:pPr>
      <w:r>
        <w:rPr>
          <w:rFonts w:ascii="Arial" w:cs="Arial" w:eastAsia="Arial" w:hAnsi="Arial"/>
          <w:sz w:val="19"/>
          <w:szCs w:val="19"/>
          <w:color w:val="auto"/>
        </w:rPr>
        <w:t>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w:t>
      </w:r>
    </w:p>
    <w:p>
      <w:pPr>
        <w:spacing w:after="0" w:line="5" w:lineRule="exact"/>
        <w:rPr>
          <w:sz w:val="20"/>
          <w:szCs w:val="20"/>
          <w:color w:val="auto"/>
        </w:rPr>
      </w:pPr>
    </w:p>
    <w:p>
      <w:pPr>
        <w:jc w:val="center"/>
        <w:ind w:right="20"/>
        <w:spacing w:after="0" w:line="234" w:lineRule="auto"/>
        <w:rPr>
          <w:sz w:val="20"/>
          <w:szCs w:val="20"/>
          <w:color w:val="auto"/>
        </w:rPr>
      </w:pPr>
      <w:r>
        <w:rPr>
          <w:rFonts w:ascii="Arial" w:cs="Arial" w:eastAsia="Arial" w:hAnsi="Arial"/>
          <w:sz w:val="22"/>
          <w:szCs w:val="22"/>
          <w:color w:val="auto"/>
        </w:rPr>
        <w:t>dated as of November 5, 2018, the Eighth Amendment to Second Amended and Restated Senior Secured Revolving Credit Agreement dated as of February 14, 2019 and the Ninth Amendment to Second Amended and Restated Senior Secured Revolving Credit Agreement dated as of January 31, 2020</w:t>
      </w:r>
    </w:p>
    <w:p>
      <w:pPr>
        <w:spacing w:after="0" w:line="187"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among</w:t>
      </w:r>
    </w:p>
    <w:p>
      <w:pPr>
        <w:spacing w:after="0" w:line="20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TPG SPECIALTY LENDING, INC.</w:t>
      </w:r>
    </w:p>
    <w:p>
      <w:pPr>
        <w:spacing w:after="0" w:line="8"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as Borrower</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The LENDERS Party Hereto</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TRUIST BANK (as successor by merger to SunTrust Bank)</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as Administrative Agent</w:t>
      </w:r>
    </w:p>
    <w:p>
      <w:pPr>
        <w:spacing w:after="0" w:line="18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Syndication Agent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$1,315,000,000</w:t>
      </w:r>
    </w:p>
    <w:p>
      <w:pPr>
        <w:spacing w:after="0" w:line="8"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__________________</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SUNTRUST ROBINSON HUMPHREY, INC.</w:t>
      </w:r>
    </w:p>
    <w:p>
      <w:pPr>
        <w:jc w:val="center"/>
        <w:ind w:right="20"/>
        <w:spacing w:after="0" w:line="238" w:lineRule="auto"/>
        <w:rPr>
          <w:sz w:val="20"/>
          <w:szCs w:val="20"/>
          <w:color w:val="auto"/>
        </w:rPr>
      </w:pPr>
      <w:r>
        <w:rPr>
          <w:rFonts w:ascii="Arial" w:cs="Arial" w:eastAsia="Arial" w:hAnsi="Arial"/>
          <w:sz w:val="22"/>
          <w:szCs w:val="22"/>
          <w:color w:val="auto"/>
        </w:rPr>
        <w:t>JPMORGAN CHASE BANK, N.A.</w:t>
      </w:r>
    </w:p>
    <w:p>
      <w:pPr>
        <w:jc w:val="center"/>
        <w:ind w:right="20"/>
        <w:spacing w:after="0"/>
        <w:rPr>
          <w:sz w:val="20"/>
          <w:szCs w:val="20"/>
          <w:color w:val="auto"/>
        </w:rPr>
      </w:pPr>
      <w:r>
        <w:rPr>
          <w:rFonts w:ascii="Arial" w:cs="Arial" w:eastAsia="Arial" w:hAnsi="Arial"/>
          <w:sz w:val="22"/>
          <w:szCs w:val="22"/>
          <w:color w:val="auto"/>
        </w:rPr>
        <w:t>as Joint Lead Arrangers and Joint Book Runners</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MUFG UNION BANK, N.A.</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a Joint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150495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167640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781050</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80" w:top="355"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4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891"/>
        </w:trPr>
        <w:tc>
          <w:tcPr>
            <w:tcW w:w="2040" w:type="dxa"/>
            <w:vAlign w:val="bottom"/>
          </w:tcPr>
          <w:p>
            <w:pPr>
              <w:spacing w:after="0"/>
              <w:rPr>
                <w:sz w:val="20"/>
                <w:szCs w:val="20"/>
                <w:color w:val="auto"/>
              </w:rPr>
            </w:pPr>
            <w:r>
              <w:rPr>
                <w:rFonts w:ascii="Arial" w:cs="Arial" w:eastAsia="Arial" w:hAnsi="Arial"/>
                <w:sz w:val="22"/>
                <w:szCs w:val="22"/>
                <w:color w:val="auto"/>
              </w:rPr>
              <w:t>ARTICLE I</w:t>
            </w:r>
          </w:p>
        </w:tc>
        <w:tc>
          <w:tcPr>
            <w:tcW w:w="8040" w:type="dxa"/>
            <w:vAlign w:val="bottom"/>
          </w:tcPr>
          <w:p>
            <w:pPr>
              <w:ind w:left="260"/>
              <w:spacing w:after="0"/>
              <w:rPr>
                <w:sz w:val="20"/>
                <w:szCs w:val="20"/>
                <w:color w:val="auto"/>
              </w:rPr>
            </w:pPr>
            <w:r>
              <w:rPr>
                <w:rFonts w:ascii="Arial" w:cs="Arial" w:eastAsia="Arial" w:hAnsi="Arial"/>
                <w:sz w:val="22"/>
                <w:szCs w:val="22"/>
                <w:color w:val="auto"/>
              </w:rPr>
              <w:t>DEFINITIONS</w:t>
            </w:r>
          </w:p>
        </w:tc>
        <w:tc>
          <w:tcPr>
            <w:tcW w:w="13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33"/>
        </w:trPr>
        <w:tc>
          <w:tcPr>
            <w:tcW w:w="2040" w:type="dxa"/>
            <w:vAlign w:val="bottom"/>
          </w:tcPr>
          <w:p>
            <w:pPr>
              <w:ind w:left="360"/>
              <w:spacing w:after="0"/>
              <w:rPr>
                <w:sz w:val="20"/>
                <w:szCs w:val="20"/>
                <w:color w:val="auto"/>
              </w:rPr>
            </w:pPr>
            <w:r>
              <w:rPr>
                <w:rFonts w:ascii="Arial" w:cs="Arial" w:eastAsia="Arial" w:hAnsi="Arial"/>
                <w:sz w:val="22"/>
                <w:szCs w:val="22"/>
                <w:color w:val="auto"/>
              </w:rPr>
              <w:t>SECTION 1.01.</w:t>
            </w:r>
          </w:p>
        </w:tc>
        <w:tc>
          <w:tcPr>
            <w:tcW w:w="8040" w:type="dxa"/>
            <w:vAlign w:val="bottom"/>
          </w:tcPr>
          <w:p>
            <w:pPr>
              <w:ind w:left="600"/>
              <w:spacing w:after="0"/>
              <w:rPr>
                <w:sz w:val="20"/>
                <w:szCs w:val="20"/>
                <w:color w:val="auto"/>
              </w:rPr>
            </w:pPr>
            <w:r>
              <w:rPr>
                <w:rFonts w:ascii="Arial" w:cs="Arial" w:eastAsia="Arial" w:hAnsi="Arial"/>
                <w:sz w:val="22"/>
                <w:szCs w:val="22"/>
                <w:color w:val="auto"/>
              </w:rPr>
              <w:t>Defined Terms</w:t>
            </w:r>
          </w:p>
        </w:tc>
        <w:tc>
          <w:tcPr>
            <w:tcW w:w="13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1.02.</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Classification of Loans and Borrowings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1.03.</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Terms Generally</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1.04.</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Accounting Terms; GAAP</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75"/>
        </w:trPr>
        <w:tc>
          <w:tcPr>
            <w:tcW w:w="2040" w:type="dxa"/>
            <w:vAlign w:val="bottom"/>
          </w:tcPr>
          <w:p>
            <w:pPr>
              <w:ind w:left="360"/>
              <w:spacing w:after="0"/>
              <w:rPr>
                <w:sz w:val="20"/>
                <w:szCs w:val="20"/>
                <w:color w:val="auto"/>
              </w:rPr>
            </w:pPr>
            <w:r>
              <w:rPr>
                <w:rFonts w:ascii="Arial" w:cs="Arial" w:eastAsia="Arial" w:hAnsi="Arial"/>
                <w:sz w:val="22"/>
                <w:szCs w:val="22"/>
                <w:color w:val="auto"/>
              </w:rPr>
              <w:t>SECTION 1.05.</w:t>
            </w:r>
          </w:p>
        </w:tc>
        <w:tc>
          <w:tcPr>
            <w:tcW w:w="8040" w:type="dxa"/>
            <w:vAlign w:val="bottom"/>
          </w:tcPr>
          <w:p>
            <w:pPr>
              <w:ind w:left="600"/>
              <w:spacing w:after="0"/>
              <w:rPr>
                <w:sz w:val="20"/>
                <w:szCs w:val="20"/>
                <w:color w:val="auto"/>
              </w:rPr>
            </w:pPr>
            <w:r>
              <w:rPr>
                <w:rFonts w:ascii="Arial" w:cs="Arial" w:eastAsia="Arial" w:hAnsi="Arial"/>
                <w:sz w:val="22"/>
                <w:szCs w:val="22"/>
                <w:color w:val="auto"/>
              </w:rPr>
              <w:t>Currencies; Currency Equivalents</w:t>
            </w:r>
          </w:p>
        </w:tc>
        <w:tc>
          <w:tcPr>
            <w:tcW w:w="13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65"/>
        </w:trPr>
        <w:tc>
          <w:tcPr>
            <w:tcW w:w="2040" w:type="dxa"/>
            <w:vAlign w:val="bottom"/>
          </w:tcPr>
          <w:p>
            <w:pPr>
              <w:spacing w:after="0"/>
              <w:rPr>
                <w:sz w:val="20"/>
                <w:szCs w:val="20"/>
                <w:color w:val="auto"/>
              </w:rPr>
            </w:pPr>
            <w:r>
              <w:rPr>
                <w:rFonts w:ascii="Arial" w:cs="Arial" w:eastAsia="Arial" w:hAnsi="Arial"/>
                <w:sz w:val="22"/>
                <w:szCs w:val="22"/>
                <w:color w:val="auto"/>
              </w:rPr>
              <w:t>ARTICLE II</w:t>
            </w:r>
          </w:p>
        </w:tc>
        <w:tc>
          <w:tcPr>
            <w:tcW w:w="8040" w:type="dxa"/>
            <w:vAlign w:val="bottom"/>
          </w:tcPr>
          <w:p>
            <w:pPr>
              <w:ind w:left="260"/>
              <w:spacing w:after="0"/>
              <w:rPr>
                <w:sz w:val="20"/>
                <w:szCs w:val="20"/>
                <w:color w:val="auto"/>
              </w:rPr>
            </w:pPr>
            <w:r>
              <w:rPr>
                <w:rFonts w:ascii="Arial" w:cs="Arial" w:eastAsia="Arial" w:hAnsi="Arial"/>
                <w:sz w:val="22"/>
                <w:szCs w:val="22"/>
                <w:color w:val="auto"/>
              </w:rPr>
              <w:t>THE CREDITS</w:t>
            </w:r>
          </w:p>
        </w:tc>
        <w:tc>
          <w:tcPr>
            <w:tcW w:w="13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33"/>
        </w:trPr>
        <w:tc>
          <w:tcPr>
            <w:tcW w:w="2040" w:type="dxa"/>
            <w:vAlign w:val="bottom"/>
          </w:tcPr>
          <w:p>
            <w:pPr>
              <w:ind w:left="360"/>
              <w:spacing w:after="0"/>
              <w:rPr>
                <w:sz w:val="20"/>
                <w:szCs w:val="20"/>
                <w:color w:val="auto"/>
              </w:rPr>
            </w:pPr>
            <w:r>
              <w:rPr>
                <w:rFonts w:ascii="Arial" w:cs="Arial" w:eastAsia="Arial" w:hAnsi="Arial"/>
                <w:sz w:val="22"/>
                <w:szCs w:val="22"/>
                <w:color w:val="auto"/>
              </w:rPr>
              <w:t>SECTION 2.01.</w:t>
            </w:r>
          </w:p>
        </w:tc>
        <w:tc>
          <w:tcPr>
            <w:tcW w:w="8040" w:type="dxa"/>
            <w:vAlign w:val="bottom"/>
          </w:tcPr>
          <w:p>
            <w:pPr>
              <w:ind w:left="600"/>
              <w:spacing w:after="0"/>
              <w:rPr>
                <w:sz w:val="20"/>
                <w:szCs w:val="20"/>
                <w:color w:val="auto"/>
              </w:rPr>
            </w:pPr>
            <w:r>
              <w:rPr>
                <w:rFonts w:ascii="Arial" w:cs="Arial" w:eastAsia="Arial" w:hAnsi="Arial"/>
                <w:sz w:val="22"/>
                <w:szCs w:val="22"/>
                <w:color w:val="auto"/>
              </w:rPr>
              <w:t>The Commitments</w:t>
            </w:r>
          </w:p>
        </w:tc>
        <w:tc>
          <w:tcPr>
            <w:tcW w:w="136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2.02.</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Loans and Borrowings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2.03.</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Requests for Syndicated Borrowings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2.04.</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Swingline Loans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2.05.</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Letters of Credit</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2.06.</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Funding of Borrowings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2.07.</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Interest Elections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2.08.</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Termination, Reduction or Increase of the Commitments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2.09.</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Repayment of Loans; Evidence of Debt</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2.10.</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Prepayment of Loans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2.11.</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Fees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2.12.</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Interest</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2.13.</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Inability to Determine Interest Rates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2.14.</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Increased Costs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2.15.</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Break Funding Payments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2.16.</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Taxes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2.17.</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Payments Generally; Pro Rata Treatment: Sharing of Set-offs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2.18.</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Mitigation Obligations; Replacement of Lenders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2.19.</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Defaulting Lenders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2.20.</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Reallocation Following a Non-Extended Commitment Termination Date</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2.21.</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Assignment and Reallocation of Existing Commitments and Existing Loans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75"/>
        </w:trPr>
        <w:tc>
          <w:tcPr>
            <w:tcW w:w="2040" w:type="dxa"/>
            <w:vAlign w:val="bottom"/>
          </w:tcPr>
          <w:p>
            <w:pPr>
              <w:ind w:left="360"/>
              <w:spacing w:after="0"/>
              <w:rPr>
                <w:sz w:val="20"/>
                <w:szCs w:val="20"/>
                <w:color w:val="auto"/>
              </w:rPr>
            </w:pPr>
            <w:r>
              <w:rPr>
                <w:rFonts w:ascii="Arial" w:cs="Arial" w:eastAsia="Arial" w:hAnsi="Arial"/>
                <w:sz w:val="22"/>
                <w:szCs w:val="22"/>
                <w:color w:val="auto"/>
              </w:rPr>
              <w:t>SECTION 2.22.</w:t>
            </w:r>
          </w:p>
        </w:tc>
        <w:tc>
          <w:tcPr>
            <w:tcW w:w="8040" w:type="dxa"/>
            <w:vAlign w:val="bottom"/>
          </w:tcPr>
          <w:p>
            <w:pPr>
              <w:ind w:left="600"/>
              <w:spacing w:after="0"/>
              <w:rPr>
                <w:sz w:val="20"/>
                <w:szCs w:val="20"/>
                <w:color w:val="auto"/>
              </w:rPr>
            </w:pPr>
            <w:r>
              <w:rPr>
                <w:rFonts w:ascii="Arial" w:cs="Arial" w:eastAsia="Arial" w:hAnsi="Arial"/>
                <w:sz w:val="22"/>
                <w:szCs w:val="22"/>
                <w:color w:val="auto"/>
              </w:rPr>
              <w:t>Effect of Benchmark Transition Event</w:t>
            </w:r>
          </w:p>
        </w:tc>
        <w:tc>
          <w:tcPr>
            <w:tcW w:w="13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65"/>
        </w:trPr>
        <w:tc>
          <w:tcPr>
            <w:tcW w:w="2040" w:type="dxa"/>
            <w:vAlign w:val="bottom"/>
          </w:tcPr>
          <w:p>
            <w:pPr>
              <w:spacing w:after="0"/>
              <w:rPr>
                <w:sz w:val="20"/>
                <w:szCs w:val="20"/>
                <w:color w:val="auto"/>
              </w:rPr>
            </w:pPr>
            <w:r>
              <w:rPr>
                <w:rFonts w:ascii="Arial" w:cs="Arial" w:eastAsia="Arial" w:hAnsi="Arial"/>
                <w:sz w:val="22"/>
                <w:szCs w:val="22"/>
                <w:color w:val="auto"/>
              </w:rPr>
              <w:t>ARTICLE III</w:t>
            </w:r>
          </w:p>
        </w:tc>
        <w:tc>
          <w:tcPr>
            <w:tcW w:w="8040" w:type="dxa"/>
            <w:vAlign w:val="bottom"/>
          </w:tcPr>
          <w:p>
            <w:pPr>
              <w:ind w:left="260"/>
              <w:spacing w:after="0"/>
              <w:rPr>
                <w:sz w:val="20"/>
                <w:szCs w:val="20"/>
                <w:color w:val="auto"/>
              </w:rPr>
            </w:pPr>
            <w:r>
              <w:rPr>
                <w:rFonts w:ascii="Arial" w:cs="Arial" w:eastAsia="Arial" w:hAnsi="Arial"/>
                <w:sz w:val="22"/>
                <w:szCs w:val="22"/>
                <w:color w:val="auto"/>
              </w:rPr>
              <w:t>REPRESENTATIONS AND WARRANTIES</w:t>
            </w:r>
          </w:p>
        </w:tc>
        <w:tc>
          <w:tcPr>
            <w:tcW w:w="13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33"/>
        </w:trPr>
        <w:tc>
          <w:tcPr>
            <w:tcW w:w="2040" w:type="dxa"/>
            <w:vAlign w:val="bottom"/>
          </w:tcPr>
          <w:p>
            <w:pPr>
              <w:ind w:left="360"/>
              <w:spacing w:after="0"/>
              <w:rPr>
                <w:sz w:val="20"/>
                <w:szCs w:val="20"/>
                <w:color w:val="auto"/>
              </w:rPr>
            </w:pPr>
            <w:r>
              <w:rPr>
                <w:rFonts w:ascii="Arial" w:cs="Arial" w:eastAsia="Arial" w:hAnsi="Arial"/>
                <w:sz w:val="22"/>
                <w:szCs w:val="22"/>
                <w:color w:val="auto"/>
              </w:rPr>
              <w:t>SECTION 3.01.</w:t>
            </w:r>
          </w:p>
        </w:tc>
        <w:tc>
          <w:tcPr>
            <w:tcW w:w="8040" w:type="dxa"/>
            <w:vAlign w:val="bottom"/>
          </w:tcPr>
          <w:p>
            <w:pPr>
              <w:ind w:left="600"/>
              <w:spacing w:after="0"/>
              <w:rPr>
                <w:sz w:val="20"/>
                <w:szCs w:val="20"/>
                <w:color w:val="auto"/>
              </w:rPr>
            </w:pPr>
            <w:r>
              <w:rPr>
                <w:rFonts w:ascii="Arial" w:cs="Arial" w:eastAsia="Arial" w:hAnsi="Arial"/>
                <w:sz w:val="22"/>
                <w:szCs w:val="22"/>
                <w:color w:val="auto"/>
              </w:rPr>
              <w:t>Organization; Powers</w:t>
            </w:r>
          </w:p>
        </w:tc>
        <w:tc>
          <w:tcPr>
            <w:tcW w:w="13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3.02.</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Authorization; Enforceability</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3.03.</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Governmental Approvals; No Conflicts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3.04.</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Financial Condition; No Material Adverse Change</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3.05.</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Litigation</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3.06.</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Compliance with Laws and Agreements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3.07.</w:t>
            </w:r>
          </w:p>
        </w:tc>
        <w:tc>
          <w:tcPr>
            <w:tcW w:w="8040" w:type="dxa"/>
            <w:vAlign w:val="bottom"/>
          </w:tcPr>
          <w:p>
            <w:pPr>
              <w:ind w:left="600"/>
              <w:spacing w:after="0" w:line="243" w:lineRule="exact"/>
              <w:rPr>
                <w:sz w:val="20"/>
                <w:szCs w:val="20"/>
                <w:color w:val="auto"/>
              </w:rPr>
            </w:pPr>
            <w:r>
              <w:rPr>
                <w:rFonts w:ascii="Arial" w:cs="Arial" w:eastAsia="Arial" w:hAnsi="Arial"/>
                <w:sz w:val="22"/>
                <w:szCs w:val="22"/>
                <w:color w:val="auto"/>
              </w:rPr>
              <w:t>Taxes</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75"/>
        </w:trPr>
        <w:tc>
          <w:tcPr>
            <w:tcW w:w="2040" w:type="dxa"/>
            <w:vAlign w:val="bottom"/>
          </w:tcPr>
          <w:p>
            <w:pPr>
              <w:spacing w:after="0"/>
              <w:rPr>
                <w:sz w:val="23"/>
                <w:szCs w:val="23"/>
                <w:color w:val="auto"/>
              </w:rPr>
            </w:pPr>
          </w:p>
        </w:tc>
        <w:tc>
          <w:tcPr>
            <w:tcW w:w="8040" w:type="dxa"/>
            <w:vAlign w:val="bottom"/>
          </w:tcPr>
          <w:p>
            <w:pPr>
              <w:ind w:left="3560"/>
              <w:spacing w:after="0"/>
              <w:rPr>
                <w:sz w:val="20"/>
                <w:szCs w:val="20"/>
                <w:color w:val="auto"/>
              </w:rPr>
            </w:pPr>
            <w:r>
              <w:rPr>
                <w:rFonts w:ascii="Arial" w:cs="Arial" w:eastAsia="Arial" w:hAnsi="Arial"/>
                <w:sz w:val="22"/>
                <w:szCs w:val="22"/>
                <w:color w:val="auto"/>
              </w:rPr>
              <w:t>-i-</w:t>
            </w:r>
          </w:p>
        </w:tc>
        <w:tc>
          <w:tcPr>
            <w:tcW w:w="1360" w:type="dxa"/>
            <w:vAlign w:val="bottom"/>
          </w:tcPr>
          <w:p>
            <w:pPr>
              <w:spacing w:after="0"/>
              <w:rPr>
                <w:sz w:val="23"/>
                <w:szCs w:val="23"/>
                <w:color w:val="auto"/>
              </w:rPr>
            </w:pPr>
          </w:p>
        </w:tc>
      </w:tr>
      <w:tr>
        <w:trPr>
          <w:trHeight w:val="443"/>
        </w:trPr>
        <w:tc>
          <w:tcPr>
            <w:tcW w:w="204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163" w:name="page164"/>
    <w:bookmarkEnd w:id="163"/>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(continued)</w:t>
      </w:r>
    </w:p>
    <w:tbl>
      <w:tblPr>
        <w:tblLayout w:type="fixed"/>
        <w:tblInd w:w="0" w:type="dxa"/>
        <w:tblCellMar>
          <w:top w:w="0" w:type="dxa"/>
          <w:left w:w="0" w:type="dxa"/>
          <w:bottom w:w="0" w:type="dxa"/>
          <w:right w:w="0" w:type="dxa"/>
        </w:tblCellMar>
      </w:tblPr>
      <w:tr>
        <w:trPr>
          <w:trHeight w:val="281"/>
        </w:trPr>
        <w:tc>
          <w:tcPr>
            <w:tcW w:w="20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31"/>
        </w:trPr>
        <w:tc>
          <w:tcPr>
            <w:tcW w:w="2040" w:type="dxa"/>
            <w:vAlign w:val="bottom"/>
          </w:tcPr>
          <w:p>
            <w:pPr>
              <w:ind w:left="360"/>
              <w:spacing w:after="0"/>
              <w:rPr>
                <w:sz w:val="20"/>
                <w:szCs w:val="20"/>
                <w:color w:val="auto"/>
              </w:rPr>
            </w:pPr>
            <w:r>
              <w:rPr>
                <w:rFonts w:ascii="Arial" w:cs="Arial" w:eastAsia="Arial" w:hAnsi="Arial"/>
                <w:sz w:val="22"/>
                <w:szCs w:val="22"/>
                <w:color w:val="auto"/>
              </w:rPr>
              <w:t>SECTION 3.08.</w:t>
            </w:r>
          </w:p>
        </w:tc>
        <w:tc>
          <w:tcPr>
            <w:tcW w:w="7580" w:type="dxa"/>
            <w:vAlign w:val="bottom"/>
          </w:tcPr>
          <w:p>
            <w:pPr>
              <w:ind w:left="600"/>
              <w:spacing w:after="0"/>
              <w:rPr>
                <w:sz w:val="20"/>
                <w:szCs w:val="20"/>
                <w:color w:val="auto"/>
              </w:rPr>
            </w:pPr>
            <w:r>
              <w:rPr>
                <w:rFonts w:ascii="Arial" w:cs="Arial" w:eastAsia="Arial" w:hAnsi="Arial"/>
                <w:sz w:val="22"/>
                <w:szCs w:val="22"/>
                <w:color w:val="auto"/>
              </w:rPr>
              <w:t>ERISA</w:t>
            </w:r>
          </w:p>
        </w:tc>
        <w:tc>
          <w:tcPr>
            <w:tcW w:w="182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3.09.</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Disclosure</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3.10.</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Investment Company Act; Margin Regulations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3.11.</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Material Agreements and Liens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3.12.</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Subsidiaries and Investments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3.13.</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Properties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3.14.</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Affiliate Agreements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3.15.</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Sanctions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3.16.</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Patriot Act</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3.17.</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Collateral Documents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75"/>
        </w:trPr>
        <w:tc>
          <w:tcPr>
            <w:tcW w:w="2040" w:type="dxa"/>
            <w:vAlign w:val="bottom"/>
          </w:tcPr>
          <w:p>
            <w:pPr>
              <w:ind w:left="360"/>
              <w:spacing w:after="0"/>
              <w:rPr>
                <w:sz w:val="20"/>
                <w:szCs w:val="20"/>
                <w:color w:val="auto"/>
              </w:rPr>
            </w:pPr>
            <w:r>
              <w:rPr>
                <w:rFonts w:ascii="Arial" w:cs="Arial" w:eastAsia="Arial" w:hAnsi="Arial"/>
                <w:sz w:val="22"/>
                <w:szCs w:val="22"/>
                <w:color w:val="auto"/>
              </w:rPr>
              <w:t>SECTION 3.18.</w:t>
            </w:r>
          </w:p>
        </w:tc>
        <w:tc>
          <w:tcPr>
            <w:tcW w:w="7580" w:type="dxa"/>
            <w:vAlign w:val="bottom"/>
          </w:tcPr>
          <w:p>
            <w:pPr>
              <w:ind w:left="600"/>
              <w:spacing w:after="0"/>
              <w:rPr>
                <w:sz w:val="20"/>
                <w:szCs w:val="20"/>
                <w:color w:val="auto"/>
              </w:rPr>
            </w:pPr>
            <w:r>
              <w:rPr>
                <w:rFonts w:ascii="Arial" w:cs="Arial" w:eastAsia="Arial" w:hAnsi="Arial"/>
                <w:sz w:val="22"/>
                <w:szCs w:val="22"/>
                <w:color w:val="auto"/>
              </w:rPr>
              <w:t>EEA Financial Institutions</w:t>
            </w:r>
          </w:p>
        </w:tc>
        <w:tc>
          <w:tcPr>
            <w:tcW w:w="18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65"/>
        </w:trPr>
        <w:tc>
          <w:tcPr>
            <w:tcW w:w="2040" w:type="dxa"/>
            <w:vAlign w:val="bottom"/>
          </w:tcPr>
          <w:p>
            <w:pPr>
              <w:spacing w:after="0"/>
              <w:rPr>
                <w:sz w:val="20"/>
                <w:szCs w:val="20"/>
                <w:color w:val="auto"/>
              </w:rPr>
            </w:pPr>
            <w:r>
              <w:rPr>
                <w:rFonts w:ascii="Arial" w:cs="Arial" w:eastAsia="Arial" w:hAnsi="Arial"/>
                <w:sz w:val="22"/>
                <w:szCs w:val="22"/>
                <w:color w:val="auto"/>
              </w:rPr>
              <w:t>ARTICLE IV</w:t>
            </w:r>
          </w:p>
        </w:tc>
        <w:tc>
          <w:tcPr>
            <w:tcW w:w="7580" w:type="dxa"/>
            <w:vAlign w:val="bottom"/>
          </w:tcPr>
          <w:p>
            <w:pPr>
              <w:ind w:left="260"/>
              <w:spacing w:after="0"/>
              <w:rPr>
                <w:sz w:val="20"/>
                <w:szCs w:val="20"/>
                <w:color w:val="auto"/>
              </w:rPr>
            </w:pPr>
            <w:r>
              <w:rPr>
                <w:rFonts w:ascii="Arial" w:cs="Arial" w:eastAsia="Arial" w:hAnsi="Arial"/>
                <w:sz w:val="22"/>
                <w:szCs w:val="22"/>
                <w:color w:val="auto"/>
              </w:rPr>
              <w:t>CONDITIONS</w:t>
            </w:r>
          </w:p>
        </w:tc>
        <w:tc>
          <w:tcPr>
            <w:tcW w:w="18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33"/>
        </w:trPr>
        <w:tc>
          <w:tcPr>
            <w:tcW w:w="2040" w:type="dxa"/>
            <w:vAlign w:val="bottom"/>
          </w:tcPr>
          <w:p>
            <w:pPr>
              <w:ind w:left="360"/>
              <w:spacing w:after="0"/>
              <w:rPr>
                <w:sz w:val="20"/>
                <w:szCs w:val="20"/>
                <w:color w:val="auto"/>
              </w:rPr>
            </w:pPr>
            <w:r>
              <w:rPr>
                <w:rFonts w:ascii="Arial" w:cs="Arial" w:eastAsia="Arial" w:hAnsi="Arial"/>
                <w:sz w:val="22"/>
                <w:szCs w:val="22"/>
                <w:color w:val="auto"/>
              </w:rPr>
              <w:t>SECTION 4.01.</w:t>
            </w:r>
          </w:p>
        </w:tc>
        <w:tc>
          <w:tcPr>
            <w:tcW w:w="7580" w:type="dxa"/>
            <w:vAlign w:val="bottom"/>
          </w:tcPr>
          <w:p>
            <w:pPr>
              <w:ind w:left="600"/>
              <w:spacing w:after="0"/>
              <w:rPr>
                <w:sz w:val="20"/>
                <w:szCs w:val="20"/>
                <w:color w:val="auto"/>
              </w:rPr>
            </w:pPr>
            <w:r>
              <w:rPr>
                <w:rFonts w:ascii="Arial" w:cs="Arial" w:eastAsia="Arial" w:hAnsi="Arial"/>
                <w:sz w:val="22"/>
                <w:szCs w:val="22"/>
                <w:color w:val="auto"/>
              </w:rPr>
              <w:t>Effective Date</w:t>
            </w:r>
          </w:p>
        </w:tc>
        <w:tc>
          <w:tcPr>
            <w:tcW w:w="18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75"/>
        </w:trPr>
        <w:tc>
          <w:tcPr>
            <w:tcW w:w="2040" w:type="dxa"/>
            <w:vAlign w:val="bottom"/>
          </w:tcPr>
          <w:p>
            <w:pPr>
              <w:ind w:left="360"/>
              <w:spacing w:after="0"/>
              <w:rPr>
                <w:sz w:val="20"/>
                <w:szCs w:val="20"/>
                <w:color w:val="auto"/>
              </w:rPr>
            </w:pPr>
            <w:r>
              <w:rPr>
                <w:rFonts w:ascii="Arial" w:cs="Arial" w:eastAsia="Arial" w:hAnsi="Arial"/>
                <w:sz w:val="22"/>
                <w:szCs w:val="22"/>
                <w:color w:val="auto"/>
              </w:rPr>
              <w:t>SECTION 4.02.</w:t>
            </w:r>
          </w:p>
        </w:tc>
        <w:tc>
          <w:tcPr>
            <w:tcW w:w="7580" w:type="dxa"/>
            <w:vAlign w:val="bottom"/>
          </w:tcPr>
          <w:p>
            <w:pPr>
              <w:ind w:left="600"/>
              <w:spacing w:after="0"/>
              <w:rPr>
                <w:sz w:val="20"/>
                <w:szCs w:val="20"/>
                <w:color w:val="auto"/>
              </w:rPr>
            </w:pPr>
            <w:r>
              <w:rPr>
                <w:rFonts w:ascii="Arial" w:cs="Arial" w:eastAsia="Arial" w:hAnsi="Arial"/>
                <w:sz w:val="22"/>
                <w:szCs w:val="22"/>
                <w:color w:val="auto"/>
              </w:rPr>
              <w:t>Each Credit Event</w:t>
            </w:r>
          </w:p>
        </w:tc>
        <w:tc>
          <w:tcPr>
            <w:tcW w:w="18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365"/>
        </w:trPr>
        <w:tc>
          <w:tcPr>
            <w:tcW w:w="2040" w:type="dxa"/>
            <w:vAlign w:val="bottom"/>
          </w:tcPr>
          <w:p>
            <w:pPr>
              <w:spacing w:after="0"/>
              <w:rPr>
                <w:sz w:val="20"/>
                <w:szCs w:val="20"/>
                <w:color w:val="auto"/>
              </w:rPr>
            </w:pPr>
            <w:r>
              <w:rPr>
                <w:rFonts w:ascii="Arial" w:cs="Arial" w:eastAsia="Arial" w:hAnsi="Arial"/>
                <w:sz w:val="22"/>
                <w:szCs w:val="22"/>
                <w:color w:val="auto"/>
              </w:rPr>
              <w:t>ARTICLE V</w:t>
            </w:r>
          </w:p>
        </w:tc>
        <w:tc>
          <w:tcPr>
            <w:tcW w:w="7580" w:type="dxa"/>
            <w:vAlign w:val="bottom"/>
          </w:tcPr>
          <w:p>
            <w:pPr>
              <w:ind w:left="260"/>
              <w:spacing w:after="0"/>
              <w:rPr>
                <w:sz w:val="20"/>
                <w:szCs w:val="20"/>
                <w:color w:val="auto"/>
              </w:rPr>
            </w:pPr>
            <w:r>
              <w:rPr>
                <w:rFonts w:ascii="Arial" w:cs="Arial" w:eastAsia="Arial" w:hAnsi="Arial"/>
                <w:sz w:val="22"/>
                <w:szCs w:val="22"/>
                <w:color w:val="auto"/>
              </w:rPr>
              <w:t>AFFIRMATIVE COVENANTS</w:t>
            </w:r>
          </w:p>
        </w:tc>
        <w:tc>
          <w:tcPr>
            <w:tcW w:w="18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333"/>
        </w:trPr>
        <w:tc>
          <w:tcPr>
            <w:tcW w:w="2040" w:type="dxa"/>
            <w:vAlign w:val="bottom"/>
          </w:tcPr>
          <w:p>
            <w:pPr>
              <w:ind w:left="360"/>
              <w:spacing w:after="0"/>
              <w:rPr>
                <w:sz w:val="20"/>
                <w:szCs w:val="20"/>
                <w:color w:val="auto"/>
              </w:rPr>
            </w:pPr>
            <w:r>
              <w:rPr>
                <w:rFonts w:ascii="Arial" w:cs="Arial" w:eastAsia="Arial" w:hAnsi="Arial"/>
                <w:sz w:val="22"/>
                <w:szCs w:val="22"/>
                <w:color w:val="auto"/>
              </w:rPr>
              <w:t>SECTION 5.01.</w:t>
            </w:r>
          </w:p>
        </w:tc>
        <w:tc>
          <w:tcPr>
            <w:tcW w:w="7580" w:type="dxa"/>
            <w:vAlign w:val="bottom"/>
          </w:tcPr>
          <w:p>
            <w:pPr>
              <w:ind w:left="600"/>
              <w:spacing w:after="0"/>
              <w:rPr>
                <w:sz w:val="20"/>
                <w:szCs w:val="20"/>
                <w:color w:val="auto"/>
              </w:rPr>
            </w:pPr>
            <w:r>
              <w:rPr>
                <w:rFonts w:ascii="Arial" w:cs="Arial" w:eastAsia="Arial" w:hAnsi="Arial"/>
                <w:sz w:val="22"/>
                <w:szCs w:val="22"/>
                <w:color w:val="auto"/>
              </w:rPr>
              <w:t>Financial Statements and Other Information</w:t>
            </w:r>
          </w:p>
        </w:tc>
        <w:tc>
          <w:tcPr>
            <w:tcW w:w="18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5.02.</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Notices of Material Events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5.03.</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Existence: Conduct of Business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5.04.</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Payment of Obligations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5.05.</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Maintenance of Properties; Insurance</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5.06.</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Books and Records; Inspection and Audit Rights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5.07.</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Compliance with Laws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5.08.</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Certain Obligations Respecting Subsidiaries; Further Assurances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5.09.</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Use of Proceeds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5.10.</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Status of RIC and BDC</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5.11.</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Investment Policies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5.12.</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Portfolio Valuation and Diversification Etc</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75"/>
        </w:trPr>
        <w:tc>
          <w:tcPr>
            <w:tcW w:w="2040" w:type="dxa"/>
            <w:vAlign w:val="bottom"/>
          </w:tcPr>
          <w:p>
            <w:pPr>
              <w:ind w:left="360"/>
              <w:spacing w:after="0"/>
              <w:rPr>
                <w:sz w:val="20"/>
                <w:szCs w:val="20"/>
                <w:color w:val="auto"/>
              </w:rPr>
            </w:pPr>
            <w:r>
              <w:rPr>
                <w:rFonts w:ascii="Arial" w:cs="Arial" w:eastAsia="Arial" w:hAnsi="Arial"/>
                <w:sz w:val="22"/>
                <w:szCs w:val="22"/>
                <w:color w:val="auto"/>
              </w:rPr>
              <w:t>SECTION 5.13.</w:t>
            </w:r>
          </w:p>
        </w:tc>
        <w:tc>
          <w:tcPr>
            <w:tcW w:w="7580" w:type="dxa"/>
            <w:vAlign w:val="bottom"/>
          </w:tcPr>
          <w:p>
            <w:pPr>
              <w:ind w:left="600"/>
              <w:spacing w:after="0"/>
              <w:rPr>
                <w:sz w:val="20"/>
                <w:szCs w:val="20"/>
                <w:color w:val="auto"/>
              </w:rPr>
            </w:pPr>
            <w:r>
              <w:rPr>
                <w:rFonts w:ascii="Arial" w:cs="Arial" w:eastAsia="Arial" w:hAnsi="Arial"/>
                <w:sz w:val="22"/>
                <w:szCs w:val="22"/>
                <w:color w:val="auto"/>
              </w:rPr>
              <w:t>Calculation of Borrowing Base</w:t>
            </w:r>
          </w:p>
        </w:tc>
        <w:tc>
          <w:tcPr>
            <w:tcW w:w="182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65"/>
        </w:trPr>
        <w:tc>
          <w:tcPr>
            <w:tcW w:w="2040" w:type="dxa"/>
            <w:vAlign w:val="bottom"/>
          </w:tcPr>
          <w:p>
            <w:pPr>
              <w:spacing w:after="0"/>
              <w:rPr>
                <w:sz w:val="20"/>
                <w:szCs w:val="20"/>
                <w:color w:val="auto"/>
              </w:rPr>
            </w:pPr>
            <w:r>
              <w:rPr>
                <w:rFonts w:ascii="Arial" w:cs="Arial" w:eastAsia="Arial" w:hAnsi="Arial"/>
                <w:sz w:val="22"/>
                <w:szCs w:val="22"/>
                <w:color w:val="auto"/>
              </w:rPr>
              <w:t>ARTICLE VI</w:t>
            </w:r>
          </w:p>
        </w:tc>
        <w:tc>
          <w:tcPr>
            <w:tcW w:w="7580" w:type="dxa"/>
            <w:vAlign w:val="bottom"/>
          </w:tcPr>
          <w:p>
            <w:pPr>
              <w:ind w:left="260"/>
              <w:spacing w:after="0"/>
              <w:rPr>
                <w:sz w:val="20"/>
                <w:szCs w:val="20"/>
                <w:color w:val="auto"/>
              </w:rPr>
            </w:pPr>
            <w:r>
              <w:rPr>
                <w:rFonts w:ascii="Arial" w:cs="Arial" w:eastAsia="Arial" w:hAnsi="Arial"/>
                <w:sz w:val="22"/>
                <w:szCs w:val="22"/>
                <w:color w:val="auto"/>
              </w:rPr>
              <w:t>NEGATIVE COVENANTS</w:t>
            </w:r>
          </w:p>
        </w:tc>
        <w:tc>
          <w:tcPr>
            <w:tcW w:w="182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333"/>
        </w:trPr>
        <w:tc>
          <w:tcPr>
            <w:tcW w:w="2040" w:type="dxa"/>
            <w:vAlign w:val="bottom"/>
          </w:tcPr>
          <w:p>
            <w:pPr>
              <w:ind w:left="360"/>
              <w:spacing w:after="0"/>
              <w:rPr>
                <w:sz w:val="20"/>
                <w:szCs w:val="20"/>
                <w:color w:val="auto"/>
              </w:rPr>
            </w:pPr>
            <w:r>
              <w:rPr>
                <w:rFonts w:ascii="Arial" w:cs="Arial" w:eastAsia="Arial" w:hAnsi="Arial"/>
                <w:sz w:val="22"/>
                <w:szCs w:val="22"/>
                <w:color w:val="auto"/>
              </w:rPr>
              <w:t>SECTION 6.01.</w:t>
            </w:r>
          </w:p>
        </w:tc>
        <w:tc>
          <w:tcPr>
            <w:tcW w:w="7580" w:type="dxa"/>
            <w:vAlign w:val="bottom"/>
          </w:tcPr>
          <w:p>
            <w:pPr>
              <w:ind w:left="600"/>
              <w:spacing w:after="0"/>
              <w:rPr>
                <w:sz w:val="20"/>
                <w:szCs w:val="20"/>
                <w:color w:val="auto"/>
              </w:rPr>
            </w:pPr>
            <w:r>
              <w:rPr>
                <w:rFonts w:ascii="Arial" w:cs="Arial" w:eastAsia="Arial" w:hAnsi="Arial"/>
                <w:sz w:val="22"/>
                <w:szCs w:val="22"/>
                <w:color w:val="auto"/>
              </w:rPr>
              <w:t>Indebtedness</w:t>
            </w:r>
          </w:p>
        </w:tc>
        <w:tc>
          <w:tcPr>
            <w:tcW w:w="182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6.02.</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Liens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6.03.</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Fundamental Changes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103</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6.04.</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Investments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6.05.</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Restricted Payments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6.06.</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Certain Restrictions on Subsidiaries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6.07.</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Certain Financial Covenants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6.08.</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Transactions with Affiliates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6.09.</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Lines of Business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6.10.</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No Further Negative Pledge</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6.11.</w:t>
            </w:r>
          </w:p>
        </w:tc>
        <w:tc>
          <w:tcPr>
            <w:tcW w:w="7580" w:type="dxa"/>
            <w:vAlign w:val="bottom"/>
          </w:tcPr>
          <w:p>
            <w:pPr>
              <w:ind w:left="600"/>
              <w:spacing w:after="0" w:line="243" w:lineRule="exact"/>
              <w:rPr>
                <w:sz w:val="20"/>
                <w:szCs w:val="20"/>
                <w:color w:val="auto"/>
              </w:rPr>
            </w:pPr>
            <w:r>
              <w:rPr>
                <w:rFonts w:ascii="Arial" w:cs="Arial" w:eastAsia="Arial" w:hAnsi="Arial"/>
                <w:sz w:val="22"/>
                <w:szCs w:val="22"/>
                <w:color w:val="auto"/>
              </w:rPr>
              <w:t>Modifications of Longer-Term Indebtedness Documents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75"/>
        </w:trPr>
        <w:tc>
          <w:tcPr>
            <w:tcW w:w="2040" w:type="dxa"/>
            <w:vAlign w:val="bottom"/>
          </w:tcPr>
          <w:p>
            <w:pPr>
              <w:spacing w:after="0"/>
              <w:rPr>
                <w:sz w:val="23"/>
                <w:szCs w:val="23"/>
                <w:color w:val="auto"/>
              </w:rPr>
            </w:pPr>
          </w:p>
        </w:tc>
        <w:tc>
          <w:tcPr>
            <w:tcW w:w="7580" w:type="dxa"/>
            <w:vAlign w:val="bottom"/>
          </w:tcPr>
          <w:p>
            <w:pPr>
              <w:ind w:left="3540"/>
              <w:spacing w:after="0"/>
              <w:rPr>
                <w:sz w:val="20"/>
                <w:szCs w:val="20"/>
                <w:color w:val="auto"/>
              </w:rPr>
            </w:pPr>
            <w:r>
              <w:rPr>
                <w:rFonts w:ascii="Arial" w:cs="Arial" w:eastAsia="Arial" w:hAnsi="Arial"/>
                <w:sz w:val="22"/>
                <w:szCs w:val="22"/>
                <w:color w:val="auto"/>
              </w:rPr>
              <w:t>-ii-</w:t>
            </w:r>
          </w:p>
        </w:tc>
        <w:tc>
          <w:tcPr>
            <w:tcW w:w="1820" w:type="dxa"/>
            <w:vAlign w:val="bottom"/>
          </w:tcPr>
          <w:p>
            <w:pPr>
              <w:spacing w:after="0"/>
              <w:rPr>
                <w:sz w:val="23"/>
                <w:szCs w:val="23"/>
                <w:color w:val="auto"/>
              </w:rPr>
            </w:pPr>
          </w:p>
        </w:tc>
      </w:tr>
      <w:tr>
        <w:trPr>
          <w:trHeight w:val="343"/>
        </w:trPr>
        <w:tc>
          <w:tcPr>
            <w:tcW w:w="2040" w:type="dxa"/>
            <w:vAlign w:val="bottom"/>
          </w:tcPr>
          <w:p>
            <w:pPr>
              <w:spacing w:after="0"/>
              <w:rPr>
                <w:sz w:val="20"/>
                <w:szCs w:val="20"/>
                <w:color w:val="auto"/>
              </w:rPr>
            </w:pPr>
            <w:r>
              <w:rPr>
                <w:rFonts w:ascii="Arial" w:cs="Arial" w:eastAsia="Arial" w:hAnsi="Arial"/>
                <w:sz w:val="14"/>
                <w:szCs w:val="14"/>
                <w:color w:val="auto"/>
              </w:rPr>
              <w:t>735985467 11299570</w:t>
            </w:r>
          </w:p>
        </w:tc>
        <w:tc>
          <w:tcPr>
            <w:tcW w:w="75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00"/>
        </w:trPr>
        <w:tc>
          <w:tcPr>
            <w:tcW w:w="2040" w:type="dxa"/>
            <w:vAlign w:val="bottom"/>
            <w:tcBorders>
              <w:bottom w:val="single" w:sz="8" w:color="9A9A9A"/>
            </w:tcBorders>
          </w:tcPr>
          <w:p>
            <w:pPr>
              <w:spacing w:after="0"/>
              <w:rPr>
                <w:sz w:val="8"/>
                <w:szCs w:val="8"/>
                <w:color w:val="auto"/>
              </w:rPr>
            </w:pPr>
          </w:p>
        </w:tc>
        <w:tc>
          <w:tcPr>
            <w:tcW w:w="75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53"/>
        </w:trPr>
        <w:tc>
          <w:tcPr>
            <w:tcW w:w="2040" w:type="dxa"/>
            <w:vAlign w:val="bottom"/>
          </w:tcPr>
          <w:p>
            <w:pPr>
              <w:spacing w:after="0"/>
              <w:rPr>
                <w:sz w:val="21"/>
                <w:szCs w:val="21"/>
                <w:color w:val="auto"/>
              </w:rPr>
            </w:pPr>
          </w:p>
        </w:tc>
        <w:tc>
          <w:tcPr>
            <w:tcW w:w="8800" w:type="dxa"/>
            <w:vAlign w:val="bottom"/>
          </w:tcPr>
          <w:p>
            <w:pPr>
              <w:ind w:left="2520"/>
              <w:spacing w:after="0"/>
              <w:rPr>
                <w:sz w:val="20"/>
                <w:szCs w:val="20"/>
                <w:color w:val="auto"/>
              </w:rPr>
            </w:pPr>
            <w:r>
              <w:rPr>
                <w:rFonts w:ascii="Arial" w:cs="Arial" w:eastAsia="Arial" w:hAnsi="Arial"/>
                <w:sz w:val="22"/>
                <w:szCs w:val="22"/>
                <w:b w:val="1"/>
                <w:bCs w:val="1"/>
                <w:color w:val="auto"/>
              </w:rPr>
              <w:t>TABLE OF CONTENTS</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40" w:type="dxa"/>
            <w:vAlign w:val="bottom"/>
          </w:tcPr>
          <w:p>
            <w:pPr>
              <w:spacing w:after="0"/>
              <w:rPr>
                <w:sz w:val="23"/>
                <w:szCs w:val="23"/>
                <w:color w:val="auto"/>
              </w:rPr>
            </w:pPr>
          </w:p>
        </w:tc>
        <w:tc>
          <w:tcPr>
            <w:tcW w:w="8800" w:type="dxa"/>
            <w:vAlign w:val="bottom"/>
          </w:tcPr>
          <w:p>
            <w:pPr>
              <w:ind w:left="3180"/>
              <w:spacing w:after="0"/>
              <w:rPr>
                <w:sz w:val="20"/>
                <w:szCs w:val="20"/>
                <w:color w:val="auto"/>
              </w:rPr>
            </w:pPr>
            <w:r>
              <w:rPr>
                <w:rFonts w:ascii="Arial" w:cs="Arial" w:eastAsia="Arial" w:hAnsi="Arial"/>
                <w:sz w:val="22"/>
                <w:szCs w:val="22"/>
                <w:color w:val="auto"/>
              </w:rPr>
              <w:t>(continued)</w:t>
            </w:r>
          </w:p>
        </w:tc>
        <w:tc>
          <w:tcPr>
            <w:tcW w:w="5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2040" w:type="dxa"/>
            <w:vAlign w:val="bottom"/>
          </w:tcPr>
          <w:p>
            <w:pPr>
              <w:ind w:left="360"/>
              <w:spacing w:after="0"/>
              <w:rPr>
                <w:sz w:val="20"/>
                <w:szCs w:val="20"/>
                <w:color w:val="auto"/>
              </w:rPr>
            </w:pPr>
            <w:r>
              <w:rPr>
                <w:rFonts w:ascii="Arial" w:cs="Arial" w:eastAsia="Arial" w:hAnsi="Arial"/>
                <w:sz w:val="22"/>
                <w:szCs w:val="22"/>
                <w:color w:val="auto"/>
              </w:rPr>
              <w:t>SECTION 6.12.</w:t>
            </w:r>
          </w:p>
        </w:tc>
        <w:tc>
          <w:tcPr>
            <w:tcW w:w="8800" w:type="dxa"/>
            <w:vAlign w:val="bottom"/>
          </w:tcPr>
          <w:p>
            <w:pPr>
              <w:ind w:left="600"/>
              <w:spacing w:after="0"/>
              <w:rPr>
                <w:sz w:val="20"/>
                <w:szCs w:val="20"/>
                <w:color w:val="auto"/>
              </w:rPr>
            </w:pPr>
            <w:r>
              <w:rPr>
                <w:rFonts w:ascii="Arial" w:cs="Arial" w:eastAsia="Arial" w:hAnsi="Arial"/>
                <w:sz w:val="22"/>
                <w:szCs w:val="22"/>
                <w:color w:val="auto"/>
                <w:w w:val="89"/>
              </w:rPr>
              <w:t>Payments of Longer-Term Indebtedness, the 2022 Convertible Notes, the 2023 Notes and the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2024 Notes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6.13.</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Accounting Changes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c>
          <w:tcPr>
            <w:tcW w:w="0" w:type="dxa"/>
            <w:vAlign w:val="bottom"/>
          </w:tcPr>
          <w:p>
            <w:pPr>
              <w:spacing w:after="0"/>
              <w:rPr>
                <w:sz w:val="1"/>
                <w:szCs w:val="1"/>
                <w:color w:val="auto"/>
              </w:rPr>
            </w:pPr>
          </w:p>
        </w:tc>
      </w:tr>
      <w:tr>
        <w:trPr>
          <w:trHeight w:val="275"/>
        </w:trPr>
        <w:tc>
          <w:tcPr>
            <w:tcW w:w="2040" w:type="dxa"/>
            <w:vAlign w:val="bottom"/>
          </w:tcPr>
          <w:p>
            <w:pPr>
              <w:ind w:left="360"/>
              <w:spacing w:after="0"/>
              <w:rPr>
                <w:sz w:val="20"/>
                <w:szCs w:val="20"/>
                <w:color w:val="auto"/>
              </w:rPr>
            </w:pPr>
            <w:r>
              <w:rPr>
                <w:rFonts w:ascii="Arial" w:cs="Arial" w:eastAsia="Arial" w:hAnsi="Arial"/>
                <w:sz w:val="22"/>
                <w:szCs w:val="22"/>
                <w:color w:val="auto"/>
              </w:rPr>
              <w:t>SECTION 6.14.</w:t>
            </w:r>
          </w:p>
        </w:tc>
        <w:tc>
          <w:tcPr>
            <w:tcW w:w="8800" w:type="dxa"/>
            <w:vAlign w:val="bottom"/>
          </w:tcPr>
          <w:p>
            <w:pPr>
              <w:ind w:left="600"/>
              <w:spacing w:after="0"/>
              <w:rPr>
                <w:sz w:val="20"/>
                <w:szCs w:val="20"/>
                <w:color w:val="auto"/>
              </w:rPr>
            </w:pPr>
            <w:r>
              <w:rPr>
                <w:rFonts w:ascii="Arial" w:cs="Arial" w:eastAsia="Arial" w:hAnsi="Arial"/>
                <w:sz w:val="22"/>
                <w:szCs w:val="22"/>
                <w:color w:val="auto"/>
              </w:rPr>
              <w:t>SBIC Guarantee</w:t>
            </w:r>
          </w:p>
        </w:tc>
        <w:tc>
          <w:tcPr>
            <w:tcW w:w="580" w:type="dxa"/>
            <w:vAlign w:val="bottom"/>
          </w:tcPr>
          <w:p>
            <w:pPr>
              <w:jc w:val="right"/>
              <w:spacing w:after="0"/>
              <w:rPr>
                <w:sz w:val="20"/>
                <w:szCs w:val="20"/>
                <w:color w:val="auto"/>
              </w:rPr>
            </w:pPr>
            <w:r>
              <w:rPr>
                <w:rFonts w:ascii="Arial" w:cs="Arial" w:eastAsia="Arial" w:hAnsi="Arial"/>
                <w:sz w:val="22"/>
                <w:szCs w:val="22"/>
                <w:color w:val="auto"/>
              </w:rPr>
              <w:t>109</w:t>
            </w:r>
          </w:p>
        </w:tc>
        <w:tc>
          <w:tcPr>
            <w:tcW w:w="0" w:type="dxa"/>
            <w:vAlign w:val="bottom"/>
          </w:tcPr>
          <w:p>
            <w:pPr>
              <w:spacing w:after="0"/>
              <w:rPr>
                <w:sz w:val="1"/>
                <w:szCs w:val="1"/>
                <w:color w:val="auto"/>
              </w:rPr>
            </w:pPr>
          </w:p>
        </w:tc>
      </w:tr>
      <w:tr>
        <w:trPr>
          <w:trHeight w:val="365"/>
        </w:trPr>
        <w:tc>
          <w:tcPr>
            <w:tcW w:w="2040" w:type="dxa"/>
            <w:vAlign w:val="bottom"/>
          </w:tcPr>
          <w:p>
            <w:pPr>
              <w:spacing w:after="0"/>
              <w:rPr>
                <w:sz w:val="20"/>
                <w:szCs w:val="20"/>
                <w:color w:val="auto"/>
              </w:rPr>
            </w:pPr>
            <w:r>
              <w:rPr>
                <w:rFonts w:ascii="Arial" w:cs="Arial" w:eastAsia="Arial" w:hAnsi="Arial"/>
                <w:sz w:val="22"/>
                <w:szCs w:val="22"/>
                <w:color w:val="auto"/>
              </w:rPr>
              <w:t>ARTICLE VII</w:t>
            </w:r>
          </w:p>
        </w:tc>
        <w:tc>
          <w:tcPr>
            <w:tcW w:w="8800" w:type="dxa"/>
            <w:vAlign w:val="bottom"/>
          </w:tcPr>
          <w:p>
            <w:pPr>
              <w:ind w:left="260"/>
              <w:spacing w:after="0"/>
              <w:rPr>
                <w:sz w:val="20"/>
                <w:szCs w:val="20"/>
                <w:color w:val="auto"/>
              </w:rPr>
            </w:pPr>
            <w:r>
              <w:rPr>
                <w:rFonts w:ascii="Arial" w:cs="Arial" w:eastAsia="Arial" w:hAnsi="Arial"/>
                <w:sz w:val="22"/>
                <w:szCs w:val="22"/>
                <w:color w:val="auto"/>
              </w:rPr>
              <w:t>EVENTS OF DEFAULT</w:t>
            </w:r>
          </w:p>
        </w:tc>
        <w:tc>
          <w:tcPr>
            <w:tcW w:w="580" w:type="dxa"/>
            <w:vAlign w:val="bottom"/>
          </w:tcPr>
          <w:p>
            <w:pPr>
              <w:jc w:val="right"/>
              <w:spacing w:after="0"/>
              <w:rPr>
                <w:sz w:val="20"/>
                <w:szCs w:val="20"/>
                <w:color w:val="auto"/>
              </w:rPr>
            </w:pPr>
            <w:r>
              <w:rPr>
                <w:rFonts w:ascii="Arial" w:cs="Arial" w:eastAsia="Arial" w:hAnsi="Arial"/>
                <w:sz w:val="22"/>
                <w:szCs w:val="22"/>
                <w:color w:val="auto"/>
              </w:rPr>
              <w:t>109</w:t>
            </w:r>
          </w:p>
        </w:tc>
        <w:tc>
          <w:tcPr>
            <w:tcW w:w="0" w:type="dxa"/>
            <w:vAlign w:val="bottom"/>
          </w:tcPr>
          <w:p>
            <w:pPr>
              <w:spacing w:after="0"/>
              <w:rPr>
                <w:sz w:val="1"/>
                <w:szCs w:val="1"/>
                <w:color w:val="auto"/>
              </w:rPr>
            </w:pPr>
          </w:p>
        </w:tc>
      </w:tr>
      <w:tr>
        <w:trPr>
          <w:trHeight w:val="365"/>
        </w:trPr>
        <w:tc>
          <w:tcPr>
            <w:tcW w:w="2040" w:type="dxa"/>
            <w:vAlign w:val="bottom"/>
          </w:tcPr>
          <w:p>
            <w:pPr>
              <w:spacing w:after="0"/>
              <w:rPr>
                <w:sz w:val="20"/>
                <w:szCs w:val="20"/>
                <w:color w:val="auto"/>
              </w:rPr>
            </w:pPr>
            <w:r>
              <w:rPr>
                <w:rFonts w:ascii="Arial" w:cs="Arial" w:eastAsia="Arial" w:hAnsi="Arial"/>
                <w:sz w:val="22"/>
                <w:szCs w:val="22"/>
                <w:color w:val="auto"/>
              </w:rPr>
              <w:t>ARTICLE VIII</w:t>
            </w:r>
          </w:p>
        </w:tc>
        <w:tc>
          <w:tcPr>
            <w:tcW w:w="8800" w:type="dxa"/>
            <w:vAlign w:val="bottom"/>
          </w:tcPr>
          <w:p>
            <w:pPr>
              <w:ind w:left="260"/>
              <w:spacing w:after="0"/>
              <w:rPr>
                <w:sz w:val="20"/>
                <w:szCs w:val="20"/>
                <w:color w:val="auto"/>
              </w:rPr>
            </w:pPr>
            <w:r>
              <w:rPr>
                <w:rFonts w:ascii="Arial" w:cs="Arial" w:eastAsia="Arial" w:hAnsi="Arial"/>
                <w:sz w:val="22"/>
                <w:szCs w:val="22"/>
                <w:color w:val="auto"/>
              </w:rPr>
              <w:t>THE ADMINISTRATIVE AGENT</w:t>
            </w:r>
          </w:p>
        </w:tc>
        <w:tc>
          <w:tcPr>
            <w:tcW w:w="580" w:type="dxa"/>
            <w:vAlign w:val="bottom"/>
          </w:tcPr>
          <w:p>
            <w:pPr>
              <w:jc w:val="right"/>
              <w:spacing w:after="0"/>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333"/>
        </w:trPr>
        <w:tc>
          <w:tcPr>
            <w:tcW w:w="2040" w:type="dxa"/>
            <w:vAlign w:val="bottom"/>
          </w:tcPr>
          <w:p>
            <w:pPr>
              <w:ind w:left="360"/>
              <w:spacing w:after="0"/>
              <w:rPr>
                <w:sz w:val="20"/>
                <w:szCs w:val="20"/>
                <w:color w:val="auto"/>
              </w:rPr>
            </w:pPr>
            <w:r>
              <w:rPr>
                <w:rFonts w:ascii="Arial" w:cs="Arial" w:eastAsia="Arial" w:hAnsi="Arial"/>
                <w:sz w:val="22"/>
                <w:szCs w:val="22"/>
                <w:color w:val="auto"/>
              </w:rPr>
              <w:t>SECTION 8.01.</w:t>
            </w:r>
          </w:p>
        </w:tc>
        <w:tc>
          <w:tcPr>
            <w:tcW w:w="8800" w:type="dxa"/>
            <w:vAlign w:val="bottom"/>
          </w:tcPr>
          <w:p>
            <w:pPr>
              <w:ind w:left="600"/>
              <w:spacing w:after="0"/>
              <w:rPr>
                <w:sz w:val="20"/>
                <w:szCs w:val="20"/>
                <w:color w:val="auto"/>
              </w:rPr>
            </w:pPr>
            <w:r>
              <w:rPr>
                <w:rFonts w:ascii="Arial" w:cs="Arial" w:eastAsia="Arial" w:hAnsi="Arial"/>
                <w:sz w:val="22"/>
                <w:szCs w:val="22"/>
                <w:color w:val="auto"/>
              </w:rPr>
              <w:t>Appointment of the Administrative Agent</w:t>
            </w:r>
          </w:p>
        </w:tc>
        <w:tc>
          <w:tcPr>
            <w:tcW w:w="580" w:type="dxa"/>
            <w:vAlign w:val="bottom"/>
          </w:tcPr>
          <w:p>
            <w:pPr>
              <w:jc w:val="right"/>
              <w:spacing w:after="0"/>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8.02.</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Capacity as Lender</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8.03.</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Limitation of Duties; Exculpation</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8.04.</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Reliance</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8.05.</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Sub-Agents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8.06.</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Resignation; Successor Administrative Agent</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8.07.</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Reliance by Lenders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c>
          <w:tcPr>
            <w:tcW w:w="0" w:type="dxa"/>
            <w:vAlign w:val="bottom"/>
          </w:tcPr>
          <w:p>
            <w:pPr>
              <w:spacing w:after="0"/>
              <w:rPr>
                <w:sz w:val="1"/>
                <w:szCs w:val="1"/>
                <w:color w:val="auto"/>
              </w:rPr>
            </w:pPr>
          </w:p>
        </w:tc>
      </w:tr>
      <w:tr>
        <w:trPr>
          <w:trHeight w:val="275"/>
        </w:trPr>
        <w:tc>
          <w:tcPr>
            <w:tcW w:w="2040" w:type="dxa"/>
            <w:vAlign w:val="bottom"/>
          </w:tcPr>
          <w:p>
            <w:pPr>
              <w:ind w:left="360"/>
              <w:spacing w:after="0"/>
              <w:rPr>
                <w:sz w:val="20"/>
                <w:szCs w:val="20"/>
                <w:color w:val="auto"/>
              </w:rPr>
            </w:pPr>
            <w:r>
              <w:rPr>
                <w:rFonts w:ascii="Arial" w:cs="Arial" w:eastAsia="Arial" w:hAnsi="Arial"/>
                <w:sz w:val="22"/>
                <w:szCs w:val="22"/>
                <w:color w:val="auto"/>
              </w:rPr>
              <w:t>SECTION 8.08.</w:t>
            </w:r>
          </w:p>
        </w:tc>
        <w:tc>
          <w:tcPr>
            <w:tcW w:w="8800" w:type="dxa"/>
            <w:vAlign w:val="bottom"/>
          </w:tcPr>
          <w:p>
            <w:pPr>
              <w:ind w:left="600"/>
              <w:spacing w:after="0"/>
              <w:rPr>
                <w:sz w:val="20"/>
                <w:szCs w:val="20"/>
                <w:color w:val="auto"/>
              </w:rPr>
            </w:pPr>
            <w:r>
              <w:rPr>
                <w:rFonts w:ascii="Arial" w:cs="Arial" w:eastAsia="Arial" w:hAnsi="Arial"/>
                <w:sz w:val="22"/>
                <w:szCs w:val="22"/>
                <w:color w:val="auto"/>
              </w:rPr>
              <w:t>Modifications to Loan Documents</w:t>
            </w:r>
          </w:p>
        </w:tc>
        <w:tc>
          <w:tcPr>
            <w:tcW w:w="580" w:type="dxa"/>
            <w:vAlign w:val="bottom"/>
          </w:tcPr>
          <w:p>
            <w:pPr>
              <w:jc w:val="right"/>
              <w:spacing w:after="0"/>
              <w:rPr>
                <w:sz w:val="20"/>
                <w:szCs w:val="20"/>
                <w:color w:val="auto"/>
              </w:rPr>
            </w:pPr>
            <w:r>
              <w:rPr>
                <w:rFonts w:ascii="Arial" w:cs="Arial" w:eastAsia="Arial" w:hAnsi="Arial"/>
                <w:sz w:val="22"/>
                <w:szCs w:val="22"/>
                <w:color w:val="auto"/>
              </w:rPr>
              <w:t>116</w:t>
            </w:r>
          </w:p>
        </w:tc>
        <w:tc>
          <w:tcPr>
            <w:tcW w:w="0" w:type="dxa"/>
            <w:vAlign w:val="bottom"/>
          </w:tcPr>
          <w:p>
            <w:pPr>
              <w:spacing w:after="0"/>
              <w:rPr>
                <w:sz w:val="1"/>
                <w:szCs w:val="1"/>
                <w:color w:val="auto"/>
              </w:rPr>
            </w:pPr>
          </w:p>
        </w:tc>
      </w:tr>
      <w:tr>
        <w:trPr>
          <w:trHeight w:val="365"/>
        </w:trPr>
        <w:tc>
          <w:tcPr>
            <w:tcW w:w="2040" w:type="dxa"/>
            <w:vAlign w:val="bottom"/>
          </w:tcPr>
          <w:p>
            <w:pPr>
              <w:spacing w:after="0"/>
              <w:rPr>
                <w:sz w:val="20"/>
                <w:szCs w:val="20"/>
                <w:color w:val="auto"/>
              </w:rPr>
            </w:pPr>
            <w:r>
              <w:rPr>
                <w:rFonts w:ascii="Arial" w:cs="Arial" w:eastAsia="Arial" w:hAnsi="Arial"/>
                <w:sz w:val="22"/>
                <w:szCs w:val="22"/>
                <w:color w:val="auto"/>
              </w:rPr>
              <w:t>ARTICLE IX</w:t>
            </w:r>
          </w:p>
        </w:tc>
        <w:tc>
          <w:tcPr>
            <w:tcW w:w="8800" w:type="dxa"/>
            <w:vAlign w:val="bottom"/>
          </w:tcPr>
          <w:p>
            <w:pPr>
              <w:ind w:left="260"/>
              <w:spacing w:after="0"/>
              <w:rPr>
                <w:sz w:val="20"/>
                <w:szCs w:val="20"/>
                <w:color w:val="auto"/>
              </w:rPr>
            </w:pPr>
            <w:r>
              <w:rPr>
                <w:rFonts w:ascii="Arial" w:cs="Arial" w:eastAsia="Arial" w:hAnsi="Arial"/>
                <w:sz w:val="22"/>
                <w:szCs w:val="22"/>
                <w:color w:val="auto"/>
              </w:rPr>
              <w:t>MISCELLANEOUS</w:t>
            </w:r>
          </w:p>
        </w:tc>
        <w:tc>
          <w:tcPr>
            <w:tcW w:w="580" w:type="dxa"/>
            <w:vAlign w:val="bottom"/>
          </w:tcPr>
          <w:p>
            <w:pPr>
              <w:jc w:val="right"/>
              <w:spacing w:after="0"/>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333"/>
        </w:trPr>
        <w:tc>
          <w:tcPr>
            <w:tcW w:w="2040" w:type="dxa"/>
            <w:vAlign w:val="bottom"/>
          </w:tcPr>
          <w:p>
            <w:pPr>
              <w:ind w:left="360"/>
              <w:spacing w:after="0"/>
              <w:rPr>
                <w:sz w:val="20"/>
                <w:szCs w:val="20"/>
                <w:color w:val="auto"/>
              </w:rPr>
            </w:pPr>
            <w:r>
              <w:rPr>
                <w:rFonts w:ascii="Arial" w:cs="Arial" w:eastAsia="Arial" w:hAnsi="Arial"/>
                <w:sz w:val="22"/>
                <w:szCs w:val="22"/>
                <w:color w:val="auto"/>
              </w:rPr>
              <w:t>SECTION 9.01.</w:t>
            </w:r>
          </w:p>
        </w:tc>
        <w:tc>
          <w:tcPr>
            <w:tcW w:w="8800" w:type="dxa"/>
            <w:vAlign w:val="bottom"/>
          </w:tcPr>
          <w:p>
            <w:pPr>
              <w:ind w:left="600"/>
              <w:spacing w:after="0"/>
              <w:rPr>
                <w:sz w:val="20"/>
                <w:szCs w:val="20"/>
                <w:color w:val="auto"/>
              </w:rPr>
            </w:pPr>
            <w:r>
              <w:rPr>
                <w:rFonts w:ascii="Arial" w:cs="Arial" w:eastAsia="Arial" w:hAnsi="Arial"/>
                <w:sz w:val="22"/>
                <w:szCs w:val="22"/>
                <w:color w:val="auto"/>
              </w:rPr>
              <w:t>Notices; Electronic Communications</w:t>
            </w:r>
          </w:p>
        </w:tc>
        <w:tc>
          <w:tcPr>
            <w:tcW w:w="580" w:type="dxa"/>
            <w:vAlign w:val="bottom"/>
          </w:tcPr>
          <w:p>
            <w:pPr>
              <w:jc w:val="right"/>
              <w:spacing w:after="0"/>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9.02.</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Waivers; Amendments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119</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9.03.</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Expenses; Indemnity; Damage Waiver</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121</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9.04.</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Successors and Assigns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123</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9.05.</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Survival</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128</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9.06.</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Counterparts; Integration; Effectiveness; Electronic Execution</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9.07.</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Severability</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9.08.</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Right of Setoff</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9.09.</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Governing Law; Jurisdiction; Etc</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130</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9.10.</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WAIVER OF JURY TRIAL</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130</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9.11.</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Judgment Currency</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131</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9.12.</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Headings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131</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9.13.</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Treatment of Certain Information; No Fiduciary Duty; Confidentiality</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131</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9.14.</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USA PATRIOT Act</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133</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9.15.</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Effect of Amendment and Restatement of the Existing Credit Agreement</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133</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9.16.</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Reaffirmation of Guarantee and Security Agreement</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134</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9.17.</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Acknowledgement and Consent to Bail-In of EEA Financial Institutions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134</w:t>
            </w:r>
          </w:p>
        </w:tc>
        <w:tc>
          <w:tcPr>
            <w:tcW w:w="0" w:type="dxa"/>
            <w:vAlign w:val="bottom"/>
          </w:tcPr>
          <w:p>
            <w:pPr>
              <w:spacing w:after="0"/>
              <w:rPr>
                <w:sz w:val="1"/>
                <w:szCs w:val="1"/>
                <w:color w:val="auto"/>
              </w:rPr>
            </w:pPr>
          </w:p>
        </w:tc>
      </w:tr>
      <w:tr>
        <w:trPr>
          <w:trHeight w:val="243"/>
        </w:trPr>
        <w:tc>
          <w:tcPr>
            <w:tcW w:w="2040" w:type="dxa"/>
            <w:vAlign w:val="bottom"/>
          </w:tcPr>
          <w:p>
            <w:pPr>
              <w:ind w:left="360"/>
              <w:spacing w:after="0" w:line="243" w:lineRule="exact"/>
              <w:rPr>
                <w:sz w:val="20"/>
                <w:szCs w:val="20"/>
                <w:color w:val="auto"/>
              </w:rPr>
            </w:pPr>
            <w:r>
              <w:rPr>
                <w:rFonts w:ascii="Arial" w:cs="Arial" w:eastAsia="Arial" w:hAnsi="Arial"/>
                <w:sz w:val="22"/>
                <w:szCs w:val="22"/>
                <w:color w:val="auto"/>
              </w:rPr>
              <w:t>SECTION 9.18.</w:t>
            </w:r>
          </w:p>
        </w:tc>
        <w:tc>
          <w:tcPr>
            <w:tcW w:w="8800" w:type="dxa"/>
            <w:vAlign w:val="bottom"/>
          </w:tcPr>
          <w:p>
            <w:pPr>
              <w:ind w:left="600"/>
              <w:spacing w:after="0" w:line="243" w:lineRule="exact"/>
              <w:rPr>
                <w:sz w:val="20"/>
                <w:szCs w:val="20"/>
                <w:color w:val="auto"/>
              </w:rPr>
            </w:pPr>
            <w:r>
              <w:rPr>
                <w:rFonts w:ascii="Arial" w:cs="Arial" w:eastAsia="Arial" w:hAnsi="Arial"/>
                <w:sz w:val="22"/>
                <w:szCs w:val="22"/>
                <w:color w:val="auto"/>
              </w:rPr>
              <w:t>Certain ERISA Matters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134</w:t>
            </w:r>
          </w:p>
        </w:tc>
        <w:tc>
          <w:tcPr>
            <w:tcW w:w="0" w:type="dxa"/>
            <w:vAlign w:val="bottom"/>
          </w:tcPr>
          <w:p>
            <w:pPr>
              <w:spacing w:after="0"/>
              <w:rPr>
                <w:sz w:val="1"/>
                <w:szCs w:val="1"/>
                <w:color w:val="auto"/>
              </w:rPr>
            </w:pPr>
          </w:p>
        </w:tc>
      </w:tr>
      <w:tr>
        <w:trPr>
          <w:trHeight w:val="275"/>
        </w:trPr>
        <w:tc>
          <w:tcPr>
            <w:tcW w:w="2040" w:type="dxa"/>
            <w:vAlign w:val="bottom"/>
          </w:tcPr>
          <w:p>
            <w:pPr>
              <w:ind w:left="360"/>
              <w:spacing w:after="0"/>
              <w:rPr>
                <w:sz w:val="20"/>
                <w:szCs w:val="20"/>
                <w:color w:val="auto"/>
              </w:rPr>
            </w:pPr>
            <w:r>
              <w:rPr>
                <w:rFonts w:ascii="Arial" w:cs="Arial" w:eastAsia="Arial" w:hAnsi="Arial"/>
                <w:sz w:val="22"/>
                <w:szCs w:val="22"/>
                <w:color w:val="auto"/>
              </w:rPr>
              <w:t>SECTION 9.19.</w:t>
            </w:r>
          </w:p>
        </w:tc>
        <w:tc>
          <w:tcPr>
            <w:tcW w:w="8800" w:type="dxa"/>
            <w:vAlign w:val="bottom"/>
          </w:tcPr>
          <w:p>
            <w:pPr>
              <w:ind w:left="600"/>
              <w:spacing w:after="0"/>
              <w:rPr>
                <w:sz w:val="20"/>
                <w:szCs w:val="20"/>
                <w:color w:val="auto"/>
              </w:rPr>
            </w:pPr>
            <w:r>
              <w:rPr>
                <w:rFonts w:ascii="Arial" w:cs="Arial" w:eastAsia="Arial" w:hAnsi="Arial"/>
                <w:sz w:val="22"/>
                <w:szCs w:val="22"/>
                <w:color w:val="auto"/>
              </w:rPr>
              <w:t>Acknowledgement Regarding Any Supported QFCs</w:t>
            </w:r>
          </w:p>
        </w:tc>
        <w:tc>
          <w:tcPr>
            <w:tcW w:w="580" w:type="dxa"/>
            <w:vAlign w:val="bottom"/>
          </w:tcPr>
          <w:p>
            <w:pPr>
              <w:jc w:val="right"/>
              <w:spacing w:after="0"/>
              <w:rPr>
                <w:sz w:val="20"/>
                <w:szCs w:val="20"/>
                <w:color w:val="auto"/>
              </w:rPr>
            </w:pPr>
            <w:r>
              <w:rPr>
                <w:rFonts w:ascii="Arial" w:cs="Arial" w:eastAsia="Arial" w:hAnsi="Arial"/>
                <w:sz w:val="22"/>
                <w:szCs w:val="22"/>
                <w:color w:val="auto"/>
              </w:rPr>
              <w:t>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735985467 11299570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53"/>
        </w:trPr>
        <w:tc>
          <w:tcPr>
            <w:tcW w:w="2220" w:type="dxa"/>
            <w:vAlign w:val="bottom"/>
          </w:tcPr>
          <w:p>
            <w:pPr>
              <w:spacing w:after="0"/>
              <w:rPr>
                <w:sz w:val="20"/>
                <w:szCs w:val="20"/>
                <w:color w:val="auto"/>
              </w:rPr>
            </w:pPr>
            <w:r>
              <w:rPr>
                <w:rFonts w:ascii="Arial" w:cs="Arial" w:eastAsia="Arial" w:hAnsi="Arial"/>
                <w:sz w:val="22"/>
                <w:szCs w:val="22"/>
                <w:color w:val="auto"/>
              </w:rPr>
              <w:t>SCHEDULE 1.01(a)</w:t>
            </w:r>
          </w:p>
        </w:tc>
        <w:tc>
          <w:tcPr>
            <w:tcW w:w="9220" w:type="dxa"/>
            <w:vAlign w:val="bottom"/>
          </w:tcPr>
          <w:p>
            <w:pPr>
              <w:ind w:left="400"/>
              <w:spacing w:after="0"/>
              <w:rPr>
                <w:sz w:val="20"/>
                <w:szCs w:val="20"/>
                <w:color w:val="auto"/>
              </w:rPr>
            </w:pPr>
            <w:r>
              <w:rPr>
                <w:rFonts w:ascii="Arial" w:cs="Arial" w:eastAsia="Arial" w:hAnsi="Arial"/>
                <w:sz w:val="22"/>
                <w:szCs w:val="22"/>
                <w:color w:val="auto"/>
              </w:rPr>
              <w:t>- Approved Dealers and Approved Pricing Services</w:t>
            </w:r>
          </w:p>
        </w:tc>
      </w:tr>
      <w:tr>
        <w:trPr>
          <w:trHeight w:val="243"/>
        </w:trPr>
        <w:tc>
          <w:tcPr>
            <w:tcW w:w="2220" w:type="dxa"/>
            <w:vAlign w:val="bottom"/>
          </w:tcPr>
          <w:p>
            <w:pPr>
              <w:spacing w:after="0" w:line="243" w:lineRule="exact"/>
              <w:rPr>
                <w:sz w:val="20"/>
                <w:szCs w:val="20"/>
                <w:color w:val="auto"/>
              </w:rPr>
            </w:pPr>
            <w:r>
              <w:rPr>
                <w:rFonts w:ascii="Arial" w:cs="Arial" w:eastAsia="Arial" w:hAnsi="Arial"/>
                <w:sz w:val="22"/>
                <w:szCs w:val="22"/>
                <w:color w:val="auto"/>
              </w:rPr>
              <w:t>SCHEDULE 1.01(b)</w:t>
            </w:r>
          </w:p>
        </w:tc>
        <w:tc>
          <w:tcPr>
            <w:tcW w:w="9220" w:type="dxa"/>
            <w:vAlign w:val="bottom"/>
          </w:tcPr>
          <w:p>
            <w:pPr>
              <w:ind w:left="400"/>
              <w:spacing w:after="0" w:line="243" w:lineRule="exact"/>
              <w:rPr>
                <w:sz w:val="20"/>
                <w:szCs w:val="20"/>
                <w:color w:val="auto"/>
              </w:rPr>
            </w:pPr>
            <w:r>
              <w:rPr>
                <w:rFonts w:ascii="Arial" w:cs="Arial" w:eastAsia="Arial" w:hAnsi="Arial"/>
                <w:sz w:val="22"/>
                <w:szCs w:val="22"/>
                <w:color w:val="auto"/>
              </w:rPr>
              <w:t>- Commitments</w:t>
            </w:r>
          </w:p>
        </w:tc>
      </w:tr>
      <w:tr>
        <w:trPr>
          <w:trHeight w:val="243"/>
        </w:trPr>
        <w:tc>
          <w:tcPr>
            <w:tcW w:w="2220" w:type="dxa"/>
            <w:vAlign w:val="bottom"/>
          </w:tcPr>
          <w:p>
            <w:pPr>
              <w:spacing w:after="0" w:line="243" w:lineRule="exact"/>
              <w:rPr>
                <w:sz w:val="20"/>
                <w:szCs w:val="20"/>
                <w:color w:val="auto"/>
              </w:rPr>
            </w:pPr>
            <w:r>
              <w:rPr>
                <w:rFonts w:ascii="Arial" w:cs="Arial" w:eastAsia="Arial" w:hAnsi="Arial"/>
                <w:sz w:val="22"/>
                <w:szCs w:val="22"/>
                <w:color w:val="auto"/>
              </w:rPr>
              <w:t>SCHEDULE 1.01(c)</w:t>
            </w:r>
          </w:p>
        </w:tc>
        <w:tc>
          <w:tcPr>
            <w:tcW w:w="9220" w:type="dxa"/>
            <w:vAlign w:val="bottom"/>
          </w:tcPr>
          <w:p>
            <w:pPr>
              <w:ind w:left="400"/>
              <w:spacing w:after="0" w:line="243" w:lineRule="exact"/>
              <w:rPr>
                <w:sz w:val="20"/>
                <w:szCs w:val="20"/>
                <w:color w:val="auto"/>
              </w:rPr>
            </w:pPr>
            <w:r>
              <w:rPr>
                <w:rFonts w:ascii="Arial" w:cs="Arial" w:eastAsia="Arial" w:hAnsi="Arial"/>
                <w:sz w:val="22"/>
                <w:szCs w:val="22"/>
                <w:color w:val="auto"/>
              </w:rPr>
              <w:t>- Industry Classification Group List</w:t>
            </w:r>
          </w:p>
        </w:tc>
      </w:tr>
      <w:tr>
        <w:trPr>
          <w:trHeight w:val="243"/>
        </w:trPr>
        <w:tc>
          <w:tcPr>
            <w:tcW w:w="2220" w:type="dxa"/>
            <w:vAlign w:val="bottom"/>
          </w:tcPr>
          <w:p>
            <w:pPr>
              <w:spacing w:after="0" w:line="243" w:lineRule="exact"/>
              <w:rPr>
                <w:sz w:val="20"/>
                <w:szCs w:val="20"/>
                <w:color w:val="auto"/>
              </w:rPr>
            </w:pPr>
            <w:r>
              <w:rPr>
                <w:rFonts w:ascii="Arial" w:cs="Arial" w:eastAsia="Arial" w:hAnsi="Arial"/>
                <w:sz w:val="22"/>
                <w:szCs w:val="22"/>
                <w:color w:val="auto"/>
              </w:rPr>
              <w:t>SCHEDULE 2.05</w:t>
            </w:r>
          </w:p>
        </w:tc>
        <w:tc>
          <w:tcPr>
            <w:tcW w:w="9220" w:type="dxa"/>
            <w:vAlign w:val="bottom"/>
          </w:tcPr>
          <w:p>
            <w:pPr>
              <w:ind w:left="400"/>
              <w:spacing w:after="0" w:line="243" w:lineRule="exact"/>
              <w:rPr>
                <w:sz w:val="20"/>
                <w:szCs w:val="20"/>
                <w:color w:val="auto"/>
              </w:rPr>
            </w:pPr>
            <w:r>
              <w:rPr>
                <w:rFonts w:ascii="Arial" w:cs="Arial" w:eastAsia="Arial" w:hAnsi="Arial"/>
                <w:sz w:val="22"/>
                <w:szCs w:val="22"/>
                <w:color w:val="auto"/>
              </w:rPr>
              <w:t>- Issuing Bank LC Exposure</w:t>
            </w:r>
          </w:p>
        </w:tc>
      </w:tr>
      <w:tr>
        <w:trPr>
          <w:trHeight w:val="243"/>
        </w:trPr>
        <w:tc>
          <w:tcPr>
            <w:tcW w:w="2220" w:type="dxa"/>
            <w:vAlign w:val="bottom"/>
          </w:tcPr>
          <w:p>
            <w:pPr>
              <w:spacing w:after="0" w:line="243" w:lineRule="exact"/>
              <w:rPr>
                <w:sz w:val="20"/>
                <w:szCs w:val="20"/>
                <w:color w:val="auto"/>
              </w:rPr>
            </w:pPr>
            <w:r>
              <w:rPr>
                <w:rFonts w:ascii="Arial" w:cs="Arial" w:eastAsia="Arial" w:hAnsi="Arial"/>
                <w:sz w:val="22"/>
                <w:szCs w:val="22"/>
                <w:color w:val="auto"/>
              </w:rPr>
              <w:t>SCHEDULE 3.11</w:t>
            </w:r>
          </w:p>
        </w:tc>
        <w:tc>
          <w:tcPr>
            <w:tcW w:w="9220" w:type="dxa"/>
            <w:vAlign w:val="bottom"/>
          </w:tcPr>
          <w:p>
            <w:pPr>
              <w:ind w:left="400"/>
              <w:spacing w:after="0" w:line="243" w:lineRule="exact"/>
              <w:rPr>
                <w:sz w:val="20"/>
                <w:szCs w:val="20"/>
                <w:color w:val="auto"/>
              </w:rPr>
            </w:pPr>
            <w:r>
              <w:rPr>
                <w:rFonts w:ascii="Arial" w:cs="Arial" w:eastAsia="Arial" w:hAnsi="Arial"/>
                <w:sz w:val="22"/>
                <w:szCs w:val="22"/>
                <w:color w:val="auto"/>
              </w:rPr>
              <w:t>- Material Agreements and Liens</w:t>
            </w:r>
          </w:p>
        </w:tc>
      </w:tr>
      <w:tr>
        <w:trPr>
          <w:trHeight w:val="243"/>
        </w:trPr>
        <w:tc>
          <w:tcPr>
            <w:tcW w:w="2220" w:type="dxa"/>
            <w:vAlign w:val="bottom"/>
          </w:tcPr>
          <w:p>
            <w:pPr>
              <w:spacing w:after="0" w:line="243" w:lineRule="exact"/>
              <w:rPr>
                <w:sz w:val="20"/>
                <w:szCs w:val="20"/>
                <w:color w:val="auto"/>
              </w:rPr>
            </w:pPr>
            <w:r>
              <w:rPr>
                <w:rFonts w:ascii="Arial" w:cs="Arial" w:eastAsia="Arial" w:hAnsi="Arial"/>
                <w:sz w:val="22"/>
                <w:szCs w:val="22"/>
                <w:color w:val="auto"/>
              </w:rPr>
              <w:t>SCHEDULE 3.12(a)</w:t>
            </w:r>
          </w:p>
        </w:tc>
        <w:tc>
          <w:tcPr>
            <w:tcW w:w="9220" w:type="dxa"/>
            <w:vAlign w:val="bottom"/>
          </w:tcPr>
          <w:p>
            <w:pPr>
              <w:ind w:left="400"/>
              <w:spacing w:after="0" w:line="243" w:lineRule="exact"/>
              <w:rPr>
                <w:sz w:val="20"/>
                <w:szCs w:val="20"/>
                <w:color w:val="auto"/>
              </w:rPr>
            </w:pPr>
            <w:r>
              <w:rPr>
                <w:rFonts w:ascii="Arial" w:cs="Arial" w:eastAsia="Arial" w:hAnsi="Arial"/>
                <w:sz w:val="22"/>
                <w:szCs w:val="22"/>
                <w:color w:val="auto"/>
              </w:rPr>
              <w:t>- Subsidiaries</w:t>
            </w:r>
          </w:p>
        </w:tc>
      </w:tr>
      <w:tr>
        <w:trPr>
          <w:trHeight w:val="243"/>
        </w:trPr>
        <w:tc>
          <w:tcPr>
            <w:tcW w:w="2220" w:type="dxa"/>
            <w:vAlign w:val="bottom"/>
          </w:tcPr>
          <w:p>
            <w:pPr>
              <w:spacing w:after="0" w:line="243" w:lineRule="exact"/>
              <w:rPr>
                <w:sz w:val="20"/>
                <w:szCs w:val="20"/>
                <w:color w:val="auto"/>
              </w:rPr>
            </w:pPr>
            <w:r>
              <w:rPr>
                <w:rFonts w:ascii="Arial" w:cs="Arial" w:eastAsia="Arial" w:hAnsi="Arial"/>
                <w:sz w:val="22"/>
                <w:szCs w:val="22"/>
                <w:color w:val="auto"/>
              </w:rPr>
              <w:t>SCHEDULE 3.12(b)</w:t>
            </w:r>
          </w:p>
        </w:tc>
        <w:tc>
          <w:tcPr>
            <w:tcW w:w="9220" w:type="dxa"/>
            <w:vAlign w:val="bottom"/>
          </w:tcPr>
          <w:p>
            <w:pPr>
              <w:ind w:left="400"/>
              <w:spacing w:after="0" w:line="243" w:lineRule="exact"/>
              <w:rPr>
                <w:sz w:val="20"/>
                <w:szCs w:val="20"/>
                <w:color w:val="auto"/>
              </w:rPr>
            </w:pPr>
            <w:r>
              <w:rPr>
                <w:rFonts w:ascii="Arial" w:cs="Arial" w:eastAsia="Arial" w:hAnsi="Arial"/>
                <w:sz w:val="22"/>
                <w:szCs w:val="22"/>
                <w:color w:val="auto"/>
              </w:rPr>
              <w:t>- Investments</w:t>
            </w:r>
          </w:p>
        </w:tc>
      </w:t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SCHEDULE 6.08</w:t>
            </w:r>
          </w:p>
        </w:tc>
        <w:tc>
          <w:tcPr>
            <w:tcW w:w="9220" w:type="dxa"/>
            <w:vAlign w:val="bottom"/>
          </w:tcPr>
          <w:p>
            <w:pPr>
              <w:ind w:left="400"/>
              <w:spacing w:after="0"/>
              <w:rPr>
                <w:sz w:val="20"/>
                <w:szCs w:val="20"/>
                <w:color w:val="auto"/>
              </w:rPr>
            </w:pPr>
            <w:r>
              <w:rPr>
                <w:rFonts w:ascii="Arial" w:cs="Arial" w:eastAsia="Arial" w:hAnsi="Arial"/>
                <w:sz w:val="22"/>
                <w:szCs w:val="22"/>
                <w:color w:val="auto"/>
              </w:rPr>
              <w:t>- Transactions with Affiliates</w:t>
            </w:r>
          </w:p>
        </w:tc>
      </w:tr>
      <w:tr>
        <w:trPr>
          <w:trHeight w:val="860"/>
        </w:trPr>
        <w:tc>
          <w:tcPr>
            <w:tcW w:w="2220" w:type="dxa"/>
            <w:vAlign w:val="bottom"/>
          </w:tcPr>
          <w:p>
            <w:pPr>
              <w:spacing w:after="0"/>
              <w:rPr>
                <w:sz w:val="20"/>
                <w:szCs w:val="20"/>
                <w:color w:val="auto"/>
              </w:rPr>
            </w:pPr>
            <w:r>
              <w:rPr>
                <w:rFonts w:ascii="Arial" w:cs="Arial" w:eastAsia="Arial" w:hAnsi="Arial"/>
                <w:sz w:val="22"/>
                <w:szCs w:val="22"/>
                <w:color w:val="auto"/>
              </w:rPr>
              <w:t>EXHIBIT A</w:t>
            </w:r>
          </w:p>
        </w:tc>
        <w:tc>
          <w:tcPr>
            <w:tcW w:w="9220" w:type="dxa"/>
            <w:vAlign w:val="bottom"/>
          </w:tcPr>
          <w:p>
            <w:pPr>
              <w:ind w:left="400"/>
              <w:spacing w:after="0"/>
              <w:rPr>
                <w:sz w:val="20"/>
                <w:szCs w:val="20"/>
                <w:color w:val="auto"/>
              </w:rPr>
            </w:pPr>
            <w:r>
              <w:rPr>
                <w:rFonts w:ascii="Arial" w:cs="Arial" w:eastAsia="Arial" w:hAnsi="Arial"/>
                <w:sz w:val="22"/>
                <w:szCs w:val="22"/>
                <w:color w:val="auto"/>
              </w:rPr>
              <w:t>- Form of Assignment and Assumption</w:t>
            </w:r>
          </w:p>
        </w:tc>
      </w:tr>
      <w:tr>
        <w:trPr>
          <w:trHeight w:val="243"/>
        </w:trPr>
        <w:tc>
          <w:tcPr>
            <w:tcW w:w="2220" w:type="dxa"/>
            <w:vAlign w:val="bottom"/>
          </w:tcPr>
          <w:p>
            <w:pPr>
              <w:spacing w:after="0" w:line="243" w:lineRule="exact"/>
              <w:rPr>
                <w:sz w:val="20"/>
                <w:szCs w:val="20"/>
                <w:color w:val="auto"/>
              </w:rPr>
            </w:pPr>
            <w:r>
              <w:rPr>
                <w:rFonts w:ascii="Arial" w:cs="Arial" w:eastAsia="Arial" w:hAnsi="Arial"/>
                <w:sz w:val="22"/>
                <w:szCs w:val="22"/>
                <w:color w:val="auto"/>
              </w:rPr>
              <w:t>EXHIBIT B</w:t>
            </w:r>
          </w:p>
        </w:tc>
        <w:tc>
          <w:tcPr>
            <w:tcW w:w="9220" w:type="dxa"/>
            <w:vAlign w:val="bottom"/>
          </w:tcPr>
          <w:p>
            <w:pPr>
              <w:ind w:left="400"/>
              <w:spacing w:after="0" w:line="243" w:lineRule="exact"/>
              <w:rPr>
                <w:sz w:val="20"/>
                <w:szCs w:val="20"/>
                <w:color w:val="auto"/>
              </w:rPr>
            </w:pPr>
            <w:r>
              <w:rPr>
                <w:rFonts w:ascii="Arial" w:cs="Arial" w:eastAsia="Arial" w:hAnsi="Arial"/>
                <w:sz w:val="22"/>
                <w:szCs w:val="22"/>
                <w:color w:val="auto"/>
              </w:rPr>
              <w:t>- Form of Borrowing Base Certificate</w:t>
            </w:r>
          </w:p>
        </w:tc>
      </w:t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EXHIBIT C</w:t>
            </w:r>
          </w:p>
        </w:tc>
        <w:tc>
          <w:tcPr>
            <w:tcW w:w="9220" w:type="dxa"/>
            <w:vAlign w:val="bottom"/>
          </w:tcPr>
          <w:p>
            <w:pPr>
              <w:ind w:left="400"/>
              <w:spacing w:after="0"/>
              <w:rPr>
                <w:sz w:val="20"/>
                <w:szCs w:val="20"/>
                <w:color w:val="auto"/>
              </w:rPr>
            </w:pPr>
            <w:r>
              <w:rPr>
                <w:rFonts w:ascii="Arial" w:cs="Arial" w:eastAsia="Arial" w:hAnsi="Arial"/>
                <w:sz w:val="22"/>
                <w:szCs w:val="22"/>
                <w:color w:val="auto"/>
              </w:rPr>
              <w:t>- Form of Borrowing Request</w:t>
            </w:r>
          </w:p>
        </w:tc>
      </w:tr>
      <w:tr>
        <w:trPr>
          <w:trHeight w:val="996"/>
        </w:trPr>
        <w:tc>
          <w:tcPr>
            <w:tcW w:w="2220" w:type="dxa"/>
            <w:vAlign w:val="bottom"/>
            <w:tcBorders>
              <w:bottom w:val="single" w:sz="8" w:color="9A9A9A"/>
            </w:tcBorders>
          </w:tcPr>
          <w:p>
            <w:pPr>
              <w:spacing w:after="0"/>
              <w:rPr>
                <w:sz w:val="24"/>
                <w:szCs w:val="24"/>
                <w:color w:val="auto"/>
              </w:rPr>
            </w:pPr>
          </w:p>
        </w:tc>
        <w:tc>
          <w:tcPr>
            <w:tcW w:w="9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166" w:name="page167"/>
    <w:bookmarkEnd w:id="166"/>
    <w:p>
      <w:pPr>
        <w:jc w:val="both"/>
        <w:ind w:firstLine="1755"/>
        <w:spacing w:after="0" w:line="282" w:lineRule="auto"/>
        <w:rPr>
          <w:sz w:val="20"/>
          <w:szCs w:val="20"/>
          <w:color w:val="auto"/>
        </w:rPr>
      </w:pPr>
      <w:r>
        <w:rPr>
          <w:rFonts w:ascii="Arial" w:cs="Arial" w:eastAsia="Arial" w:hAnsi="Arial"/>
          <w:sz w:val="19"/>
          <w:szCs w:val="19"/>
          <w:color w:val="auto"/>
        </w:rPr>
        <w:t>SECOND AMENDED AND RESTATED SENIOR SECURED REVOLVING CREDIT AGREEMENT dated as of February 27, 2014, as amended as of June 3, 2014, as of June 27, 2014, as of October 17, 2014, as of October 2, 2015, as of December 22, 2016, as of February 20, 2018, as of November 5, 2018, as of February 14, 2019 and as of January 31, 2020 (this “</w:t>
      </w:r>
      <w:r>
        <w:rPr>
          <w:rFonts w:ascii="Arial" w:cs="Arial" w:eastAsia="Arial" w:hAnsi="Arial"/>
          <w:sz w:val="19"/>
          <w:szCs w:val="19"/>
          <w:u w:val="single" w:color="auto"/>
          <w:color w:val="auto"/>
        </w:rPr>
        <w:t>Agreement</w:t>
      </w:r>
      <w:r>
        <w:rPr>
          <w:rFonts w:ascii="Arial" w:cs="Arial" w:eastAsia="Arial" w:hAnsi="Arial"/>
          <w:sz w:val="19"/>
          <w:szCs w:val="19"/>
          <w:color w:val="auto"/>
        </w:rPr>
        <w:t>”), among TPG SPECIALTY LENDING,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party hereto, and TRUIST BANK (as successor by merger to SunTrust Bank), as Administrative Agent.</w:t>
      </w:r>
    </w:p>
    <w:p>
      <w:pPr>
        <w:spacing w:after="0" w:line="148"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The original Senior Secured Revolving Credit Agreement was dated as of August 23, 2012 and was amended and restated pursuant to the Amended and Restated Senior Secured Revolving Credit Agreement dated as of July 2, 2013 (as amended, supplemented or otherwise modified prior to the Effective Date, the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among the Borrower, the lenders party thereto (collectively, the “</w:t>
      </w:r>
      <w:r>
        <w:rPr>
          <w:rFonts w:ascii="Arial" w:cs="Arial" w:eastAsia="Arial" w:hAnsi="Arial"/>
          <w:sz w:val="22"/>
          <w:szCs w:val="22"/>
          <w:u w:val="single" w:color="auto"/>
          <w:color w:val="auto"/>
        </w:rPr>
        <w:t>Existing Lenders</w:t>
      </w:r>
      <w:r>
        <w:rPr>
          <w:rFonts w:ascii="Arial" w:cs="Arial" w:eastAsia="Arial" w:hAnsi="Arial"/>
          <w:sz w:val="22"/>
          <w:szCs w:val="22"/>
          <w:color w:val="auto"/>
        </w:rPr>
        <w:t>”) and the Administrative Agent, the Existing Lenders agreed to make extensions of credit to the Borrower on the terms and conditions set forth therein, including making loans (the “</w:t>
      </w:r>
      <w:r>
        <w:rPr>
          <w:rFonts w:ascii="Arial" w:cs="Arial" w:eastAsia="Arial" w:hAnsi="Arial"/>
          <w:sz w:val="22"/>
          <w:szCs w:val="22"/>
          <w:u w:val="single" w:color="auto"/>
          <w:color w:val="auto"/>
        </w:rPr>
        <w:t>Existing Loans</w:t>
      </w:r>
      <w:r>
        <w:rPr>
          <w:rFonts w:ascii="Arial" w:cs="Arial" w:eastAsia="Arial" w:hAnsi="Arial"/>
          <w:sz w:val="22"/>
          <w:szCs w:val="22"/>
          <w:color w:val="auto"/>
        </w:rPr>
        <w:t>”) to the Borrower.</w:t>
      </w:r>
    </w:p>
    <w:p>
      <w:pPr>
        <w:spacing w:after="0" w:line="188"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62"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The parties hereto hereby agree to amend and restate the Existing Credit Agreement, and the Existing Credit Agreement is hereby amended and restated in its entirety as follows: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DEFINITIONS</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2022 Convertible Notes</w:t>
      </w:r>
      <w:r>
        <w:rPr>
          <w:rFonts w:ascii="Arial" w:cs="Arial" w:eastAsia="Arial" w:hAnsi="Arial"/>
          <w:sz w:val="19"/>
          <w:szCs w:val="19"/>
          <w:color w:val="auto"/>
        </w:rPr>
        <w:t>” means the Borrower’s $172,500,000 aggregate principal amount convertible notes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due August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7" w:name="page168"/>
    <w:bookmarkEnd w:id="167"/>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2023 Notes</w:t>
      </w:r>
      <w:r>
        <w:rPr>
          <w:rFonts w:ascii="Arial" w:cs="Arial" w:eastAsia="Arial" w:hAnsi="Arial"/>
          <w:sz w:val="19"/>
          <w:szCs w:val="19"/>
          <w:color w:val="auto"/>
        </w:rPr>
        <w:t>” means the Borrower’s $150,000,000 aggregate principal amount notes due January 2023 issued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 January 2018.</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2024 Notes</w:t>
      </w:r>
      <w:r>
        <w:rPr>
          <w:rFonts w:ascii="Arial" w:cs="Arial" w:eastAsia="Arial" w:hAnsi="Arial"/>
          <w:sz w:val="19"/>
          <w:szCs w:val="19"/>
          <w:color w:val="auto"/>
        </w:rPr>
        <w:t>” means the Borrower’s $350,000,000 aggregate principal amount notes due November 2024.</w:t>
      </w:r>
    </w:p>
    <w:p>
      <w:pPr>
        <w:spacing w:after="0" w:line="241"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Borrowing Base</w:t>
      </w:r>
      <w:r>
        <w:rPr>
          <w:rFonts w:ascii="Arial" w:cs="Arial" w:eastAsia="Arial" w:hAnsi="Arial"/>
          <w:sz w:val="22"/>
          <w:szCs w:val="22"/>
          <w:color w:val="auto"/>
        </w:rPr>
        <w:t xml:space="preserve">” means the Borrowing Base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86"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Covered Debt Balance</w:t>
      </w:r>
      <w:r>
        <w:rPr>
          <w:rFonts w:ascii="Arial" w:cs="Arial" w:eastAsia="Arial" w:hAnsi="Arial"/>
          <w:sz w:val="19"/>
          <w:szCs w:val="19"/>
          <w:color w:val="auto"/>
        </w:rPr>
        <w:t xml:space="preserve">” means, on any date, the aggregate Covered Debt Amount on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34"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LIBO Rate</w:t>
      </w:r>
      <w:r>
        <w:rPr>
          <w:rFonts w:ascii="Arial" w:cs="Arial" w:eastAsia="Arial" w:hAnsi="Arial"/>
          <w:sz w:val="21"/>
          <w:szCs w:val="21"/>
          <w:color w:val="auto"/>
        </w:rPr>
        <w:t xml:space="preserve">” means (a) for the Interest Period for any Eurocurrency Borrowing denominated in a LIBO Quoted Currency, an interest rate per annum (rounded upwards, if necessary, to the next 1/16 of 1%) equal to (i) the LIBO Rate for such Interest Period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(ii) the Statutory Reserve Rate for such Interest Period and (b) for the Interest Period for any Eurocurrency Borrowing denominated in a Non-LIBO Quoted Currency an interest rate per annum (rounded upwards, if necessary, to the next 1/16 of 1%) equal to the LIBO Rate for such Interest Period.</w:t>
      </w:r>
    </w:p>
    <w:p>
      <w:pPr>
        <w:spacing w:after="0" w:line="179"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means Truist, in its capacity as administrative agent for the Lenders hereunder.</w:t>
      </w:r>
    </w:p>
    <w:p>
      <w:pPr>
        <w:spacing w:after="0" w:line="21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 Appraisal Testing Period</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5.12(b)(ii)</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w:t>
      </w:r>
      <w:r>
        <w:rPr>
          <w:rFonts w:ascii="Arial" w:cs="Arial" w:eastAsia="Arial" w:hAnsi="Arial"/>
          <w:sz w:val="22"/>
          <w:szCs w:val="22"/>
          <w:color w:val="auto"/>
        </w:rPr>
        <w:t>.</w:t>
      </w:r>
    </w:p>
    <w:p>
      <w:pPr>
        <w:spacing w:after="0" w:line="188"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Account</w:t>
      </w:r>
      <w:r>
        <w:rPr>
          <w:rFonts w:ascii="Arial" w:cs="Arial" w:eastAsia="Arial" w:hAnsi="Arial"/>
          <w:sz w:val="22"/>
          <w:szCs w:val="22"/>
          <w:color w:val="auto"/>
        </w:rPr>
        <w:t>” means, for each Currency, an account in respect of such Currency designated by the Administrative Agent in a notice to the Borrower and the Lenders.</w:t>
      </w:r>
    </w:p>
    <w:p>
      <w:pPr>
        <w:spacing w:after="0" w:line="173"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means an administrative questionnaire in a form supplied by the Administrative Agent.</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 Rate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68" w:name="page169"/>
    <w:bookmarkEnd w:id="168"/>
    <w:p>
      <w:pPr>
        <w:jc w:val="both"/>
        <w:ind w:firstLine="175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43"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Agreements</w:t>
      </w:r>
      <w:r>
        <w:rPr>
          <w:rFonts w:ascii="Arial" w:cs="Arial" w:eastAsia="Arial" w:hAnsi="Arial"/>
          <w:sz w:val="22"/>
          <w:szCs w:val="22"/>
          <w:color w:val="auto"/>
        </w:rPr>
        <w:t>” 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spacing w:after="0" w:line="185"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Agreed Foreign Currency</w:t>
      </w:r>
      <w:r>
        <w:rPr>
          <w:rFonts w:ascii="Arial" w:cs="Arial" w:eastAsia="Arial" w:hAnsi="Arial"/>
          <w:sz w:val="19"/>
          <w:szCs w:val="19"/>
          <w:color w:val="auto"/>
        </w:rPr>
        <w:t>” means, at any time, (i) any of Canadian Dollars, English Pounds Sterling, Euros, Japanese Yen, Australian Dollars, Swiss Franc, Swedish Krona and New Zealand Dollars,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or the relevant local market, if applicable,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59"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has the meaning assigned to such term in the </w:t>
      </w:r>
      <w:r>
        <w:rPr>
          <w:rFonts w:ascii="Arial" w:cs="Arial" w:eastAsia="Arial" w:hAnsi="Arial"/>
          <w:sz w:val="22"/>
          <w:szCs w:val="22"/>
          <w:u w:val="single" w:color="auto"/>
          <w:color w:val="auto"/>
        </w:rPr>
        <w:t>preamble</w:t>
      </w:r>
      <w:r>
        <w:rPr>
          <w:rFonts w:ascii="Arial" w:cs="Arial" w:eastAsia="Arial" w:hAnsi="Arial"/>
          <w:sz w:val="22"/>
          <w:szCs w:val="22"/>
          <w:color w:val="auto"/>
        </w:rPr>
        <w:t xml:space="preserve"> to this Agreement</w:t>
      </w:r>
    </w:p>
    <w:p>
      <w:pPr>
        <w:spacing w:after="0" w:line="206"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per annum equal to the greatest of (a) zero, (b) the Prime Rate in effect on such day, (c) the Federal Funds Effective Rate for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1/2 of 1% and (d) the rate per annum equal to 1%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as displayed in the Bloomberg Financial Markets System (or successor therefor) as set forth above shall be effective from and including the effective date of such change in the Prime Rate, the Federal Funds Effective Rate or such rate as displayed in the Bloomberg Financial Markets System (or successor therefor), respectively.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9" w:name="page170"/>
    <w:bookmarkEnd w:id="169"/>
    <w:p>
      <w:pPr>
        <w:jc w:val="both"/>
        <w:ind w:firstLine="175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Dollar Percentage</w:t>
      </w:r>
      <w:r>
        <w:rPr>
          <w:rFonts w:ascii="Arial" w:cs="Arial" w:eastAsia="Arial" w:hAnsi="Arial"/>
          <w:sz w:val="19"/>
          <w:szCs w:val="19"/>
          <w:color w:val="auto"/>
        </w:rPr>
        <w:t xml:space="preserv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on and after the Non-Extended Commitment Termination Date for any Non-Extending Lender, the Applicable Dollar Percentage of such Non-Extending Lender that is a Dollar Lender shall be 0%.</w:t>
      </w:r>
    </w:p>
    <w:p>
      <w:pPr>
        <w:spacing w:after="0" w:line="148"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Financial Statements</w:t>
      </w:r>
      <w:r>
        <w:rPr>
          <w:rFonts w:ascii="Arial" w:cs="Arial" w:eastAsia="Arial" w:hAnsi="Arial"/>
          <w:sz w:val="21"/>
          <w:szCs w:val="21"/>
          <w:color w:val="auto"/>
        </w:rPr>
        <w:t xml:space="preserve">” means, as at any date, the most-recent audited financial statements of the Borrower delivered to the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immediately prior to the delivery to the Lenders of new audited financial statements of the Borrower a Material Adverse Change (the “</w:t>
      </w:r>
      <w:r>
        <w:rPr>
          <w:rFonts w:ascii="Arial" w:cs="Arial" w:eastAsia="Arial" w:hAnsi="Arial"/>
          <w:sz w:val="21"/>
          <w:szCs w:val="21"/>
          <w:u w:val="single" w:color="auto"/>
          <w:color w:val="auto"/>
        </w:rPr>
        <w:t>Pre-existing MAC</w:t>
      </w:r>
      <w:r>
        <w:rPr>
          <w:rFonts w:ascii="Arial" w:cs="Arial" w:eastAsia="Arial" w:hAnsi="Arial"/>
          <w:sz w:val="21"/>
          <w:szCs w:val="21"/>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79"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Multicurrency Percentage</w:t>
      </w:r>
      <w:r>
        <w:rPr>
          <w:rFonts w:ascii="Arial" w:cs="Arial" w:eastAsia="Arial" w:hAnsi="Arial"/>
          <w:sz w:val="21"/>
          <w:szCs w:val="21"/>
          <w:color w:val="auto"/>
        </w:rPr>
        <w:t xml:space="preserve">”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on and after the Non-Extended Commitment Termination Date for any Non-Extending Lender, the Applicable Multicurrency Percentage of such Non-Extending Lender that is a Multicurrency Lender shall be 0%.</w:t>
      </w:r>
    </w:p>
    <w:p>
      <w:pPr>
        <w:spacing w:after="0" w:line="177"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xml:space="preserve">”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doubt, on and after the Non-Extended Commitment Termination Date for any Non-Extending Lender, the Applicable Percentage of such Non-Extending Lender shall be 0%.</w:t>
      </w:r>
    </w:p>
    <w:p>
      <w:pPr>
        <w:spacing w:after="0" w:line="188"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Dealer</w:t>
      </w:r>
      <w:r>
        <w:rPr>
          <w:rFonts w:ascii="Arial" w:cs="Arial" w:eastAsia="Arial" w:hAnsi="Arial"/>
          <w:sz w:val="21"/>
          <w:szCs w:val="21"/>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above, as set forth on </w:t>
      </w:r>
      <w:r>
        <w:rPr>
          <w:rFonts w:ascii="Arial" w:cs="Arial" w:eastAsia="Arial" w:hAnsi="Arial"/>
          <w:sz w:val="21"/>
          <w:szCs w:val="21"/>
          <w:u w:val="single" w:color="auto"/>
          <w:color w:val="auto"/>
        </w:rPr>
        <w:t>Schedule 1.01(a)</w:t>
      </w:r>
      <w:r>
        <w:rPr>
          <w:rFonts w:ascii="Arial" w:cs="Arial" w:eastAsia="Arial" w:hAnsi="Arial"/>
          <w:sz w:val="21"/>
          <w:szCs w:val="21"/>
          <w:color w:val="auto"/>
        </w:rPr>
        <w:t xml:space="preserve"> or any other bank or broker-dealer acceptable to the Administrative Agent in its reasonable determination.</w:t>
      </w:r>
    </w:p>
    <w:p>
      <w:pPr>
        <w:spacing w:after="0" w:line="177"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Pricing Service</w:t>
      </w:r>
      <w:r>
        <w:rPr>
          <w:rFonts w:ascii="Arial" w:cs="Arial" w:eastAsia="Arial" w:hAnsi="Arial"/>
          <w:sz w:val="22"/>
          <w:szCs w:val="22"/>
          <w:color w:val="auto"/>
        </w:rPr>
        <w:t xml:space="preserve">” means a pricing or quotation service as set forth in </w:t>
      </w:r>
      <w:r>
        <w:rPr>
          <w:rFonts w:ascii="Arial" w:cs="Arial" w:eastAsia="Arial" w:hAnsi="Arial"/>
          <w:sz w:val="22"/>
          <w:szCs w:val="22"/>
          <w:u w:val="single" w:color="auto"/>
          <w:color w:val="auto"/>
        </w:rPr>
        <w:t>Schedule 1.01(a)</w:t>
      </w:r>
      <w:r>
        <w:rPr>
          <w:rFonts w:ascii="Arial" w:cs="Arial" w:eastAsia="Arial" w:hAnsi="Arial"/>
          <w:sz w:val="22"/>
          <w:szCs w:val="22"/>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0" w:name="page171"/>
    <w:bookmarkEnd w:id="170"/>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Third-Party Appraiser</w:t>
      </w:r>
      <w:r>
        <w:rPr>
          <w:rFonts w:ascii="Arial" w:cs="Arial" w:eastAsia="Arial" w:hAnsi="Arial"/>
          <w:sz w:val="19"/>
          <w:szCs w:val="19"/>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(formerly known as Lincoln Partners LLC) and Valuation Research Corporation are acceptable to the Administrative Agent. As used in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62"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 and Assumption</w:t>
      </w:r>
      <w:r>
        <w:rPr>
          <w:rFonts w:ascii="Arial" w:cs="Arial" w:eastAsia="Arial" w:hAnsi="Arial"/>
          <w:sz w:val="21"/>
          <w:szCs w:val="21"/>
          <w:color w:val="auto"/>
        </w:rPr>
        <w:t xml:space="preserve">” means an Assignment and Assumption entered into by a Lender and an assignee (with the consent of any party whose consent is required by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and accepted by the Administrative Agent,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(with adjustments thereto to reflect the Classes of Commitments and/or Loans being assigned or outstanding at the time of the respective assignment) or any other form approved by the Administrative Agent.</w:t>
      </w:r>
    </w:p>
    <w:p>
      <w:pPr>
        <w:spacing w:after="0" w:line="174"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2.08(e)(i)</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means (a) in the case of any Extending Lender (with respect to such Extending Lender’s Extended Loans), the Extended Availability Period or (b) in the case of any Non-Extending Lender (with respect to such Non-Extending Lender’s Non-Extended Loans), the Non-Extended Availability Period for such Non-Extending Lender, as applicable.</w:t>
      </w:r>
    </w:p>
    <w:p>
      <w:pPr>
        <w:spacing w:after="0" w:line="134"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73"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 means the sum of: (a) the alternate benchmark rate (which may include Term SOFR) that has been selected by the Administrative Agent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the LIBO Rate for Dollar-denominated syndicated credit facilities and (b) the Benchmark Replacement Adjustment; provided that, if the Benchmark Replacement as so determined would be less than zero, the Benchmark Replacement will be deemed to be zero for the purposes of this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1" w:name="page172"/>
    <w:bookmarkEnd w:id="171"/>
    <w:p>
      <w:pPr>
        <w:jc w:val="both"/>
        <w:ind w:firstLine="1755"/>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means, with respect to any replacement of the LIBO Rate with an Unadjusted Benchmark Replacement for each applicable Interest Period,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the LIBO Rate with the applicable Unadjusted Benchmark Replacement by the Relevant Governmental Body or (ii) any evolving or then-prevailing market convention for determining a spread adjustment, or method for calculating or determining such spread adjustment, for the replacement of the LIBO Rate with the applicable Unadjusted Benchmark Replacement for Dollar-denominated syndicated credit facilities at such time.</w:t>
      </w:r>
    </w:p>
    <w:p>
      <w:pPr>
        <w:spacing w:after="0" w:line="194"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means, with respect to any Benchmark Replacement, any technical, administrative or operational changes (including changes to the definition of “ABR,” the definition of “Interest Period,” timing and frequency of determining rates and making payments of interest and other administrative matters) that the Administrative Agent (after consultation with the Borrower)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(after consultation with the Borrower) decides is reasonably necessary in connection with the administration of this Agreement).</w:t>
      </w:r>
    </w:p>
    <w:p>
      <w:pPr>
        <w:spacing w:after="0" w:line="159"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Date</w:t>
      </w:r>
      <w:r>
        <w:rPr>
          <w:rFonts w:ascii="Arial" w:cs="Arial" w:eastAsia="Arial" w:hAnsi="Arial"/>
          <w:sz w:val="21"/>
          <w:szCs w:val="21"/>
          <w:color w:val="auto"/>
        </w:rPr>
        <w:t>” means the earlier to occur of the following events with respect to the LIBO Rate: (1) in the case of clause (1) or (2) of the definition of “Benchmark Transition Event,” the later of (a) the date of the public statement or publication of information referenced therein and (b) the date on which the administrator of the LIBO Rate permanently or indefinitely ceases to provide the LIBO Rate; or (2) in the case of clause (3) of the definition of “Benchmark Transition Event,” the date of the public statement or publication of information referenced therein.</w:t>
      </w:r>
    </w:p>
    <w:p>
      <w:pPr>
        <w:spacing w:after="0" w:line="179"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means the occurrence of one or more of the following events with respect to the LIBO Rate: (1) a public statement or publication of information by or on behalf of the administrator of the LIBO Rate announcing that such administrator has ceased or will cease to provide the LIBO Rate, permanently or indefinitely, provided that, at the time of such statement or publication, there is no successor administrator that will continue to provide the LIBO Rate; (2) a public statement or publication of information by the regulatory supervisor for the administrator of the LIBO Rate, the U.S. Federal Reserve System, an insolvency official with jurisdiction over the administrator for the LIBO Rate, a resolution authority with jurisdiction over the administrator for the LIBO Rate or a court or an entity with similar insolvency or resolution authority over the administrator for the LIBO Rate, which states that the administrator of the LIBO Rate has ceased or will cease to provide the LIBO Rate permanently or indefinitely, provided that, at the time of such statement or publication, there is no successor administrator that will continue to provide the LIBO Rate; or (3) a public statement or publication of information by the regulatory supervisor for the administrator of the LIBO Rate announcing that the LIBO Rate is no longer representative.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2" w:name="page173"/>
    <w:bookmarkEnd w:id="172"/>
    <w:p>
      <w:pPr>
        <w:jc w:val="both"/>
        <w:ind w:firstLine="175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Transition Start Date</w:t>
      </w:r>
      <w:r>
        <w:rPr>
          <w:rFonts w:ascii="Arial" w:cs="Arial" w:eastAsia="Arial" w:hAnsi="Arial"/>
          <w:sz w:val="21"/>
          <w:szCs w:val="21"/>
          <w:color w:val="auto"/>
        </w:rPr>
        <w:t>” means (a) in the case of a Benchmark Transition Event, the earlier of (i) the applicable Benchmark Replacement Date and (ii) if such Benchmark Transition Event is a public statement or publication of information of a prospective event, the 90</w:t>
      </w:r>
      <w:r>
        <w:rPr>
          <w:rFonts w:ascii="Arial" w:cs="Arial" w:eastAsia="Arial" w:hAnsi="Arial"/>
          <w:sz w:val="17"/>
          <w:szCs w:val="17"/>
          <w:color w:val="auto"/>
        </w:rPr>
        <w:t>th</w:t>
      </w:r>
      <w:r>
        <w:rPr>
          <w:rFonts w:ascii="Arial" w:cs="Arial" w:eastAsia="Arial" w:hAnsi="Arial"/>
          <w:sz w:val="21"/>
          <w:szCs w:val="21"/>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spacing w:after="0" w:line="178"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xml:space="preserve">” means, if a Benchmark Transition Event and its related Benchmark Replacement Date have occurred with respect to the LIBO Rate and solely to the extent that the LIBO Rate has not been replaced with a Benchmark Replacement, the period (x) beginning at the time that such Benchmark Replacement Date has occurred if, at such time, no Benchmark Replacement has replaced the LIBO Rate for all purposes hereunder in accordance with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and</w:t>
      </w:r>
    </w:p>
    <w:p>
      <w:pPr>
        <w:spacing w:after="0" w:line="4" w:lineRule="exact"/>
        <w:rPr>
          <w:sz w:val="20"/>
          <w:szCs w:val="20"/>
          <w:color w:val="auto"/>
        </w:rPr>
      </w:pPr>
    </w:p>
    <w:p>
      <w:pPr>
        <w:ind w:firstLine="8"/>
        <w:spacing w:after="0" w:line="237" w:lineRule="auto"/>
        <w:tabs>
          <w:tab w:leader="none" w:pos="32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ending at the time that a Benchmark Replacement has replaced the LIBO Rate for all purposes hereunder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2.22</w:t>
      </w:r>
      <w:r>
        <w:rPr>
          <w:rFonts w:ascii="Arial" w:cs="Arial" w:eastAsia="Arial" w:hAnsi="Arial"/>
          <w:sz w:val="22"/>
          <w:szCs w:val="22"/>
          <w:color w:val="auto"/>
        </w:rPr>
        <w:t>.</w:t>
      </w:r>
    </w:p>
    <w:p>
      <w:pPr>
        <w:spacing w:after="0" w:line="185"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Governors of the Federal Reserve System of the United States of America.</w:t>
      </w:r>
    </w:p>
    <w:p>
      <w:pPr>
        <w:spacing w:after="0" w:line="21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assigned to such term in the preamble to this Agreement.</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Asset Coverage Ratio</w:t>
      </w:r>
      <w:r>
        <w:rPr>
          <w:rFonts w:ascii="Arial" w:cs="Arial" w:eastAsia="Arial" w:hAnsi="Arial"/>
          <w:sz w:val="22"/>
          <w:szCs w:val="22"/>
          <w:color w:val="auto"/>
        </w:rPr>
        <w:t>” means the ratio, determined on a consolidated basis for the Obligors, without duplication, of (a) (i) Total Assets minus (ii) Total Assets Concentration Limitation to (b) (i) Total Secured Debt plus (ii) the aggregate amount of senior securities representing unsecured indebtedness of the Obligors as of such date of determination with a maturity date that is within 90 days of such date of determination.</w:t>
      </w:r>
    </w:p>
    <w:p>
      <w:pPr>
        <w:spacing w:after="0" w:line="185"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1"/>
          <w:szCs w:val="21"/>
          <w:u w:val="single" w:color="auto"/>
          <w:color w:val="auto"/>
        </w:rPr>
        <w:t>“Borrower Net Worth</w:t>
      </w:r>
      <w:r>
        <w:rPr>
          <w:rFonts w:ascii="Arial" w:cs="Arial" w:eastAsia="Arial" w:hAnsi="Arial"/>
          <w:sz w:val="21"/>
          <w:szCs w:val="21"/>
          <w:color w:val="auto"/>
        </w:rPr>
        <w:t xml:space="preserve">” means, as of any date of determination, (a) Total Assets as of such date </w:t>
      </w:r>
      <w:r>
        <w:rPr>
          <w:rFonts w:ascii="Arial" w:cs="Arial" w:eastAsia="Arial" w:hAnsi="Arial"/>
          <w:sz w:val="21"/>
          <w:szCs w:val="21"/>
          <w:i w:val="1"/>
          <w:iCs w:val="1"/>
          <w:color w:val="auto"/>
        </w:rPr>
        <w:t>minus</w:t>
      </w:r>
      <w:r>
        <w:rPr>
          <w:rFonts w:ascii="Arial" w:cs="Arial" w:eastAsia="Arial" w:hAnsi="Arial"/>
          <w:sz w:val="21"/>
          <w:szCs w:val="21"/>
          <w:color w:val="auto"/>
        </w:rPr>
        <w:t xml:space="preserve"> (b) the sum of (i) Total Assets Concentration Limitation as of such date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(ii) Total Secured Debt as of such date.</w:t>
      </w:r>
    </w:p>
    <w:p>
      <w:pPr>
        <w:spacing w:after="0" w:line="151"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 means (a) all Syndicated ABR Loans of the same Class made, converted or continued on the same date, (b) all Eurocurrency Loans of the same Class denominated in the same Currency that have the same Interest Period or (c) a Swingline Loan.</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 Certificate</w:t>
      </w:r>
      <w:r>
        <w:rPr>
          <w:rFonts w:ascii="Arial" w:cs="Arial" w:eastAsia="Arial" w:hAnsi="Arial"/>
          <w:sz w:val="22"/>
          <w:szCs w:val="22"/>
          <w:color w:val="auto"/>
        </w:rPr>
        <w:t xml:space="preserve">” means a certificate of a Financial Officer of the Borrower,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appropriately completed.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73" w:name="page174"/>
    <w:bookmarkEnd w:id="173"/>
    <w:p>
      <w:pPr>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 Deficiency</w:t>
      </w:r>
      <w:r>
        <w:rPr>
          <w:rFonts w:ascii="Arial" w:cs="Arial" w:eastAsia="Arial" w:hAnsi="Arial"/>
          <w:sz w:val="22"/>
          <w:szCs w:val="22"/>
          <w:color w:val="auto"/>
        </w:rPr>
        <w:t>” means, at any date on which the same is determined, the amount, if any, that (a) the aggregate Covered Debt Amount as of such date exceeds (b) the Borrowing Base as of such date.</w:t>
      </w:r>
    </w:p>
    <w:p>
      <w:pPr>
        <w:spacing w:after="0" w:line="173"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means a request by the Borrower for a Syndicated Borrowing in accordance with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which, if in writing, shall be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3"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 dealings in deposits denominated in Dollars are carried out in the London interbank market and (c) if such day relates to a borrowing or 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commercial banks and the London foreign exchange market settle payments in the Principal Financial Center for such Foreign Currency.</w:t>
      </w:r>
    </w:p>
    <w:p>
      <w:pPr>
        <w:spacing w:after="0" w:line="159"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Calculation Amount</w:t>
      </w:r>
      <w:r>
        <w:rPr>
          <w:rFonts w:ascii="Arial" w:cs="Arial" w:eastAsia="Arial" w:hAnsi="Arial"/>
          <w:sz w:val="19"/>
          <w:szCs w:val="19"/>
          <w:color w:val="auto"/>
        </w:rPr>
        <w:t xml:space="preserve">” shall mean, as of the end of any Testing Period, an amount equal to the greater of: (a) (i) 125% of the Adjusted Covered Debt Balance (as of the end of such Testing Period)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aggregate Value of all Quoted Investments included in the Borrowing Base (as of the end of such Testing Period) and (b) 10% of the aggregate Value of all Unquoted Investments included in the Borrowing Base (as of the end of such Testing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more than 25% (or, if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applies, 10%, or as near thereto as reasonably practicable) of the aggregate Value of the Unquoted Investments in the Borrowing Base be tested in respect of any applicable Testing Period.</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 Exchange</w:t>
      </w:r>
      <w:r>
        <w:rPr>
          <w:rFonts w:ascii="Arial" w:cs="Arial" w:eastAsia="Arial" w:hAnsi="Arial"/>
          <w:sz w:val="22"/>
          <w:szCs w:val="22"/>
          <w:color w:val="auto"/>
        </w:rPr>
        <w:t xml:space="preserve">” means the exchange of the Lenders’ interests provided for in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 Exchange Date</w:t>
      </w:r>
      <w:r>
        <w:rPr>
          <w:rFonts w:ascii="Arial" w:cs="Arial" w:eastAsia="Arial" w:hAnsi="Arial"/>
          <w:sz w:val="22"/>
          <w:szCs w:val="22"/>
          <w:color w:val="auto"/>
        </w:rPr>
        <w:t xml:space="preserve">” means the date on which any Event of Default referred to in </w:t>
      </w:r>
      <w:r>
        <w:rPr>
          <w:rFonts w:ascii="Arial" w:cs="Arial" w:eastAsia="Arial" w:hAnsi="Arial"/>
          <w:sz w:val="22"/>
          <w:szCs w:val="22"/>
          <w:u w:val="single" w:color="auto"/>
          <w:color w:val="auto"/>
        </w:rPr>
        <w:t>clause (j)</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shall occur or the date on which the Borrower receives written notice from the Administrative Agent that any Event of Default referred to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has occurred.</w:t>
      </w:r>
    </w:p>
    <w:p>
      <w:pPr>
        <w:spacing w:after="0" w:line="18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 Percentage</w:t>
      </w:r>
      <w:r>
        <w:rPr>
          <w:rFonts w:ascii="Arial" w:cs="Arial" w:eastAsia="Arial" w:hAnsi="Arial"/>
          <w:sz w:val="22"/>
          <w:szCs w:val="22"/>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4" w:name="page175"/>
    <w:bookmarkEnd w:id="174"/>
    <w:p>
      <w:pPr>
        <w:jc w:val="both"/>
        <w:ind w:firstLine="175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3"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means any immediately available funds in Dollars or in any currency other than Dollars (measured in terms of the Dollar Equivalent thereof) which is a freely convertible currency.</w:t>
      </w:r>
    </w:p>
    <w:p>
      <w:pPr>
        <w:spacing w:after="0" w:line="173" w:lineRule="exact"/>
        <w:rPr>
          <w:sz w:val="20"/>
          <w:szCs w:val="20"/>
          <w:color w:val="auto"/>
        </w:rPr>
      </w:pPr>
    </w:p>
    <w:p>
      <w:pPr>
        <w:jc w:val="both"/>
        <w:ind w:right="20"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Collateralize</w:t>
      </w:r>
      <w:r>
        <w:rPr>
          <w:rFonts w:ascii="Arial" w:cs="Arial" w:eastAsia="Arial" w:hAnsi="Arial"/>
          <w:sz w:val="22"/>
          <w:szCs w:val="22"/>
          <w:color w:val="auto"/>
        </w:rPr>
        <w:t xml:space="preserve">” means, in respect of a Letter of Credit or any obligation hereunder, to provide and pledge cash collateral pursuant to </w:t>
      </w:r>
      <w:r>
        <w:rPr>
          <w:rFonts w:ascii="Arial" w:cs="Arial" w:eastAsia="Arial" w:hAnsi="Arial"/>
          <w:sz w:val="22"/>
          <w:szCs w:val="22"/>
          <w:u w:val="single" w:color="auto"/>
          <w:color w:val="auto"/>
        </w:rPr>
        <w:t>Section 2.05(k)</w:t>
      </w:r>
      <w:r>
        <w:rPr>
          <w:rFonts w:ascii="Arial" w:cs="Arial" w:eastAsia="Arial" w:hAnsi="Arial"/>
          <w:sz w:val="22"/>
          <w:szCs w:val="22"/>
          <w:color w:val="auto"/>
        </w:rPr>
        <w:t>, at a location and pursuant to documentation in form and substance reasonably satisfactory to Administrative Agent and each Issuing Bank. “</w:t>
      </w:r>
      <w:r>
        <w:rPr>
          <w:rFonts w:ascii="Arial" w:cs="Arial" w:eastAsia="Arial" w:hAnsi="Arial"/>
          <w:sz w:val="22"/>
          <w:szCs w:val="22"/>
          <w:u w:val="single" w:color="auto"/>
          <w:color w:val="auto"/>
        </w:rPr>
        <w:t>Cash Collateral</w:t>
      </w:r>
      <w:r>
        <w:rPr>
          <w:rFonts w:ascii="Arial" w:cs="Arial" w:eastAsia="Arial" w:hAnsi="Arial"/>
          <w:sz w:val="22"/>
          <w:szCs w:val="22"/>
          <w:color w:val="auto"/>
        </w:rPr>
        <w:t>” shall have a meaning correlative to the foregoing and shall include the proceeds of such cash collateral and other credit support.</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investments (other than Cash) that are one or more of the following obligations:</w:t>
      </w:r>
    </w:p>
    <w:p>
      <w:pPr>
        <w:spacing w:after="0" w:line="241" w:lineRule="exact"/>
        <w:rPr>
          <w:sz w:val="20"/>
          <w:szCs w:val="20"/>
          <w:color w:val="auto"/>
        </w:rPr>
      </w:pPr>
    </w:p>
    <w:p>
      <w:pPr>
        <w:jc w:val="both"/>
        <w:ind w:left="1680"/>
        <w:spacing w:after="0"/>
        <w:tabs>
          <w:tab w:leader="none" w:pos="25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U.S. Government Securities, in each case maturing within one year from the date of acquisition</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thereof;</w:t>
      </w:r>
    </w:p>
    <w:p>
      <w:pPr>
        <w:spacing w:after="0" w:line="188" w:lineRule="exact"/>
        <w:rPr>
          <w:sz w:val="20"/>
          <w:szCs w:val="20"/>
          <w:color w:val="auto"/>
        </w:rPr>
      </w:pPr>
    </w:p>
    <w:p>
      <w:pPr>
        <w:jc w:val="both"/>
        <w:ind w:left="880" w:firstLine="793"/>
        <w:spacing w:after="0" w:line="251" w:lineRule="exact"/>
        <w:tabs>
          <w:tab w:leader="none" w:pos="256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investments in commercial paper maturing within 270 days from the date of acquisition thereof and having, at such date of acquisition, a credit rating of at least A</w:t>
      </w:r>
      <w:r>
        <w:rPr>
          <w:rFonts w:ascii="MS PGothic" w:cs="MS PGothic" w:eastAsia="MS PGothic" w:hAnsi="MS PGothic"/>
          <w:sz w:val="22"/>
          <w:szCs w:val="22"/>
          <w:color w:val="auto"/>
        </w:rPr>
        <w:t>‑</w:t>
      </w:r>
      <w:r>
        <w:rPr>
          <w:rFonts w:ascii="Arial" w:cs="Arial" w:eastAsia="Arial" w:hAnsi="Arial"/>
          <w:sz w:val="22"/>
          <w:szCs w:val="22"/>
          <w:color w:val="auto"/>
        </w:rPr>
        <w:t>1 from S&amp;P and at least P</w:t>
      </w:r>
      <w:r>
        <w:rPr>
          <w:rFonts w:ascii="MS PGothic" w:cs="MS PGothic" w:eastAsia="MS PGothic" w:hAnsi="MS PGothic"/>
          <w:sz w:val="22"/>
          <w:szCs w:val="22"/>
          <w:color w:val="auto"/>
        </w:rPr>
        <w:t>‑</w:t>
      </w:r>
      <w:r>
        <w:rPr>
          <w:rFonts w:ascii="Arial" w:cs="Arial" w:eastAsia="Arial" w:hAnsi="Arial"/>
          <w:sz w:val="22"/>
          <w:szCs w:val="22"/>
          <w:color w:val="auto"/>
        </w:rPr>
        <w:t>1 from Moody’s (or if only one of S&amp;P or Moody’s provides such rating, such investment shall also have an equivalent credit rating from any other rating agency);</w:t>
      </w:r>
    </w:p>
    <w:p>
      <w:pPr>
        <w:spacing w:after="0" w:line="185" w:lineRule="exact"/>
        <w:rPr>
          <w:rFonts w:ascii="Arial" w:cs="Arial" w:eastAsia="Arial" w:hAnsi="Arial"/>
          <w:sz w:val="22"/>
          <w:szCs w:val="22"/>
          <w:color w:val="auto"/>
        </w:rPr>
      </w:pPr>
    </w:p>
    <w:p>
      <w:pPr>
        <w:jc w:val="both"/>
        <w:ind w:left="880" w:firstLine="793"/>
        <w:spacing w:after="0" w:line="251" w:lineRule="exact"/>
        <w:tabs>
          <w:tab w:leader="none" w:pos="255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r>
      <w:r>
        <w:rPr>
          <w:rFonts w:ascii="MS PGothic" w:cs="MS PGothic" w:eastAsia="MS PGothic" w:hAnsi="MS PGothic"/>
          <w:sz w:val="19"/>
          <w:szCs w:val="19"/>
          <w:color w:val="auto"/>
        </w:rPr>
        <w:t>‑</w:t>
      </w:r>
      <w:r>
        <w:rPr>
          <w:rFonts w:ascii="Arial" w:cs="Arial" w:eastAsia="Arial" w:hAnsi="Arial"/>
          <w:sz w:val="19"/>
          <w:szCs w:val="19"/>
          <w:color w:val="auto"/>
        </w:rPr>
        <w:t>1 from S&amp;P and at least P</w:t>
      </w:r>
      <w:r>
        <w:rPr>
          <w:rFonts w:ascii="MS PGothic" w:cs="MS PGothic" w:eastAsia="MS PGothic" w:hAnsi="MS PGothic"/>
          <w:sz w:val="19"/>
          <w:szCs w:val="19"/>
          <w:color w:val="auto"/>
        </w:rPr>
        <w:t>‑</w:t>
      </w:r>
      <w:r>
        <w:rPr>
          <w:rFonts w:ascii="Arial" w:cs="Arial" w:eastAsia="Arial" w:hAnsi="Arial"/>
          <w:sz w:val="19"/>
          <w:szCs w:val="19"/>
          <w:color w:val="auto"/>
        </w:rPr>
        <w:t>1 from Moody’s (or if only one of S&amp;P or Moody’s provides such rating, such investment shall also have an equivalent credit rating from any other rating agency);</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left="880" w:firstLine="793"/>
        <w:spacing w:after="0" w:line="248" w:lineRule="exact"/>
        <w:tabs>
          <w:tab w:leader="none" w:pos="256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of this definition or (ii) an Approved Dealer having (or being a member of a consolidated group having) at such date of acquisition, a credit rating of at least A</w:t>
      </w:r>
      <w:r>
        <w:rPr>
          <w:rFonts w:ascii="MS PGothic" w:cs="MS PGothic" w:eastAsia="MS PGothic" w:hAnsi="MS PGothic"/>
          <w:sz w:val="22"/>
          <w:szCs w:val="22"/>
          <w:color w:val="auto"/>
        </w:rPr>
        <w:t>‑</w:t>
      </w:r>
      <w:r>
        <w:rPr>
          <w:rFonts w:ascii="Arial" w:cs="Arial" w:eastAsia="Arial" w:hAnsi="Arial"/>
          <w:sz w:val="22"/>
          <w:szCs w:val="22"/>
          <w:color w:val="auto"/>
        </w:rPr>
        <w:t>1 from S&amp;P and at least P</w:t>
      </w:r>
      <w:r>
        <w:rPr>
          <w:rFonts w:ascii="MS PGothic" w:cs="MS PGothic" w:eastAsia="MS PGothic" w:hAnsi="MS PGothic"/>
          <w:sz w:val="22"/>
          <w:szCs w:val="22"/>
          <w:color w:val="auto"/>
        </w:rPr>
        <w:t>‑</w:t>
      </w:r>
      <w:r>
        <w:rPr>
          <w:rFonts w:ascii="Arial" w:cs="Arial" w:eastAsia="Arial" w:hAnsi="Arial"/>
          <w:sz w:val="22"/>
          <w:szCs w:val="22"/>
          <w:color w:val="auto"/>
        </w:rPr>
        <w:t>1 from Moody’s (or if only one of S&amp;P or Moody’s provides such rating, such investment shall also have an equivalent credit rating from any other rating agency);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5" w:name="page176"/>
    <w:bookmarkEnd w:id="175"/>
    <w:p>
      <w:pPr>
        <w:jc w:val="both"/>
        <w:ind w:left="880" w:firstLine="793"/>
        <w:spacing w:after="0"/>
        <w:tabs>
          <w:tab w:leader="none" w:pos="255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investments in money market funds that invest solely, and which are restricted by their respective charters to invest solely, in investments of the type described in the immediately preceding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above (including as to credit quality and maturity).</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w:t>
      </w:r>
    </w:p>
    <w:p>
      <w:pPr>
        <w:spacing w:after="0" w:line="2" w:lineRule="exact"/>
        <w:rPr>
          <w:sz w:val="20"/>
          <w:szCs w:val="20"/>
          <w:color w:val="auto"/>
        </w:rPr>
      </w:pPr>
    </w:p>
    <w:p>
      <w:pPr>
        <w:jc w:val="both"/>
        <w:ind w:firstLine="8"/>
        <w:spacing w:after="0" w:line="233" w:lineRule="auto"/>
        <w:tabs>
          <w:tab w:leader="none" w:pos="40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95"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7"/>
          <w:szCs w:val="17"/>
          <w:u w:val="single" w:color="auto"/>
          <w:color w:val="auto"/>
        </w:rPr>
        <w:t>“CDOR Rate” means, the rate per annum, equal to the average of the annual yield rates applicable to Canadian Dollar banker’s acceptances at or about 10:00a.m. (Toronto, Ontario time) on the first day of such Interest Period (or if such day is not a Business Day, then on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u w:val="single" w:color="auto"/>
          <w:color w:val="auto"/>
        </w:rPr>
        <w:t>immediately preceding Business Day) as reported on the “CDOR Page” (or any display substituted therefor)</w:t>
      </w:r>
      <w:r>
        <w:rPr>
          <w:rFonts w:ascii="Arial" w:cs="Arial" w:eastAsia="Arial" w:hAnsi="Arial"/>
          <w:sz w:val="18"/>
          <w:szCs w:val="18"/>
          <w:color w:val="auto"/>
        </w:rPr>
        <w:t xml:space="preserve"> </w:t>
      </w:r>
      <w:r>
        <w:rPr>
          <w:rFonts w:ascii="Arial" w:cs="Arial" w:eastAsia="Arial" w:hAnsi="Arial"/>
          <w:sz w:val="21"/>
          <w:szCs w:val="21"/>
          <w:color w:val="auto"/>
        </w:rPr>
        <w:t>of Reuters Monitor Money Rates Service</w:t>
      </w:r>
      <w:r>
        <w:rPr>
          <w:rFonts w:ascii="Arial" w:cs="Arial" w:eastAsia="Arial" w:hAnsi="Arial"/>
          <w:sz w:val="18"/>
          <w:szCs w:val="18"/>
          <w:color w:val="auto"/>
        </w:rPr>
        <w:t xml:space="preserve"> </w:t>
      </w:r>
      <w:r>
        <w:rPr>
          <w:rFonts w:ascii="Arial" w:cs="Arial" w:eastAsia="Arial" w:hAnsi="Arial"/>
          <w:sz w:val="21"/>
          <w:szCs w:val="21"/>
          <w:color w:val="auto"/>
        </w:rPr>
        <w:t>(or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w:t>
      </w:r>
    </w:p>
    <w:p>
      <w:pPr>
        <w:spacing w:after="0" w:line="181"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 advising clients; or (d) the External Manager ceases to be Controlled by TSSP Management Holdings, L.P.</w:t>
      </w:r>
    </w:p>
    <w:p>
      <w:pPr>
        <w:spacing w:after="0" w:line="182"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the occurrence, after the date of this Agreement,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(c) compliance by any Lender (or its applicable lending office) or any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6" w:name="page177"/>
    <w:bookmarkEnd w:id="176"/>
    <w:p>
      <w:pPr>
        <w:jc w:val="both"/>
        <w:spacing w:after="0" w:line="271" w:lineRule="auto"/>
        <w:rPr>
          <w:sz w:val="20"/>
          <w:szCs w:val="20"/>
          <w:color w:val="auto"/>
        </w:rPr>
      </w:pPr>
      <w:r>
        <w:rPr>
          <w:rFonts w:ascii="Arial" w:cs="Arial" w:eastAsia="Arial" w:hAnsi="Arial"/>
          <w:sz w:val="19"/>
          <w:szCs w:val="19"/>
          <w:color w:val="auto"/>
        </w:rPr>
        <w:t>controlling such Lender with any guideline, request or directive regarding capital adequacy or liquidity (whether or not having the force of law) of any such Governmental Authority, in each case adopted after the date 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w:t>
      </w:r>
    </w:p>
    <w:p>
      <w:pPr>
        <w:spacing w:after="0" w:line="4" w:lineRule="exact"/>
        <w:rPr>
          <w:sz w:val="20"/>
          <w:szCs w:val="20"/>
          <w:color w:val="auto"/>
        </w:rPr>
      </w:pPr>
    </w:p>
    <w:p>
      <w:pPr>
        <w:jc w:val="both"/>
        <w:ind w:firstLine="8"/>
        <w:spacing w:after="0" w:line="233" w:lineRule="auto"/>
        <w:tabs>
          <w:tab w:leader="none" w:pos="333" w:val="left"/>
        </w:tabs>
        <w:numPr>
          <w:ilvl w:val="0"/>
          <w:numId w:val="113"/>
        </w:numPr>
        <w:rPr>
          <w:rFonts w:ascii="Arial" w:cs="Arial" w:eastAsia="Arial" w:hAnsi="Arial"/>
          <w:sz w:val="22"/>
          <w:szCs w:val="22"/>
          <w:color w:val="auto"/>
        </w:rPr>
      </w:pPr>
      <w:r>
        <w:rPr>
          <w:rFonts w:ascii="Arial" w:cs="Arial" w:eastAsia="Arial" w:hAnsi="Arial"/>
          <w:sz w:val="22"/>
          <w:szCs w:val="22"/>
          <w:color w:val="auto"/>
        </w:rPr>
        <w:t>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88"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w:t>
      </w:r>
      <w:r>
        <w:rPr>
          <w:rFonts w:ascii="Arial" w:cs="Arial" w:eastAsia="Arial" w:hAnsi="Arial"/>
          <w:sz w:val="22"/>
          <w:szCs w:val="22"/>
          <w:color w:val="auto"/>
        </w:rPr>
        <w:t>”, when used in reference to any Loan or Borrowing, refers to whether such Loan, or the Loans constituting such Borrowing, are Syndicated Dollar Loans, Syndicated Multicurrency Loans or Swingline Loans; when used in reference to any Lender’s (i) Class of Commitment, refers to whether such Lender is a Dollar Lender or a Multicurrency Lender and (ii) Class of Final Maturity Date, refers to whether such Lender is an Extending Lender or a Non-Extending Lender; and, when used in reference to any Commitment, refers to whether such Commitment is a Dollar Commitment or a Multicurrency Commitment. The “</w:t>
      </w:r>
      <w:r>
        <w:rPr>
          <w:rFonts w:ascii="Arial" w:cs="Arial" w:eastAsia="Arial" w:hAnsi="Arial"/>
          <w:sz w:val="22"/>
          <w:szCs w:val="22"/>
          <w:u w:val="single" w:color="auto"/>
          <w:color w:val="auto"/>
        </w:rPr>
        <w:t>Class</w:t>
      </w:r>
      <w:r>
        <w:rPr>
          <w:rFonts w:ascii="Arial" w:cs="Arial" w:eastAsia="Arial" w:hAnsi="Arial"/>
          <w:sz w:val="22"/>
          <w:szCs w:val="22"/>
          <w:color w:val="auto"/>
        </w:rPr>
        <w:t>” of a Letter of Credit refers to whether such Letter of Credit is a Dollar Letter of Credit or a Multicurrency Letter of Credit.</w:t>
      </w:r>
    </w:p>
    <w:p>
      <w:pPr>
        <w:spacing w:after="0" w:line="19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has the meaning assigned to such term in the Guarantee and Security Agreement.</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means Truist in its capacity as Collateral Agent under the Guarantee and Security Agreement, and includes any successor Collateral Agent thereunder.</w:t>
      </w:r>
    </w:p>
    <w:p>
      <w:pPr>
        <w:spacing w:after="0" w:line="173" w:lineRule="exact"/>
        <w:rPr>
          <w:sz w:val="20"/>
          <w:szCs w:val="20"/>
          <w:color w:val="auto"/>
        </w:rPr>
      </w:pPr>
    </w:p>
    <w:p>
      <w:pPr>
        <w:jc w:val="both"/>
        <w:ind w:firstLine="1755"/>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Pool</w:t>
      </w:r>
      <w:r>
        <w:rPr>
          <w:rFonts w:ascii="Arial" w:cs="Arial" w:eastAsia="Arial" w:hAnsi="Arial"/>
          <w:sz w:val="19"/>
          <w:szCs w:val="19"/>
          <w:color w:val="auto"/>
        </w:rPr>
        <w:t xml:space="preserve">” means, at any time, each Portfolio Investment that has been Delivered (as defined in the Guarantee and Security Agreement) to the Collateral Agent and is subject to the Lien of the Guaranty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hereof);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7 days of such inclusion.</w:t>
      </w:r>
    </w:p>
    <w:p>
      <w:pPr>
        <w:spacing w:after="0" w:line="158"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Combined Debt Amount</w:t>
      </w:r>
      <w:r>
        <w:rPr>
          <w:rFonts w:ascii="Arial" w:cs="Arial" w:eastAsia="Arial" w:hAnsi="Arial"/>
          <w:sz w:val="22"/>
          <w:szCs w:val="22"/>
          <w:color w:val="auto"/>
        </w:rPr>
        <w:t>” means, as of any date, (i) the aggregate amount of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7" w:name="page178"/>
    <w:bookmarkEnd w:id="177"/>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Commitments</w:t>
      </w:r>
      <w:r>
        <w:rPr>
          <w:rFonts w:ascii="Arial" w:cs="Arial" w:eastAsia="Arial" w:hAnsi="Arial"/>
          <w:sz w:val="22"/>
          <w:szCs w:val="22"/>
          <w:color w:val="auto"/>
        </w:rPr>
        <w:t>” means, collectively, the Dollar Commitments and the Multicurrency Commitments.</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2.08(e)(i)</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2.08(e)(i)</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Termination Date</w:t>
      </w:r>
      <w:r>
        <w:rPr>
          <w:rFonts w:ascii="Arial" w:cs="Arial" w:eastAsia="Arial" w:hAnsi="Arial"/>
          <w:sz w:val="22"/>
          <w:szCs w:val="22"/>
          <w:color w:val="auto"/>
        </w:rPr>
        <w:t>” means the Extended Commitment Termination Date or the relevant Non-Extended Commitment Termination Date, as applicable.</w:t>
      </w:r>
    </w:p>
    <w:p>
      <w:pPr>
        <w:spacing w:after="0" w:line="173"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Asset Coverage Ratio</w:t>
      </w:r>
      <w:r>
        <w:rPr>
          <w:rFonts w:ascii="Arial" w:cs="Arial" w:eastAsia="Arial" w:hAnsi="Arial"/>
          <w:sz w:val="19"/>
          <w:szCs w:val="19"/>
          <w:color w:val="auto"/>
        </w:rPr>
        <w:t>” means the ratio, determined on a consolidated basis for Borrower and its Subsidiaries, without duplication, (a) the value of total assets of the Borrower and its Subsidiaries, less all liabilities and indebtedness not represented by senior securities to (b) the aggregate amount of senior securities representing indebtedness of Borrower and its Subsidiaries (including this Agreement),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Group</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5.13(a)</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1"/>
          <w:szCs w:val="21"/>
          <w:u w:val="single" w:color="auto"/>
          <w:color w:val="auto"/>
        </w:rPr>
        <w:t>Controlling</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xml:space="preserve">” have meanings correlative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“Control” shall not include “negative” control or “blocking” rights whereby action cannot be taken without the vote or consent of any Person.</w:t>
      </w:r>
    </w:p>
    <w:p>
      <w:pPr>
        <w:spacing w:after="0" w:line="174"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Debt Amount</w:t>
      </w:r>
      <w:r>
        <w:rPr>
          <w:rFonts w:ascii="Arial" w:cs="Arial" w:eastAsia="Arial" w:hAnsi="Arial"/>
          <w:sz w:val="19"/>
          <w:szCs w:val="19"/>
          <w:color w:val="auto"/>
        </w:rPr>
        <w:t xml:space="preserve">” means, on any date, the sum of (x) all of the Revolving Credit Exposures of all Lenders on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(y) the aggregate amount of Other Covered Indebtedness, the 2022 Convertible Notes, the 2023 Notes, the 2024 Notes, Special Unsecured Indebtedness and Unsecured Longer Term Indebtedness on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(z) the LC Exposures fully Cash Collateralized on such date pursuant to </w:t>
      </w:r>
      <w:r>
        <w:rPr>
          <w:rFonts w:ascii="Arial" w:cs="Arial" w:eastAsia="Arial" w:hAnsi="Arial"/>
          <w:sz w:val="19"/>
          <w:szCs w:val="19"/>
          <w:u w:val="single" w:color="auto"/>
          <w:color w:val="auto"/>
        </w:rPr>
        <w:t>Section 2.05(k)</w:t>
      </w:r>
      <w:r>
        <w:rPr>
          <w:rFonts w:ascii="Arial" w:cs="Arial" w:eastAsia="Arial" w:hAnsi="Arial"/>
          <w:sz w:val="19"/>
          <w:szCs w:val="19"/>
          <w:color w:val="auto"/>
        </w:rPr>
        <w:t xml:space="preserve"> and the last paragraph of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2022 Convertible Notes, the 2023 Notes, the 2024 Notes, Special Unsecured Indebtedness and Unsecured Longer-Term Indebtedness shall be excluded from the calculation of the Covered Debt Amount, in each case, until the date that is nine (9) months prior to the scheduled maturity date of the 2022 Convertible Notes, the 2023 Notes, the 2024 Notes, Special Unsecured Indebtedness or such Unsecured Longer-Term Indebtedness, as applicable (provided that, to the extent, but only to the extent, any portion of the 2022 Convertible Notes, the 2023 Notes, the 2024 Notes, Special Unsecured Indebtedness or Unsecured Longer-Term Indebtedness is subject to a contractually scheduled amortization payment or other principal payment or mandatory redemption (other than in common stock of the Borrower) earlier than six (6) months after the Final Maturity Date (in the case of the 2022 Convertible Notes, the 2023 Notes, the 2024 Notes and Unsecured Longer-Term Indebtedness) or earlier than the original final maturity date of such Indebtedness (in the case of Special Unsecured Indebtedness), such portion of such Indebtedness, to the extent then outstanding, shall be included in the calculation of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8" w:name="page179"/>
    <w:bookmarkEnd w:id="178"/>
    <w:p>
      <w:pPr>
        <w:jc w:val="both"/>
        <w:ind w:right="20"/>
        <w:spacing w:after="0" w:line="252" w:lineRule="auto"/>
        <w:rPr>
          <w:sz w:val="20"/>
          <w:szCs w:val="20"/>
          <w:color w:val="auto"/>
        </w:rPr>
      </w:pPr>
      <w:r>
        <w:rPr>
          <w:rFonts w:ascii="Arial" w:cs="Arial" w:eastAsia="Arial" w:hAnsi="Arial"/>
          <w:sz w:val="21"/>
          <w:szCs w:val="21"/>
          <w:color w:val="auto"/>
        </w:rPr>
        <w:t>Covered Debt Amount beginning upon the date that is the later of (i) nine (9) months prior to such scheduled amortization payment or other principal payment or mandatory redemption and (ii) the date the Borrower becomes aware that such Indebtedness is required to be paid or redeemed). For the avoidance of doubt, for purposes of calculating the Covered Debt Amount, any convertible securities will be included at the then outstanding principal balance thereof.</w:t>
      </w:r>
    </w:p>
    <w:p>
      <w:pPr>
        <w:spacing w:after="0" w:line="174"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Currency</w:t>
      </w:r>
      <w:r>
        <w:rPr>
          <w:rFonts w:ascii="Arial" w:cs="Arial" w:eastAsia="Arial" w:hAnsi="Arial"/>
          <w:sz w:val="22"/>
          <w:szCs w:val="22"/>
          <w:color w:val="auto"/>
        </w:rPr>
        <w:t>” means Dollars or any Foreign Currency.</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73" w:lineRule="exact"/>
        <w:rPr>
          <w:sz w:val="20"/>
          <w:szCs w:val="20"/>
          <w:color w:val="auto"/>
        </w:rPr>
      </w:pPr>
    </w:p>
    <w:p>
      <w:pPr>
        <w:jc w:val="both"/>
        <w:ind w:firstLine="1755"/>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any Lender that, during such Lender’s Availability Period,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any Issuing Bank, any Swingline Lender or any Lender any other amount required to be paid by it hereunder (including in respect of its participation in Letters of Credit or Swingline Loans) within two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w:t>
      </w:r>
    </w:p>
    <w:p>
      <w:pPr>
        <w:spacing w:after="0" w:line="2" w:lineRule="exact"/>
        <w:rPr>
          <w:sz w:val="20"/>
          <w:szCs w:val="20"/>
          <w:color w:val="auto"/>
        </w:rPr>
      </w:pPr>
    </w:p>
    <w:p>
      <w:pPr>
        <w:jc w:val="both"/>
        <w:ind w:firstLine="8"/>
        <w:spacing w:after="0" w:line="232" w:lineRule="auto"/>
        <w:tabs>
          <w:tab w:leader="none" w:pos="34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9" w:name="page180"/>
    <w:bookmarkEnd w:id="179"/>
    <w:p>
      <w:pPr>
        <w:jc w:val="both"/>
        <w:spacing w:after="0" w:line="236" w:lineRule="auto"/>
        <w:rPr>
          <w:sz w:val="20"/>
          <w:szCs w:val="20"/>
          <w:color w:val="auto"/>
        </w:rPr>
      </w:pPr>
      <w:r>
        <w:rPr>
          <w:rFonts w:ascii="Arial" w:cs="Arial" w:eastAsia="Arial" w:hAnsi="Arial"/>
          <w:sz w:val="22"/>
          <w:szCs w:val="22"/>
          <w:color w:val="auto"/>
        </w:rPr>
        <w:t xml:space="preserve">repudiate, disavow or disaffirm any contracts or agreements made with such Lender. Any determination by the Administrative Agent that a Lender is a Defaulting Lender under any one or more of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above shall be conclusive and binding absent manifest error, and such Lender shall be deemed to be a Defaulting Lender (subject to </w:t>
      </w:r>
      <w:r>
        <w:rPr>
          <w:rFonts w:ascii="Arial" w:cs="Arial" w:eastAsia="Arial" w:hAnsi="Arial"/>
          <w:sz w:val="22"/>
          <w:szCs w:val="22"/>
          <w:u w:val="single" w:color="auto"/>
          <w:color w:val="auto"/>
        </w:rPr>
        <w:t>Section 2.19(b)</w:t>
      </w:r>
      <w:r>
        <w:rPr>
          <w:rFonts w:ascii="Arial" w:cs="Arial" w:eastAsia="Arial" w:hAnsi="Arial"/>
          <w:sz w:val="22"/>
          <w:szCs w:val="22"/>
          <w:color w:val="auto"/>
        </w:rPr>
        <w:t>) upon such determination (and the Administrative Agent shall deliver written notice of such determination to the Borrower, each Issuing Bank and each Lender and each Swingline Lender).</w:t>
      </w:r>
    </w:p>
    <w:p>
      <w:pPr>
        <w:spacing w:after="0" w:line="188"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Obligations</w:t>
      </w:r>
      <w:r>
        <w:rPr>
          <w:rFonts w:ascii="Arial" w:cs="Arial" w:eastAsia="Arial" w:hAnsi="Arial"/>
          <w:sz w:val="22"/>
          <w:szCs w:val="22"/>
          <w:color w:val="auto"/>
        </w:rPr>
        <w:t>” means all obligations of the Borrower with respect to (a) principal of and interest on the Loans and (b) accrued and unpaid fees under the Loan Documents.</w:t>
      </w:r>
    </w:p>
    <w:p>
      <w:pPr>
        <w:spacing w:after="0" w:line="173"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w:t>
      </w:r>
      <w:r>
        <w:rPr>
          <w:rFonts w:ascii="Arial" w:cs="Arial" w:eastAsia="Arial" w:hAnsi="Arial"/>
          <w:sz w:val="22"/>
          <w:szCs w:val="22"/>
          <w:color w:val="auto"/>
        </w:rPr>
        <w:t>” or “</w:t>
      </w:r>
      <w:r>
        <w:rPr>
          <w:rFonts w:ascii="Arial" w:cs="Arial" w:eastAsia="Arial" w:hAnsi="Arial"/>
          <w:sz w:val="22"/>
          <w:szCs w:val="22"/>
          <w:u w:val="single" w:color="auto"/>
          <w:color w:val="auto"/>
        </w:rPr>
        <w:t>Dispose</w:t>
      </w:r>
      <w:r>
        <w:rPr>
          <w:rFonts w:ascii="Arial" w:cs="Arial" w:eastAsia="Arial" w:hAnsi="Arial"/>
          <w:sz w:val="22"/>
          <w:szCs w:val="22"/>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“Disposition” or “Dispose” shall not include the disposition of Investments originated by the Borrower and immediately transferred to a Financing Subsidiary pursuant to a transaction not prohibited hereunder.</w:t>
      </w:r>
    </w:p>
    <w:p>
      <w:pPr>
        <w:spacing w:after="0" w:line="188" w:lineRule="exact"/>
        <w:rPr>
          <w:sz w:val="20"/>
          <w:szCs w:val="20"/>
          <w:color w:val="auto"/>
        </w:rPr>
      </w:pPr>
    </w:p>
    <w:p>
      <w:pPr>
        <w:jc w:val="both"/>
        <w:ind w:firstLine="1755"/>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Commitment</w:t>
      </w:r>
      <w:r>
        <w:rPr>
          <w:rFonts w:ascii="Arial" w:cs="Arial" w:eastAsia="Arial" w:hAnsi="Arial"/>
          <w:sz w:val="22"/>
          <w:szCs w:val="22"/>
          <w:color w:val="auto"/>
        </w:rPr>
        <w:t xml:space="preserve">” means, with respect to each Dollar Lender during such Dollar Lender’s Availability Period,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Arial" w:cs="Arial" w:eastAsia="Arial" w:hAnsi="Arial"/>
          <w:sz w:val="22"/>
          <w:szCs w:val="22"/>
          <w:u w:val="single" w:color="auto"/>
          <w:color w:val="auto"/>
        </w:rPr>
        <w:t>Section 2.08</w:t>
      </w:r>
      <w:r>
        <w:rPr>
          <w:rFonts w:ascii="Arial" w:cs="Arial" w:eastAsia="Arial" w:hAnsi="Arial"/>
          <w:sz w:val="22"/>
          <w:szCs w:val="22"/>
          <w:color w:val="auto"/>
        </w:rPr>
        <w:t xml:space="preserve"> and (b) reduced or increased from time to time pursuant to assignments by or to such Lender pursuant to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The amount of each Lender’s Dollar Commitment as of the Ninth Amendment Effective Date is set forth on </w:t>
      </w:r>
      <w:r>
        <w:rPr>
          <w:rFonts w:ascii="Arial" w:cs="Arial" w:eastAsia="Arial" w:hAnsi="Arial"/>
          <w:sz w:val="22"/>
          <w:szCs w:val="22"/>
          <w:u w:val="single" w:color="auto"/>
          <w:color w:val="auto"/>
        </w:rPr>
        <w:t>Schedule 1.01(b)</w:t>
      </w:r>
      <w:r>
        <w:rPr>
          <w:rFonts w:ascii="Arial" w:cs="Arial" w:eastAsia="Arial" w:hAnsi="Arial"/>
          <w:sz w:val="22"/>
          <w:szCs w:val="22"/>
          <w:color w:val="auto"/>
        </w:rPr>
        <w:t>, or in the Assignment and Assumption pursuant to which such Lender shall have assumed its Dollar Commitment, as applicable. The aggregate amount of the Lenders’ Dollar Commitments as of the Ninth Amendment Effective Date is $315,000,000.</w:t>
      </w:r>
    </w:p>
    <w:p>
      <w:pPr>
        <w:spacing w:after="0" w:line="194"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Equivalent</w:t>
      </w:r>
      <w:r>
        <w:rPr>
          <w:rFonts w:ascii="Arial" w:cs="Arial" w:eastAsia="Arial" w:hAnsi="Arial"/>
          <w:sz w:val="22"/>
          <w:szCs w:val="22"/>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88"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 LC Exposure</w:t>
      </w:r>
      <w:r>
        <w:rPr>
          <w:rFonts w:ascii="Arial" w:cs="Arial" w:eastAsia="Arial" w:hAnsi="Arial"/>
          <w:sz w:val="21"/>
          <w:szCs w:val="21"/>
          <w:color w:val="auto"/>
        </w:rPr>
        <w:t xml:space="preserve">” means, at any time, the sum of (a) the aggregate undrawn amount of all outstanding Dollar Letters of Credit at such time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74"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Lender</w:t>
      </w:r>
      <w:r>
        <w:rPr>
          <w:rFonts w:ascii="Arial" w:cs="Arial" w:eastAsia="Arial" w:hAnsi="Arial"/>
          <w:sz w:val="22"/>
          <w:szCs w:val="22"/>
          <w:color w:val="auto"/>
        </w:rPr>
        <w:t xml:space="preserve">” means the Persons listed on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0" w:name="page181"/>
    <w:bookmarkEnd w:id="180"/>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Letters of Credit</w:t>
      </w:r>
      <w:r>
        <w:rPr>
          <w:rFonts w:ascii="Arial" w:cs="Arial" w:eastAsia="Arial" w:hAnsi="Arial"/>
          <w:sz w:val="22"/>
          <w:szCs w:val="22"/>
          <w:color w:val="auto"/>
        </w:rPr>
        <w:t>” means Letters of Credit that utilize the Dollar Commitments.</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Loan</w:t>
      </w:r>
      <w:r>
        <w:rPr>
          <w:rFonts w:ascii="Arial" w:cs="Arial" w:eastAsia="Arial" w:hAnsi="Arial"/>
          <w:sz w:val="22"/>
          <w:szCs w:val="22"/>
          <w:color w:val="auto"/>
        </w:rPr>
        <w:t>” means a Loan denominated in Dollars.</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lawful money of the United States of America.</w:t>
      </w:r>
    </w:p>
    <w:p>
      <w:pPr>
        <w:spacing w:after="0" w:line="206"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Early Opt-in Election</w:t>
      </w:r>
      <w:r>
        <w:rPr>
          <w:rFonts w:ascii="Arial" w:cs="Arial" w:eastAsia="Arial" w:hAnsi="Arial"/>
          <w:sz w:val="19"/>
          <w:szCs w:val="19"/>
          <w:color w:val="auto"/>
        </w:rPr>
        <w:t xml:space="preserve">” means the occurrence of: (a) (i) a determination by the Administrative Agent or (ii) a notification by the Required Lenders to the Administrative Agent (with a copy to the Borrower) that the Required Lenders have determined that Dollar-denominated syndicated credit facilities being executed at such time, or that include language similar to that contained in </w:t>
      </w:r>
      <w:r>
        <w:rPr>
          <w:rFonts w:ascii="Arial" w:cs="Arial" w:eastAsia="Arial" w:hAnsi="Arial"/>
          <w:sz w:val="19"/>
          <w:szCs w:val="19"/>
          <w:u w:val="single" w:color="auto"/>
          <w:color w:val="auto"/>
        </w:rPr>
        <w:t>Section 2.22</w:t>
      </w:r>
      <w:r>
        <w:rPr>
          <w:rFonts w:ascii="Arial" w:cs="Arial" w:eastAsia="Arial" w:hAnsi="Arial"/>
          <w:sz w:val="19"/>
          <w:szCs w:val="19"/>
          <w:color w:val="auto"/>
        </w:rPr>
        <w:t>, are being executed or amended, as applicable, to incorporate or adopt a new benchmark interest rate to replace the LIBO Rate, and (b) (i) the election by the Administrative Agent or (ii) the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153"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18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means the date on which the conditions specified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9.02</w:t>
      </w:r>
      <w:r>
        <w:rPr>
          <w:rFonts w:ascii="Arial" w:cs="Arial" w:eastAsia="Arial" w:hAnsi="Arial"/>
          <w:sz w:val="22"/>
          <w:szCs w:val="22"/>
          <w:color w:val="auto"/>
        </w:rPr>
        <w:t>), which date is February 27, 2014.</w:t>
      </w:r>
    </w:p>
    <w:p>
      <w:pPr>
        <w:spacing w:after="0" w:line="173"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from time to time.</w:t>
      </w:r>
    </w:p>
    <w:p>
      <w:pPr>
        <w:spacing w:after="0" w:line="21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1" w:name="page182"/>
    <w:bookmarkEnd w:id="181"/>
    <w:p>
      <w:pPr>
        <w:jc w:val="both"/>
        <w:ind w:firstLine="175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Event</w:t>
      </w:r>
      <w:r>
        <w:rPr>
          <w:rFonts w:ascii="Arial" w:cs="Arial" w:eastAsia="Arial" w:hAnsi="Arial"/>
          <w:sz w:val="21"/>
          <w:szCs w:val="21"/>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87"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means a single currency of the Participating Member States.</w:t>
      </w:r>
    </w:p>
    <w:p>
      <w:pPr>
        <w:spacing w:after="0" w:line="206"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Eurocurrency</w:t>
      </w:r>
      <w:r>
        <w:rPr>
          <w:rFonts w:ascii="Arial" w:cs="Arial" w:eastAsia="Arial" w:hAnsi="Arial"/>
          <w:sz w:val="21"/>
          <w:szCs w:val="21"/>
          <w:color w:val="auto"/>
        </w:rPr>
        <w:t>”, when used in reference to any Loan or Borrowing, refers to whether such Loan, or the Loans constituting such Borrowing, are bearing interest at a rate determined by reference to the Adjusted LIBO Rate.</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with respect to the Administrative Agent, any Lender, any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at the time of such assignment or designation (other than to the extent such withholding is as a result of a CAM Exchange), or (ii) that is attributable to such Lender’s failure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2" w:name="page183"/>
    <w:bookmarkEnd w:id="182"/>
    <w:p>
      <w:pPr>
        <w:jc w:val="both"/>
        <w:spacing w:after="0"/>
        <w:rPr>
          <w:sz w:val="20"/>
          <w:szCs w:val="20"/>
          <w:color w:val="auto"/>
        </w:rPr>
      </w:pPr>
      <w:r>
        <w:rPr>
          <w:rFonts w:ascii="Arial" w:cs="Arial" w:eastAsia="Arial" w:hAnsi="Arial"/>
          <w:sz w:val="22"/>
          <w:szCs w:val="22"/>
          <w:color w:val="auto"/>
        </w:rPr>
        <w:t xml:space="preserve">or inability (other than as a result of a Change in Law occurring after the date such Lender becomes a party to this Agreement) to comply with </w:t>
      </w:r>
      <w:r>
        <w:rPr>
          <w:rFonts w:ascii="Arial" w:cs="Arial" w:eastAsia="Arial" w:hAnsi="Arial"/>
          <w:sz w:val="22"/>
          <w:szCs w:val="22"/>
          <w:u w:val="single" w:color="auto"/>
          <w:color w:val="auto"/>
        </w:rPr>
        <w:t>Section 2.16(f)</w:t>
      </w:r>
      <w:r>
        <w:rPr>
          <w:rFonts w:ascii="Arial" w:cs="Arial" w:eastAsia="Arial" w:hAnsi="Arial"/>
          <w:sz w:val="22"/>
          <w:szCs w:val="22"/>
          <w:color w:val="auto"/>
        </w:rPr>
        <w:t>, (d) any U.S. federal, state or local backup withholding Taxes imposed on payments made under any Loan Document, and (e) any Taxes that are imposed under FATCA.</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xml:space="preserve">” has the meaning assigned to such term in the </w:t>
      </w:r>
      <w:r>
        <w:rPr>
          <w:rFonts w:ascii="Arial" w:cs="Arial" w:eastAsia="Arial" w:hAnsi="Arial"/>
          <w:sz w:val="21"/>
          <w:szCs w:val="21"/>
          <w:u w:val="single" w:color="auto"/>
          <w:color w:val="auto"/>
        </w:rPr>
        <w:t>recitals</w:t>
      </w:r>
      <w:r>
        <w:rPr>
          <w:rFonts w:ascii="Arial" w:cs="Arial" w:eastAsia="Arial" w:hAnsi="Arial"/>
          <w:sz w:val="21"/>
          <w:szCs w:val="21"/>
          <w:color w:val="auto"/>
        </w:rPr>
        <w:t xml:space="preserve"> to this Agreement.</w:t>
      </w:r>
    </w:p>
    <w:p>
      <w:pPr>
        <w:spacing w:after="0" w:line="21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Lenders</w:t>
      </w:r>
      <w:r>
        <w:rPr>
          <w:rFonts w:ascii="Arial" w:cs="Arial" w:eastAsia="Arial" w:hAnsi="Arial"/>
          <w:sz w:val="22"/>
          <w:szCs w:val="22"/>
          <w:color w:val="auto"/>
        </w:rPr>
        <w:t xml:space="preserve">” has the meaning assigned to such term in the </w:t>
      </w:r>
      <w:r>
        <w:rPr>
          <w:rFonts w:ascii="Arial" w:cs="Arial" w:eastAsia="Arial" w:hAnsi="Arial"/>
          <w:sz w:val="22"/>
          <w:szCs w:val="22"/>
          <w:u w:val="single" w:color="auto"/>
          <w:color w:val="auto"/>
        </w:rPr>
        <w:t>recitals</w:t>
      </w:r>
      <w:r>
        <w:rPr>
          <w:rFonts w:ascii="Arial" w:cs="Arial" w:eastAsia="Arial" w:hAnsi="Arial"/>
          <w:sz w:val="22"/>
          <w:szCs w:val="22"/>
          <w:color w:val="auto"/>
        </w:rPr>
        <w:t xml:space="preserve"> to this Agreement.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Loans</w:t>
      </w:r>
      <w:r>
        <w:rPr>
          <w:rFonts w:ascii="Arial" w:cs="Arial" w:eastAsia="Arial" w:hAnsi="Arial"/>
          <w:sz w:val="22"/>
          <w:szCs w:val="22"/>
          <w:color w:val="auto"/>
        </w:rPr>
        <w:t xml:space="preserve">” has the meaning assigned to such term in the </w:t>
      </w:r>
      <w:r>
        <w:rPr>
          <w:rFonts w:ascii="Arial" w:cs="Arial" w:eastAsia="Arial" w:hAnsi="Arial"/>
          <w:sz w:val="22"/>
          <w:szCs w:val="22"/>
          <w:u w:val="single" w:color="auto"/>
          <w:color w:val="auto"/>
        </w:rPr>
        <w:t>recitals</w:t>
      </w:r>
      <w:r>
        <w:rPr>
          <w:rFonts w:ascii="Arial" w:cs="Arial" w:eastAsia="Arial" w:hAnsi="Arial"/>
          <w:sz w:val="22"/>
          <w:szCs w:val="22"/>
          <w:color w:val="auto"/>
        </w:rPr>
        <w:t xml:space="preserve"> to this Agreement.</w:t>
      </w:r>
    </w:p>
    <w:p>
      <w:pPr>
        <w:spacing w:after="0" w:line="206"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Extended Applicable Margin</w:t>
      </w:r>
      <w:r>
        <w:rPr>
          <w:rFonts w:ascii="Arial" w:cs="Arial" w:eastAsia="Arial" w:hAnsi="Arial"/>
          <w:sz w:val="19"/>
          <w:szCs w:val="19"/>
          <w:color w:val="auto"/>
        </w:rPr>
        <w:t>” means, with respect to any Extending Lender: (a) if the Borrowing Base (as of the most recently delivered Borrowing Base Certificate) is equal to or greater than 1.85 times the Combined Debt Amount, (i) with respect to any ABR Loan, 0.75% per annum; and (ii) with respect to any Eurocurrency Loan, 1.75% per annum and (b) if the Borrowing Base (as of the most recently delivered Borrowing Base Certificate) is less than 1.85 times the Combined Debt Amount</w:t>
      </w:r>
    </w:p>
    <w:p>
      <w:pPr>
        <w:spacing w:after="0" w:line="4" w:lineRule="exact"/>
        <w:rPr>
          <w:sz w:val="20"/>
          <w:szCs w:val="20"/>
          <w:color w:val="auto"/>
        </w:rPr>
      </w:pPr>
    </w:p>
    <w:p>
      <w:pPr>
        <w:jc w:val="both"/>
        <w:ind w:firstLine="8"/>
        <w:spacing w:after="0" w:line="273" w:lineRule="auto"/>
        <w:tabs>
          <w:tab w:leader="none" w:pos="273"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with respect to any ABR Loan, 0.875% per annum; and (ii) with respect to any Eurocurrency Loan, 1.875% per annum. Any change in the 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Borrowing Base Certificate has not been delivered in accordance with </w:t>
      </w:r>
      <w:r>
        <w:rPr>
          <w:rFonts w:ascii="Arial" w:cs="Arial" w:eastAsia="Arial" w:hAnsi="Arial"/>
          <w:sz w:val="19"/>
          <w:szCs w:val="19"/>
          <w:u w:val="single" w:color="auto"/>
          <w:color w:val="auto"/>
        </w:rPr>
        <w:t>Section 5.01(d)</w:t>
      </w:r>
      <w:r>
        <w:rPr>
          <w:rFonts w:ascii="Arial" w:cs="Arial" w:eastAsia="Arial" w:hAnsi="Arial"/>
          <w:sz w:val="19"/>
          <w:szCs w:val="19"/>
          <w:color w:val="auto"/>
        </w:rPr>
        <w:t xml:space="preserve">, then from and including the day immediately succeeding the date on which such Borrowing Base Certificate was required to be delivered, the Extended Applicable Margin shall be the Extended Applicable Margin set forth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to and including the date on which the required Borrowing Base Certificate is delivered.</w:t>
      </w:r>
    </w:p>
    <w:p>
      <w:pPr>
        <w:spacing w:after="0" w:line="160"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Availability Period</w:t>
      </w:r>
      <w:r>
        <w:rPr>
          <w:rFonts w:ascii="Arial" w:cs="Arial" w:eastAsia="Arial" w:hAnsi="Arial"/>
          <w:sz w:val="22"/>
          <w:szCs w:val="22"/>
          <w:color w:val="auto"/>
        </w:rPr>
        <w:t>” means, with respect to any Extending Lender, the period from and including the Effective Date to but excluding the earlier of the Extended Commitment Termination Date and the date of termination of the Commitments.</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Extended Commitment Termination Date</w:t>
      </w:r>
      <w:r>
        <w:rPr>
          <w:rFonts w:ascii="Arial" w:cs="Arial" w:eastAsia="Arial" w:hAnsi="Arial"/>
          <w:sz w:val="19"/>
          <w:szCs w:val="19"/>
          <w:color w:val="auto"/>
        </w:rPr>
        <w:t>” means, with respect to each Extending Lender, January 31, 2024.</w:t>
      </w:r>
    </w:p>
    <w:p>
      <w:pPr>
        <w:spacing w:after="0" w:line="24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Final Maturity Date</w:t>
      </w:r>
      <w:r>
        <w:rPr>
          <w:rFonts w:ascii="Arial" w:cs="Arial" w:eastAsia="Arial" w:hAnsi="Arial"/>
          <w:sz w:val="22"/>
          <w:szCs w:val="22"/>
          <w:color w:val="auto"/>
        </w:rPr>
        <w:t>” means, with respect to each Extending Lender, January 31, 2025.</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Extended Loans</w:t>
      </w:r>
      <w:r>
        <w:rPr>
          <w:rFonts w:ascii="Arial" w:cs="Arial" w:eastAsia="Arial" w:hAnsi="Arial"/>
          <w:sz w:val="21"/>
          <w:szCs w:val="21"/>
          <w:color w:val="auto"/>
        </w:rPr>
        <w:t>” means Loans or Borrowings of any Extending Lender maturing on the Extended Final</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Maturity Date.</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xml:space="preserve">” means each Lender designated as an “Extending Lender” on </w:t>
      </w:r>
      <w:r>
        <w:rPr>
          <w:rFonts w:ascii="Arial" w:cs="Arial" w:eastAsia="Arial" w:hAnsi="Arial"/>
          <w:sz w:val="22"/>
          <w:szCs w:val="22"/>
          <w:u w:val="single" w:color="auto"/>
          <w:color w:val="auto"/>
        </w:rPr>
        <w:t>Schedule 1.01(b)</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External Manager</w:t>
      </w:r>
      <w:r>
        <w:rPr>
          <w:rFonts w:ascii="Arial" w:cs="Arial" w:eastAsia="Arial" w:hAnsi="Arial"/>
          <w:sz w:val="22"/>
          <w:szCs w:val="22"/>
          <w:color w:val="auto"/>
        </w:rPr>
        <w:t>” means TSL Advisers, LLC.</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3" w:name="page184"/>
    <w:bookmarkEnd w:id="183"/>
    <w:p>
      <w:pPr>
        <w:jc w:val="both"/>
        <w:ind w:firstLine="1755"/>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Extraordinary Receipts</w:t>
      </w:r>
      <w:r>
        <w:rPr>
          <w:rFonts w:ascii="Arial" w:cs="Arial" w:eastAsia="Arial" w:hAnsi="Arial"/>
          <w:sz w:val="19"/>
          <w:szCs w:val="19"/>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Extraordinary Receipts shall not include any (x) amounts that the Borrower receives from the Administrative Agent or any Lender pursuant to </w:t>
      </w:r>
      <w:r>
        <w:rPr>
          <w:rFonts w:ascii="Arial" w:cs="Arial" w:eastAsia="Arial" w:hAnsi="Arial"/>
          <w:sz w:val="19"/>
          <w:szCs w:val="19"/>
          <w:u w:val="single" w:color="auto"/>
          <w:color w:val="auto"/>
        </w:rPr>
        <w:t>Section 2.16(f)</w:t>
      </w:r>
      <w:r>
        <w:rPr>
          <w:rFonts w:ascii="Arial" w:cs="Arial" w:eastAsia="Arial" w:hAnsi="Arial"/>
          <w:sz w:val="19"/>
          <w:szCs w:val="19"/>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200" w:lineRule="exact"/>
        <w:rPr>
          <w:sz w:val="20"/>
          <w:szCs w:val="20"/>
          <w:color w:val="auto"/>
        </w:rPr>
      </w:pPr>
    </w:p>
    <w:p>
      <w:pPr>
        <w:spacing w:after="0" w:line="209"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43"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48"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Reserve Bank of New York’s Website</w:t>
      </w:r>
      <w:r>
        <w:rPr>
          <w:rFonts w:ascii="Arial" w:cs="Arial" w:eastAsia="Arial" w:hAnsi="Arial"/>
          <w:sz w:val="22"/>
          <w:szCs w:val="22"/>
          <w:color w:val="auto"/>
        </w:rPr>
        <w:t>” means the website of the Federal Reserve Bank of New York at http://www.newyorkfed.org, or any successor source.</w:t>
      </w:r>
    </w:p>
    <w:p>
      <w:pPr>
        <w:spacing w:after="0" w:line="173"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Maturity Date</w:t>
      </w:r>
      <w:r>
        <w:rPr>
          <w:rFonts w:ascii="Arial" w:cs="Arial" w:eastAsia="Arial" w:hAnsi="Arial"/>
          <w:sz w:val="19"/>
          <w:szCs w:val="19"/>
          <w:color w:val="auto"/>
        </w:rPr>
        <w:t>” means (i) in the case of any Extending Lender (with respect to such Extending Lender’s Extended Loans), the Extended Final Maturity Date or (ii) in the case of any Non-Extending Lender (with respect to such Non-Extending Lender’s Non-Extended Loans), such Non-Extending Lender’s Non-Extended Final Maturity Date, as applicable.</w:t>
      </w:r>
    </w:p>
    <w:p>
      <w:pPr>
        <w:spacing w:after="0" w:line="134"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Borrower.</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Subsidiary</w:t>
      </w:r>
      <w:r>
        <w:rPr>
          <w:rFonts w:ascii="Arial" w:cs="Arial" w:eastAsia="Arial" w:hAnsi="Arial"/>
          <w:sz w:val="22"/>
          <w:szCs w:val="22"/>
          <w:color w:val="auto"/>
        </w:rPr>
        <w:t>” means an SPE Subsidiary or an SBIC Subsidiary.</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w:t>
      </w:r>
      <w:r>
        <w:rPr>
          <w:rFonts w:ascii="Arial" w:cs="Arial" w:eastAsia="Arial" w:hAnsi="Arial"/>
          <w:sz w:val="22"/>
          <w:szCs w:val="22"/>
          <w:color w:val="auto"/>
        </w:rPr>
        <w:t>” means at any time any Currency other than Dollars.</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4" w:name="page185"/>
    <w:bookmarkEnd w:id="184"/>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 Equivalent</w:t>
      </w:r>
      <w:r>
        <w:rPr>
          <w:rFonts w:ascii="Arial" w:cs="Arial" w:eastAsia="Arial" w:hAnsi="Arial"/>
          <w:sz w:val="22"/>
          <w:szCs w:val="22"/>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means any Lender that is not a “United States person” as defined under Section 7701(a)(30)</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 the Code.</w:t>
      </w:r>
    </w:p>
    <w:p>
      <w:pPr>
        <w:spacing w:after="0" w:line="188"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88"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4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of America.</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spacing w:after="0" w:line="185"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the guarantor, direct or indirect,</w:t>
      </w:r>
    </w:p>
    <w:p>
      <w:pPr>
        <w:spacing w:after="0" w:line="2" w:lineRule="exact"/>
        <w:rPr>
          <w:sz w:val="20"/>
          <w:szCs w:val="20"/>
          <w:color w:val="auto"/>
        </w:rPr>
      </w:pPr>
    </w:p>
    <w:p>
      <w:pPr>
        <w:jc w:val="both"/>
        <w:ind w:firstLine="8"/>
        <w:spacing w:after="0" w:line="243" w:lineRule="auto"/>
        <w:tabs>
          <w:tab w:leader="none" w:pos="318"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5" w:name="page186"/>
    <w:bookmarkEnd w:id="185"/>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 and Security Agreement</w:t>
      </w:r>
      <w:r>
        <w:rPr>
          <w:rFonts w:ascii="Arial" w:cs="Arial" w:eastAsia="Arial" w:hAnsi="Arial"/>
          <w:sz w:val="22"/>
          <w:szCs w:val="22"/>
          <w:color w:val="auto"/>
        </w:rPr>
        <w:t>” 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modified and supplemented and in effect from time to time.</w:t>
      </w:r>
    </w:p>
    <w:p>
      <w:pPr>
        <w:spacing w:after="0" w:line="188"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 Assumption Agreement</w:t>
      </w:r>
      <w:r>
        <w:rPr>
          <w:rFonts w:ascii="Arial" w:cs="Arial" w:eastAsia="Arial" w:hAnsi="Arial"/>
          <w:sz w:val="21"/>
          <w:szCs w:val="21"/>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21"/>
          <w:szCs w:val="21"/>
          <w:u w:val="single" w:color="auto"/>
          <w:color w:val="auto"/>
        </w:rPr>
        <w:t>Section 5.08</w:t>
      </w:r>
      <w:r>
        <w:rPr>
          <w:rFonts w:ascii="Arial" w:cs="Arial" w:eastAsia="Arial" w:hAnsi="Arial"/>
          <w:sz w:val="21"/>
          <w:szCs w:val="21"/>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21"/>
          <w:szCs w:val="21"/>
          <w:u w:val="single" w:color="auto"/>
          <w:color w:val="auto"/>
        </w:rPr>
        <w:t>Section 5.08</w:t>
      </w:r>
      <w:r>
        <w:rPr>
          <w:rFonts w:ascii="Arial" w:cs="Arial" w:eastAsia="Arial" w:hAnsi="Arial"/>
          <w:sz w:val="21"/>
          <w:szCs w:val="21"/>
          <w:color w:val="auto"/>
        </w:rPr>
        <w:t>).</w:t>
      </w:r>
    </w:p>
    <w:p>
      <w:pPr>
        <w:spacing w:after="0" w:line="174"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Hedging Agreement</w:t>
      </w:r>
      <w:r>
        <w:rPr>
          <w:rFonts w:ascii="Arial" w:cs="Arial" w:eastAsia="Arial" w:hAnsi="Arial"/>
          <w:sz w:val="22"/>
          <w:szCs w:val="22"/>
          <w:color w:val="auto"/>
        </w:rPr>
        <w:t>” means any interest rate protection agreement, foreign currency exchange protection agreement, commodity price protection agreement or other interest or currency exchange rate or commodity price hedging arrangement.</w:t>
      </w:r>
    </w:p>
    <w:p>
      <w:pPr>
        <w:spacing w:after="0" w:line="186"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Immaterial Subsidiaries</w:t>
      </w:r>
      <w:r>
        <w:rPr>
          <w:rFonts w:ascii="Arial" w:cs="Arial" w:eastAsia="Arial" w:hAnsi="Arial"/>
          <w:sz w:val="21"/>
          <w:szCs w:val="21"/>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designated Immaterial Subsidiaries shall collectively meet all of the following criteria as of the date of the most recent balance sheet required to be delivered pursuant to </w:t>
      </w:r>
      <w:r>
        <w:rPr>
          <w:rFonts w:ascii="Arial" w:cs="Arial" w:eastAsia="Arial" w:hAnsi="Arial"/>
          <w:sz w:val="21"/>
          <w:szCs w:val="21"/>
          <w:u w:val="single" w:color="auto"/>
          <w:color w:val="auto"/>
        </w:rPr>
        <w:t>Section 5.01</w:t>
      </w:r>
      <w:r>
        <w:rPr>
          <w:rFonts w:ascii="Arial" w:cs="Arial" w:eastAsia="Arial" w:hAnsi="Arial"/>
          <w:sz w:val="21"/>
          <w:szCs w:val="21"/>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8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2.08(e)(i)</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6" w:name="page187"/>
    <w:bookmarkEnd w:id="186"/>
    <w:p>
      <w:pPr>
        <w:jc w:val="both"/>
        <w:spacing w:after="0" w:line="238" w:lineRule="auto"/>
        <w:rPr>
          <w:sz w:val="20"/>
          <w:szCs w:val="20"/>
          <w:color w:val="auto"/>
        </w:rPr>
      </w:pPr>
      <w:r>
        <w:rPr>
          <w:rFonts w:ascii="Arial" w:cs="Arial" w:eastAsia="Arial" w:hAnsi="Arial"/>
          <w:sz w:val="22"/>
          <w:szCs w:val="22"/>
          <w:color w:val="auto"/>
        </w:rPr>
        <w:t>therefor.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185"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Taxes, other than Excluded Taxes, imposed on or with respect to any payment made by or on account of any obligation of the Borrower under this Agreement.</w:t>
      </w:r>
    </w:p>
    <w:p>
      <w:pPr>
        <w:spacing w:after="0" w:line="173"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w:t>
      </w:r>
      <w:r>
        <w:rPr>
          <w:rFonts w:ascii="Arial" w:cs="Arial" w:eastAsia="Arial" w:hAnsi="Arial"/>
          <w:sz w:val="22"/>
          <w:szCs w:val="22"/>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88"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Industry Classification Group</w:t>
      </w:r>
      <w:r>
        <w:rPr>
          <w:rFonts w:ascii="Arial" w:cs="Arial" w:eastAsia="Arial" w:hAnsi="Arial"/>
          <w:sz w:val="19"/>
          <w:szCs w:val="19"/>
          <w:color w:val="auto"/>
        </w:rPr>
        <w:t xml:space="preserve">” means (a) any of the classification groups set forth in </w:t>
      </w:r>
      <w:r>
        <w:rPr>
          <w:rFonts w:ascii="Arial" w:cs="Arial" w:eastAsia="Arial" w:hAnsi="Arial"/>
          <w:sz w:val="19"/>
          <w:szCs w:val="19"/>
          <w:u w:val="single" w:color="auto"/>
          <w:color w:val="auto"/>
        </w:rPr>
        <w:t>Schedule 1.01(c)</w:t>
      </w:r>
      <w:r>
        <w:rPr>
          <w:rFonts w:ascii="Arial" w:cs="Arial" w:eastAsia="Arial" w:hAnsi="Arial"/>
          <w:sz w:val="19"/>
          <w:szCs w:val="19"/>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Arial" w:cs="Arial" w:eastAsia="Arial" w:hAnsi="Arial"/>
          <w:sz w:val="19"/>
          <w:szCs w:val="19"/>
          <w:u w:val="single" w:color="auto"/>
          <w:color w:val="auto"/>
        </w:rPr>
        <w:t>Section 5.12</w:t>
      </w:r>
      <w:r>
        <w:rPr>
          <w:rFonts w:ascii="Arial" w:cs="Arial" w:eastAsia="Arial" w:hAnsi="Arial"/>
          <w:sz w:val="19"/>
          <w:szCs w:val="19"/>
          <w:color w:val="auto"/>
        </w:rPr>
        <w:t>.</w:t>
      </w:r>
    </w:p>
    <w:p>
      <w:pPr>
        <w:spacing w:after="0" w:line="134"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xml:space="preserve">” means a request by the Borrower to convert or continue a Syndicated Borrowing in accordance with </w:t>
      </w:r>
      <w:r>
        <w:rPr>
          <w:rFonts w:ascii="Arial" w:cs="Arial" w:eastAsia="Arial" w:hAnsi="Arial"/>
          <w:sz w:val="22"/>
          <w:szCs w:val="22"/>
          <w:u w:val="single" w:color="auto"/>
          <w:color w:val="auto"/>
        </w:rPr>
        <w:t>Section 2.07</w:t>
      </w:r>
      <w:r>
        <w:rPr>
          <w:rFonts w:ascii="Arial" w:cs="Arial" w:eastAsia="Arial" w:hAnsi="Arial"/>
          <w:sz w:val="22"/>
          <w:szCs w:val="22"/>
          <w:color w:val="auto"/>
        </w:rPr>
        <w:t>.</w:t>
      </w:r>
    </w:p>
    <w:p>
      <w:pPr>
        <w:spacing w:after="0" w:line="173"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43"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xml:space="preserve">” means, for any Eurocurrency Loan or Borrowing, the period commencing on the date of such Loan or Borrowing and ending on the numerically corresponding day in the calendar month that is one, two, three or six months thereafter or, with respect to such portion of any Eurocurrency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 ends on the 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7" w:name="page188"/>
    <w:bookmarkEnd w:id="187"/>
    <w:p>
      <w:pPr>
        <w:jc w:val="both"/>
        <w:spacing w:after="0" w:line="252" w:lineRule="auto"/>
        <w:rPr>
          <w:sz w:val="20"/>
          <w:szCs w:val="20"/>
          <w:color w:val="auto"/>
        </w:rPr>
      </w:pPr>
      <w:r>
        <w:rPr>
          <w:rFonts w:ascii="Arial" w:cs="Arial" w:eastAsia="Arial" w:hAnsi="Arial"/>
          <w:sz w:val="21"/>
          <w:szCs w:val="21"/>
          <w:color w:val="auto"/>
        </w:rPr>
        <w:t>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74"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w:t>
      </w:r>
      <w:r>
        <w:rPr>
          <w:rFonts w:ascii="Arial" w:cs="Arial" w:eastAsia="Arial" w:hAnsi="Arial"/>
          <w:sz w:val="21"/>
          <w:szCs w:val="21"/>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Company Act</w:t>
      </w:r>
      <w:r>
        <w:rPr>
          <w:rFonts w:ascii="Arial" w:cs="Arial" w:eastAsia="Arial" w:hAnsi="Arial"/>
          <w:sz w:val="21"/>
          <w:szCs w:val="21"/>
          <w:color w:val="auto"/>
        </w:rPr>
        <w:t>” means the Investment Company Act of 1940, as amended from time to time.</w:t>
      </w:r>
    </w:p>
    <w:p>
      <w:pPr>
        <w:spacing w:after="0" w:line="21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Policies</w:t>
      </w:r>
      <w:r>
        <w:rPr>
          <w:rFonts w:ascii="Arial" w:cs="Arial" w:eastAsia="Arial" w:hAnsi="Arial"/>
          <w:sz w:val="22"/>
          <w:szCs w:val="22"/>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0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Issuing Bank</w:t>
      </w:r>
      <w:r>
        <w:rPr>
          <w:rFonts w:ascii="Arial" w:cs="Arial" w:eastAsia="Arial" w:hAnsi="Arial"/>
          <w:sz w:val="22"/>
          <w:szCs w:val="22"/>
          <w:color w:val="auto"/>
        </w:rPr>
        <w:t xml:space="preserve">” means Truist, JPMorgan Chase Bank, N.A., and any other Issuing Bank designated pursuant to </w:t>
      </w:r>
      <w:r>
        <w:rPr>
          <w:rFonts w:ascii="Arial" w:cs="Arial" w:eastAsia="Arial" w:hAnsi="Arial"/>
          <w:sz w:val="22"/>
          <w:szCs w:val="22"/>
          <w:u w:val="single" w:color="auto"/>
          <w:color w:val="auto"/>
        </w:rPr>
        <w:t>Section 2.05(l)</w:t>
      </w:r>
      <w:r>
        <w:rPr>
          <w:rFonts w:ascii="Arial" w:cs="Arial" w:eastAsia="Arial" w:hAnsi="Arial"/>
          <w:sz w:val="22"/>
          <w:szCs w:val="22"/>
          <w:color w:val="auto"/>
        </w:rPr>
        <w:t xml:space="preserve">, in their capacity as the issuers of Letters of Credit hereunder, and their respective successors in such capacity as provided in </w:t>
      </w:r>
      <w:r>
        <w:rPr>
          <w:rFonts w:ascii="Arial" w:cs="Arial" w:eastAsia="Arial" w:hAnsi="Arial"/>
          <w:sz w:val="22"/>
          <w:szCs w:val="22"/>
          <w:u w:val="single" w:color="auto"/>
          <w:color w:val="auto"/>
        </w:rPr>
        <w:t>Section 2.05(j)</w:t>
      </w:r>
      <w:r>
        <w:rPr>
          <w:rFonts w:ascii="Arial" w:cs="Arial" w:eastAsia="Arial" w:hAnsi="Arial"/>
          <w:sz w:val="22"/>
          <w:szCs w:val="22"/>
          <w:color w:val="auto"/>
        </w:rPr>
        <w:t>. In the case of any Letter of Credit to be issued in an Agreed Foreign Currency, Truist and JPMorgan Chase Bank, N.A., respectively, may designate any of their respective affiliates as the “Issuing Bank” for purposes of such Letter of Credit.</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Lead Arrangers</w:t>
      </w:r>
      <w:r>
        <w:rPr>
          <w:rFonts w:ascii="Arial" w:cs="Arial" w:eastAsia="Arial" w:hAnsi="Arial"/>
          <w:sz w:val="19"/>
          <w:szCs w:val="19"/>
          <w:color w:val="auto"/>
        </w:rPr>
        <w:t>” means SunTrust Robinson Humphrey, Inc., JPMorgan Chase Bank, N.A. and MUFG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Union Bank, N.A.</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any Issuing Bank pursuant to a Letter of Credit.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w:t>
      </w:r>
      <w:r>
        <w:rPr>
          <w:rFonts w:ascii="Arial" w:cs="Arial" w:eastAsia="Arial" w:hAnsi="Arial"/>
          <w:sz w:val="19"/>
          <w:szCs w:val="19"/>
          <w:color w:val="auto"/>
        </w:rPr>
        <w:t>” means, at any time, the sum of the Dollar LC Exposure and the Multicurrency LC Exposure.</w:t>
      </w:r>
    </w:p>
    <w:p>
      <w:pPr>
        <w:spacing w:after="0" w:line="241"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means, collectively, the Dollar Lenders and the Multicurrency Lenders. Unless the context otherwise requires, the term “Lenders” includes each Swingline Lender.</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any letter of credit issued pursuant to this Agreement.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Collateral Account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2.05(k)</w:t>
      </w:r>
      <w:r>
        <w:rPr>
          <w:rFonts w:ascii="Arial" w:cs="Arial" w:eastAsia="Arial" w:hAnsi="Arial"/>
          <w:sz w:val="22"/>
          <w:szCs w:val="22"/>
          <w:color w:val="auto"/>
        </w:rPr>
        <w:t>.</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8" w:name="page189"/>
    <w:bookmarkEnd w:id="188"/>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Documents</w:t>
      </w:r>
      <w:r>
        <w:rPr>
          <w:rFonts w:ascii="Arial" w:cs="Arial" w:eastAsia="Arial" w:hAnsi="Arial"/>
          <w:sz w:val="22"/>
          <w:szCs w:val="22"/>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88"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Quoted Currency</w:t>
      </w:r>
      <w:r>
        <w:rPr>
          <w:rFonts w:ascii="Arial" w:cs="Arial" w:eastAsia="Arial" w:hAnsi="Arial"/>
          <w:sz w:val="21"/>
          <w:szCs w:val="21"/>
          <w:color w:val="auto"/>
        </w:rPr>
        <w:t>” means each of the following currencies: Dollars; Euro; English Pounds Sterling; Japanese Yen; and Swiss Franc; in each case as long as there is a published LIBO rate with respect thereto.</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 Rate</w:t>
      </w:r>
      <w:r>
        <w:rPr>
          <w:rFonts w:ascii="Arial" w:cs="Arial" w:eastAsia="Arial" w:hAnsi="Arial"/>
          <w:sz w:val="22"/>
          <w:szCs w:val="22"/>
          <w:color w:val="auto"/>
        </w:rPr>
        <w:t>” means, for any Interest Period:</w:t>
      </w:r>
    </w:p>
    <w:p>
      <w:pPr>
        <w:spacing w:after="0" w:line="206" w:lineRule="exact"/>
        <w:rPr>
          <w:sz w:val="20"/>
          <w:szCs w:val="20"/>
          <w:color w:val="auto"/>
        </w:rPr>
      </w:pPr>
    </w:p>
    <w:p>
      <w:pPr>
        <w:jc w:val="both"/>
        <w:ind w:firstLine="1739"/>
        <w:spacing w:after="0" w:line="271" w:lineRule="auto"/>
        <w:tabs>
          <w:tab w:leader="none" w:pos="261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in the case of Eurocurrency Borrowings denominated in a LIBO Quoted Currency, the ICE Benchmark Administration Limited London interbank offered rate per annum for deposits in the relevant Currency for a period equal to the Interest Period as displayed in the Bloomberg Financial Markets System (or such other page on that service or such other service designated by the ICE Benchmark Administration Limited for the display of such Administration’s London interbank offered rate for deposits in the relevant Currency) as of 11:00 a.m., London time on the day that is two Business Days prior to the first day of the Interest Period (or, solely with respect to Eurocurrency Borrowings in Pounds Sterling, on the first day of the Interest Period) (the “</w:t>
      </w:r>
      <w:r>
        <w:rPr>
          <w:rFonts w:ascii="Arial" w:cs="Arial" w:eastAsia="Arial" w:hAnsi="Arial"/>
          <w:sz w:val="19"/>
          <w:szCs w:val="19"/>
          <w:u w:val="single" w:color="auto"/>
          <w:color w:val="auto"/>
        </w:rPr>
        <w:t>Screen Rate</w:t>
      </w:r>
      <w:r>
        <w:rPr>
          <w:rFonts w:ascii="Arial" w:cs="Arial" w:eastAsia="Arial" w:hAnsi="Arial"/>
          <w:sz w:val="19"/>
          <w:szCs w:val="19"/>
          <w:color w:val="auto"/>
        </w:rPr>
        <w:t>”); provided that if the Administrative Agent determines that the relevant foregoing sources are unavailable for the relevant Interest Period, LIBO Rate shall mean for any LIBO Quoted Currency, the rate of interest determined by the Administrative Agent to be the average (rounded upward, if necessary, to the nearest 1/100th of 1%) of the rate per annum at which the Administrative Agent could borrow funds if it were to do so by asking for and then accepting interbank offers two (2) business days’ preceding the first day of such Interest Period (or, solely with respect to Eurocurrency Borrowings denominated in Pounds Sterling, on the first day of such Interest Period) in the London interbank market for the relevant Currency as of 11:00 a.m. for delivery on the first day of such Interest Period, for the number of days comprised therein and in an amount comparable to the amount of the Administrative Agent’s portion of the relevant Eurocurrency Borrowing;</w:t>
      </w:r>
    </w:p>
    <w:p>
      <w:pPr>
        <w:spacing w:after="0" w:line="165" w:lineRule="exact"/>
        <w:rPr>
          <w:rFonts w:ascii="Arial" w:cs="Arial" w:eastAsia="Arial" w:hAnsi="Arial"/>
          <w:sz w:val="19"/>
          <w:szCs w:val="19"/>
          <w:color w:val="auto"/>
        </w:rPr>
      </w:pPr>
    </w:p>
    <w:p>
      <w:pPr>
        <w:ind w:left="2640" w:hanging="901"/>
        <w:spacing w:after="0"/>
        <w:tabs>
          <w:tab w:leader="none" w:pos="264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in the case of Eurocurrency Borrowings denominated in Canadian Dollars, the CDOR Rate per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annum;</w:t>
      </w:r>
    </w:p>
    <w:p>
      <w:pPr>
        <w:spacing w:after="0" w:line="188" w:lineRule="exact"/>
        <w:rPr>
          <w:rFonts w:ascii="Arial" w:cs="Arial" w:eastAsia="Arial" w:hAnsi="Arial"/>
          <w:sz w:val="21"/>
          <w:szCs w:val="21"/>
          <w:color w:val="auto"/>
        </w:rPr>
      </w:pPr>
    </w:p>
    <w:p>
      <w:pPr>
        <w:jc w:val="both"/>
        <w:ind w:firstLine="1739"/>
        <w:spacing w:after="0" w:line="235" w:lineRule="auto"/>
        <w:tabs>
          <w:tab w:leader="none" w:pos="2619"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in the case of Eurocurrency Borrowings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 time) on the day that is two Business Days prior to the first day of the Interest Period (or if such day is not a Business Day, then on the immediately preceding Business Day) with a term equivalent to such Interest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9" w:name="page190"/>
    <w:bookmarkEnd w:id="189"/>
    <w:p>
      <w:pPr>
        <w:jc w:val="both"/>
        <w:ind w:firstLine="1739"/>
        <w:spacing w:after="0" w:line="235" w:lineRule="auto"/>
        <w:tabs>
          <w:tab w:leader="none" w:pos="263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in the case of Eurocurrency Borrowings denominated in New Zealand Dollars, the rate per annum equal to the Bank Bill Reference Bid Rate or a successor thereto approved by the Administrative Agent (“BKBM”) as published by Reuters (or such other page or commercially available source providing BKBM (Bid) quotations as may be designated by the Administrative Agent from time to time) at or about 10:45 a.m. (Auckland, New Zealand time) on the day that is two Business Days prior to the first day of the Interest Period (or if such day is not a Business Day, then on the immediately preceding Business Day) with a term equivalent to such Interest Period;</w:t>
      </w:r>
    </w:p>
    <w:p>
      <w:pPr>
        <w:spacing w:after="0" w:line="188" w:lineRule="exact"/>
        <w:rPr>
          <w:rFonts w:ascii="Arial" w:cs="Arial" w:eastAsia="Arial" w:hAnsi="Arial"/>
          <w:sz w:val="22"/>
          <w:szCs w:val="22"/>
          <w:color w:val="auto"/>
        </w:rPr>
      </w:pPr>
    </w:p>
    <w:p>
      <w:pPr>
        <w:jc w:val="both"/>
        <w:ind w:firstLine="1739"/>
        <w:spacing w:after="0" w:line="235" w:lineRule="auto"/>
        <w:tabs>
          <w:tab w:leader="none" w:pos="261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in the case of Eurocurrency Borrowings denominated in Swedish Krona, the rate per annum equal to the Stockholm Interbank Offered Rate or a successor thereto approved by the Administrative Agent (“STIBOR”) as published by Reuters (or such other page or commercially available source providing STIBOR quotations as may be designated by the Administrative Agent from time to time) at or about 11:00 a.m. (Stockholm, Sweden time) on the day that is two Business Days prior to the first day of the Interest Period (or if such day is not a Business Day, then on the immediately preceding Business Day) with a term equivalent to such Interest Period; and</w:t>
      </w:r>
    </w:p>
    <w:p>
      <w:pPr>
        <w:spacing w:after="0" w:line="188" w:lineRule="exact"/>
        <w:rPr>
          <w:rFonts w:ascii="Arial" w:cs="Arial" w:eastAsia="Arial" w:hAnsi="Arial"/>
          <w:sz w:val="22"/>
          <w:szCs w:val="22"/>
          <w:color w:val="auto"/>
        </w:rPr>
      </w:pPr>
    </w:p>
    <w:p>
      <w:pPr>
        <w:ind w:right="20" w:firstLine="1739"/>
        <w:spacing w:after="0" w:line="328" w:lineRule="auto"/>
        <w:tabs>
          <w:tab w:leader="none" w:pos="259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for all Non-LIBO Quoted Currencies (other than Canadian Dollars, Australian Dollars, New Zealand Dollars or Swedish Krona), the calculation of the applicable reference rate shall be determined in accordance with market practice;</w:t>
      </w:r>
    </w:p>
    <w:p>
      <w:pPr>
        <w:spacing w:after="0" w:line="105" w:lineRule="exact"/>
        <w:rPr>
          <w:sz w:val="20"/>
          <w:szCs w:val="20"/>
          <w:color w:val="auto"/>
        </w:rPr>
      </w:pPr>
    </w:p>
    <w:p>
      <w:pPr>
        <w:ind w:left="1760"/>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each case, if such rate is less than zero, such rate shall be deemed to be zero for purposes of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51"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collectively, this Agreement, the Letter of Credit Documents, the Security Documents and the First Amendment to this Agreement dated as of June 3, 2014, the Second Amendment to this Agreement dated as of June 27, 2014, the Third Amendment to this Agreement dated as of October 17, 2014, the Fourth Amendment to this Agreement dated as of October 2, 2015, the Fifth Amendment to this Agreement dated as of December 22, 2016, the Sixth Amendment to this Agreement dated as of February 20, 2018, the Seventh Amendment to this Agreement dated as of November 5, 2018, the Eighth Amendment to this Agreement dated as of February 14, 2019 and the Ninth Amendment to this Agreement dated as of January 31, 2020.</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by the Lenders to the Borrower pursuant to this Agreement.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0" w:name="page191"/>
    <w:bookmarkEnd w:id="190"/>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means “margin stock” within the meaning of Regulations T, U and X.</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Change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3.04(b)</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79"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means (a) Indebtedness (other than the Loans, Letters of Credit and Hedging Agreements), of any one or more of the Borrower and its Subsidiaries in an aggregate principal amount exceeding $25,000,000 and</w:t>
      </w:r>
    </w:p>
    <w:p>
      <w:pPr>
        <w:spacing w:after="0" w:line="2" w:lineRule="exact"/>
        <w:rPr>
          <w:sz w:val="20"/>
          <w:szCs w:val="20"/>
          <w:color w:val="auto"/>
        </w:rPr>
      </w:pPr>
    </w:p>
    <w:p>
      <w:pPr>
        <w:jc w:val="both"/>
        <w:ind w:firstLine="8"/>
        <w:spacing w:after="0" w:line="234" w:lineRule="auto"/>
        <w:tabs>
          <w:tab w:leader="none" w:pos="319" w:val="left"/>
        </w:tabs>
        <w:numPr>
          <w:ilvl w:val="0"/>
          <w:numId w:val="119"/>
        </w:numPr>
        <w:rPr>
          <w:rFonts w:ascii="Arial" w:cs="Arial" w:eastAsia="Arial" w:hAnsi="Arial"/>
          <w:sz w:val="22"/>
          <w:szCs w:val="22"/>
          <w:color w:val="auto"/>
        </w:rPr>
      </w:pPr>
      <w:r>
        <w:rPr>
          <w:rFonts w:ascii="Arial" w:cs="Arial" w:eastAsia="Arial" w:hAnsi="Arial"/>
          <w:sz w:val="22"/>
          <w:szCs w:val="22"/>
          <w:color w:val="auto"/>
        </w:rPr>
        <w:t>obligations in respect of one or more Hedging Agreements under which the maximum aggregate amount (giving effect to any netting agreements) that the Borrower and its Subsidiaries would be required to pay if such Hedging Agreement(s) were terminated at such time would exceed $25,000,000.</w:t>
      </w:r>
    </w:p>
    <w:p>
      <w:pPr>
        <w:spacing w:after="0" w:line="187"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Collateral Amount</w:t>
      </w:r>
      <w:r>
        <w:rPr>
          <w:rFonts w:ascii="Arial" w:cs="Arial" w:eastAsia="Arial" w:hAnsi="Arial"/>
          <w:sz w:val="22"/>
          <w:szCs w:val="22"/>
          <w:color w:val="auto"/>
        </w:rPr>
        <w:t>” means, at any time, with respect to Cash Collateral consisting of Cash or deposit account balances, an amount equal to 100% of the Fronting Exposure of each Issuing Bank with respect to Letters of Credit issued and outstanding at such time.</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successor thereto.</w:t>
      </w:r>
    </w:p>
    <w:p>
      <w:pPr>
        <w:spacing w:after="0" w:line="206"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Multicurrency Commitment</w:t>
      </w:r>
      <w:r>
        <w:rPr>
          <w:rFonts w:ascii="Arial" w:cs="Arial" w:eastAsia="Arial" w:hAnsi="Arial"/>
          <w:sz w:val="21"/>
          <w:szCs w:val="21"/>
          <w:color w:val="auto"/>
        </w:rPr>
        <w:t xml:space="preserve">” means, with respect to each Multicurrency Lender during such Multicurrency Lender’s Availability Period,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from time to time pursuant to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and (b) reduced or increased from time to time pursuant to assignments by or to such Lender pursuant to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The amount of each Lender’s Multicurrency Commitment as of the Ninth Amendment Effective Date is set forth on </w:t>
      </w:r>
      <w:r>
        <w:rPr>
          <w:rFonts w:ascii="Arial" w:cs="Arial" w:eastAsia="Arial" w:hAnsi="Arial"/>
          <w:sz w:val="21"/>
          <w:szCs w:val="21"/>
          <w:u w:val="single" w:color="auto"/>
          <w:color w:val="auto"/>
        </w:rPr>
        <w:t>Schedule 1.01(b)</w:t>
      </w:r>
      <w:r>
        <w:rPr>
          <w:rFonts w:ascii="Arial" w:cs="Arial" w:eastAsia="Arial" w:hAnsi="Arial"/>
          <w:sz w:val="21"/>
          <w:szCs w:val="21"/>
          <w:color w:val="auto"/>
        </w:rPr>
        <w:t>, or in the Assignment and Assumption pursuant to which such Lender shall have assumed its Multicurrency commitment, as applicable. The aggregate amount of the Lenders’ Multicurrency Commitments as of the Ninth Amendment Effective Date is $1,000,000,000.</w:t>
      </w:r>
    </w:p>
    <w:p>
      <w:pPr>
        <w:spacing w:after="0" w:line="182"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LC Exposure</w:t>
      </w:r>
      <w:r>
        <w:rPr>
          <w:rFonts w:ascii="Arial" w:cs="Arial" w:eastAsia="Arial" w:hAnsi="Arial"/>
          <w:sz w:val="19"/>
          <w:szCs w:val="19"/>
          <w:color w:val="auto"/>
        </w:rPr>
        <w:t xml:space="preserve">” means, at any time, the sum of (a) the aggregate undrawn amount of all outstanding Multicurrency Letters of Credit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1" w:name="page192"/>
    <w:bookmarkEnd w:id="191"/>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Multicurrency Lender</w:t>
      </w:r>
      <w:r>
        <w:rPr>
          <w:rFonts w:ascii="Arial" w:cs="Arial" w:eastAsia="Arial" w:hAnsi="Arial"/>
          <w:sz w:val="22"/>
          <w:szCs w:val="22"/>
          <w:color w:val="auto"/>
        </w:rPr>
        <w:t xml:space="preserve">” means the Persons listed on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85" w:lineRule="exact"/>
        <w:rPr>
          <w:sz w:val="20"/>
          <w:szCs w:val="20"/>
          <w:color w:val="auto"/>
        </w:rPr>
      </w:pPr>
    </w:p>
    <w:p>
      <w:pPr>
        <w:ind w:left="1760" w:right="740"/>
        <w:spacing w:after="0" w:line="4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Multicurrency Letters of Credit</w:t>
      </w:r>
      <w:r>
        <w:rPr>
          <w:rFonts w:ascii="Arial" w:cs="Arial" w:eastAsia="Arial" w:hAnsi="Arial"/>
          <w:sz w:val="22"/>
          <w:szCs w:val="22"/>
          <w:color w:val="auto"/>
        </w:rPr>
        <w:t>” means Letters of Credit that utilize the Multicurrency Commitments. “</w:t>
      </w:r>
      <w:r>
        <w:rPr>
          <w:rFonts w:ascii="Arial" w:cs="Arial" w:eastAsia="Arial" w:hAnsi="Arial"/>
          <w:sz w:val="22"/>
          <w:szCs w:val="22"/>
          <w:u w:val="single" w:color="auto"/>
          <w:color w:val="auto"/>
        </w:rPr>
        <w:t>Multicurrency Loan</w:t>
      </w:r>
      <w:r>
        <w:rPr>
          <w:rFonts w:ascii="Arial" w:cs="Arial" w:eastAsia="Arial" w:hAnsi="Arial"/>
          <w:sz w:val="22"/>
          <w:szCs w:val="22"/>
          <w:color w:val="auto"/>
        </w:rPr>
        <w:t>” means a Loan denominated in Dollars or an Agreed Foreign Currency. “</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 “</w:t>
      </w:r>
      <w:r>
        <w:rPr>
          <w:rFonts w:ascii="Arial" w:cs="Arial" w:eastAsia="Arial" w:hAnsi="Arial"/>
          <w:sz w:val="22"/>
          <w:szCs w:val="22"/>
          <w:u w:val="single" w:color="auto"/>
          <w:color w:val="auto"/>
        </w:rPr>
        <w:t>National Currency</w:t>
      </w:r>
      <w:r>
        <w:rPr>
          <w:rFonts w:ascii="Arial" w:cs="Arial" w:eastAsia="Arial" w:hAnsi="Arial"/>
          <w:sz w:val="22"/>
          <w:szCs w:val="22"/>
          <w:color w:val="auto"/>
        </w:rPr>
        <w:t>” means the currency, other than the Euro, of a Participating Member State. “</w:t>
      </w:r>
      <w:r>
        <w:rPr>
          <w:rFonts w:ascii="Arial" w:cs="Arial" w:eastAsia="Arial" w:hAnsi="Arial"/>
          <w:sz w:val="22"/>
          <w:szCs w:val="22"/>
          <w:u w:val="single" w:color="auto"/>
          <w:color w:val="auto"/>
        </w:rPr>
        <w:t>Net Cash Proceeds</w:t>
      </w:r>
      <w:r>
        <w:rPr>
          <w:rFonts w:ascii="Arial" w:cs="Arial" w:eastAsia="Arial" w:hAnsi="Arial"/>
          <w:sz w:val="22"/>
          <w:szCs w:val="22"/>
          <w:color w:val="auto"/>
        </w:rPr>
        <w:t>” means:</w:t>
      </w:r>
    </w:p>
    <w:p>
      <w:pPr>
        <w:spacing w:after="0" w:line="3" w:lineRule="exact"/>
        <w:rPr>
          <w:sz w:val="20"/>
          <w:szCs w:val="20"/>
          <w:color w:val="auto"/>
        </w:rPr>
      </w:pPr>
    </w:p>
    <w:p>
      <w:pPr>
        <w:jc w:val="both"/>
        <w:ind w:firstLine="1739"/>
        <w:spacing w:after="0" w:line="272" w:lineRule="auto"/>
        <w:tabs>
          <w:tab w:leader="none" w:pos="261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amount of any estimated taxes pursuant to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57" w:lineRule="exact"/>
        <w:rPr>
          <w:rFonts w:ascii="Arial" w:cs="Arial" w:eastAsia="Arial" w:hAnsi="Arial"/>
          <w:sz w:val="19"/>
          <w:szCs w:val="19"/>
          <w:color w:val="auto"/>
        </w:rPr>
      </w:pPr>
    </w:p>
    <w:p>
      <w:pPr>
        <w:jc w:val="both"/>
        <w:ind w:firstLine="1739"/>
        <w:spacing w:after="0" w:line="277" w:lineRule="auto"/>
        <w:tabs>
          <w:tab w:leader="none" w:pos="263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Arial" w:cs="Arial" w:eastAsia="Arial" w:hAnsi="Arial"/>
          <w:sz w:val="19"/>
          <w:szCs w:val="19"/>
          <w:u w:val="single" w:color="auto"/>
          <w:color w:val="auto"/>
        </w:rPr>
        <w:t>Section 2.10(d)</w:t>
      </w:r>
      <w:r>
        <w:rPr>
          <w:rFonts w:ascii="Arial" w:cs="Arial" w:eastAsia="Arial" w:hAnsi="Arial"/>
          <w:sz w:val="19"/>
          <w:szCs w:val="19"/>
          <w:color w:val="auto"/>
        </w:rPr>
        <w:t>), an amount equal to (i) the sum of the cash and Cash Equivalents received in connection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2" w:name="page193"/>
    <w:bookmarkEnd w:id="192"/>
    <w:p>
      <w:pPr>
        <w:jc w:val="both"/>
        <w:spacing w:after="0" w:line="297" w:lineRule="auto"/>
        <w:rPr>
          <w:sz w:val="20"/>
          <w:szCs w:val="20"/>
          <w:color w:val="auto"/>
        </w:rPr>
      </w:pPr>
      <w:r>
        <w:rPr>
          <w:rFonts w:ascii="Arial" w:cs="Arial" w:eastAsia="Arial" w:hAnsi="Arial"/>
          <w:sz w:val="19"/>
          <w:szCs w:val="19"/>
          <w:color w:val="auto"/>
        </w:rPr>
        <w:t xml:space="preserve">with such transaction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sum of (1) reasonable out-of-pocket fees, costs and expenses, incurred by the Borrower or such Subsidiary in connection therewith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any reasonable costs, fees, commissions, premiums, expenses, or underwriting discounts or commissions incurred by the Borrower or any of its Subsidiaries in connection with such sale or issuance.</w:t>
      </w:r>
    </w:p>
    <w:p>
      <w:pPr>
        <w:spacing w:after="0" w:line="134"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Ninth Amendment Effective Date</w:t>
      </w:r>
      <w:r>
        <w:rPr>
          <w:rFonts w:ascii="Arial" w:cs="Arial" w:eastAsia="Arial" w:hAnsi="Arial"/>
          <w:sz w:val="22"/>
          <w:szCs w:val="22"/>
          <w:color w:val="auto"/>
        </w:rPr>
        <w:t>” means January 31, 2020.</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means, at any time, a Lender that is not a Defaulting Lender at such time.</w:t>
      </w:r>
    </w:p>
    <w:p>
      <w:pPr>
        <w:spacing w:after="0" w:line="206"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Non-Extended Applicable Margin</w:t>
      </w:r>
      <w:r>
        <w:rPr>
          <w:rFonts w:ascii="Arial" w:cs="Arial" w:eastAsia="Arial" w:hAnsi="Arial"/>
          <w:sz w:val="19"/>
          <w:szCs w:val="19"/>
          <w:color w:val="auto"/>
        </w:rPr>
        <w:t xml:space="preserve">” means, with respect to any Non-Extending Lender: (a) if the Borrowing Base (as of the most recently delivered Borrowing Base Certificate) is equal to or greater than 1.85 times the Combined Debt Amount, (i) with respect to any ABR Loan, 0.75% per annum; and (ii) with respect to any Eurocurrency Loan, 1.75% per annum and (b) if the Borrowing Base (as of the most recently delivered Borrowing Base Certificate) is less than 1.85 times the Combined Debt Amount (i) with respect to any ABR Loan, 1.00% per annum; and (ii) with respect to any Eurocurrency Loan, 2.00% per annum. Any change in the Non-Extended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Borrowing Base Certificate has not been delivered in accordance with </w:t>
      </w:r>
      <w:r>
        <w:rPr>
          <w:rFonts w:ascii="Arial" w:cs="Arial" w:eastAsia="Arial" w:hAnsi="Arial"/>
          <w:sz w:val="19"/>
          <w:szCs w:val="19"/>
          <w:u w:val="single" w:color="auto"/>
          <w:color w:val="auto"/>
        </w:rPr>
        <w:t>Section 5.01(d)</w:t>
      </w:r>
      <w:r>
        <w:rPr>
          <w:rFonts w:ascii="Arial" w:cs="Arial" w:eastAsia="Arial" w:hAnsi="Arial"/>
          <w:sz w:val="19"/>
          <w:szCs w:val="19"/>
          <w:color w:val="auto"/>
        </w:rPr>
        <w:t xml:space="preserve">, then from and including the day immediately succeeding the date on which such Borrowing Base Certificate was required to be delivered, the Non-Extended Applicable Margin shall be the Non-Extended Applicable Margin set forth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to and including the date on which the required Borrowing Base Certificate is delivered.</w:t>
      </w:r>
    </w:p>
    <w:p>
      <w:pPr>
        <w:spacing w:after="0" w:line="15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Non-Extended Availability Period</w:t>
      </w:r>
      <w:r>
        <w:rPr>
          <w:rFonts w:ascii="Arial" w:cs="Arial" w:eastAsia="Arial" w:hAnsi="Arial"/>
          <w:sz w:val="22"/>
          <w:szCs w:val="22"/>
          <w:color w:val="auto"/>
        </w:rPr>
        <w:t>” means, with respect to any Non-Extending Lender, the period from and including the Effective Date to but excluding the earlier of the Non-Extended Commitment Termination Date for such Non-Extending Lender and the date of termination of the Commitments.</w:t>
      </w:r>
    </w:p>
    <w:p>
      <w:pPr>
        <w:spacing w:after="0" w:line="186"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Non-Extended Commitment Termination Date</w:t>
      </w:r>
      <w:r>
        <w:rPr>
          <w:rFonts w:ascii="Arial" w:cs="Arial" w:eastAsia="Arial" w:hAnsi="Arial"/>
          <w:sz w:val="21"/>
          <w:szCs w:val="21"/>
          <w:color w:val="auto"/>
        </w:rPr>
        <w:t xml:space="preserve">” means, with respect to each Non-Extending Lender, the “Non-Extended Commitment Termination Date” set forth next to such Non-Extending Lender’s name on </w:t>
      </w:r>
      <w:r>
        <w:rPr>
          <w:rFonts w:ascii="Arial" w:cs="Arial" w:eastAsia="Arial" w:hAnsi="Arial"/>
          <w:sz w:val="21"/>
          <w:szCs w:val="21"/>
          <w:u w:val="single" w:color="auto"/>
          <w:color w:val="auto"/>
        </w:rPr>
        <w:t>Schedule 1.01(b)</w:t>
      </w:r>
      <w:r>
        <w:rPr>
          <w:rFonts w:ascii="Arial" w:cs="Arial" w:eastAsia="Arial" w:hAnsi="Arial"/>
          <w:sz w:val="21"/>
          <w:szCs w:val="21"/>
          <w:color w:val="auto"/>
        </w:rPr>
        <w:t>.</w:t>
      </w:r>
    </w:p>
    <w:p>
      <w:pPr>
        <w:spacing w:after="0" w:line="151"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Non-Extended Final Maturity Date</w:t>
      </w:r>
      <w:r>
        <w:rPr>
          <w:rFonts w:ascii="Arial" w:cs="Arial" w:eastAsia="Arial" w:hAnsi="Arial"/>
          <w:sz w:val="22"/>
          <w:szCs w:val="22"/>
          <w:color w:val="auto"/>
        </w:rPr>
        <w:t xml:space="preserve">” means, with respect to each Non-Extending Lender, the “Non-Extended Final Maturity Date” set forth next to such Non-Extending Lender’s name on </w:t>
      </w:r>
      <w:r>
        <w:rPr>
          <w:rFonts w:ascii="Arial" w:cs="Arial" w:eastAsia="Arial" w:hAnsi="Arial"/>
          <w:sz w:val="22"/>
          <w:szCs w:val="22"/>
          <w:u w:val="single" w:color="auto"/>
          <w:color w:val="auto"/>
        </w:rPr>
        <w:t>Schedule 1.01(b)</w:t>
      </w:r>
      <w:r>
        <w:rPr>
          <w:rFonts w:ascii="Arial" w:cs="Arial" w:eastAsia="Arial" w:hAnsi="Arial"/>
          <w:sz w:val="22"/>
          <w:szCs w:val="22"/>
          <w:color w:val="auto"/>
        </w:rPr>
        <w:t>.</w:t>
      </w:r>
    </w:p>
    <w:p>
      <w:pPr>
        <w:spacing w:after="0" w:line="173"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Non-Extended Loans</w:t>
      </w:r>
      <w:r>
        <w:rPr>
          <w:rFonts w:ascii="Arial" w:cs="Arial" w:eastAsia="Arial" w:hAnsi="Arial"/>
          <w:sz w:val="22"/>
          <w:szCs w:val="22"/>
          <w:color w:val="auto"/>
        </w:rPr>
        <w:t>” means Loans or Borrowings of any Non-Extending Lender maturing on the Non-Extended Final Maturity Date for such Non-Extending Lender.</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Non-Extending Lender</w:t>
      </w:r>
      <w:r>
        <w:rPr>
          <w:rFonts w:ascii="Arial" w:cs="Arial" w:eastAsia="Arial" w:hAnsi="Arial"/>
          <w:sz w:val="19"/>
          <w:szCs w:val="19"/>
          <w:color w:val="auto"/>
        </w:rPr>
        <w:t xml:space="preserve">” means each Lender designated as a “Non-Extending Lender” on </w:t>
      </w:r>
      <w:r>
        <w:rPr>
          <w:rFonts w:ascii="Arial" w:cs="Arial" w:eastAsia="Arial" w:hAnsi="Arial"/>
          <w:sz w:val="19"/>
          <w:szCs w:val="19"/>
          <w:u w:val="single" w:color="auto"/>
          <w:color w:val="auto"/>
        </w:rPr>
        <w:t>Schedule 1.01(b)</w:t>
      </w:r>
      <w:r>
        <w:rPr>
          <w:rFonts w:ascii="Arial" w:cs="Arial" w:eastAsia="Arial" w:hAnsi="Arial"/>
          <w:sz w:val="19"/>
          <w:szCs w:val="19"/>
          <w:color w:val="auto"/>
        </w:rPr>
        <w:t>.</w:t>
      </w:r>
    </w:p>
    <w:p>
      <w:pPr>
        <w:spacing w:after="0" w:line="24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Non-LIBO Quoted Currency</w:t>
      </w:r>
      <w:r>
        <w:rPr>
          <w:rFonts w:ascii="Arial" w:cs="Arial" w:eastAsia="Arial" w:hAnsi="Arial"/>
          <w:sz w:val="22"/>
          <w:szCs w:val="22"/>
          <w:color w:val="auto"/>
        </w:rPr>
        <w:t>” means any currency other than a LIBO Quoted Currency.</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3" w:name="page194"/>
    <w:bookmarkEnd w:id="193"/>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Non-Public Information</w:t>
      </w:r>
      <w:r>
        <w:rPr>
          <w:rFonts w:ascii="Arial" w:cs="Arial" w:eastAsia="Arial" w:hAnsi="Arial"/>
          <w:sz w:val="22"/>
          <w:szCs w:val="22"/>
          <w:color w:val="auto"/>
        </w:rPr>
        <w:t>” means material non-public information (within the meaning of United States federal, state or other applicable securities laws) with respect to Borrower or its Affiliates or their Securities.</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w:t>
      </w:r>
      <w:r>
        <w:rPr>
          <w:rFonts w:ascii="Arial" w:cs="Arial" w:eastAsia="Arial" w:hAnsi="Arial"/>
          <w:sz w:val="22"/>
          <w:szCs w:val="22"/>
          <w:color w:val="auto"/>
        </w:rPr>
        <w:t>” means, collectively, the Borrower and the Subsidiary Guarantors.</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Effective Date</w:t>
      </w:r>
      <w:r>
        <w:rPr>
          <w:rFonts w:ascii="Arial" w:cs="Arial" w:eastAsia="Arial" w:hAnsi="Arial"/>
          <w:sz w:val="22"/>
          <w:szCs w:val="22"/>
          <w:color w:val="auto"/>
        </w:rPr>
        <w:t>” means July 3, 2013.</w:t>
      </w:r>
    </w:p>
    <w:p>
      <w:pPr>
        <w:spacing w:after="0" w:line="206"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Covered Indebtedness</w:t>
      </w:r>
      <w:r>
        <w:rPr>
          <w:rFonts w:ascii="Arial" w:cs="Arial" w:eastAsia="Arial" w:hAnsi="Arial"/>
          <w:sz w:val="21"/>
          <w:szCs w:val="21"/>
          <w:color w:val="auto"/>
        </w:rPr>
        <w:t xml:space="preserve">” 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Arial" w:cs="Arial" w:eastAsia="Arial" w:hAnsi="Arial"/>
          <w:sz w:val="21"/>
          <w:szCs w:val="21"/>
          <w:u w:val="single" w:color="auto"/>
          <w:color w:val="auto"/>
        </w:rPr>
        <w:t>Section 6.02(e)</w:t>
      </w:r>
      <w:r>
        <w:rPr>
          <w:rFonts w:ascii="Arial" w:cs="Arial" w:eastAsia="Arial" w:hAnsi="Arial"/>
          <w:sz w:val="21"/>
          <w:szCs w:val="21"/>
          <w:color w:val="auto"/>
        </w:rPr>
        <w:t>.</w:t>
      </w:r>
    </w:p>
    <w:p>
      <w:pPr>
        <w:spacing w:after="0" w:line="167"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Permitted Indebtedness</w:t>
      </w:r>
      <w:r>
        <w:rPr>
          <w:rFonts w:ascii="Arial" w:cs="Arial" w:eastAsia="Arial" w:hAnsi="Arial"/>
          <w:sz w:val="21"/>
          <w:szCs w:val="21"/>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21"/>
          <w:szCs w:val="21"/>
          <w:u w:val="single" w:color="auto"/>
          <w:color w:val="auto"/>
        </w:rPr>
        <w:t>clause (l)</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Article VII</w:t>
      </w:r>
      <w:r>
        <w:rPr>
          <w:rFonts w:ascii="Arial" w:cs="Arial" w:eastAsia="Arial" w:hAnsi="Arial"/>
          <w:sz w:val="21"/>
          <w:szCs w:val="21"/>
          <w:color w:val="auto"/>
        </w:rPr>
        <w:t>.</w:t>
      </w:r>
    </w:p>
    <w:p>
      <w:pPr>
        <w:spacing w:after="0" w:line="182"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hereof (unless such assignment is made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2.18(b)</w:t>
      </w:r>
      <w:r>
        <w:rPr>
          <w:rFonts w:ascii="Arial" w:cs="Arial" w:eastAsia="Arial" w:hAnsi="Arial"/>
          <w:sz w:val="19"/>
          <w:szCs w:val="19"/>
          <w:color w:val="auto"/>
        </w:rPr>
        <w:t xml:space="preserve"> )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5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9.04(f)</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9.04(f)</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Participating Member State</w:t>
      </w:r>
      <w:r>
        <w:rPr>
          <w:rFonts w:ascii="Arial" w:cs="Arial" w:eastAsia="Arial" w:hAnsi="Arial"/>
          <w:sz w:val="19"/>
          <w:szCs w:val="19"/>
          <w:color w:val="auto"/>
        </w:rPr>
        <w:t>” means any member state of the European Community that adopts or has adopted the Euro as its lawful currency in accordance with the legislation of the European Union relating to the European Monetary Union.</w:t>
      </w:r>
    </w:p>
    <w:p>
      <w:pPr>
        <w:spacing w:after="0" w:line="105"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4" w:name="page195"/>
    <w:bookmarkEnd w:id="194"/>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Equity Interests</w:t>
      </w:r>
      <w:r>
        <w:rPr>
          <w:rFonts w:ascii="Arial" w:cs="Arial" w:eastAsia="Arial" w:hAnsi="Arial"/>
          <w:sz w:val="22"/>
          <w:szCs w:val="22"/>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86" w:lineRule="exact"/>
        <w:rPr>
          <w:sz w:val="20"/>
          <w:szCs w:val="20"/>
          <w:color w:val="auto"/>
        </w:rPr>
      </w:pPr>
    </w:p>
    <w:p>
      <w:pPr>
        <w:jc w:val="both"/>
        <w:ind w:firstLine="1755"/>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w:t>
      </w:r>
    </w:p>
    <w:p>
      <w:pPr>
        <w:spacing w:after="0" w:line="6" w:lineRule="exact"/>
        <w:rPr>
          <w:sz w:val="20"/>
          <w:szCs w:val="20"/>
          <w:color w:val="auto"/>
        </w:rPr>
      </w:pPr>
    </w:p>
    <w:p>
      <w:pPr>
        <w:jc w:val="both"/>
        <w:ind w:firstLine="8"/>
        <w:spacing w:after="0" w:line="270" w:lineRule="auto"/>
        <w:tabs>
          <w:tab w:leader="none" w:pos="276"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Liens arising out of judgments or awards that have been in force for less than the applicable period for taking an appeal so long as such judgments or awards do not constitute an Event of Default under </w:t>
      </w:r>
      <w:r>
        <w:rPr>
          <w:rFonts w:ascii="Arial" w:cs="Arial" w:eastAsia="Arial" w:hAnsi="Arial"/>
          <w:sz w:val="19"/>
          <w:szCs w:val="19"/>
          <w:u w:val="single" w:color="auto"/>
          <w:color w:val="auto"/>
        </w:rPr>
        <w:t>clause (l)</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Article VII</w:t>
      </w:r>
      <w:r>
        <w:rPr>
          <w:rFonts w:ascii="Arial" w:cs="Arial" w:eastAsia="Arial" w:hAnsi="Arial"/>
          <w:sz w:val="19"/>
          <w:szCs w:val="19"/>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spacing w:after="0" w:line="160"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Policy Amendment</w:t>
      </w:r>
      <w:r>
        <w:rPr>
          <w:rFonts w:ascii="Arial" w:cs="Arial" w:eastAsia="Arial" w:hAnsi="Arial"/>
          <w:sz w:val="19"/>
          <w:szCs w:val="19"/>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5" w:name="page196"/>
    <w:bookmarkEnd w:id="195"/>
    <w:p>
      <w:pPr>
        <w:jc w:val="both"/>
        <w:spacing w:after="0" w:line="297" w:lineRule="auto"/>
        <w:rPr>
          <w:sz w:val="20"/>
          <w:szCs w:val="20"/>
          <w:color w:val="auto"/>
        </w:rPr>
      </w:pPr>
      <w:r>
        <w:rPr>
          <w:rFonts w:ascii="Arial" w:cs="Arial" w:eastAsia="Arial" w:hAnsi="Arial"/>
          <w:sz w:val="19"/>
          <w:szCs w:val="19"/>
          <w:color w:val="auto"/>
        </w:rPr>
        <w:t>adverse to the rights, remedies or interests of the Lenders in the reasonable discretion of the Administrative Agent (for the avoidance of doubt, no change, alteration, expansion, amendment, modification, termination or restatement of the Investment Policies shall be deemed “material” if investment size proportionately increases as the size of the Borrower’s capital base changes.</w:t>
      </w:r>
    </w:p>
    <w:p>
      <w:pPr>
        <w:spacing w:after="0" w:line="134"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SBIC Guarantee</w:t>
      </w:r>
      <w:r>
        <w:rPr>
          <w:rFonts w:ascii="Arial" w:cs="Arial" w:eastAsia="Arial" w:hAnsi="Arial"/>
          <w:sz w:val="22"/>
          <w:szCs w:val="22"/>
          <w:color w:val="auto"/>
        </w:rPr>
        <w:t xml:space="preserv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Arial" w:cs="Arial" w:eastAsia="Arial" w:hAnsi="Arial"/>
          <w:sz w:val="22"/>
          <w:szCs w:val="22"/>
          <w:u w:val="single" w:color="auto"/>
          <w:color w:val="auto"/>
        </w:rPr>
        <w:t>clause (s)</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Article VII</w:t>
      </w:r>
      <w:r>
        <w:rPr>
          <w:rFonts w:ascii="Arial" w:cs="Arial" w:eastAsia="Arial" w:hAnsi="Arial"/>
          <w:sz w:val="22"/>
          <w:szCs w:val="22"/>
          <w:color w:val="auto"/>
        </w:rPr>
        <w:t>, it shall be an Event of Default hereunder if any such event or condition giving rise to such recourse occurs).</w:t>
      </w:r>
    </w:p>
    <w:p>
      <w:pPr>
        <w:spacing w:after="0" w:line="188"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3"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means has the meaning set forth in </w:t>
      </w:r>
      <w:r>
        <w:rPr>
          <w:rFonts w:ascii="Arial" w:cs="Arial" w:eastAsia="Arial" w:hAnsi="Arial"/>
          <w:sz w:val="22"/>
          <w:szCs w:val="22"/>
          <w:u w:val="single" w:color="auto"/>
          <w:color w:val="auto"/>
        </w:rPr>
        <w:t>Section 5.01(i)</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Portfolio Investment</w:t>
      </w:r>
      <w:r>
        <w:rPr>
          <w:rFonts w:ascii="Arial" w:cs="Arial" w:eastAsia="Arial" w:hAnsi="Arial"/>
          <w:sz w:val="19"/>
          <w:szCs w:val="19"/>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(d) any Investment, which if debt, is an obligation (other than a revolving loan or delayed draw term loan) pursuant to which any future advances or payments to the Obligor may be required to be made by the Borrower; (e) any Investment which is made to a bankrupt entity (other than a debtor-in-possession financing and current pay obligations); and (f) any Investment, Cash or account in which a Financing Subsidiary has an interest.</w:t>
      </w:r>
    </w:p>
    <w:p>
      <w:pPr>
        <w:spacing w:after="0" w:line="162" w:lineRule="exact"/>
        <w:rPr>
          <w:sz w:val="20"/>
          <w:szCs w:val="20"/>
          <w:color w:val="auto"/>
        </w:rPr>
      </w:pPr>
    </w:p>
    <w:p>
      <w:pPr>
        <w:ind w:right="4100" w:firstLine="175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xml:space="preserve">” means the rate which is quoted as the “prime rate” in the print edition of </w:t>
      </w:r>
      <w:r>
        <w:rPr>
          <w:rFonts w:ascii="Arial" w:cs="Arial" w:eastAsia="Arial" w:hAnsi="Arial"/>
          <w:sz w:val="21"/>
          <w:szCs w:val="21"/>
          <w:i w:val="1"/>
          <w:iCs w:val="1"/>
          <w:color w:val="auto"/>
        </w:rPr>
        <w:t>The Wall Street Journal</w:t>
      </w:r>
      <w:r>
        <w:rPr>
          <w:rFonts w:ascii="Arial" w:cs="Arial" w:eastAsia="Arial" w:hAnsi="Arial"/>
          <w:sz w:val="21"/>
          <w:szCs w:val="21"/>
          <w:color w:val="auto"/>
        </w:rPr>
        <w:t>, Money Rates Section.</w:t>
      </w:r>
    </w:p>
    <w:p>
      <w:pPr>
        <w:spacing w:after="0" w:line="151"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Financial Center</w:t>
      </w:r>
      <w:r>
        <w:rPr>
          <w:rFonts w:ascii="Arial" w:cs="Arial" w:eastAsia="Arial" w:hAnsi="Arial"/>
          <w:sz w:val="22"/>
          <w:szCs w:val="22"/>
          <w:color w:val="auto"/>
        </w:rPr>
        <w:t>” means, in the case of any Currency, the principal financial center where such Currency is cleared and settled, as determined by the Administrative Agent.</w:t>
      </w:r>
    </w:p>
    <w:p>
      <w:pPr>
        <w:spacing w:after="0" w:line="173"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6" w:name="page197"/>
    <w:bookmarkEnd w:id="196"/>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means Lenders that do not wish to receive Non-Public Information with respect to the Borrower or any of its Subsidiaries or their Securities.</w:t>
      </w:r>
    </w:p>
    <w:p>
      <w:pPr>
        <w:spacing w:after="0" w:line="173"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Dates</w:t>
      </w:r>
      <w:r>
        <w:rPr>
          <w:rFonts w:ascii="Arial" w:cs="Arial" w:eastAsia="Arial" w:hAnsi="Arial"/>
          <w:sz w:val="22"/>
          <w:szCs w:val="22"/>
          <w:color w:val="auto"/>
        </w:rPr>
        <w:t>” means the last Business Day of March, June, September and December in each year, commencing on September 30, 2013.</w:t>
      </w:r>
    </w:p>
    <w:p>
      <w:pPr>
        <w:spacing w:after="0" w:line="173"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Quoted Investments</w:t>
      </w:r>
      <w:r>
        <w:rPr>
          <w:rFonts w:ascii="Arial" w:cs="Arial" w:eastAsia="Arial" w:hAnsi="Arial"/>
          <w:sz w:val="22"/>
          <w:szCs w:val="22"/>
          <w:color w:val="auto"/>
        </w:rPr>
        <w:t xml:space="preserve">” means a Portfolio Investment with a value assigned by the Borrower pursuant to </w:t>
      </w:r>
      <w:r>
        <w:rPr>
          <w:rFonts w:ascii="Arial" w:cs="Arial" w:eastAsia="Arial" w:hAnsi="Arial"/>
          <w:sz w:val="22"/>
          <w:szCs w:val="22"/>
          <w:u w:val="single" w:color="auto"/>
          <w:color w:val="auto"/>
        </w:rPr>
        <w:t>Section 5.12(b)(ii)(A)</w:t>
      </w:r>
      <w:r>
        <w:rPr>
          <w:rFonts w:ascii="Arial" w:cs="Arial" w:eastAsia="Arial" w:hAnsi="Arial"/>
          <w:sz w:val="22"/>
          <w:szCs w:val="22"/>
          <w:color w:val="auto"/>
        </w:rPr>
        <w:t>.</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9.04(c)</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means the Registration Statement filed by the Borrower with the Securities and Exchange Commission on March 14, 2011.</w:t>
      </w:r>
    </w:p>
    <w:p>
      <w:pPr>
        <w:spacing w:after="0" w:line="173" w:lineRule="exact"/>
        <w:rPr>
          <w:sz w:val="20"/>
          <w:szCs w:val="20"/>
          <w:color w:val="auto"/>
        </w:rPr>
      </w:pPr>
    </w:p>
    <w:p>
      <w:pPr>
        <w:jc w:val="both"/>
        <w:ind w:firstLine="1755"/>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Regulations D, T, U and X</w:t>
      </w:r>
      <w:r>
        <w:rPr>
          <w:rFonts w:ascii="Arial" w:cs="Arial" w:eastAsia="Arial" w:hAnsi="Arial"/>
          <w:sz w:val="19"/>
          <w:szCs w:val="19"/>
          <w:color w:val="auto"/>
        </w:rPr>
        <w:t>” means, respectively, Regulations D, T, U and X of the Board of Governors of the Federal Reserve System (or any successor), as the same may be modified and supplemented and in effect from time to time.</w:t>
      </w:r>
    </w:p>
    <w:p>
      <w:pPr>
        <w:spacing w:after="0" w:line="105"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specified Person, such Person’s Affiliates and the respective partners, directors, officers, employees, agents and advisors of such Person and such Person’s Affiliates.</w:t>
      </w:r>
    </w:p>
    <w:p>
      <w:pPr>
        <w:spacing w:after="0" w:line="167" w:lineRule="exact"/>
        <w:rPr>
          <w:sz w:val="20"/>
          <w:szCs w:val="20"/>
          <w:color w:val="auto"/>
        </w:rPr>
      </w:pPr>
    </w:p>
    <w:p>
      <w:pPr>
        <w:jc w:val="both"/>
        <w:ind w:right="20" w:firstLine="1755"/>
        <w:spacing w:after="0" w:line="239"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u w:val="single" w:color="auto"/>
          <w:color w:val="auto"/>
        </w:rPr>
        <w:t>Relevant Available Funds</w:t>
      </w:r>
      <w:r>
        <w:rPr>
          <w:rFonts w:ascii="Arial" w:cs="Arial" w:eastAsia="Arial" w:hAnsi="Arial"/>
          <w:sz w:val="22"/>
          <w:szCs w:val="22"/>
          <w:b w:val="1"/>
          <w:bCs w:val="1"/>
          <w:color w:val="auto"/>
        </w:rPr>
        <w:t xml:space="preserve"> </w:t>
      </w:r>
      <w:r>
        <w:rPr>
          <w:rFonts w:ascii="Arial" w:cs="Arial" w:eastAsia="Arial" w:hAnsi="Arial"/>
          <w:sz w:val="22"/>
          <w:szCs w:val="22"/>
          <w:color w:val="auto"/>
        </w:rPr>
        <w:t>” means the sum (without duplication) of (a) the aggregate undrawn capital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commitments of the Borrower’s equity holders to the Borrower,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aggregate amount available to be drawn under any committed facilities, including, for the avoidance of doubt, this Agreement, for which all applicable conditions to availability could be satisfied at such time.</w:t>
      </w:r>
    </w:p>
    <w:p>
      <w:pPr>
        <w:spacing w:after="0" w:line="187"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86" w:lineRule="exact"/>
        <w:rPr>
          <w:sz w:val="20"/>
          <w:szCs w:val="20"/>
          <w:color w:val="auto"/>
        </w:rPr>
      </w:pPr>
    </w:p>
    <w:p>
      <w:pPr>
        <w:jc w:val="both"/>
        <w:ind w:firstLine="1755"/>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 of any Defaulting Lender shall be disregarded in the determination of Required Lenders or Required Lenders of a Class.</w:t>
      </w:r>
    </w:p>
    <w:p>
      <w:pPr>
        <w:spacing w:after="0" w:line="158"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the chief executive officer, president, chief financial officer, treasurer, assistant treasurer or controller of an Obligor.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7" w:name="page198"/>
    <w:bookmarkEnd w:id="197"/>
    <w:p>
      <w:pPr>
        <w:jc w:val="both"/>
        <w:ind w:firstLine="175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 shall constitute a Restricted Payment hereunder).</w:t>
      </w:r>
    </w:p>
    <w:p>
      <w:pPr>
        <w:spacing w:after="0" w:line="178"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Return of Capital</w:t>
      </w:r>
      <w:r>
        <w:rPr>
          <w:rFonts w:ascii="Arial" w:cs="Arial" w:eastAsia="Arial" w:hAnsi="Arial"/>
          <w:sz w:val="19"/>
          <w:szCs w:val="19"/>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net of any fees, costs, expenses and taxes payable with respect thereto).</w:t>
      </w:r>
    </w:p>
    <w:p>
      <w:pPr>
        <w:spacing w:after="0" w:line="162" w:lineRule="exact"/>
        <w:rPr>
          <w:sz w:val="20"/>
          <w:szCs w:val="20"/>
          <w:color w:val="auto"/>
        </w:rPr>
      </w:pPr>
    </w:p>
    <w:p>
      <w:pPr>
        <w:jc w:val="both"/>
        <w:ind w:firstLine="1755"/>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Exposure</w:t>
      </w:r>
      <w:r>
        <w:rPr>
          <w:rFonts w:ascii="Arial" w:cs="Arial" w:eastAsia="Arial" w:hAnsi="Arial"/>
          <w:sz w:val="19"/>
          <w:szCs w:val="19"/>
          <w:color w:val="auto"/>
        </w:rPr>
        <w:t>” means, with respect to any Lender at any time, the sum of the outstanding principal amount of such Lender’s Revolving Dollar Credit Exposure and Revolving Multicurrency Credit Exposure at such time.</w:t>
      </w:r>
    </w:p>
    <w:p>
      <w:pPr>
        <w:spacing w:after="0" w:line="105"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Dollar Credit Exposure</w:t>
      </w:r>
      <w:r>
        <w:rPr>
          <w:rFonts w:ascii="Arial" w:cs="Arial" w:eastAsia="Arial" w:hAnsi="Arial"/>
          <w:sz w:val="22"/>
          <w:szCs w:val="22"/>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Multicurrency Credit Exposure</w:t>
      </w:r>
      <w:r>
        <w:rPr>
          <w:rFonts w:ascii="Arial" w:cs="Arial" w:eastAsia="Arial" w:hAnsi="Arial"/>
          <w:sz w:val="22"/>
          <w:szCs w:val="22"/>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86" w:lineRule="exact"/>
        <w:rPr>
          <w:sz w:val="20"/>
          <w:szCs w:val="20"/>
          <w:color w:val="auto"/>
        </w:rPr>
      </w:pPr>
    </w:p>
    <w:p>
      <w:pPr>
        <w:jc w:val="both"/>
        <w:ind w:right="20" w:firstLine="175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Percentage</w:t>
      </w:r>
      <w:r>
        <w:rPr>
          <w:rFonts w:ascii="Arial" w:cs="Arial" w:eastAsia="Arial" w:hAnsi="Arial"/>
          <w:sz w:val="21"/>
          <w:szCs w:val="21"/>
          <w:color w:val="auto"/>
        </w:rPr>
        <w:t>” means, as of any date of determination, the result, expressed as a percentage, of the Revolving Credit Exposure on such date divided by the aggregate outstanding Covered Debt Amount on such date.</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RIC</w:t>
      </w:r>
      <w:r>
        <w:rPr>
          <w:rFonts w:ascii="Arial" w:cs="Arial" w:eastAsia="Arial" w:hAnsi="Arial"/>
          <w:sz w:val="21"/>
          <w:szCs w:val="21"/>
          <w:color w:val="auto"/>
        </w:rPr>
        <w:t>” means a person qualifying for treatment as a “regulated investment company” under the Code.</w:t>
      </w:r>
    </w:p>
    <w:p>
      <w:pPr>
        <w:spacing w:after="0" w:line="21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S&amp;P Global Ratings or any successor thereto.</w:t>
      </w:r>
    </w:p>
    <w:p>
      <w:pPr>
        <w:spacing w:after="0" w:line="206"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territory or region that is the subject or the target of country-wide or territory-wide Sanctions broadly prohibiting dealings with such country, territory or region (currently, Cuba, Crimea and Sevastopol, Iran, North Korea and Syria).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8" w:name="page199"/>
    <w:bookmarkEnd w:id="198"/>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3.15(a)</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SBA</w:t>
      </w:r>
      <w:r>
        <w:rPr>
          <w:rFonts w:ascii="Arial" w:cs="Arial" w:eastAsia="Arial" w:hAnsi="Arial"/>
          <w:sz w:val="22"/>
          <w:szCs w:val="22"/>
          <w:color w:val="auto"/>
        </w:rPr>
        <w:t>” means the United States Small Business Administration.</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SBIC Equity Commitment</w:t>
      </w:r>
      <w:r>
        <w:rPr>
          <w:rFonts w:ascii="Arial" w:cs="Arial" w:eastAsia="Arial" w:hAnsi="Arial"/>
          <w:sz w:val="22"/>
          <w:szCs w:val="22"/>
          <w:color w:val="auto"/>
        </w:rPr>
        <w:t>” means a commitment by the Borrower to make one or more capital contributions to an SBIC Subsidiary.</w:t>
      </w:r>
    </w:p>
    <w:p>
      <w:pPr>
        <w:spacing w:after="0" w:line="173"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SBIC Subsidiary</w:t>
      </w:r>
      <w:r>
        <w:rPr>
          <w:rFonts w:ascii="Arial" w:cs="Arial" w:eastAsia="Arial" w:hAnsi="Arial"/>
          <w:sz w:val="19"/>
          <w:szCs w:val="19"/>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57"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Debt Amount</w:t>
      </w:r>
      <w:r>
        <w:rPr>
          <w:rFonts w:ascii="Arial" w:cs="Arial" w:eastAsia="Arial" w:hAnsi="Arial"/>
          <w:sz w:val="22"/>
          <w:szCs w:val="22"/>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186"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Longer-Term Indebtedness</w:t>
      </w:r>
      <w:r>
        <w:rPr>
          <w:rFonts w:ascii="Arial" w:cs="Arial" w:eastAsia="Arial" w:hAnsi="Arial"/>
          <w:sz w:val="19"/>
          <w:szCs w:val="19"/>
          <w:color w:val="auto"/>
        </w:rPr>
        <w:t xml:space="preserve">” means, as at any date, Indebtedness (other than Indebtedness hereunder) of an Obligor (which may be Guaranteed by Subsidiary Guarantors) that (a) has no scheduled amortization prior to, and a final maturity date not earlier than, six months after the Extended Final Maturity Date (it being understood that none of: (w) the conversion features under convertible notes; (x) the triggering and/or settlement thereof; or (y) any cash payment made in respect thereof , shall constitute “amortization” for purposes of this </w:t>
      </w:r>
      <w:r>
        <w:rPr>
          <w:rFonts w:ascii="Arial" w:cs="Arial" w:eastAsia="Arial" w:hAnsi="Arial"/>
          <w:sz w:val="19"/>
          <w:szCs w:val="19"/>
          <w:u w:val="single" w:color="auto"/>
          <w:color w:val="auto"/>
        </w:rPr>
        <w:t>clause (a)</w:t>
      </w:r>
      <w:r>
        <w:rPr>
          <w:rFonts w:ascii="Arial" w:cs="Arial" w:eastAsia="Arial" w:hAnsi="Arial"/>
          <w:sz w:val="19"/>
          <w:szCs w:val="19"/>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9" w:name="page200"/>
    <w:bookmarkEnd w:id="199"/>
    <w:p>
      <w:pPr>
        <w:jc w:val="both"/>
        <w:ind w:firstLine="1755"/>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Shorter-Term Indebtedness</w:t>
      </w:r>
      <w:r>
        <w:rPr>
          <w:rFonts w:ascii="Arial" w:cs="Arial" w:eastAsia="Arial" w:hAnsi="Arial"/>
          <w:sz w:val="19"/>
          <w:szCs w:val="19"/>
          <w:color w:val="auto"/>
        </w:rPr>
        <w:t xml:space="preserve">”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Arial" w:cs="Arial" w:eastAsia="Arial" w:hAnsi="Arial"/>
          <w:sz w:val="19"/>
          <w:szCs w:val="19"/>
          <w:u w:val="single" w:color="auto"/>
          <w:color w:val="auto"/>
        </w:rPr>
        <w:t>Section 6.11(a)</w:t>
      </w:r>
      <w:r>
        <w:rPr>
          <w:rFonts w:ascii="Arial" w:cs="Arial" w:eastAsia="Arial" w:hAnsi="Arial"/>
          <w:sz w:val="19"/>
          <w:szCs w:val="19"/>
          <w:color w:val="auto"/>
        </w:rPr>
        <w:t>.</w:t>
      </w:r>
    </w:p>
    <w:p>
      <w:pPr>
        <w:spacing w:after="0" w:line="158"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88" w:lineRule="exact"/>
        <w:rPr>
          <w:sz w:val="20"/>
          <w:szCs w:val="20"/>
          <w:color w:val="auto"/>
        </w:rPr>
      </w:pPr>
    </w:p>
    <w:p>
      <w:pPr>
        <w:jc w:val="both"/>
        <w:ind w:right="20" w:firstLine="175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Shareholders’ Equity</w:t>
      </w:r>
      <w:r>
        <w:rPr>
          <w:rFonts w:ascii="Arial" w:cs="Arial" w:eastAsia="Arial" w:hAnsi="Arial"/>
          <w:sz w:val="21"/>
          <w:szCs w:val="21"/>
          <w:color w:val="auto"/>
        </w:rPr>
        <w:t>” means, at any date, the amount determined on a consolidated basis, without duplication, in accordance with GAAP, of shareholders equity for the Borrower and its Subsidiaries at such date.</w:t>
      </w:r>
    </w:p>
    <w:p>
      <w:pPr>
        <w:spacing w:after="0" w:line="151"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8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 Subsidiary</w:t>
      </w:r>
      <w:r>
        <w:rPr>
          <w:rFonts w:ascii="Arial" w:cs="Arial" w:eastAsia="Arial" w:hAnsi="Arial"/>
          <w:sz w:val="22"/>
          <w:szCs w:val="22"/>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85" w:lineRule="exact"/>
        <w:rPr>
          <w:sz w:val="20"/>
          <w:szCs w:val="20"/>
          <w:color w:val="auto"/>
        </w:rPr>
      </w:pPr>
    </w:p>
    <w:p>
      <w:pPr>
        <w:jc w:val="both"/>
        <w:ind w:firstLine="1739"/>
        <w:spacing w:after="0" w:line="236" w:lineRule="auto"/>
        <w:tabs>
          <w:tab w:leader="none" w:pos="261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87" w:lineRule="exact"/>
        <w:rPr>
          <w:rFonts w:ascii="Arial" w:cs="Arial" w:eastAsia="Arial" w:hAnsi="Arial"/>
          <w:sz w:val="22"/>
          <w:szCs w:val="22"/>
          <w:color w:val="auto"/>
        </w:rPr>
      </w:pPr>
    </w:p>
    <w:p>
      <w:pPr>
        <w:jc w:val="both"/>
        <w:ind w:firstLine="1739"/>
        <w:spacing w:after="0" w:line="238" w:lineRule="auto"/>
        <w:tabs>
          <w:tab w:leader="none" w:pos="2631"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0" w:name="page201"/>
    <w:bookmarkEnd w:id="200"/>
    <w:p>
      <w:pPr>
        <w:ind w:firstLine="1739"/>
        <w:spacing w:after="0" w:line="251" w:lineRule="auto"/>
        <w:tabs>
          <w:tab w:leader="none" w:pos="261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to which no Obligor has any obligation to maintain or preserve such entity’s financial condition or cause such entity to achieve certain levels of operating results.</w:t>
      </w:r>
    </w:p>
    <w:p>
      <w:pPr>
        <w:spacing w:after="0" w:line="173"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74"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Equity Interest</w:t>
      </w:r>
      <w:r>
        <w:rPr>
          <w:rFonts w:ascii="Arial" w:cs="Arial" w:eastAsia="Arial" w:hAnsi="Arial"/>
          <w:sz w:val="21"/>
          <w:szCs w:val="21"/>
          <w:color w:val="auto"/>
        </w:rPr>
        <w:t xml:space="preserve">” means any Equity Interest that is subject to a Lien in favor of creditors of the issuer of such Equity Interest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77"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Unsecured Indebtedness</w:t>
      </w:r>
      <w:r>
        <w:rPr>
          <w:rFonts w:ascii="Arial" w:cs="Arial" w:eastAsia="Arial" w:hAnsi="Arial"/>
          <w:sz w:val="19"/>
          <w:szCs w:val="19"/>
          <w:color w:val="auto"/>
        </w:rPr>
        <w:t xml:space="preserve">” means Indebtedness of an Obligor issued after the Ninth Amendment Effective Date (which may be Guaranteed by Subsidiary Guarantors) that (a) has no amortization prior to, and a final maturity date not earlier than, five years from the date such Indebtedness is issued (it being understood that none of: (w) the conversion features under convertible notes; (x) the triggering and/or settlement thereof or (y) any cash payment made in respect thereof, shall constitute “amortization” for purposes of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(b) is incurred pursuant to documentation containing (i) covenants and events of default that are not materially more burdensome on the Borrower than those set forth in the Loan Documents or (ii) terms substantially comparable to market terms for substantially similar debt of other similarly situated borrowers as determined by the Borrower in its reasonable judgment and (c) is not secured by any assets of any Obligor;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Special Unsecured Indebtedness shall not include any Indebtedness permitted pursuant to </w:t>
      </w:r>
      <w:r>
        <w:rPr>
          <w:rFonts w:ascii="Arial" w:cs="Arial" w:eastAsia="Arial" w:hAnsi="Arial"/>
          <w:sz w:val="19"/>
          <w:szCs w:val="19"/>
          <w:u w:val="single" w:color="auto"/>
          <w:color w:val="auto"/>
        </w:rPr>
        <w:t>Section 6.01(l)</w:t>
      </w:r>
      <w:r>
        <w:rPr>
          <w:rFonts w:ascii="Arial" w:cs="Arial" w:eastAsia="Arial" w:hAnsi="Arial"/>
          <w:sz w:val="19"/>
          <w:szCs w:val="19"/>
          <w:color w:val="auto"/>
        </w:rPr>
        <w:t>.</w:t>
      </w:r>
    </w:p>
    <w:p>
      <w:pPr>
        <w:spacing w:after="0" w:line="159"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Standard Securitization Undertakings</w:t>
      </w:r>
      <w:r>
        <w:rPr>
          <w:rFonts w:ascii="Arial" w:cs="Arial" w:eastAsia="Arial" w:hAnsi="Arial"/>
          <w:sz w:val="22"/>
          <w:szCs w:val="22"/>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88"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xml:space="preserve">” means, for the Interest Period for any Eurocurrency Borrowing, a fraction (expressed as a decimal), the numerator of which is the number one and the denominator of which is the number one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1" w:name="page202"/>
    <w:bookmarkEnd w:id="201"/>
    <w:p>
      <w:pPr>
        <w:jc w:val="both"/>
        <w:spacing w:after="0" w:line="258" w:lineRule="auto"/>
        <w:rPr>
          <w:sz w:val="20"/>
          <w:szCs w:val="20"/>
          <w:color w:val="auto"/>
        </w:rPr>
      </w:pPr>
      <w:r>
        <w:rPr>
          <w:rFonts w:ascii="Arial" w:cs="Arial" w:eastAsia="Arial" w:hAnsi="Arial"/>
          <w:sz w:val="21"/>
          <w:szCs w:val="21"/>
          <w:color w:val="auto"/>
        </w:rPr>
        <w:t>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67"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(the “</w:t>
      </w:r>
      <w:r>
        <w:rPr>
          <w:rFonts w:ascii="Arial" w:cs="Arial" w:eastAsia="Arial" w:hAnsi="Arial"/>
          <w:sz w:val="21"/>
          <w:szCs w:val="21"/>
          <w:u w:val="single" w:color="auto"/>
          <w:color w:val="auto"/>
        </w:rPr>
        <w:t>parent</w:t>
      </w:r>
      <w:r>
        <w:rPr>
          <w:rFonts w:ascii="Arial" w:cs="Arial" w:eastAsia="Arial" w:hAnsi="Arial"/>
          <w:sz w:val="21"/>
          <w:szCs w:val="21"/>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90"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means any Subsidiary that is a Guarantor under the Guarantee and Security Agreement. It is understood and agreed that no Financing Subsidiary, Immaterial Subsidiary or Foreign Subsidiary shall be a Subsidiary Guarantor.</w:t>
      </w:r>
    </w:p>
    <w:p>
      <w:pPr>
        <w:spacing w:after="0" w:line="186"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Exposure</w:t>
      </w:r>
      <w:r>
        <w:rPr>
          <w:rFonts w:ascii="Arial" w:cs="Arial" w:eastAsia="Arial" w:hAnsi="Arial"/>
          <w:sz w:val="21"/>
          <w:szCs w:val="21"/>
          <w:color w:val="auto"/>
        </w:rPr>
        <w:t>” means, at any time, the aggregate principal amount of all Swingline Loans outstanding at such time. The Swingline Exposure of any Lender at any time shall be the sum of (i) its Applicable Dollar Percentage of the total Swingline Exposure incurred under the Dollar Commitments and (ii) its Applicable Multicurrency Percentage of the total Swingline Exposure at such time incurred under the Multicurrency Commitments.</w:t>
      </w:r>
    </w:p>
    <w:p>
      <w:pPr>
        <w:spacing w:after="0" w:line="174"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xml:space="preserve">” means any of Truist or JPMorgan Chase Bank, N.A., in its capacity as lender of Swingline Loans hereunder, and its successors in such capacity as provided in </w:t>
      </w:r>
      <w:r>
        <w:rPr>
          <w:rFonts w:ascii="Arial" w:cs="Arial" w:eastAsia="Arial" w:hAnsi="Arial"/>
          <w:sz w:val="22"/>
          <w:szCs w:val="22"/>
          <w:u w:val="single" w:color="auto"/>
          <w:color w:val="auto"/>
        </w:rPr>
        <w:t>Section 2.04(d)</w:t>
      </w:r>
      <w:r>
        <w:rPr>
          <w:rFonts w:ascii="Arial" w:cs="Arial" w:eastAsia="Arial" w:hAnsi="Arial"/>
          <w:sz w:val="22"/>
          <w:szCs w:val="22"/>
          <w:color w:val="auto"/>
        </w:rPr>
        <w:t>.</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Syndicated</w:t>
      </w:r>
      <w:r>
        <w:rPr>
          <w:rFonts w:ascii="Arial" w:cs="Arial" w:eastAsia="Arial" w:hAnsi="Arial"/>
          <w:sz w:val="22"/>
          <w:szCs w:val="22"/>
          <w:color w:val="auto"/>
        </w:rPr>
        <w:t xml:space="preserve">”, when used in reference to any Loan or Borrowing, refers to whether such Loan, or the Loans constituting such Borrowing, are made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73"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means the forward-looking term rate based on SOFR that has been selected or recommended by the Relevant Governmental Body.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2" w:name="page203"/>
    <w:bookmarkEnd w:id="202"/>
    <w:p>
      <w:pPr>
        <w:jc w:val="both"/>
        <w:ind w:right="20"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means the earliest to occur of (i) the Extended Final Maturity Date, (ii) the date of the termination of the Commitments in full pursuant to </w:t>
      </w:r>
      <w:r>
        <w:rPr>
          <w:rFonts w:ascii="Arial" w:cs="Arial" w:eastAsia="Arial" w:hAnsi="Arial"/>
          <w:sz w:val="22"/>
          <w:szCs w:val="22"/>
          <w:u w:val="single" w:color="auto"/>
          <w:color w:val="auto"/>
        </w:rPr>
        <w:t>Section 2.08(c)</w:t>
      </w:r>
      <w:r>
        <w:rPr>
          <w:rFonts w:ascii="Arial" w:cs="Arial" w:eastAsia="Arial" w:hAnsi="Arial"/>
          <w:sz w:val="22"/>
          <w:szCs w:val="22"/>
          <w:color w:val="auto"/>
        </w:rPr>
        <w:t xml:space="preserve">, or (iii) the date on which the Commitments are terminated pursuant to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Period</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5.12(b)(ii)(E)(x)</w:t>
      </w:r>
      <w:r>
        <w:rPr>
          <w:rFonts w:ascii="Arial" w:cs="Arial" w:eastAsia="Arial" w:hAnsi="Arial"/>
          <w:sz w:val="22"/>
          <w:szCs w:val="22"/>
          <w:color w:val="auto"/>
        </w:rPr>
        <w: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Quarter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5.12(b)(ii)(B)</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Assets</w:t>
      </w:r>
      <w:r>
        <w:rPr>
          <w:rFonts w:ascii="Arial" w:cs="Arial" w:eastAsia="Arial" w:hAnsi="Arial"/>
          <w:sz w:val="22"/>
          <w:szCs w:val="22"/>
          <w:color w:val="auto"/>
        </w:rPr>
        <w:t>” means, as of any date of determination, the value of the total assets of the Obligors on a consolidated basis, less all liabilities and indebtedness not represented by senior securities, in each case, as of such date of determination.</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Assets Concentration Limitation</w:t>
      </w:r>
      <w:r>
        <w:rPr>
          <w:rFonts w:ascii="Arial" w:cs="Arial" w:eastAsia="Arial" w:hAnsi="Arial"/>
          <w:sz w:val="22"/>
          <w:szCs w:val="22"/>
          <w:color w:val="auto"/>
        </w:rPr>
        <w:t>” means, as of any date of determination, the amount by which the aggregate value of Equity Interests in Financing Subsidiaries held by the Obligors as of such date of determination exceeds 10% of the Total Assets as of such date of determination.</w:t>
      </w:r>
    </w:p>
    <w:p>
      <w:pPr>
        <w:spacing w:after="0" w:line="18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Secured Debt</w:t>
      </w:r>
      <w:r>
        <w:rPr>
          <w:rFonts w:ascii="Arial" w:cs="Arial" w:eastAsia="Arial" w:hAnsi="Arial"/>
          <w:sz w:val="22"/>
          <w:szCs w:val="22"/>
          <w:color w:val="auto"/>
        </w:rPr>
        <w:t>” means, as of any date of determination, the aggregate amount of senior securities representing secured indebtedness of the Obligors as of such date of determination.</w:t>
      </w:r>
    </w:p>
    <w:p>
      <w:pPr>
        <w:spacing w:after="0" w:line="173" w:lineRule="exact"/>
        <w:rPr>
          <w:sz w:val="20"/>
          <w:szCs w:val="20"/>
          <w:color w:val="auto"/>
        </w:rPr>
      </w:pPr>
    </w:p>
    <w:p>
      <w:pPr>
        <w:jc w:val="both"/>
        <w:ind w:firstLine="1755"/>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the execution, delivery and performance by the Borrower of this Agreement and the other Loan Documents, the borrowing of Loans, the use of the proceeds thereof and the issuance of Letters of Credit hereunder.</w:t>
      </w:r>
    </w:p>
    <w:p>
      <w:pPr>
        <w:spacing w:after="0" w:line="10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Truist</w:t>
      </w:r>
      <w:r>
        <w:rPr>
          <w:rFonts w:ascii="Arial" w:cs="Arial" w:eastAsia="Arial" w:hAnsi="Arial"/>
          <w:sz w:val="22"/>
          <w:szCs w:val="22"/>
          <w:color w:val="auto"/>
        </w:rPr>
        <w:t>” means Truist Bank (as successor by merger to SunTrust Bank).</w:t>
      </w:r>
    </w:p>
    <w:p>
      <w:pPr>
        <w:spacing w:after="0" w:line="206" w:lineRule="exact"/>
        <w:rPr>
          <w:sz w:val="20"/>
          <w:szCs w:val="20"/>
          <w:color w:val="auto"/>
        </w:rPr>
      </w:pPr>
    </w:p>
    <w:p>
      <w:pPr>
        <w:jc w:val="both"/>
        <w:ind w:firstLine="1755"/>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105"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Benchmark Replacement excluding the Benchmark Replacement Adjustment.</w:t>
      </w:r>
    </w:p>
    <w:p>
      <w:pPr>
        <w:spacing w:after="0" w:line="173"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Undisclosed Administration</w:t>
      </w:r>
      <w:r>
        <w:rPr>
          <w:rFonts w:ascii="Arial" w:cs="Arial" w:eastAsia="Arial" w:hAnsi="Arial"/>
          <w:sz w:val="22"/>
          <w:szCs w:val="22"/>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means the Uniform Commercial Code as in effect from time to time in the State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 New York.</w:t>
      </w:r>
    </w:p>
    <w:p>
      <w:pPr>
        <w:spacing w:after="0" w:line="188"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Unsecured Longer-Term Indebtedness</w:t>
      </w:r>
      <w:r>
        <w:rPr>
          <w:rFonts w:ascii="Arial" w:cs="Arial" w:eastAsia="Arial" w:hAnsi="Arial"/>
          <w:sz w:val="19"/>
          <w:szCs w:val="19"/>
          <w:color w:val="auto"/>
        </w:rPr>
        <w:t>” means any Indebtedness of an Obligor (which may be Guaranteed by Subsidiary Guarantors) that (a) has no amortization prior to, and a final maturity date not earlier than, six months after the Extended Final Maturity Date (it being understood that none of : (w) the conversion features under convertible notes; (x) the triggering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03" w:name="page204"/>
    <w:bookmarkEnd w:id="203"/>
    <w:p>
      <w:pPr>
        <w:jc w:val="both"/>
        <w:spacing w:after="0" w:line="238" w:lineRule="auto"/>
        <w:rPr>
          <w:sz w:val="20"/>
          <w:szCs w:val="20"/>
          <w:color w:val="auto"/>
        </w:rPr>
      </w:pPr>
      <w:r>
        <w:rPr>
          <w:rFonts w:ascii="Arial" w:cs="Arial" w:eastAsia="Arial" w:hAnsi="Arial"/>
          <w:sz w:val="22"/>
          <w:szCs w:val="22"/>
          <w:color w:val="auto"/>
        </w:rPr>
        <w:t xml:space="preserve">and/or settlement thereof or (y) any cash payment made in respect thereof, shall constitute “amortization” for purposes of this </w:t>
      </w:r>
      <w:r>
        <w:rPr>
          <w:rFonts w:ascii="Arial" w:cs="Arial" w:eastAsia="Arial" w:hAnsi="Arial"/>
          <w:sz w:val="22"/>
          <w:szCs w:val="22"/>
          <w:u w:val="single" w:color="auto"/>
          <w:color w:val="auto"/>
        </w:rPr>
        <w:t>clause (a)</w:t>
      </w:r>
      <w:r>
        <w:rPr>
          <w:rFonts w:ascii="Arial" w:cs="Arial" w:eastAsia="Arial" w:hAnsi="Arial"/>
          <w:sz w:val="22"/>
          <w:szCs w:val="22"/>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85"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Unsecured Shorter-Term Indebtedness</w:t>
      </w:r>
      <w:r>
        <w:rPr>
          <w:rFonts w:ascii="Arial" w:cs="Arial" w:eastAsia="Arial" w:hAnsi="Arial"/>
          <w:sz w:val="21"/>
          <w:szCs w:val="21"/>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21"/>
          <w:szCs w:val="21"/>
          <w:u w:val="single" w:color="auto"/>
          <w:color w:val="auto"/>
        </w:rPr>
        <w:t>Section 6.11(a)</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Unsecured Shorter-Term Indebtedness shall not include any Indebtedness permitted pursuant to </w:t>
      </w:r>
      <w:r>
        <w:rPr>
          <w:rFonts w:ascii="Arial" w:cs="Arial" w:eastAsia="Arial" w:hAnsi="Arial"/>
          <w:sz w:val="21"/>
          <w:szCs w:val="21"/>
          <w:u w:val="single" w:color="auto"/>
          <w:color w:val="auto"/>
        </w:rPr>
        <w:t>Section 6.01(l)</w:t>
      </w:r>
      <w:r>
        <w:rPr>
          <w:rFonts w:ascii="Arial" w:cs="Arial" w:eastAsia="Arial" w:hAnsi="Arial"/>
          <w:sz w:val="21"/>
          <w:szCs w:val="21"/>
          <w:color w:val="auto"/>
        </w:rPr>
        <w:t>.</w:t>
      </w:r>
    </w:p>
    <w:p>
      <w:pPr>
        <w:spacing w:after="0" w:line="174"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Unquoted Investments</w:t>
      </w:r>
      <w:r>
        <w:rPr>
          <w:rFonts w:ascii="Arial" w:cs="Arial" w:eastAsia="Arial" w:hAnsi="Arial"/>
          <w:sz w:val="22"/>
          <w:szCs w:val="22"/>
          <w:color w:val="auto"/>
        </w:rPr>
        <w:t xml:space="preserve">” means a Portfolio Investment with a value assigned by the Borrower pursuant to </w:t>
      </w:r>
      <w:r>
        <w:rPr>
          <w:rFonts w:ascii="Arial" w:cs="Arial" w:eastAsia="Arial" w:hAnsi="Arial"/>
          <w:sz w:val="22"/>
          <w:szCs w:val="22"/>
          <w:u w:val="single" w:color="auto"/>
          <w:color w:val="auto"/>
        </w:rPr>
        <w:t>Section 5.12(b)(ii)(B)</w:t>
      </w:r>
      <w:r>
        <w:rPr>
          <w:rFonts w:ascii="Arial" w:cs="Arial" w:eastAsia="Arial" w:hAnsi="Arial"/>
          <w:sz w:val="22"/>
          <w:szCs w:val="22"/>
          <w:color w:val="auto"/>
        </w:rPr>
        <w:t>.</w:t>
      </w:r>
    </w:p>
    <w:p>
      <w:pPr>
        <w:spacing w:after="0" w:line="173"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Government Securities</w:t>
      </w:r>
      <w:r>
        <w:rPr>
          <w:rFonts w:ascii="Arial" w:cs="Arial" w:eastAsia="Arial" w:hAnsi="Arial"/>
          <w:sz w:val="22"/>
          <w:szCs w:val="22"/>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any Person that is a “United States Person” as defined in Section 7701(a)(30) of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73"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34"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Classification of Loans and Borrowings</w:t>
      </w:r>
      <w:r>
        <w:rPr>
          <w:rFonts w:ascii="Arial" w:cs="Arial" w:eastAsia="Arial" w:hAnsi="Arial"/>
          <w:sz w:val="22"/>
          <w:szCs w:val="22"/>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“ABR Borrowing”) or by Class and Type (e.g., a “Syndicated ABR Borrowing” or “Syndicated Multicurrency LIBOR Borrowing”). Loans and Borrowings may also be identified by Currency.</w:t>
      </w:r>
    </w:p>
    <w:p>
      <w:pPr>
        <w:spacing w:after="0" w:line="188"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Terms Generally</w:t>
      </w:r>
      <w:r>
        <w:rPr>
          <w:rFonts w:ascii="Arial" w:cs="Arial" w:eastAsia="Arial" w:hAnsi="Arial"/>
          <w:sz w:val="22"/>
          <w:szCs w:val="22"/>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4" w:name="page205"/>
    <w:bookmarkEnd w:id="204"/>
    <w:p>
      <w:pPr>
        <w:jc w:val="both"/>
        <w:spacing w:after="0" w:line="270" w:lineRule="auto"/>
        <w:rPr>
          <w:sz w:val="20"/>
          <w:szCs w:val="20"/>
          <w:color w:val="auto"/>
        </w:rPr>
      </w:pPr>
      <w:r>
        <w:rPr>
          <w:rFonts w:ascii="Arial" w:cs="Arial" w:eastAsia="Arial" w:hAnsi="Arial"/>
          <w:sz w:val="19"/>
          <w:szCs w:val="19"/>
          <w:color w:val="auto"/>
        </w:rPr>
        <w:t>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w:t>
      </w:r>
    </w:p>
    <w:p>
      <w:pPr>
        <w:spacing w:after="0" w:line="2" w:lineRule="exact"/>
        <w:rPr>
          <w:sz w:val="20"/>
          <w:szCs w:val="20"/>
          <w:color w:val="auto"/>
        </w:rPr>
      </w:pPr>
    </w:p>
    <w:p>
      <w:pPr>
        <w:jc w:val="both"/>
        <w:ind w:firstLine="8"/>
        <w:spacing w:after="0" w:line="273" w:lineRule="auto"/>
        <w:tabs>
          <w:tab w:leader="none" w:pos="32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Any reference herein to a merger, amalgamation, consolidation, or similar term, shall be deemed to apply to a division of or by a limited liability company, or an allocation of assets to a series of a limited liability company (or the unwinding of such a division or allocation), as if it were a merger, amalgamation, consolidation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55"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are or would have been treated as operating leases for purposes of GAAP prior to the issuance on February 25, 2016 of the Accounting Standards Update (the “</w:t>
      </w:r>
      <w:r>
        <w:rPr>
          <w:rFonts w:ascii="Arial" w:cs="Arial" w:eastAsia="Arial" w:hAnsi="Arial"/>
          <w:sz w:val="19"/>
          <w:szCs w:val="19"/>
          <w:u w:val="single" w:color="auto"/>
          <w:color w:val="auto"/>
        </w:rPr>
        <w:t>ASU</w:t>
      </w:r>
      <w:r>
        <w:rPr>
          <w:rFonts w:ascii="Arial" w:cs="Arial" w:eastAsia="Arial" w:hAnsi="Arial"/>
          <w:sz w:val="19"/>
          <w:szCs w:val="19"/>
          <w:color w:val="auto"/>
        </w:rPr>
        <w:t>”)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5" w:name="page206"/>
    <w:bookmarkEnd w:id="205"/>
    <w:p>
      <w:pPr>
        <w:ind w:left="1760"/>
        <w:spacing w:after="0"/>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Currencies; Currency Equivalents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70" w:lineRule="auto"/>
        <w:tabs>
          <w:tab w:leader="none" w:pos="2643"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Currencies Generally</w:t>
      </w:r>
      <w:r>
        <w:rPr>
          <w:rFonts w:ascii="Arial" w:cs="Arial" w:eastAsia="Arial" w:hAnsi="Arial"/>
          <w:sz w:val="19"/>
          <w:szCs w:val="19"/>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and the last sentence of </w:t>
      </w:r>
      <w:r>
        <w:rPr>
          <w:rFonts w:ascii="Arial" w:cs="Arial" w:eastAsia="Arial" w:hAnsi="Arial"/>
          <w:sz w:val="19"/>
          <w:szCs w:val="19"/>
          <w:u w:val="single" w:color="auto"/>
          <w:color w:val="auto"/>
        </w:rPr>
        <w:t>Section 2.17(a)</w:t>
      </w:r>
      <w:r>
        <w:rPr>
          <w:rFonts w:ascii="Arial" w:cs="Arial" w:eastAsia="Arial" w:hAnsi="Arial"/>
          <w:sz w:val="19"/>
          <w:szCs w:val="19"/>
          <w:color w:val="auto"/>
        </w:rPr>
        <w:t xml:space="preserve">,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6.03(g)</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6.04(f)</w:t>
      </w:r>
      <w:r>
        <w:rPr>
          <w:rFonts w:ascii="Arial" w:cs="Arial" w:eastAsia="Arial" w:hAnsi="Arial"/>
          <w:sz w:val="19"/>
          <w:szCs w:val="19"/>
          <w:color w:val="auto"/>
        </w:rPr>
        <w:t>, in no event shall the Borrower or any Obligor be deemed to not be in compliance with any such basket solely as a result of a change in exchange rates.</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763"/>
        <w:spacing w:after="0" w:line="244" w:lineRule="auto"/>
        <w:tabs>
          <w:tab w:leader="none" w:pos="2655"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Special Provisions Relating to Euro</w:t>
      </w:r>
      <w:r>
        <w:rPr>
          <w:rFonts w:ascii="Arial" w:cs="Arial" w:eastAsia="Arial" w:hAnsi="Arial"/>
          <w:sz w:val="21"/>
          <w:szCs w:val="21"/>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any Borrowing denominated in such currency that is outstanding immediately prior to such date, such replacement shall take effect at the end of the Interest Period therefor.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6" w:name="page207"/>
    <w:bookmarkEnd w:id="206"/>
    <w:p>
      <w:pPr>
        <w:jc w:val="both"/>
        <w:ind w:firstLine="877"/>
        <w:spacing w:after="0" w:line="234" w:lineRule="auto"/>
        <w:rPr>
          <w:sz w:val="20"/>
          <w:szCs w:val="20"/>
          <w:color w:val="auto"/>
        </w:rPr>
      </w:pPr>
      <w:r>
        <w:rPr>
          <w:rFonts w:ascii="Arial" w:cs="Arial" w:eastAsia="Arial" w:hAnsi="Arial"/>
          <w:sz w:val="22"/>
          <w:szCs w:val="22"/>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THE CREDITS</w:t>
      </w:r>
    </w:p>
    <w:p>
      <w:pPr>
        <w:spacing w:after="0" w:line="20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The Commitments</w:t>
      </w:r>
      <w:r>
        <w:rPr>
          <w:rFonts w:ascii="Arial" w:cs="Arial" w:eastAsia="Arial" w:hAnsi="Arial"/>
          <w:sz w:val="22"/>
          <w:szCs w:val="22"/>
          <w:color w:val="auto"/>
        </w:rPr>
        <w:t>. Subject to the terms and conditions set forth herein:</w:t>
      </w:r>
    </w:p>
    <w:p>
      <w:pPr>
        <w:spacing w:after="0" w:line="206" w:lineRule="exact"/>
        <w:rPr>
          <w:sz w:val="20"/>
          <w:szCs w:val="20"/>
          <w:color w:val="auto"/>
        </w:rPr>
      </w:pPr>
    </w:p>
    <w:p>
      <w:pPr>
        <w:jc w:val="both"/>
        <w:ind w:firstLine="1763"/>
        <w:spacing w:after="0" w:line="249" w:lineRule="auto"/>
        <w:tabs>
          <w:tab w:leader="none" w:pos="2643" w:val="left"/>
        </w:tabs>
        <w:numPr>
          <w:ilvl w:val="0"/>
          <w:numId w:val="126"/>
        </w:numPr>
        <w:rPr>
          <w:rFonts w:ascii="Arial" w:cs="Arial" w:eastAsia="Arial" w:hAnsi="Arial"/>
          <w:sz w:val="21"/>
          <w:szCs w:val="21"/>
          <w:color w:val="auto"/>
        </w:rPr>
      </w:pPr>
      <w:r>
        <w:rPr>
          <w:rFonts w:ascii="Arial" w:cs="Arial" w:eastAsia="Arial" w:hAnsi="Arial"/>
          <w:sz w:val="21"/>
          <w:szCs w:val="21"/>
          <w:color w:val="auto"/>
        </w:rPr>
        <w:t>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spacing w:after="0" w:line="178" w:lineRule="exact"/>
        <w:rPr>
          <w:rFonts w:ascii="Arial" w:cs="Arial" w:eastAsia="Arial" w:hAnsi="Arial"/>
          <w:sz w:val="21"/>
          <w:szCs w:val="21"/>
          <w:color w:val="auto"/>
        </w:rPr>
      </w:pPr>
    </w:p>
    <w:p>
      <w:pPr>
        <w:jc w:val="both"/>
        <w:ind w:firstLine="1763"/>
        <w:spacing w:after="0" w:line="248" w:lineRule="auto"/>
        <w:tabs>
          <w:tab w:leader="none" w:pos="2655" w:val="left"/>
        </w:tabs>
        <w:numPr>
          <w:ilvl w:val="0"/>
          <w:numId w:val="126"/>
        </w:numPr>
        <w:rPr>
          <w:rFonts w:ascii="Arial" w:cs="Arial" w:eastAsia="Arial" w:hAnsi="Arial"/>
          <w:sz w:val="21"/>
          <w:szCs w:val="21"/>
          <w:color w:val="auto"/>
        </w:rPr>
      </w:pPr>
      <w:r>
        <w:rPr>
          <w:rFonts w:ascii="Arial" w:cs="Arial" w:eastAsia="Arial" w:hAnsi="Arial"/>
          <w:sz w:val="21"/>
          <w:szCs w:val="21"/>
          <w:color w:val="auto"/>
        </w:rPr>
        <w:t>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spacing w:after="0" w:line="177" w:lineRule="exact"/>
        <w:rPr>
          <w:sz w:val="20"/>
          <w:szCs w:val="20"/>
          <w:color w:val="auto"/>
        </w:rPr>
      </w:pPr>
    </w:p>
    <w:p>
      <w:pPr>
        <w:ind w:right="20" w:firstLine="1755"/>
        <w:spacing w:after="0" w:line="251" w:lineRule="auto"/>
        <w:rPr>
          <w:sz w:val="20"/>
          <w:szCs w:val="20"/>
          <w:color w:val="auto"/>
        </w:rPr>
      </w:pPr>
      <w:r>
        <w:rPr>
          <w:rFonts w:ascii="Arial" w:cs="Arial" w:eastAsia="Arial" w:hAnsi="Arial"/>
          <w:sz w:val="22"/>
          <w:szCs w:val="22"/>
          <w:color w:val="auto"/>
        </w:rPr>
        <w:t>Within the foregoing limits and subject to the terms and conditions set forth herein, the Borrower may borrow, prepay and reborrow Syndicated Loans.</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Loans and Borrowings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35" w:lineRule="auto"/>
        <w:tabs>
          <w:tab w:leader="none" w:pos="2643"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Obligations of Lenders</w:t>
      </w:r>
      <w:r>
        <w:rPr>
          <w:rFonts w:ascii="Arial" w:cs="Arial" w:eastAsia="Arial" w:hAnsi="Arial"/>
          <w:sz w:val="22"/>
          <w:szCs w:val="22"/>
          <w:color w:val="auto"/>
        </w:rPr>
        <w:t xml:space="preserve">. Each Syndicated Loan shall be made as part of a Borrowing consisting of Loans of the same Class of Commitments (other than with respect to any Syndicated Loan requested pursuant to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Commitments of the Lenders are several and no Lender shall be responsible for any other Lender’s failure to make Loans as required.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7" w:name="page208"/>
    <w:bookmarkEnd w:id="207"/>
    <w:p>
      <w:pPr>
        <w:jc w:val="both"/>
        <w:ind w:firstLine="1763"/>
        <w:spacing w:after="0" w:line="282" w:lineRule="auto"/>
        <w:tabs>
          <w:tab w:leader="none" w:pos="2655"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Type of Loans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 Eurocurrency Loan by causing any domestic or foreign branch or Affiliate of such Lender to make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Borrower to repay such Loan in accordance with the terms of this Agreement.</w:t>
      </w:r>
    </w:p>
    <w:p>
      <w:pPr>
        <w:spacing w:after="0" w:line="147" w:lineRule="exact"/>
        <w:rPr>
          <w:rFonts w:ascii="Arial" w:cs="Arial" w:eastAsia="Arial" w:hAnsi="Arial"/>
          <w:sz w:val="19"/>
          <w:szCs w:val="19"/>
          <w:color w:val="auto"/>
        </w:rPr>
      </w:pPr>
    </w:p>
    <w:p>
      <w:pPr>
        <w:jc w:val="both"/>
        <w:ind w:firstLine="1763"/>
        <w:spacing w:after="0" w:line="235" w:lineRule="auto"/>
        <w:tabs>
          <w:tab w:leader="none" w:pos="2643"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 xml:space="preserve">. Each Eurocurrency Borrowing shall be in an aggregate amount of $1,000,000 or a larger multiple of $1,000,000, and each ABR Borrowing (whether Syndicated or Swingline) shall be in an aggregate amount of $1,000,000 or a larger multiple of $100,000;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22"/>
          <w:szCs w:val="22"/>
          <w:u w:val="single" w:color="auto"/>
          <w:color w:val="auto"/>
        </w:rPr>
        <w:t>Section 2.05(f)</w:t>
      </w:r>
      <w:r>
        <w:rPr>
          <w:rFonts w:ascii="Arial" w:cs="Arial" w:eastAsia="Arial" w:hAnsi="Arial"/>
          <w:sz w:val="22"/>
          <w:szCs w:val="22"/>
          <w:color w:val="auto"/>
        </w:rPr>
        <w:t>. Borrowings of more than one Class, Currency and Type may be outstanding at the same time.</w:t>
      </w:r>
    </w:p>
    <w:p>
      <w:pPr>
        <w:spacing w:after="0" w:line="188" w:lineRule="exact"/>
        <w:rPr>
          <w:rFonts w:ascii="Arial" w:cs="Arial" w:eastAsia="Arial" w:hAnsi="Arial"/>
          <w:sz w:val="22"/>
          <w:szCs w:val="22"/>
          <w:color w:val="auto"/>
        </w:rPr>
      </w:pPr>
    </w:p>
    <w:p>
      <w:pPr>
        <w:jc w:val="both"/>
        <w:ind w:firstLine="1763"/>
        <w:spacing w:after="0" w:line="258" w:lineRule="auto"/>
        <w:tabs>
          <w:tab w:leader="none" w:pos="2655"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Limitations on Interest Periods</w:t>
      </w:r>
      <w:r>
        <w:rPr>
          <w:rFonts w:ascii="Arial" w:cs="Arial" w:eastAsia="Arial" w:hAnsi="Arial"/>
          <w:sz w:val="21"/>
          <w:szCs w:val="21"/>
          <w:color w:val="auto"/>
        </w:rPr>
        <w:t>. Notwithstanding any other provision of this Agreement, the Borrower shall not be entitled to request (or to elect to convert to or continue as a Eurocurrency Borrowing) any Borrowing if the Interest Period requested therefor would end after the Final Maturity Date with respect to such Borrowing.</w:t>
      </w:r>
    </w:p>
    <w:p>
      <w:pPr>
        <w:spacing w:after="0" w:line="166" w:lineRule="exact"/>
        <w:rPr>
          <w:rFonts w:ascii="Arial" w:cs="Arial" w:eastAsia="Arial" w:hAnsi="Arial"/>
          <w:sz w:val="21"/>
          <w:szCs w:val="21"/>
          <w:color w:val="auto"/>
        </w:rPr>
      </w:pPr>
    </w:p>
    <w:p>
      <w:pPr>
        <w:jc w:val="both"/>
        <w:ind w:firstLine="1763"/>
        <w:spacing w:after="0" w:line="282" w:lineRule="auto"/>
        <w:tabs>
          <w:tab w:leader="none" w:pos="2643"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Treatment of Classes</w:t>
      </w:r>
      <w:r>
        <w:rPr>
          <w:rFonts w:ascii="Arial" w:cs="Arial" w:eastAsia="Arial" w:hAnsi="Arial"/>
          <w:sz w:val="19"/>
          <w:szCs w:val="19"/>
          <w:color w:val="auto"/>
        </w:rPr>
        <w:t>. Notwithstanding anything to the contrary contained herein, with respect to each Syndicated Loan, Swingline Loan or Letter of Credit designated in Dollars (including any Loan requested pursuant to Section 2.20),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4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Requests for Syndicated Borrowings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46" w:lineRule="auto"/>
        <w:tabs>
          <w:tab w:leader="none" w:pos="2643" w:val="left"/>
        </w:tabs>
        <w:numPr>
          <w:ilvl w:val="0"/>
          <w:numId w:val="129"/>
        </w:numPr>
        <w:rPr>
          <w:rFonts w:ascii="Arial" w:cs="Arial" w:eastAsia="Arial" w:hAnsi="Arial"/>
          <w:sz w:val="21"/>
          <w:szCs w:val="21"/>
          <w:color w:val="auto"/>
        </w:rPr>
      </w:pPr>
      <w:r>
        <w:rPr>
          <w:rFonts w:ascii="Arial" w:cs="Arial" w:eastAsia="Arial" w:hAnsi="Arial"/>
          <w:sz w:val="21"/>
          <w:szCs w:val="21"/>
          <w:u w:val="single" w:color="auto"/>
          <w:color w:val="auto"/>
        </w:rPr>
        <w:t>Notice by the Borrower</w:t>
      </w:r>
      <w:r>
        <w:rPr>
          <w:rFonts w:ascii="Arial" w:cs="Arial" w:eastAsia="Arial" w:hAnsi="Arial"/>
          <w:sz w:val="21"/>
          <w:szCs w:val="21"/>
          <w:color w:val="auto"/>
        </w:rPr>
        <w:t>. To request a Syndicated Borrowing, the Borrower shall notify the Administrative Agent of such request by telephone (i) in the case of a Eurocurrency Borrowing denominated in Dollars, not later than 11:00 a.m., Atlanta, Georgia time, three Business Days before the date of the proposed Borrowing, (ii) in the case of a Eurocurrency Borrowing denominated in a Foreign Currency, not later than 11:00 a.m., Atlanta, Georgia time, four Business Days before the date of the proposed Borrowing or (iii) in the case of a Syndicated ABR Borrowing, not later than 11:00 a.m., Atlanta, Georgia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80" w:lineRule="exact"/>
        <w:rPr>
          <w:rFonts w:ascii="Arial" w:cs="Arial" w:eastAsia="Arial" w:hAnsi="Arial"/>
          <w:sz w:val="21"/>
          <w:szCs w:val="21"/>
          <w:color w:val="auto"/>
        </w:rPr>
      </w:pPr>
    </w:p>
    <w:p>
      <w:pPr>
        <w:ind w:firstLine="1763"/>
        <w:spacing w:after="0" w:line="251" w:lineRule="auto"/>
        <w:tabs>
          <w:tab w:leader="none" w:pos="2655"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Content of Borrowing Requests</w:t>
      </w:r>
      <w:r>
        <w:rPr>
          <w:rFonts w:ascii="Arial" w:cs="Arial" w:eastAsia="Arial" w:hAnsi="Arial"/>
          <w:sz w:val="22"/>
          <w:szCs w:val="22"/>
          <w:color w:val="auto"/>
        </w:rPr>
        <w:t xml:space="preserve">. Each telephonic and written Borrowing Request shall specify the following information in compliance with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173" w:lineRule="exact"/>
        <w:rPr>
          <w:sz w:val="20"/>
          <w:szCs w:val="20"/>
          <w:color w:val="auto"/>
        </w:rPr>
      </w:pPr>
    </w:p>
    <w:p>
      <w:pPr>
        <w:ind w:left="2540" w:hanging="844"/>
        <w:spacing w:after="0"/>
        <w:tabs>
          <w:tab w:leader="none" w:pos="254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whether such Borrowing is to be made under the Dollar Commitments or the Multicurrency</w:t>
      </w:r>
    </w:p>
    <w:p>
      <w:pPr>
        <w:spacing w:after="0" w:line="8"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22"/>
          <w:szCs w:val="22"/>
          <w:color w:val="auto"/>
        </w:rPr>
        <w:t>Commitments;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08" w:name="page209"/>
    <w:bookmarkEnd w:id="208"/>
    <w:p>
      <w:pPr>
        <w:ind w:left="2600" w:hanging="904"/>
        <w:spacing w:after="0"/>
        <w:tabs>
          <w:tab w:leader="none" w:pos="260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aggregate amount and Currency of the requested Borrowing;</w:t>
      </w:r>
    </w:p>
    <w:p>
      <w:pPr>
        <w:spacing w:after="0" w:line="206" w:lineRule="exact"/>
        <w:rPr>
          <w:rFonts w:ascii="Arial" w:cs="Arial" w:eastAsia="Arial" w:hAnsi="Arial"/>
          <w:sz w:val="22"/>
          <w:szCs w:val="22"/>
          <w:color w:val="auto"/>
        </w:rPr>
      </w:pPr>
    </w:p>
    <w:p>
      <w:pPr>
        <w:ind w:left="2660" w:hanging="964"/>
        <w:spacing w:after="0"/>
        <w:tabs>
          <w:tab w:leader="none" w:pos="26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206" w:lineRule="exact"/>
        <w:rPr>
          <w:rFonts w:ascii="Arial" w:cs="Arial" w:eastAsia="Arial" w:hAnsi="Arial"/>
          <w:sz w:val="22"/>
          <w:szCs w:val="22"/>
          <w:color w:val="auto"/>
        </w:rPr>
      </w:pPr>
    </w:p>
    <w:p>
      <w:pPr>
        <w:ind w:left="880" w:right="20" w:firstLine="816"/>
        <w:spacing w:after="0" w:line="251" w:lineRule="auto"/>
        <w:tabs>
          <w:tab w:leader="none" w:pos="265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in the case of a Syndicated Borrowing denominated in Dollars, whether such Borrowing is to be an ABR Borrowing or a Eurocurrency Borrowing;</w:t>
      </w:r>
    </w:p>
    <w:p>
      <w:pPr>
        <w:spacing w:after="0" w:line="173" w:lineRule="exact"/>
        <w:rPr>
          <w:rFonts w:ascii="Arial" w:cs="Arial" w:eastAsia="Arial" w:hAnsi="Arial"/>
          <w:sz w:val="22"/>
          <w:szCs w:val="22"/>
          <w:color w:val="auto"/>
        </w:rPr>
      </w:pPr>
    </w:p>
    <w:p>
      <w:pPr>
        <w:ind w:left="880" w:firstLine="816"/>
        <w:spacing w:after="0" w:line="251" w:lineRule="auto"/>
        <w:tabs>
          <w:tab w:leader="none" w:pos="259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in the case of a Eurocurrency Borrowing, the Interest Period therefor, which shall be a period contemplated by the definition of the term “Interest Period” and permitted under </w:t>
      </w:r>
      <w:r>
        <w:rPr>
          <w:rFonts w:ascii="Arial" w:cs="Arial" w:eastAsia="Arial" w:hAnsi="Arial"/>
          <w:sz w:val="22"/>
          <w:szCs w:val="22"/>
          <w:u w:val="single" w:color="auto"/>
          <w:color w:val="auto"/>
        </w:rPr>
        <w:t>Section 2.02(d)</w:t>
      </w:r>
      <w:r>
        <w:rPr>
          <w:rFonts w:ascii="Arial" w:cs="Arial" w:eastAsia="Arial" w:hAnsi="Arial"/>
          <w:sz w:val="22"/>
          <w:szCs w:val="22"/>
          <w:color w:val="auto"/>
        </w:rPr>
        <w:t>; and</w:t>
      </w:r>
    </w:p>
    <w:p>
      <w:pPr>
        <w:spacing w:after="0" w:line="173" w:lineRule="exact"/>
        <w:rPr>
          <w:rFonts w:ascii="Arial" w:cs="Arial" w:eastAsia="Arial" w:hAnsi="Arial"/>
          <w:sz w:val="22"/>
          <w:szCs w:val="22"/>
          <w:color w:val="auto"/>
        </w:rPr>
      </w:pPr>
    </w:p>
    <w:p>
      <w:pPr>
        <w:ind w:left="2660" w:hanging="964"/>
        <w:spacing w:after="0"/>
        <w:tabs>
          <w:tab w:leader="none" w:pos="266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location and number of the Borrower’s account to which funds are to be disbursed.</w:t>
      </w:r>
    </w:p>
    <w:p>
      <w:pPr>
        <w:spacing w:after="0" w:line="206" w:lineRule="exact"/>
        <w:rPr>
          <w:rFonts w:ascii="Arial" w:cs="Arial" w:eastAsia="Arial" w:hAnsi="Arial"/>
          <w:sz w:val="22"/>
          <w:szCs w:val="22"/>
          <w:color w:val="auto"/>
        </w:rPr>
      </w:pPr>
    </w:p>
    <w:p>
      <w:pPr>
        <w:jc w:val="both"/>
        <w:ind w:firstLine="1763"/>
        <w:spacing w:after="0"/>
        <w:tabs>
          <w:tab w:leader="none" w:pos="2643" w:val="left"/>
        </w:tabs>
        <w:numPr>
          <w:ilvl w:val="1"/>
          <w:numId w:val="131"/>
        </w:numPr>
        <w:rPr>
          <w:rFonts w:ascii="Arial" w:cs="Arial" w:eastAsia="Arial" w:hAnsi="Arial"/>
          <w:sz w:val="22"/>
          <w:szCs w:val="22"/>
          <w:color w:val="auto"/>
        </w:rPr>
      </w:pPr>
      <w:r>
        <w:rPr>
          <w:rFonts w:ascii="Arial" w:cs="Arial" w:eastAsia="Arial" w:hAnsi="Arial"/>
          <w:sz w:val="22"/>
          <w:szCs w:val="22"/>
          <w:u w:val="single" w:color="auto"/>
          <w:color w:val="auto"/>
        </w:rPr>
        <w:t>Notice by the Administrative Agent to the Lenders</w:t>
      </w:r>
      <w:r>
        <w:rPr>
          <w:rFonts w:ascii="Arial" w:cs="Arial" w:eastAsia="Arial" w:hAnsi="Arial"/>
          <w:sz w:val="22"/>
          <w:szCs w:val="22"/>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86" w:lineRule="exact"/>
        <w:rPr>
          <w:rFonts w:ascii="Arial" w:cs="Arial" w:eastAsia="Arial" w:hAnsi="Arial"/>
          <w:sz w:val="22"/>
          <w:szCs w:val="22"/>
          <w:color w:val="auto"/>
        </w:rPr>
      </w:pPr>
    </w:p>
    <w:p>
      <w:pPr>
        <w:jc w:val="both"/>
        <w:ind w:firstLine="1763"/>
        <w:spacing w:after="0" w:line="273" w:lineRule="auto"/>
        <w:tabs>
          <w:tab w:leader="none" w:pos="2655" w:val="left"/>
        </w:tabs>
        <w:numPr>
          <w:ilvl w:val="1"/>
          <w:numId w:val="131"/>
        </w:numPr>
        <w:rPr>
          <w:rFonts w:ascii="Arial" w:cs="Arial" w:eastAsia="Arial" w:hAnsi="Arial"/>
          <w:sz w:val="19"/>
          <w:szCs w:val="19"/>
          <w:color w:val="auto"/>
        </w:rPr>
      </w:pPr>
      <w:r>
        <w:rPr>
          <w:rFonts w:ascii="Arial" w:cs="Arial" w:eastAsia="Arial" w:hAnsi="Arial"/>
          <w:sz w:val="19"/>
          <w:szCs w:val="19"/>
          <w:u w:val="single" w:color="auto"/>
          <w:color w:val="auto"/>
        </w:rPr>
        <w:t>Failure to Elect</w:t>
      </w:r>
      <w:r>
        <w:rPr>
          <w:rFonts w:ascii="Arial" w:cs="Arial" w:eastAsia="Arial" w:hAnsi="Arial"/>
          <w:sz w:val="19"/>
          <w:szCs w:val="19"/>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 Borrowing having an Interest Period of one month and, if an Agreed Foreign Currency has been specified, the requested Syndicated Borrowing shall be a Eurocurrency Borrowing denominated in such Agreed Foreign Currency and having an Interest Period of one month. If a Eurocurrency Borrowing is requested but no Interest Period is specified, (i) if the Currency specified for such Borrowing is Dollars (or if no Currency has been so specified), the requested Borrowing shall be 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62"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Swingline Loans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44" w:lineRule="auto"/>
        <w:tabs>
          <w:tab w:leader="none" w:pos="2643"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Agreement to Make Swingline Loans</w:t>
      </w:r>
      <w:r>
        <w:rPr>
          <w:rFonts w:ascii="Arial" w:cs="Arial" w:eastAsia="Arial" w:hAnsi="Arial"/>
          <w:sz w:val="21"/>
          <w:szCs w:val="21"/>
          <w:color w:val="auto"/>
        </w:rPr>
        <w:t xml:space="preserve">. Subject to the terms and conditions set forth herein, each Swingline Lender severally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$100,000,000 or the aggregate principal amount of outstanding Swingline Loans of any Swingline Lender exceeding $50,000,000, (ii) the sum of any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at such time, (iv) the total Revolving Multicurrency Credit Exposures exceeding the aggregate Multicurrency Commitments at such time or (v) the total Covered Debt Amount exceeding the Borrowing Base then in effect;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Swingline Lender shall be required to make a Swingline Loan to refinance an outstanding Swingline Loan. Within the foregoing limits and subject to the terms and conditions set forth herein, the Borrower may borrow, prepay and reborrow Swingline Loans.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9" w:name="page210"/>
    <w:bookmarkEnd w:id="209"/>
    <w:p>
      <w:pPr>
        <w:jc w:val="both"/>
        <w:ind w:firstLine="1763"/>
        <w:spacing w:after="0" w:line="274" w:lineRule="auto"/>
        <w:tabs>
          <w:tab w:leader="none" w:pos="2655"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Notice of Swingline Loans by the Borrower</w:t>
      </w:r>
      <w:r>
        <w:rPr>
          <w:rFonts w:ascii="Arial" w:cs="Arial" w:eastAsia="Arial" w:hAnsi="Arial"/>
          <w:sz w:val="19"/>
          <w:szCs w:val="19"/>
          <w:color w:val="auto"/>
        </w:rPr>
        <w:t xml:space="preserve">. To request a Swingline Loan, the Borrower shall notify the Administrative Agent of such request by telephone (confirmed by telecopy) not later than 2:00 p.m., Atlanta, Georgia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available to the Borrower by means of a credit to the general deposit account of the Borrower with such Swingline Lender (or, in the case of a Swingline Loan made to finance the reimbursement of an LC Disbursement as provided in </w:t>
      </w:r>
      <w:r>
        <w:rPr>
          <w:rFonts w:ascii="Arial" w:cs="Arial" w:eastAsia="Arial" w:hAnsi="Arial"/>
          <w:sz w:val="19"/>
          <w:szCs w:val="19"/>
          <w:u w:val="single" w:color="auto"/>
          <w:color w:val="auto"/>
        </w:rPr>
        <w:t>Section 2.05(f)</w:t>
      </w:r>
      <w:r>
        <w:rPr>
          <w:rFonts w:ascii="Arial" w:cs="Arial" w:eastAsia="Arial" w:hAnsi="Arial"/>
          <w:sz w:val="19"/>
          <w:szCs w:val="19"/>
          <w:color w:val="auto"/>
        </w:rPr>
        <w:t>, by remittance to the applicable Issuing Bank) by 3:00 p.m., Atlanta, Georgia time, on the requested date of such Swingline Loan.</w:t>
      </w:r>
    </w:p>
    <w:p>
      <w:pPr>
        <w:spacing w:after="0" w:line="158" w:lineRule="exact"/>
        <w:rPr>
          <w:rFonts w:ascii="Arial" w:cs="Arial" w:eastAsia="Arial" w:hAnsi="Arial"/>
          <w:sz w:val="19"/>
          <w:szCs w:val="19"/>
          <w:color w:val="auto"/>
        </w:rPr>
      </w:pPr>
    </w:p>
    <w:p>
      <w:pPr>
        <w:jc w:val="both"/>
        <w:ind w:firstLine="1763"/>
        <w:spacing w:after="0" w:line="271" w:lineRule="auto"/>
        <w:tabs>
          <w:tab w:leader="none" w:pos="2643"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Participations by Lenders in Swingline Loans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any Swingline Lender may by written notice given to the Administrative Agent not later than 10:00 a.m., Atlanta, Georgia time on any Business Day, require the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of such Swingline Loan or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required to purchase a participation in a Swingline Loan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if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spacing w:after="0" w:line="162"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Subject to the foregoing and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each Lender acknowledges and agrees that its obligation to acquire participations in Swingline Loans pursuant to this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w:t>
      </w:r>
      <w:r>
        <w:rPr>
          <w:rFonts w:ascii="Arial" w:cs="Arial" w:eastAsia="Arial" w:hAnsi="Arial"/>
          <w:sz w:val="19"/>
          <w:szCs w:val="19"/>
          <w:color w:val="auto"/>
        </w:rPr>
        <w:t xml:space="preserve"> </w:t>
      </w:r>
      <w:r>
        <w:rPr>
          <w:rFonts w:ascii="Arial" w:cs="Arial" w:eastAsia="Arial" w:hAnsi="Arial"/>
          <w:sz w:val="19"/>
          <w:szCs w:val="19"/>
          <w:u w:val="single" w:color="auto"/>
          <w:color w:val="auto"/>
        </w:rPr>
        <w:t>mutandis</w:t>
      </w:r>
      <w:r>
        <w:rPr>
          <w:rFonts w:ascii="Arial" w:cs="Arial" w:eastAsia="Arial" w:hAnsi="Arial"/>
          <w:sz w:val="19"/>
          <w:szCs w:val="19"/>
          <w:color w:val="auto"/>
        </w:rPr>
        <w:t>,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0" w:name="page211"/>
    <w:bookmarkEnd w:id="210"/>
    <w:p>
      <w:pPr>
        <w:jc w:val="both"/>
        <w:spacing w:after="0" w:line="235" w:lineRule="auto"/>
        <w:rPr>
          <w:sz w:val="20"/>
          <w:szCs w:val="20"/>
          <w:color w:val="auto"/>
        </w:rPr>
      </w:pPr>
      <w:r>
        <w:rPr>
          <w:rFonts w:ascii="Arial" w:cs="Arial" w:eastAsia="Arial" w:hAnsi="Arial"/>
          <w:sz w:val="22"/>
          <w:szCs w:val="22"/>
          <w:color w:val="auto"/>
        </w:rPr>
        <w:t>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spacing w:after="0" w:line="188" w:lineRule="exact"/>
        <w:rPr>
          <w:sz w:val="20"/>
          <w:szCs w:val="20"/>
          <w:color w:val="auto"/>
        </w:rPr>
      </w:pPr>
    </w:p>
    <w:p>
      <w:pPr>
        <w:jc w:val="both"/>
        <w:ind w:firstLine="1763"/>
        <w:spacing w:after="0" w:line="270" w:lineRule="auto"/>
        <w:tabs>
          <w:tab w:leader="none" w:pos="2655"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Resignation and Replacement of Swingline Lender</w:t>
      </w:r>
      <w:r>
        <w:rPr>
          <w:rFonts w:ascii="Arial" w:cs="Arial" w:eastAsia="Arial" w:hAnsi="Arial"/>
          <w:sz w:val="19"/>
          <w:szCs w:val="19"/>
          <w:color w:val="auto"/>
        </w:rPr>
        <w:t xml:space="preserve">. Any Swingline Lender may resign and be replaced at any time by written agreement among the Borrower, the Administrative Agent, the resigning Swingline Lender and a successor Swingline Lender. The Administrative Agent shall notify the Lenders of any such resignation and replacement of any Swingline Lender. In addition to the foregoing, if a Lender becomes, and during the period it remains, a Defaulting Lender, and if any Default has arisen from a failure of the Borrower to comply with </w:t>
      </w:r>
      <w:r>
        <w:rPr>
          <w:rFonts w:ascii="Arial" w:cs="Arial" w:eastAsia="Arial" w:hAnsi="Arial"/>
          <w:sz w:val="19"/>
          <w:szCs w:val="19"/>
          <w:u w:val="single" w:color="auto"/>
          <w:color w:val="auto"/>
        </w:rPr>
        <w:t>Section 2.19(a)</w:t>
      </w:r>
      <w:r>
        <w:rPr>
          <w:rFonts w:ascii="Arial" w:cs="Arial" w:eastAsia="Arial" w:hAnsi="Arial"/>
          <w:sz w:val="19"/>
          <w:szCs w:val="19"/>
          <w:color w:val="auto"/>
        </w:rPr>
        <w:t>, then each Swingline Lender may, upon prior written notice to the Borrower and the Administrative Agent, resign as a Swingline Lender,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one or more successor Swingline Lenders. The Administrative Agent shall notify the Lenders of any such appointment of a successor Swingline Lender. Upon the effectiveness of any resignation of any Swingline Lender, the Borrower shall repay in full all outstanding Swingline Loans made by such Swingline Lender together with all accrued interest thereon. From and after the effective date of the appointment of a successor Swingline Lender, (i) such successor Swingline Lender shall have all the rights and obligations of the replaced Swingline Lender 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of the Swingline Lender hereunder, the replaced Swingline Lender shall have no obligation to make additional Swingline Loans.</w:t>
      </w:r>
    </w:p>
    <w:p>
      <w:pPr>
        <w:spacing w:after="0" w:line="200" w:lineRule="exact"/>
        <w:rPr>
          <w:sz w:val="20"/>
          <w:szCs w:val="20"/>
          <w:color w:val="auto"/>
        </w:rPr>
      </w:pPr>
    </w:p>
    <w:p>
      <w:pPr>
        <w:spacing w:after="0" w:line="21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Letters of Credit</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44" w:lineRule="auto"/>
        <w:tabs>
          <w:tab w:leader="none" w:pos="2643"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xml:space="preserve">. Subject to the terms and conditions set forth herein, in addition to the Loans provided for in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the Borrower may request each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rights of an Issuing Bank under this </w:t>
      </w:r>
      <w:r>
        <w:rPr>
          <w:rFonts w:ascii="Arial" w:cs="Arial" w:eastAsia="Arial" w:hAnsi="Arial"/>
          <w:sz w:val="21"/>
          <w:szCs w:val="21"/>
          <w:u w:val="single" w:color="auto"/>
          <w:color w:val="auto"/>
        </w:rPr>
        <w:t>Section 2.05</w:t>
      </w:r>
      <w:r>
        <w:rPr>
          <w:rFonts w:ascii="Arial" w:cs="Arial" w:eastAsia="Arial" w:hAnsi="Arial"/>
          <w:sz w:val="21"/>
          <w:szCs w:val="21"/>
          <w:color w:val="auto"/>
        </w:rPr>
        <w:t>, no Issuing Bank shall be obligated to issue, amend, renew or extend any Letter of Credit denominated in any Foreign Currency if at the time of such issuance, such Issuing Bank, in its capacity as a Lender, would not be required to make Loans in such Foreign Currency hereunder.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1" w:name="page212"/>
    <w:bookmarkEnd w:id="211"/>
    <w:p>
      <w:pPr>
        <w:jc w:val="both"/>
        <w:ind w:firstLine="1763"/>
        <w:spacing w:after="0" w:line="271" w:lineRule="auto"/>
        <w:tabs>
          <w:tab w:leader="none" w:pos="2655"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or Extension</w:t>
      </w:r>
      <w:r>
        <w:rPr>
          <w:rFonts w:ascii="Arial" w:cs="Arial" w:eastAsia="Arial" w:hAnsi="Arial"/>
          <w:sz w:val="19"/>
          <w:szCs w:val="19"/>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1763"/>
        <w:spacing w:after="0" w:line="244" w:lineRule="auto"/>
        <w:tabs>
          <w:tab w:leader="none" w:pos="2643"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Limitations on Amounts</w:t>
      </w:r>
      <w:r>
        <w:rPr>
          <w:rFonts w:ascii="Arial" w:cs="Arial" w:eastAsia="Arial" w:hAnsi="Arial"/>
          <w:sz w:val="21"/>
          <w:szCs w:val="21"/>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applicable Issuing Bank requested to issue such Letter of Credit (determined for these purposes without giving effect to the participations therein of the Lenders pursuant to </w:t>
      </w:r>
      <w:r>
        <w:rPr>
          <w:rFonts w:ascii="Arial" w:cs="Arial" w:eastAsia="Arial" w:hAnsi="Arial"/>
          <w:sz w:val="21"/>
          <w:szCs w:val="21"/>
          <w:u w:val="single" w:color="auto"/>
          <w:color w:val="auto"/>
        </w:rPr>
        <w:t>paragraph (e)</w:t>
      </w:r>
      <w:r>
        <w:rPr>
          <w:rFonts w:ascii="Arial" w:cs="Arial" w:eastAsia="Arial" w:hAnsi="Arial"/>
          <w:sz w:val="21"/>
          <w:szCs w:val="21"/>
          <w:color w:val="auto"/>
        </w:rPr>
        <w:t xml:space="preserve"> of this Section) shall not exceed the amount set forth opposite the name of such Issuing Bank on </w:t>
      </w:r>
      <w:r>
        <w:rPr>
          <w:rFonts w:ascii="Arial" w:cs="Arial" w:eastAsia="Arial" w:hAnsi="Arial"/>
          <w:sz w:val="21"/>
          <w:szCs w:val="21"/>
          <w:u w:val="single" w:color="auto"/>
          <w:color w:val="auto"/>
        </w:rPr>
        <w:t>Schedule 2.05</w:t>
      </w:r>
      <w:r>
        <w:rPr>
          <w:rFonts w:ascii="Arial" w:cs="Arial" w:eastAsia="Arial" w:hAnsi="Arial"/>
          <w:sz w:val="21"/>
          <w:szCs w:val="21"/>
          <w:color w:val="auto"/>
        </w:rPr>
        <w:t xml:space="preserve"> (or such greater amount as such Issuing Bank may agree in its sole discretion); (ii)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(iv) with respect to each Issuing Bank that is a Swingline Lender, the sum of such Swingline Lender’s outstanding Multicurrency Loans, its LC Exposure, its outstanding Swingline Loans and (without duplication) its other Swingline Exposure shall not exceed its Multicurrency Commitment then in effect; and (v) the total Covered Debt Amount shall not exceed the Borrowing Base then in effect.</w:t>
      </w:r>
    </w:p>
    <w:p>
      <w:pPr>
        <w:spacing w:after="0" w:line="184" w:lineRule="exact"/>
        <w:rPr>
          <w:rFonts w:ascii="Arial" w:cs="Arial" w:eastAsia="Arial" w:hAnsi="Arial"/>
          <w:sz w:val="21"/>
          <w:szCs w:val="21"/>
          <w:color w:val="auto"/>
        </w:rPr>
      </w:pPr>
    </w:p>
    <w:p>
      <w:pPr>
        <w:jc w:val="both"/>
        <w:ind w:firstLine="1763"/>
        <w:spacing w:after="0" w:line="245" w:lineRule="auto"/>
        <w:tabs>
          <w:tab w:leader="none" w:pos="2655"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Expiration Date</w:t>
      </w:r>
      <w:r>
        <w:rPr>
          <w:rFonts w:ascii="Arial" w:cs="Arial" w:eastAsia="Arial" w:hAnsi="Arial"/>
          <w:sz w:val="21"/>
          <w:szCs w:val="21"/>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applicable Issuing Bank and the Administrative Agent.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2" w:name="page213"/>
    <w:bookmarkEnd w:id="212"/>
    <w:p>
      <w:pPr>
        <w:jc w:val="both"/>
        <w:ind w:firstLine="1763"/>
        <w:spacing w:after="0" w:line="270" w:lineRule="auto"/>
        <w:tabs>
          <w:tab w:leader="none" w:pos="2643"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by the issuance of a Letter of Credit of a Class of Commitment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required to purchase a participation in a Letter of Credit pursuant to this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if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would not be satisfied in respect of a Borrowing at the time such Letter of Credit was issued and (y) the Administrative Agent or any Lender shall have so notified such Issuing Bank in writing at least two Business Days prior to the requested date of issuance of such Letter of Credit and shall not have subsequently determined that the circumstances giving rise to such conditions not being satisfied no longer exist. Unless an Issuing Bank has received written notice from any Lender, the Administrative Agent or the Borrower, at least two Business Days prior to the requested date of issuance of the applicable Letter of Credit, that one or more applicable conditions contained in Section 4.02 shall not then be satisfied, then, subject to the terms and conditions hereof, such Issuing Bank shall be entitled to assume all such conditions are satisfied.</w:t>
      </w:r>
    </w:p>
    <w:p>
      <w:pPr>
        <w:spacing w:after="0" w:line="200" w:lineRule="exact"/>
        <w:rPr>
          <w:sz w:val="20"/>
          <w:szCs w:val="20"/>
          <w:color w:val="auto"/>
        </w:rPr>
      </w:pPr>
    </w:p>
    <w:p>
      <w:pPr>
        <w:spacing w:after="0" w:line="216"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2.20</w:t>
      </w:r>
      <w:r>
        <w:rPr>
          <w:rFonts w:ascii="Arial" w:cs="Arial" w:eastAsia="Arial" w:hAnsi="Arial"/>
          <w:sz w:val="21"/>
          <w:szCs w:val="21"/>
          <w:color w:val="auto"/>
        </w:rPr>
        <w:t xml:space="preserve">, in consideration and in furtherance of the foregoing, each Lender of a Class of Commitment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21"/>
          <w:szCs w:val="21"/>
          <w:u w:val="single" w:color="auto"/>
          <w:color w:val="auto"/>
        </w:rPr>
        <w:t>Section 2.06</w:t>
      </w:r>
      <w:r>
        <w:rPr>
          <w:rFonts w:ascii="Arial" w:cs="Arial" w:eastAsia="Arial" w:hAnsi="Arial"/>
          <w:sz w:val="21"/>
          <w:szCs w:val="21"/>
          <w:color w:val="auto"/>
        </w:rPr>
        <w:t xml:space="preserve"> with respect to Loans made by such Lender (and </w:t>
      </w:r>
      <w:r>
        <w:rPr>
          <w:rFonts w:ascii="Arial" w:cs="Arial" w:eastAsia="Arial" w:hAnsi="Arial"/>
          <w:sz w:val="21"/>
          <w:szCs w:val="21"/>
          <w:u w:val="single" w:color="auto"/>
          <w:color w:val="auto"/>
        </w:rPr>
        <w:t>Section 2.06</w:t>
      </w:r>
      <w:r>
        <w:rPr>
          <w:rFonts w:ascii="Arial" w:cs="Arial" w:eastAsia="Arial" w:hAnsi="Arial"/>
          <w:sz w:val="21"/>
          <w:szCs w:val="21"/>
          <w:color w:val="auto"/>
        </w:rPr>
        <w:t xml:space="preserve"> shall apply, </w:t>
      </w:r>
      <w:r>
        <w:rPr>
          <w:rFonts w:ascii="Arial" w:cs="Arial" w:eastAsia="Arial" w:hAnsi="Arial"/>
          <w:sz w:val="21"/>
          <w:szCs w:val="21"/>
          <w:u w:val="single" w:color="auto"/>
          <w:color w:val="auto"/>
        </w:rPr>
        <w:t>mutatis mutandis</w:t>
      </w:r>
      <w:r>
        <w:rPr>
          <w:rFonts w:ascii="Arial" w:cs="Arial" w:eastAsia="Arial" w:hAnsi="Arial"/>
          <w:sz w:val="21"/>
          <w:szCs w:val="21"/>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spacing w:after="0" w:line="195" w:lineRule="exact"/>
        <w:rPr>
          <w:sz w:val="20"/>
          <w:szCs w:val="20"/>
          <w:color w:val="auto"/>
        </w:rPr>
      </w:pPr>
    </w:p>
    <w:p>
      <w:pPr>
        <w:jc w:val="both"/>
        <w:ind w:firstLine="1763"/>
        <w:spacing w:after="0" w:line="297" w:lineRule="auto"/>
        <w:tabs>
          <w:tab w:leader="none" w:pos="2619"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If an Issuing Bank shall make any LC Disbursement in respect of a Letter of Credit, the Borrower shall reimburse such Issuing Bank in respect of such LC Disbursement by paying to the Administrative Agent an amount equal to such LC Disbursement not later than 11:00 a.m., Atlanta, Georgia time, on (i) the Business Day that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3" w:name="page214"/>
    <w:bookmarkEnd w:id="213"/>
    <w:p>
      <w:pPr>
        <w:jc w:val="both"/>
        <w:spacing w:after="0" w:line="247" w:lineRule="auto"/>
        <w:rPr>
          <w:sz w:val="20"/>
          <w:szCs w:val="20"/>
          <w:color w:val="auto"/>
        </w:rPr>
      </w:pPr>
      <w:r>
        <w:rPr>
          <w:rFonts w:ascii="Arial" w:cs="Arial" w:eastAsia="Arial" w:hAnsi="Arial"/>
          <w:sz w:val="21"/>
          <w:szCs w:val="21"/>
          <w:color w:val="auto"/>
        </w:rPr>
        <w:t xml:space="preserve">Borrower receives notice of such LC Disbursement, if such notice is received prior to 10:00 a.m., Atlanta, Georgia time, or (ii) the Business Day immediately following the day that the Borrower receives such notice, if such notice is not received prior to such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LC Disbursement is not less than $1,000,000 and is denominated in Dollars, the Borrower may, subject to the conditions to borrowing set forth herein, request in accordance with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2.04</w:t>
      </w:r>
      <w:r>
        <w:rPr>
          <w:rFonts w:ascii="Arial" w:cs="Arial" w:eastAsia="Arial" w:hAnsi="Arial"/>
          <w:sz w:val="21"/>
          <w:szCs w:val="21"/>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78"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spacing w:after="0" w:line="134" w:lineRule="exact"/>
        <w:rPr>
          <w:sz w:val="20"/>
          <w:szCs w:val="20"/>
          <w:color w:val="auto"/>
        </w:rPr>
      </w:pPr>
    </w:p>
    <w:p>
      <w:pPr>
        <w:jc w:val="both"/>
        <w:ind w:firstLine="1763"/>
        <w:spacing w:after="0" w:line="275" w:lineRule="auto"/>
        <w:tabs>
          <w:tab w:leader="none" w:pos="2655"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Borrower’s obligation to reimburse LC Disbursements as provided in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58"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Neither the Administrative Agent, the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be construed to excuse any Issuing Bank from liability to the Borrower to the extent of any direct damages (as opposed to consequential damages, claims in respect of which are hereby waived by the Borrower to the extent permitted by applicable law) suffered by the Borrower that are caused by such Issuing Bank’s fraud, gross negligence or willful misconduct when determining whether drafts and other documents presented under a Letter of Credit comply with the terms thereof. The parties hereto expressly agree that:</w:t>
      </w:r>
    </w:p>
    <w:p>
      <w:pPr>
        <w:spacing w:after="0" w:line="190" w:lineRule="exact"/>
        <w:rPr>
          <w:sz w:val="20"/>
          <w:szCs w:val="20"/>
          <w:color w:val="auto"/>
        </w:rPr>
      </w:pPr>
    </w:p>
    <w:p>
      <w:pPr>
        <w:jc w:val="both"/>
        <w:ind w:left="880" w:firstLine="816"/>
        <w:spacing w:after="0" w:line="238" w:lineRule="auto"/>
        <w:tabs>
          <w:tab w:leader="none" w:pos="254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4" w:name="page215"/>
    <w:bookmarkEnd w:id="214"/>
    <w:p>
      <w:pPr>
        <w:ind w:left="880" w:firstLine="816"/>
        <w:spacing w:after="0" w:line="328" w:lineRule="auto"/>
        <w:tabs>
          <w:tab w:leader="none" w:pos="2602"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Issuing Banks shall have the right, in their sole discretion, to decline to accept such documents and to make such payment if such documents are not in strict compliance with the terms of such Letter of Credit; and</w:t>
      </w:r>
    </w:p>
    <w:p>
      <w:pPr>
        <w:spacing w:after="0" w:line="105" w:lineRule="exact"/>
        <w:rPr>
          <w:rFonts w:ascii="Arial" w:cs="Arial" w:eastAsia="Arial" w:hAnsi="Arial"/>
          <w:sz w:val="19"/>
          <w:szCs w:val="19"/>
          <w:color w:val="auto"/>
        </w:rPr>
      </w:pPr>
    </w:p>
    <w:p>
      <w:pPr>
        <w:jc w:val="both"/>
        <w:ind w:left="880" w:firstLine="816"/>
        <w:spacing w:after="0" w:line="238" w:lineRule="auto"/>
        <w:tabs>
          <w:tab w:leader="none" w:pos="2662"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85" w:lineRule="exact"/>
        <w:rPr>
          <w:rFonts w:ascii="Arial" w:cs="Arial" w:eastAsia="Arial" w:hAnsi="Arial"/>
          <w:sz w:val="22"/>
          <w:szCs w:val="22"/>
          <w:color w:val="auto"/>
        </w:rPr>
      </w:pPr>
    </w:p>
    <w:p>
      <w:pPr>
        <w:jc w:val="both"/>
        <w:ind w:firstLine="1763"/>
        <w:spacing w:after="0" w:line="279" w:lineRule="auto"/>
        <w:tabs>
          <w:tab w:leader="none" w:pos="2655" w:val="left"/>
        </w:tabs>
        <w:numPr>
          <w:ilvl w:val="1"/>
          <w:numId w:val="141"/>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of such demand for payment and whether such Issuing Bank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Borrower of its obligation to reimburse such Issuing Bank and the applicable Lenders with respect to any such LC Disbursement.</w:t>
      </w:r>
    </w:p>
    <w:p>
      <w:pPr>
        <w:spacing w:after="0" w:line="150" w:lineRule="exact"/>
        <w:rPr>
          <w:rFonts w:ascii="Arial" w:cs="Arial" w:eastAsia="Arial" w:hAnsi="Arial"/>
          <w:sz w:val="19"/>
          <w:szCs w:val="19"/>
          <w:color w:val="auto"/>
        </w:rPr>
      </w:pPr>
    </w:p>
    <w:p>
      <w:pPr>
        <w:jc w:val="both"/>
        <w:ind w:firstLine="1763"/>
        <w:spacing w:after="0" w:line="275" w:lineRule="auto"/>
        <w:tabs>
          <w:tab w:leader="none" w:pos="2607" w:val="left"/>
        </w:tabs>
        <w:numPr>
          <w:ilvl w:val="1"/>
          <w:numId w:val="141"/>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reimburse such LC Disbursement within two Business Days following the date when due pursuant to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of this Section, then the provisions of </w:t>
      </w:r>
      <w:r>
        <w:rPr>
          <w:rFonts w:ascii="Arial" w:cs="Arial" w:eastAsia="Arial" w:hAnsi="Arial"/>
          <w:sz w:val="19"/>
          <w:szCs w:val="19"/>
          <w:u w:val="single" w:color="auto"/>
          <w:color w:val="auto"/>
        </w:rPr>
        <w:t>Section 2.12(c)</w:t>
      </w:r>
      <w:r>
        <w:rPr>
          <w:rFonts w:ascii="Arial" w:cs="Arial" w:eastAsia="Arial" w:hAnsi="Arial"/>
          <w:sz w:val="19"/>
          <w:szCs w:val="19"/>
          <w:color w:val="auto"/>
        </w:rPr>
        <w:t xml:space="preserve"> shall apply. Interest accrued pursuant to this paragraph shall be for account of the applicable Issuing Bank, except that interest accrued on and after the date of payment by any Lender pursuant to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of this Section to reimburse such Issuing Bank shall be for account of such Lender to the extent of such payment.</w:t>
      </w:r>
    </w:p>
    <w:p>
      <w:pPr>
        <w:spacing w:after="0" w:line="158" w:lineRule="exact"/>
        <w:rPr>
          <w:rFonts w:ascii="Arial" w:cs="Arial" w:eastAsia="Arial" w:hAnsi="Arial"/>
          <w:sz w:val="19"/>
          <w:szCs w:val="19"/>
          <w:color w:val="auto"/>
        </w:rPr>
      </w:pPr>
    </w:p>
    <w:p>
      <w:pPr>
        <w:jc w:val="both"/>
        <w:ind w:firstLine="1763"/>
        <w:spacing w:after="0" w:line="272" w:lineRule="auto"/>
        <w:tabs>
          <w:tab w:leader="none" w:pos="2607" w:val="left"/>
        </w:tabs>
        <w:numPr>
          <w:ilvl w:val="1"/>
          <w:numId w:val="141"/>
        </w:numPr>
        <w:rPr>
          <w:rFonts w:ascii="Arial" w:cs="Arial" w:eastAsia="Arial" w:hAnsi="Arial"/>
          <w:sz w:val="19"/>
          <w:szCs w:val="19"/>
          <w:color w:val="auto"/>
        </w:rPr>
      </w:pPr>
      <w:r>
        <w:rPr>
          <w:rFonts w:ascii="Arial" w:cs="Arial" w:eastAsia="Arial" w:hAnsi="Arial"/>
          <w:sz w:val="19"/>
          <w:szCs w:val="19"/>
          <w:u w:val="single" w:color="auto"/>
          <w:color w:val="auto"/>
        </w:rPr>
        <w:t>Resignation and/or Replacement of an Issuing Bank</w:t>
      </w:r>
      <w:r>
        <w:rPr>
          <w:rFonts w:ascii="Arial" w:cs="Arial" w:eastAsia="Arial" w:hAnsi="Arial"/>
          <w:sz w:val="19"/>
          <w:szCs w:val="19"/>
          <w:color w:val="auto"/>
        </w:rPr>
        <w:t xml:space="preserve">. An Issuing Bank may resign and be replaced at any time by written agreement among the Borrower, the Administrative Agent, the resigning Issuing Bank and the successor Issuing Bank. In addition, if any Issuing Bank, in its capacity as a Lender, assigns all of its Loans and Commitments in accordance with the terms of this Agreement, such Issuing Bank may, with the prior written consent of the Borrower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Borrower shall be required if an Event of Default has occurred and is continuing), resign as an Issuing Bank hereunder upon not less than three Business Days prior written notice to the Administrative Agent and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Arial" w:cs="Arial" w:eastAsia="Arial" w:hAnsi="Arial"/>
          <w:sz w:val="19"/>
          <w:szCs w:val="19"/>
          <w:u w:val="single" w:color="auto"/>
          <w:color w:val="auto"/>
        </w:rPr>
        <w:t>Section 2.11(b)</w:t>
      </w:r>
      <w:r>
        <w:rPr>
          <w:rFonts w:ascii="Arial" w:cs="Arial" w:eastAsia="Arial" w:hAnsi="Arial"/>
          <w:sz w:val="19"/>
          <w:szCs w:val="19"/>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5" w:name="page216"/>
    <w:bookmarkEnd w:id="215"/>
    <w:p>
      <w:pPr>
        <w:jc w:val="both"/>
        <w:spacing w:after="0" w:line="248" w:lineRule="auto"/>
        <w:rPr>
          <w:sz w:val="20"/>
          <w:szCs w:val="20"/>
          <w:color w:val="auto"/>
        </w:rPr>
      </w:pPr>
      <w:r>
        <w:rPr>
          <w:rFonts w:ascii="Arial" w:cs="Arial" w:eastAsia="Arial" w:hAnsi="Arial"/>
          <w:sz w:val="21"/>
          <w:szCs w:val="21"/>
          <w:color w:val="auto"/>
        </w:rPr>
        <w:t>“Issuing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spacing w:after="0" w:line="177" w:lineRule="exact"/>
        <w:rPr>
          <w:sz w:val="20"/>
          <w:szCs w:val="20"/>
          <w:color w:val="auto"/>
        </w:rPr>
      </w:pPr>
    </w:p>
    <w:p>
      <w:pPr>
        <w:jc w:val="both"/>
        <w:ind w:firstLine="1763"/>
        <w:spacing w:after="0" w:line="273" w:lineRule="auto"/>
        <w:tabs>
          <w:tab w:leader="none" w:pos="2655"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xml:space="preserve">. If the Borrower shall be required to provide Cash Collateral for LC Exposure pursuant to </w:t>
      </w:r>
      <w:r>
        <w:rPr>
          <w:rFonts w:ascii="Arial" w:cs="Arial" w:eastAsia="Arial" w:hAnsi="Arial"/>
          <w:sz w:val="19"/>
          <w:szCs w:val="19"/>
          <w:u w:val="single" w:color="auto"/>
          <w:color w:val="auto"/>
        </w:rPr>
        <w:t>Section 2.05(d)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or the last paragraph of </w:t>
      </w:r>
      <w:r>
        <w:rPr>
          <w:rFonts w:ascii="Arial" w:cs="Arial" w:eastAsia="Arial" w:hAnsi="Arial"/>
          <w:sz w:val="19"/>
          <w:szCs w:val="19"/>
          <w:u w:val="single" w:color="auto"/>
          <w:color w:val="auto"/>
        </w:rPr>
        <w:t>Article VII</w:t>
      </w:r>
      <w:r>
        <w:rPr>
          <w:rFonts w:ascii="Arial" w:cs="Arial" w:eastAsia="Arial" w:hAnsi="Arial"/>
          <w:sz w:val="19"/>
          <w:szCs w:val="19"/>
          <w:color w:val="auto"/>
        </w:rPr>
        <w:t>, the Borrower shall immediately deposit into a segregated collateral account or accounts (herein, collectively, the “</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Collateral Account</w:t>
      </w:r>
      <w:r>
        <w:rPr>
          <w:rFonts w:ascii="Arial" w:cs="Arial" w:eastAsia="Arial" w:hAnsi="Arial"/>
          <w:sz w:val="19"/>
          <w:szCs w:val="19"/>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or the last paragraph of </w:t>
      </w:r>
      <w:r>
        <w:rPr>
          <w:rFonts w:ascii="Arial" w:cs="Arial" w:eastAsia="Arial" w:hAnsi="Arial"/>
          <w:sz w:val="19"/>
          <w:szCs w:val="19"/>
          <w:u w:val="single" w:color="auto"/>
          <w:color w:val="auto"/>
        </w:rPr>
        <w:t>Article VII</w:t>
      </w:r>
      <w:r>
        <w:rPr>
          <w:rFonts w:ascii="Arial" w:cs="Arial" w:eastAsia="Arial" w:hAnsi="Arial"/>
          <w:sz w:val="19"/>
          <w:szCs w:val="19"/>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61" w:lineRule="exact"/>
        <w:rPr>
          <w:rFonts w:ascii="Arial" w:cs="Arial" w:eastAsia="Arial" w:hAnsi="Arial"/>
          <w:sz w:val="19"/>
          <w:szCs w:val="19"/>
          <w:color w:val="auto"/>
        </w:rPr>
      </w:pPr>
    </w:p>
    <w:p>
      <w:pPr>
        <w:jc w:val="both"/>
        <w:ind w:firstLine="1763"/>
        <w:spacing w:after="0" w:line="234" w:lineRule="auto"/>
        <w:tabs>
          <w:tab w:leader="none" w:pos="2607"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Additional Issuing Banks</w:t>
      </w:r>
      <w:r>
        <w:rPr>
          <w:rFonts w:ascii="Arial" w:cs="Arial" w:eastAsia="Arial" w:hAnsi="Arial"/>
          <w:sz w:val="22"/>
          <w:szCs w:val="22"/>
          <w:color w:val="auto"/>
        </w:rPr>
        <w:t xml:space="preserve">. From time to time, the Borrower may, by notice to the Administrative Agent, designate additional Extending Lenders as an Issuing Bank, each of which agrees (in its sole discretion) to act in such capacity and is reasonably satisfactory to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such notice shall include an updated Schedule 2.05;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19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Funding of Borrowings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45" w:lineRule="auto"/>
        <w:tabs>
          <w:tab w:leader="none" w:pos="2643" w:val="left"/>
        </w:tabs>
        <w:numPr>
          <w:ilvl w:val="0"/>
          <w:numId w:val="143"/>
        </w:numPr>
        <w:rPr>
          <w:rFonts w:ascii="Arial" w:cs="Arial" w:eastAsia="Arial" w:hAnsi="Arial"/>
          <w:sz w:val="21"/>
          <w:szCs w:val="21"/>
          <w:color w:val="auto"/>
        </w:rPr>
      </w:pPr>
      <w:r>
        <w:rPr>
          <w:rFonts w:ascii="Arial" w:cs="Arial" w:eastAsia="Arial" w:hAnsi="Arial"/>
          <w:sz w:val="21"/>
          <w:szCs w:val="21"/>
          <w:u w:val="single" w:color="auto"/>
          <w:color w:val="auto"/>
        </w:rPr>
        <w:t>Funding by Lenders</w:t>
      </w:r>
      <w:r>
        <w:rPr>
          <w:rFonts w:ascii="Arial" w:cs="Arial" w:eastAsia="Arial" w:hAnsi="Arial"/>
          <w:sz w:val="21"/>
          <w:szCs w:val="21"/>
          <w:color w:val="auto"/>
        </w:rPr>
        <w:t xml:space="preserve">. Each Lender shall make each Loan to be made by it hereunder on the proposed date thereof by wire transfer of immediately available funds by (i) in the case of any Loan (other than a Syndicated ABR Borrowing), 11:00 a.m. Atlanta, Georgia time, and (ii) in the case of any Loan that is a Syndicated ABR Borrowing, 1:00 p.m. Atlanta, Georgia time, in each case, to the account of the Administrative Agent most recently designated by it for such purpose by notice to the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Swingline Loans shall be made as provided in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Syndicated ABR Borrowings made to finance the reimbursement of an LC Disbursement as provided in </w:t>
      </w:r>
      <w:r>
        <w:rPr>
          <w:rFonts w:ascii="Arial" w:cs="Arial" w:eastAsia="Arial" w:hAnsi="Arial"/>
          <w:sz w:val="21"/>
          <w:szCs w:val="21"/>
          <w:u w:val="single" w:color="auto"/>
          <w:color w:val="auto"/>
        </w:rPr>
        <w:t>Section 2.05(f)</w:t>
      </w:r>
      <w:r>
        <w:rPr>
          <w:rFonts w:ascii="Arial" w:cs="Arial" w:eastAsia="Arial" w:hAnsi="Arial"/>
          <w:sz w:val="21"/>
          <w:szCs w:val="21"/>
          <w:color w:val="auto"/>
        </w:rPr>
        <w:t xml:space="preserve"> shall be remitted by the Administrative Agent to the applicable Issuing Bank.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6" w:name="page217"/>
    <w:bookmarkEnd w:id="216"/>
    <w:p>
      <w:pPr>
        <w:jc w:val="both"/>
        <w:ind w:firstLine="1763"/>
        <w:spacing w:after="0" w:line="244" w:lineRule="auto"/>
        <w:tabs>
          <w:tab w:leader="none" w:pos="2655" w:val="left"/>
        </w:tabs>
        <w:numPr>
          <w:ilvl w:val="0"/>
          <w:numId w:val="144"/>
        </w:numPr>
        <w:rPr>
          <w:rFonts w:ascii="Arial" w:cs="Arial" w:eastAsia="Arial" w:hAnsi="Arial"/>
          <w:sz w:val="21"/>
          <w:szCs w:val="21"/>
          <w:color w:val="auto"/>
        </w:rPr>
      </w:pPr>
      <w:r>
        <w:rPr>
          <w:rFonts w:ascii="Arial" w:cs="Arial" w:eastAsia="Arial" w:hAnsi="Arial"/>
          <w:sz w:val="21"/>
          <w:szCs w:val="21"/>
          <w:u w:val="single" w:color="auto"/>
          <w:color w:val="auto"/>
        </w:rPr>
        <w:t>Presumption by the Administrative Agent</w:t>
      </w:r>
      <w:r>
        <w:rPr>
          <w:rFonts w:ascii="Arial" w:cs="Arial" w:eastAsia="Arial" w:hAnsi="Arial"/>
          <w:sz w:val="21"/>
          <w:szCs w:val="21"/>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21"/>
          <w:szCs w:val="21"/>
          <w:u w:val="single" w:color="auto"/>
          <w:color w:val="auto"/>
        </w:rPr>
        <w:t>paragraph (a)</w:t>
      </w:r>
      <w:r>
        <w:rPr>
          <w:rFonts w:ascii="Arial" w:cs="Arial" w:eastAsia="Arial" w:hAnsi="Arial"/>
          <w:sz w:val="21"/>
          <w:szCs w:val="21"/>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Interest Elections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71" w:lineRule="auto"/>
        <w:tabs>
          <w:tab w:leader="none" w:pos="2643"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Elections by the Borrower for Syndicated Borrowings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2.03(d)</w:t>
      </w:r>
      <w:r>
        <w:rPr>
          <w:rFonts w:ascii="Arial" w:cs="Arial" w:eastAsia="Arial" w:hAnsi="Arial"/>
          <w:sz w:val="19"/>
          <w:szCs w:val="19"/>
          <w:color w:val="auto"/>
        </w:rPr>
        <w:t xml:space="preserve">, the Loans constituting each Syndicated Borrowing initially shall be of the Type specified in the applicable Borrowing Request and, in the case of a Eurocurrency Borrowing, shall have the Interest Period specified in such Borrowing Request. Thereafter, the Borrower may elect to convert such Borrowing to a Borrowing of a different Type or to continue such Borrowing as a Borrowing of the same Type and, in the case of a Eurocurrency Borrowing, may elect the Interest Period therefor, all as provided in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no Eurocurrency Borrowing denominated in a Foreign Currency may be continued if, after giving effect thereto, the aggregate Revolving Multicurrency Credit Exposures would exceed the aggregate Multicurrency Commitments, and (iv) a Eurocurrency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1763"/>
        <w:spacing w:after="0" w:line="279" w:lineRule="auto"/>
        <w:tabs>
          <w:tab w:leader="none" w:pos="2655"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Notice of Elections</w:t>
      </w:r>
      <w:r>
        <w:rPr>
          <w:rFonts w:ascii="Arial" w:cs="Arial" w:eastAsia="Arial" w:hAnsi="Arial"/>
          <w:sz w:val="19"/>
          <w:szCs w:val="19"/>
          <w:color w:val="auto"/>
        </w:rPr>
        <w:t xml:space="preserve">. To make an election pursuant to this Section, the Borrower shall notify the Administrative Agent of such election by telephone by the time that a Borrowing Request would be required under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7" w:name="page218"/>
    <w:bookmarkEnd w:id="217"/>
    <w:p>
      <w:pPr>
        <w:ind w:firstLine="1763"/>
        <w:spacing w:after="0" w:line="251" w:lineRule="auto"/>
        <w:tabs>
          <w:tab w:leader="none" w:pos="2643" w:val="left"/>
        </w:tabs>
        <w:numPr>
          <w:ilvl w:val="1"/>
          <w:numId w:val="146"/>
        </w:numPr>
        <w:rPr>
          <w:rFonts w:ascii="Arial" w:cs="Arial" w:eastAsia="Arial" w:hAnsi="Arial"/>
          <w:sz w:val="22"/>
          <w:szCs w:val="22"/>
          <w:color w:val="auto"/>
        </w:rPr>
      </w:pPr>
      <w:r>
        <w:rPr>
          <w:rFonts w:ascii="Arial" w:cs="Arial" w:eastAsia="Arial" w:hAnsi="Arial"/>
          <w:sz w:val="22"/>
          <w:szCs w:val="22"/>
          <w:u w:val="single" w:color="auto"/>
          <w:color w:val="auto"/>
        </w:rPr>
        <w:t>Content of Interest Election Requests</w:t>
      </w:r>
      <w:r>
        <w:rPr>
          <w:rFonts w:ascii="Arial" w:cs="Arial" w:eastAsia="Arial" w:hAnsi="Arial"/>
          <w:sz w:val="22"/>
          <w:szCs w:val="22"/>
          <w:color w:val="auto"/>
        </w:rPr>
        <w:t xml:space="preserve">. Each telephonic and written Interest Election Request shall specify the following information in compliance with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left="880" w:firstLine="816"/>
        <w:spacing w:after="0" w:line="238" w:lineRule="auto"/>
        <w:tabs>
          <w:tab w:leader="none" w:pos="254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the Borrowing (including the Class of Commitment)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22"/>
          <w:szCs w:val="22"/>
          <w:u w:val="single" w:color="auto"/>
          <w:color w:val="auto"/>
        </w:rPr>
        <w:t>clauses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of this paragraph shall be specified for each resulting Borrowing);</w:t>
      </w:r>
    </w:p>
    <w:p>
      <w:pPr>
        <w:spacing w:after="0" w:line="185" w:lineRule="exact"/>
        <w:rPr>
          <w:rFonts w:ascii="Arial" w:cs="Arial" w:eastAsia="Arial" w:hAnsi="Arial"/>
          <w:sz w:val="22"/>
          <w:szCs w:val="22"/>
          <w:color w:val="auto"/>
        </w:rPr>
      </w:pPr>
    </w:p>
    <w:p>
      <w:pPr>
        <w:ind w:left="2600" w:hanging="904"/>
        <w:spacing w:after="0"/>
        <w:tabs>
          <w:tab w:leader="none" w:pos="26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Business Day;</w:t>
      </w:r>
    </w:p>
    <w:p>
      <w:pPr>
        <w:spacing w:after="0" w:line="188" w:lineRule="exact"/>
        <w:rPr>
          <w:rFonts w:ascii="Arial" w:cs="Arial" w:eastAsia="Arial" w:hAnsi="Arial"/>
          <w:sz w:val="19"/>
          <w:szCs w:val="19"/>
          <w:color w:val="auto"/>
        </w:rPr>
      </w:pPr>
    </w:p>
    <w:p>
      <w:pPr>
        <w:ind w:left="880" w:firstLine="816"/>
        <w:spacing w:after="0" w:line="251" w:lineRule="auto"/>
        <w:tabs>
          <w:tab w:leader="none" w:pos="266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whether, in the case of a Borrowing denominated in Dollars, the resulting Borrowing is to be an ABR Borrowing or a Eurocurrency Borrowing; and</w:t>
      </w:r>
    </w:p>
    <w:p>
      <w:pPr>
        <w:spacing w:after="0" w:line="173" w:lineRule="exact"/>
        <w:rPr>
          <w:rFonts w:ascii="Arial" w:cs="Arial" w:eastAsia="Arial" w:hAnsi="Arial"/>
          <w:sz w:val="22"/>
          <w:szCs w:val="22"/>
          <w:color w:val="auto"/>
        </w:rPr>
      </w:pPr>
    </w:p>
    <w:p>
      <w:pPr>
        <w:jc w:val="both"/>
        <w:ind w:left="880" w:firstLine="816"/>
        <w:spacing w:after="0"/>
        <w:tabs>
          <w:tab w:leader="none" w:pos="265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if the resulting Borrowing is a Eurocurrency Borrowing, the Interest Period therefor after giving effect to such election, which shall be a period contemplated by the definition of the term “Interest Period” and permitted under </w:t>
      </w:r>
      <w:r>
        <w:rPr>
          <w:rFonts w:ascii="Arial" w:cs="Arial" w:eastAsia="Arial" w:hAnsi="Arial"/>
          <w:sz w:val="22"/>
          <w:szCs w:val="22"/>
          <w:u w:val="single" w:color="auto"/>
          <w:color w:val="auto"/>
        </w:rPr>
        <w:t>Section 2.02(d)</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1763"/>
        <w:spacing w:after="0"/>
        <w:tabs>
          <w:tab w:leader="none" w:pos="2655" w:val="left"/>
        </w:tabs>
        <w:numPr>
          <w:ilvl w:val="1"/>
          <w:numId w:val="147"/>
        </w:numPr>
        <w:rPr>
          <w:rFonts w:ascii="Arial" w:cs="Arial" w:eastAsia="Arial" w:hAnsi="Arial"/>
          <w:sz w:val="22"/>
          <w:szCs w:val="22"/>
          <w:color w:val="auto"/>
        </w:rPr>
      </w:pPr>
      <w:r>
        <w:rPr>
          <w:rFonts w:ascii="Arial" w:cs="Arial" w:eastAsia="Arial" w:hAnsi="Arial"/>
          <w:sz w:val="22"/>
          <w:szCs w:val="22"/>
          <w:u w:val="single" w:color="auto"/>
          <w:color w:val="auto"/>
        </w:rPr>
        <w:t>Notice by the Administrative Agent to the Lenders</w:t>
      </w:r>
      <w:r>
        <w:rPr>
          <w:rFonts w:ascii="Arial" w:cs="Arial" w:eastAsia="Arial" w:hAnsi="Arial"/>
          <w:sz w:val="22"/>
          <w:szCs w:val="22"/>
          <w:color w:val="auto"/>
        </w:rPr>
        <w:t>. Promptly following receipt of an Interest Election Request, the Administrative Agent shall advise each applicable Lender of the details thereof and of such Lender’s portion of each resulting Borrowing.</w:t>
      </w:r>
    </w:p>
    <w:p>
      <w:pPr>
        <w:spacing w:after="0" w:line="186" w:lineRule="exact"/>
        <w:rPr>
          <w:rFonts w:ascii="Arial" w:cs="Arial" w:eastAsia="Arial" w:hAnsi="Arial"/>
          <w:sz w:val="22"/>
          <w:szCs w:val="22"/>
          <w:color w:val="auto"/>
        </w:rPr>
      </w:pPr>
    </w:p>
    <w:p>
      <w:pPr>
        <w:jc w:val="both"/>
        <w:ind w:firstLine="1763"/>
        <w:spacing w:after="0" w:line="245" w:lineRule="auto"/>
        <w:tabs>
          <w:tab w:leader="none" w:pos="2643" w:val="left"/>
        </w:tabs>
        <w:numPr>
          <w:ilvl w:val="1"/>
          <w:numId w:val="147"/>
        </w:numPr>
        <w:rPr>
          <w:rFonts w:ascii="Arial" w:cs="Arial" w:eastAsia="Arial" w:hAnsi="Arial"/>
          <w:sz w:val="21"/>
          <w:szCs w:val="21"/>
          <w:color w:val="auto"/>
        </w:rPr>
      </w:pPr>
      <w:r>
        <w:rPr>
          <w:rFonts w:ascii="Arial" w:cs="Arial" w:eastAsia="Arial" w:hAnsi="Arial"/>
          <w:sz w:val="21"/>
          <w:szCs w:val="21"/>
          <w:u w:val="single" w:color="auto"/>
          <w:color w:val="auto"/>
        </w:rPr>
        <w:t>Failure to Elect; Events of Default</w:t>
      </w:r>
      <w:r>
        <w:rPr>
          <w:rFonts w:ascii="Arial" w:cs="Arial" w:eastAsia="Arial" w:hAnsi="Arial"/>
          <w:sz w:val="21"/>
          <w:szCs w:val="21"/>
          <w:color w:val="auto"/>
        </w:rPr>
        <w: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converted to an ABR Borrowing and (ii) any Eurocurrency Borrowing denominated in a Foreign Currency shall not have an Interest Period of more than one month’s duration.</w:t>
      </w:r>
    </w:p>
    <w:p>
      <w:pPr>
        <w:spacing w:after="0" w:line="182"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Termination, Reduction or Increase of the Commitments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52" w:lineRule="auto"/>
        <w:tabs>
          <w:tab w:leader="none" w:pos="2643"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Scheduled Termination</w:t>
      </w:r>
      <w:r>
        <w:rPr>
          <w:rFonts w:ascii="Arial" w:cs="Arial" w:eastAsia="Arial" w:hAnsi="Arial"/>
          <w:sz w:val="21"/>
          <w:szCs w:val="21"/>
          <w:color w:val="auto"/>
        </w:rPr>
        <w:t>. Unless previously terminated, the Commitments of each Extending Lender with respect to such Extending Lender’s Extended Loans shall terminate on the Extended Commitment Termination Date and the Commitments of each Non-Extending Lender with respect to such Non-Extending Lender’s Non-Extended Loans shall terminate on the Non-Extended Commitment Termination Date for such Non-Extending Lender.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8" w:name="page219"/>
    <w:bookmarkEnd w:id="218"/>
    <w:p>
      <w:pPr>
        <w:jc w:val="both"/>
        <w:ind w:firstLine="1763"/>
        <w:spacing w:after="0" w:line="275" w:lineRule="auto"/>
        <w:tabs>
          <w:tab w:leader="none" w:pos="2655"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Voluntary Termination or Reduction</w:t>
      </w:r>
      <w:r>
        <w:rPr>
          <w:rFonts w:ascii="Arial" w:cs="Arial" w:eastAsia="Arial" w:hAnsi="Arial"/>
          <w:sz w:val="19"/>
          <w:szCs w:val="19"/>
          <w:color w:val="auto"/>
        </w:rPr>
        <w:t xml:space="preserve">. The Borrower may at any time terminate, or from time to time reduce, the Commitments of either Class of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reduction of the Commitments of a Class shall be in an amount that is $10,000,000 (or, if less, the entire amount of the Commitments of such Class) or a larger multiple of $5,000,000 in excess thereof and (ii) the Borrower shall not terminate or reduce the Commitments of either Class of Commitment if, after giving effect to any concurrent prepayment of the Syndicated Loans of such Class in accordance with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the total Revolving Credit Exposures of such Class would exceed the total Commitments of such Class. Any such reduction of the Commitments below the principal amount of the Swingline Loans permitted under </w:t>
      </w:r>
      <w:r>
        <w:rPr>
          <w:rFonts w:ascii="Arial" w:cs="Arial" w:eastAsia="Arial" w:hAnsi="Arial"/>
          <w:sz w:val="19"/>
          <w:szCs w:val="19"/>
          <w:u w:val="single" w:color="auto"/>
          <w:color w:val="auto"/>
        </w:rPr>
        <w:t>Section 2.04(a)(i)</w:t>
      </w:r>
      <w:r>
        <w:rPr>
          <w:rFonts w:ascii="Arial" w:cs="Arial" w:eastAsia="Arial" w:hAnsi="Arial"/>
          <w:sz w:val="19"/>
          <w:szCs w:val="19"/>
          <w:color w:val="auto"/>
        </w:rPr>
        <w:t xml:space="preserve"> and the Letters of Credit permitted under </w:t>
      </w:r>
      <w:r>
        <w:rPr>
          <w:rFonts w:ascii="Arial" w:cs="Arial" w:eastAsia="Arial" w:hAnsi="Arial"/>
          <w:sz w:val="19"/>
          <w:szCs w:val="19"/>
          <w:u w:val="single" w:color="auto"/>
          <w:color w:val="auto"/>
        </w:rPr>
        <w:t>Section 2.05(c)(i)</w:t>
      </w:r>
      <w:r>
        <w:rPr>
          <w:rFonts w:ascii="Arial" w:cs="Arial" w:eastAsia="Arial" w:hAnsi="Arial"/>
          <w:sz w:val="19"/>
          <w:szCs w:val="19"/>
          <w:color w:val="auto"/>
        </w:rPr>
        <w:t xml:space="preserve"> shall result in a dollar-for-dollar reduction of such amounts as applicable.</w:t>
      </w:r>
    </w:p>
    <w:p>
      <w:pPr>
        <w:spacing w:after="0" w:line="158" w:lineRule="exact"/>
        <w:rPr>
          <w:rFonts w:ascii="Arial" w:cs="Arial" w:eastAsia="Arial" w:hAnsi="Arial"/>
          <w:sz w:val="19"/>
          <w:szCs w:val="19"/>
          <w:color w:val="auto"/>
        </w:rPr>
      </w:pPr>
    </w:p>
    <w:p>
      <w:pPr>
        <w:jc w:val="both"/>
        <w:ind w:firstLine="1763"/>
        <w:spacing w:after="0" w:line="246" w:lineRule="auto"/>
        <w:tabs>
          <w:tab w:leader="none" w:pos="2643" w:val="left"/>
        </w:tabs>
        <w:numPr>
          <w:ilvl w:val="1"/>
          <w:numId w:val="149"/>
        </w:numPr>
        <w:rPr>
          <w:rFonts w:ascii="Arial" w:cs="Arial" w:eastAsia="Arial" w:hAnsi="Arial"/>
          <w:sz w:val="21"/>
          <w:szCs w:val="21"/>
          <w:color w:val="auto"/>
        </w:rPr>
      </w:pPr>
      <w:r>
        <w:rPr>
          <w:rFonts w:ascii="Arial" w:cs="Arial" w:eastAsia="Arial" w:hAnsi="Arial"/>
          <w:sz w:val="21"/>
          <w:szCs w:val="21"/>
          <w:u w:val="single" w:color="auto"/>
          <w:color w:val="auto"/>
        </w:rPr>
        <w:t>Notice of Voluntary Termination or Reduction</w:t>
      </w:r>
      <w:r>
        <w:rPr>
          <w:rFonts w:ascii="Arial" w:cs="Arial" w:eastAsia="Arial" w:hAnsi="Arial"/>
          <w:sz w:val="21"/>
          <w:szCs w:val="21"/>
          <w:color w:val="auto"/>
        </w:rPr>
        <w:t xml:space="preserve">. The Borrower shall notify the Administrative Agent of any election to terminate or reduce the Commitments under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80" w:lineRule="exact"/>
        <w:rPr>
          <w:rFonts w:ascii="Arial" w:cs="Arial" w:eastAsia="Arial" w:hAnsi="Arial"/>
          <w:sz w:val="21"/>
          <w:szCs w:val="21"/>
          <w:color w:val="auto"/>
        </w:rPr>
      </w:pPr>
    </w:p>
    <w:p>
      <w:pPr>
        <w:jc w:val="both"/>
        <w:ind w:firstLine="1763"/>
        <w:spacing w:after="0" w:line="297" w:lineRule="auto"/>
        <w:tabs>
          <w:tab w:leader="none" w:pos="2655"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Effect of Termination or Reduction</w:t>
      </w:r>
      <w:r>
        <w:rPr>
          <w:rFonts w:ascii="Arial" w:cs="Arial" w:eastAsia="Arial" w:hAnsi="Arial"/>
          <w:sz w:val="19"/>
          <w:szCs w:val="19"/>
          <w:color w:val="auto"/>
        </w:rPr>
        <w:t xml:space="preserve">. Any termination or reduction of the Commitments of a Class of Commitments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be permanent. Each reduction of the Commitments of a Class of Commitments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be made ratably among the Lenders of such Class in accordance with their respective Commitments.</w:t>
      </w:r>
    </w:p>
    <w:p>
      <w:pPr>
        <w:spacing w:after="0" w:line="134" w:lineRule="exact"/>
        <w:rPr>
          <w:rFonts w:ascii="Arial" w:cs="Arial" w:eastAsia="Arial" w:hAnsi="Arial"/>
          <w:sz w:val="19"/>
          <w:szCs w:val="19"/>
          <w:color w:val="auto"/>
        </w:rPr>
      </w:pPr>
    </w:p>
    <w:p>
      <w:pPr>
        <w:ind w:left="2660" w:hanging="897"/>
        <w:spacing w:after="0"/>
        <w:tabs>
          <w:tab w:leader="none" w:pos="2660" w:val="left"/>
        </w:tabs>
        <w:numPr>
          <w:ilvl w:val="1"/>
          <w:numId w:val="149"/>
        </w:numPr>
        <w:rPr>
          <w:rFonts w:ascii="Arial" w:cs="Arial" w:eastAsia="Arial" w:hAnsi="Arial"/>
          <w:sz w:val="22"/>
          <w:szCs w:val="22"/>
          <w:color w:val="auto"/>
        </w:rPr>
      </w:pPr>
      <w:r>
        <w:rPr>
          <w:rFonts w:ascii="Arial" w:cs="Arial" w:eastAsia="Arial" w:hAnsi="Arial"/>
          <w:sz w:val="22"/>
          <w:szCs w:val="22"/>
          <w:u w:val="single" w:color="auto"/>
          <w:color w:val="auto"/>
        </w:rPr>
        <w:t>Increase of the Commitments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816"/>
        <w:spacing w:after="0" w:line="275" w:lineRule="auto"/>
        <w:tabs>
          <w:tab w:leader="none" w:pos="2542"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Requests for Increase by Borrower</w:t>
      </w:r>
      <w:r>
        <w:rPr>
          <w:rFonts w:ascii="Arial" w:cs="Arial" w:eastAsia="Arial" w:hAnsi="Arial"/>
          <w:sz w:val="19"/>
          <w:szCs w:val="19"/>
          <w:color w:val="auto"/>
        </w:rPr>
        <w:t>. The Borrower may, at any time, request that the Commitments hereunder of a Class of Commitments be increased (each such proposed increase being a “</w:t>
      </w:r>
      <w:r>
        <w:rPr>
          <w:rFonts w:ascii="Arial" w:cs="Arial" w:eastAsia="Arial" w:hAnsi="Arial"/>
          <w:sz w:val="19"/>
          <w:szCs w:val="19"/>
          <w:u w:val="single" w:color="auto"/>
          <w:color w:val="auto"/>
        </w:rPr>
        <w:t>Commitment Increase</w:t>
      </w:r>
      <w:r>
        <w:rPr>
          <w:rFonts w:ascii="Arial" w:cs="Arial" w:eastAsia="Arial" w:hAnsi="Arial"/>
          <w:sz w:val="19"/>
          <w:szCs w:val="19"/>
          <w:color w:val="auto"/>
        </w:rPr>
        <w: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 Class of Non-Extended Loans be increased hereunder), upon notice to the Administrative Agent (who shall promptly notify the Lenders), which notice shall specify each existing Lender (each an “</w:t>
      </w:r>
      <w:r>
        <w:rPr>
          <w:rFonts w:ascii="Arial" w:cs="Arial" w:eastAsia="Arial" w:hAnsi="Arial"/>
          <w:sz w:val="19"/>
          <w:szCs w:val="19"/>
          <w:u w:val="single" w:color="auto"/>
          <w:color w:val="auto"/>
        </w:rPr>
        <w:t>Increasing Lender</w:t>
      </w:r>
      <w:r>
        <w:rPr>
          <w:rFonts w:ascii="Arial" w:cs="Arial" w:eastAsia="Arial" w:hAnsi="Arial"/>
          <w:sz w:val="19"/>
          <w:szCs w:val="19"/>
          <w:color w:val="auto"/>
        </w:rPr>
        <w:t>”) and/or each additional lender (each an “</w:t>
      </w:r>
      <w:r>
        <w:rPr>
          <w:rFonts w:ascii="Arial" w:cs="Arial" w:eastAsia="Arial" w:hAnsi="Arial"/>
          <w:sz w:val="19"/>
          <w:szCs w:val="19"/>
          <w:u w:val="single" w:color="auto"/>
          <w:color w:val="auto"/>
        </w:rPr>
        <w:t>Assuming Lender</w:t>
      </w:r>
      <w:r>
        <w:rPr>
          <w:rFonts w:ascii="Arial" w:cs="Arial" w:eastAsia="Arial" w:hAnsi="Arial"/>
          <w:sz w:val="19"/>
          <w:szCs w:val="19"/>
          <w:color w:val="auto"/>
        </w:rPr>
        <w:t>”) that shall have agreed to an additional Commitment and the date on which such increase is to be effective (the “</w:t>
      </w:r>
      <w:r>
        <w:rPr>
          <w:rFonts w:ascii="Arial" w:cs="Arial" w:eastAsia="Arial" w:hAnsi="Arial"/>
          <w:sz w:val="19"/>
          <w:szCs w:val="19"/>
          <w:u w:val="single" w:color="auto"/>
          <w:color w:val="auto"/>
        </w:rPr>
        <w:t>Commitment Increase Date</w:t>
      </w:r>
      <w:r>
        <w:rPr>
          <w:rFonts w:ascii="Arial" w:cs="Arial" w:eastAsia="Arial" w:hAnsi="Arial"/>
          <w:sz w:val="19"/>
          <w:szCs w:val="19"/>
          <w:color w:val="auto"/>
        </w:rPr>
        <w:t xml:space="preserve">”), which shall be a Business Day at least three Business Days (or such lesser period as the Administrative Agent may reasonably agree) after delivery of such notice and 30 days prior to the Extended Commitment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8" w:lineRule="exact"/>
        <w:rPr>
          <w:rFonts w:ascii="Arial" w:cs="Arial" w:eastAsia="Arial" w:hAnsi="Arial"/>
          <w:sz w:val="19"/>
          <w:szCs w:val="19"/>
          <w:color w:val="auto"/>
        </w:rPr>
      </w:pPr>
    </w:p>
    <w:p>
      <w:pPr>
        <w:jc w:val="both"/>
        <w:ind w:left="1760" w:firstLine="746"/>
        <w:spacing w:after="0" w:line="238" w:lineRule="auto"/>
        <w:tabs>
          <w:tab w:leader="none" w:pos="3451" w:val="left"/>
        </w:tabs>
        <w:numPr>
          <w:ilvl w:val="2"/>
          <w:numId w:val="150"/>
        </w:numPr>
        <w:rPr>
          <w:rFonts w:ascii="Arial" w:cs="Arial" w:eastAsia="Arial" w:hAnsi="Arial"/>
          <w:sz w:val="22"/>
          <w:szCs w:val="22"/>
          <w:color w:val="auto"/>
        </w:rPr>
      </w:pPr>
      <w:r>
        <w:rPr>
          <w:rFonts w:ascii="Arial" w:cs="Arial" w:eastAsia="Arial" w:hAnsi="Arial"/>
          <w:sz w:val="22"/>
          <w:szCs w:val="22"/>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9" w:name="page220"/>
    <w:bookmarkEnd w:id="219"/>
    <w:p>
      <w:pPr>
        <w:jc w:val="both"/>
        <w:ind w:left="880" w:firstLine="746"/>
        <w:spacing w:after="0" w:line="297" w:lineRule="auto"/>
        <w:tabs>
          <w:tab w:leader="none" w:pos="2559" w:val="left"/>
        </w:tabs>
        <w:numPr>
          <w:ilvl w:val="2"/>
          <w:numId w:val="151"/>
        </w:numPr>
        <w:rPr>
          <w:rFonts w:ascii="Arial" w:cs="Arial" w:eastAsia="Arial" w:hAnsi="Arial"/>
          <w:sz w:val="19"/>
          <w:szCs w:val="19"/>
          <w:color w:val="auto"/>
        </w:rPr>
      </w:pPr>
      <w:r>
        <w:rPr>
          <w:rFonts w:ascii="Arial" w:cs="Arial" w:eastAsia="Arial" w:hAnsi="Arial"/>
          <w:sz w:val="19"/>
          <w:szCs w:val="19"/>
          <w:color w:val="auto"/>
        </w:rPr>
        <w:t xml:space="preserve">immediately after giving effect to such Commitment Increase (including, if applicable, the substantially concurrent reduction of the Commitments of a Non-Extending Lender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2.08(f)</w:t>
      </w:r>
      <w:r>
        <w:rPr>
          <w:rFonts w:ascii="Arial" w:cs="Arial" w:eastAsia="Arial" w:hAnsi="Arial"/>
          <w:sz w:val="19"/>
          <w:szCs w:val="19"/>
          <w:color w:val="auto"/>
        </w:rPr>
        <w:t>), the total Commitments of all of the Lenders hereunder shall not exceed $1,750,000,000;</w:t>
      </w:r>
    </w:p>
    <w:p>
      <w:pPr>
        <w:spacing w:after="0" w:line="134" w:lineRule="exact"/>
        <w:rPr>
          <w:rFonts w:ascii="Arial" w:cs="Arial" w:eastAsia="Arial" w:hAnsi="Arial"/>
          <w:sz w:val="19"/>
          <w:szCs w:val="19"/>
          <w:color w:val="auto"/>
        </w:rPr>
      </w:pPr>
    </w:p>
    <w:p>
      <w:pPr>
        <w:ind w:left="880" w:firstLine="746"/>
        <w:spacing w:after="0" w:line="251" w:lineRule="auto"/>
        <w:tabs>
          <w:tab w:leader="none" w:pos="2559" w:val="left"/>
        </w:tabs>
        <w:numPr>
          <w:ilvl w:val="2"/>
          <w:numId w:val="151"/>
        </w:numPr>
        <w:rPr>
          <w:rFonts w:ascii="Arial" w:cs="Arial" w:eastAsia="Arial" w:hAnsi="Arial"/>
          <w:sz w:val="22"/>
          <w:szCs w:val="22"/>
          <w:color w:val="auto"/>
        </w:rPr>
      </w:pPr>
      <w:r>
        <w:rPr>
          <w:rFonts w:ascii="Arial" w:cs="Arial" w:eastAsia="Arial" w:hAnsi="Arial"/>
          <w:sz w:val="22"/>
          <w:szCs w:val="22"/>
          <w:color w:val="auto"/>
        </w:rPr>
        <w:t>each Assuming Lender shall be consented to by the Administrative Agent and each Issuing Bank (such consent not to be unreasonably withheld);</w:t>
      </w:r>
    </w:p>
    <w:p>
      <w:pPr>
        <w:spacing w:after="0" w:line="173" w:lineRule="exact"/>
        <w:rPr>
          <w:rFonts w:ascii="Arial" w:cs="Arial" w:eastAsia="Arial" w:hAnsi="Arial"/>
          <w:sz w:val="22"/>
          <w:szCs w:val="22"/>
          <w:color w:val="auto"/>
        </w:rPr>
      </w:pPr>
    </w:p>
    <w:p>
      <w:pPr>
        <w:ind w:left="880" w:firstLine="746"/>
        <w:spacing w:after="0" w:line="251" w:lineRule="auto"/>
        <w:tabs>
          <w:tab w:leader="none" w:pos="2571" w:val="left"/>
        </w:tabs>
        <w:numPr>
          <w:ilvl w:val="2"/>
          <w:numId w:val="151"/>
        </w:numPr>
        <w:rPr>
          <w:rFonts w:ascii="Arial" w:cs="Arial" w:eastAsia="Arial" w:hAnsi="Arial"/>
          <w:sz w:val="22"/>
          <w:szCs w:val="22"/>
          <w:color w:val="auto"/>
        </w:rPr>
      </w:pPr>
      <w:r>
        <w:rPr>
          <w:rFonts w:ascii="Arial" w:cs="Arial" w:eastAsia="Arial" w:hAnsi="Arial"/>
          <w:sz w:val="22"/>
          <w:szCs w:val="22"/>
          <w:color w:val="auto"/>
        </w:rPr>
        <w:t>no Default shall have occurred and be continuing on such Commitment Increase Date or shall result from the proposed Commitment Increase; and</w:t>
      </w:r>
    </w:p>
    <w:p>
      <w:pPr>
        <w:spacing w:after="0" w:line="173" w:lineRule="exact"/>
        <w:rPr>
          <w:rFonts w:ascii="Arial" w:cs="Arial" w:eastAsia="Arial" w:hAnsi="Arial"/>
          <w:sz w:val="22"/>
          <w:szCs w:val="22"/>
          <w:color w:val="auto"/>
        </w:rPr>
      </w:pPr>
    </w:p>
    <w:p>
      <w:pPr>
        <w:jc w:val="both"/>
        <w:ind w:left="880" w:firstLine="746"/>
        <w:spacing w:after="0" w:line="236" w:lineRule="auto"/>
        <w:tabs>
          <w:tab w:leader="none" w:pos="2547" w:val="left"/>
        </w:tabs>
        <w:numPr>
          <w:ilvl w:val="2"/>
          <w:numId w:val="151"/>
        </w:numPr>
        <w:rPr>
          <w:rFonts w:ascii="Arial" w:cs="Arial" w:eastAsia="Arial" w:hAnsi="Arial"/>
          <w:sz w:val="22"/>
          <w:szCs w:val="22"/>
          <w:color w:val="auto"/>
        </w:rPr>
      </w:pPr>
      <w:r>
        <w:rPr>
          <w:rFonts w:ascii="Arial" w:cs="Arial" w:eastAsia="Arial" w:hAnsi="Arial"/>
          <w:sz w:val="22"/>
          <w:szCs w:val="22"/>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87" w:lineRule="exact"/>
        <w:rPr>
          <w:rFonts w:ascii="Arial" w:cs="Arial" w:eastAsia="Arial" w:hAnsi="Arial"/>
          <w:sz w:val="22"/>
          <w:szCs w:val="22"/>
          <w:color w:val="auto"/>
        </w:rPr>
      </w:pPr>
    </w:p>
    <w:p>
      <w:pPr>
        <w:jc w:val="both"/>
        <w:ind w:firstLine="816"/>
        <w:spacing w:after="0" w:line="297" w:lineRule="auto"/>
        <w:tabs>
          <w:tab w:leader="none" w:pos="1722"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Effectiveness of Commitment Increase by Borrower</w:t>
      </w:r>
      <w:r>
        <w:rPr>
          <w:rFonts w:ascii="Arial" w:cs="Arial" w:eastAsia="Arial" w:hAnsi="Arial"/>
          <w:sz w:val="19"/>
          <w:szCs w:val="19"/>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34" w:lineRule="exact"/>
        <w:rPr>
          <w:rFonts w:ascii="Arial" w:cs="Arial" w:eastAsia="Arial" w:hAnsi="Arial"/>
          <w:sz w:val="19"/>
          <w:szCs w:val="19"/>
          <w:color w:val="auto"/>
        </w:rPr>
      </w:pPr>
    </w:p>
    <w:p>
      <w:pPr>
        <w:jc w:val="both"/>
        <w:ind w:left="880" w:firstLine="725"/>
        <w:spacing w:after="0" w:line="236" w:lineRule="auto"/>
        <w:tabs>
          <w:tab w:leader="none" w:pos="2503" w:val="left"/>
        </w:tabs>
        <w:numPr>
          <w:ilvl w:val="1"/>
          <w:numId w:val="152"/>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on or prior to 11:00 a.m., Atlanta, Georgia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Arial" w:cs="Arial" w:eastAsia="Arial" w:hAnsi="Arial"/>
          <w:sz w:val="22"/>
          <w:szCs w:val="22"/>
          <w:u w:val="single" w:color="auto"/>
          <w:color w:val="auto"/>
        </w:rPr>
        <w:t>paragraph (i)</w:t>
      </w:r>
      <w:r>
        <w:rPr>
          <w:rFonts w:ascii="Arial" w:cs="Arial" w:eastAsia="Arial" w:hAnsi="Arial"/>
          <w:sz w:val="22"/>
          <w:szCs w:val="22"/>
          <w:color w:val="auto"/>
        </w:rPr>
        <w:t xml:space="preserve"> has been satisfied; and</w:t>
      </w:r>
    </w:p>
    <w:p>
      <w:pPr>
        <w:spacing w:after="0" w:line="187" w:lineRule="exact"/>
        <w:rPr>
          <w:rFonts w:ascii="Arial" w:cs="Arial" w:eastAsia="Arial" w:hAnsi="Arial"/>
          <w:sz w:val="22"/>
          <w:szCs w:val="22"/>
          <w:color w:val="auto"/>
        </w:rPr>
      </w:pPr>
    </w:p>
    <w:p>
      <w:pPr>
        <w:jc w:val="both"/>
        <w:ind w:left="880" w:firstLine="725"/>
        <w:spacing w:after="0" w:line="247" w:lineRule="auto"/>
        <w:tabs>
          <w:tab w:leader="none" w:pos="2503" w:val="left"/>
        </w:tabs>
        <w:numPr>
          <w:ilvl w:val="1"/>
          <w:numId w:val="152"/>
        </w:numPr>
        <w:rPr>
          <w:rFonts w:ascii="Arial" w:cs="Arial" w:eastAsia="Arial" w:hAnsi="Arial"/>
          <w:sz w:val="21"/>
          <w:szCs w:val="21"/>
          <w:color w:val="auto"/>
        </w:rPr>
      </w:pPr>
      <w:r>
        <w:rPr>
          <w:rFonts w:ascii="Arial" w:cs="Arial" w:eastAsia="Arial" w:hAnsi="Arial"/>
          <w:sz w:val="21"/>
          <w:szCs w:val="21"/>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86"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61" w:right="239" w:bottom="1440" w:gutter="0" w:footer="0" w:header="0"/>
        </w:sectPr>
      </w:pPr>
    </w:p>
    <w:bookmarkStart w:id="220" w:name="page221"/>
    <w:bookmarkEnd w:id="220"/>
    <w:p>
      <w:pPr>
        <w:jc w:val="both"/>
        <w:ind w:left="880" w:firstLine="816"/>
        <w:spacing w:after="0" w:line="250" w:lineRule="auto"/>
        <w:tabs>
          <w:tab w:leader="none" w:pos="2662" w:val="left"/>
        </w:tabs>
        <w:numPr>
          <w:ilvl w:val="1"/>
          <w:numId w:val="153"/>
        </w:numPr>
        <w:rPr>
          <w:rFonts w:ascii="Arial" w:cs="Arial" w:eastAsia="Arial" w:hAnsi="Arial"/>
          <w:sz w:val="21"/>
          <w:szCs w:val="21"/>
          <w:color w:val="auto"/>
        </w:rPr>
      </w:pPr>
      <w:r>
        <w:rPr>
          <w:rFonts w:ascii="Arial" w:cs="Arial" w:eastAsia="Arial" w:hAnsi="Arial"/>
          <w:sz w:val="21"/>
          <w:szCs w:val="21"/>
          <w:u w:val="single" w:color="auto"/>
          <w:color w:val="auto"/>
        </w:rPr>
        <w:t>Recordation into Register</w:t>
      </w:r>
      <w:r>
        <w:rPr>
          <w:rFonts w:ascii="Arial" w:cs="Arial" w:eastAsia="Arial" w:hAnsi="Arial"/>
          <w:sz w:val="21"/>
          <w:szCs w:val="21"/>
          <w:color w:val="auto"/>
        </w:rPr>
        <w:t xml:space="preserve">. Upon its receipt of an agreement referred to in </w:t>
      </w:r>
      <w:r>
        <w:rPr>
          <w:rFonts w:ascii="Arial" w:cs="Arial" w:eastAsia="Arial" w:hAnsi="Arial"/>
          <w:sz w:val="21"/>
          <w:szCs w:val="21"/>
          <w:u w:val="single" w:color="auto"/>
          <w:color w:val="auto"/>
        </w:rPr>
        <w:t>clause (ii)(y)</w:t>
      </w:r>
      <w:r>
        <w:rPr>
          <w:rFonts w:ascii="Arial" w:cs="Arial" w:eastAsia="Arial" w:hAnsi="Arial"/>
          <w:sz w:val="21"/>
          <w:szCs w:val="21"/>
          <w:color w:val="auto"/>
        </w:rPr>
        <w:t xml:space="preserve"> above executed by an Assuming Lender or any Increasing Lender, together with the certificate referred to in </w:t>
      </w:r>
      <w:r>
        <w:rPr>
          <w:rFonts w:ascii="Arial" w:cs="Arial" w:eastAsia="Arial" w:hAnsi="Arial"/>
          <w:sz w:val="21"/>
          <w:szCs w:val="21"/>
          <w:u w:val="single" w:color="auto"/>
          <w:color w:val="auto"/>
        </w:rPr>
        <w:t>clause (ii)</w:t>
      </w:r>
    </w:p>
    <w:p>
      <w:pPr>
        <w:spacing w:after="0" w:line="1" w:lineRule="exact"/>
        <w:rPr>
          <w:rFonts w:ascii="Arial" w:cs="Arial" w:eastAsia="Arial" w:hAnsi="Arial"/>
          <w:sz w:val="21"/>
          <w:szCs w:val="21"/>
          <w:color w:val="auto"/>
        </w:rPr>
      </w:pPr>
    </w:p>
    <w:p>
      <w:pPr>
        <w:ind w:left="880" w:firstLine="5"/>
        <w:spacing w:after="0" w:line="256" w:lineRule="auto"/>
        <w:tabs>
          <w:tab w:leader="none" w:pos="1198" w:val="left"/>
        </w:tabs>
        <w:numPr>
          <w:ilvl w:val="0"/>
          <w:numId w:val="154"/>
        </w:numPr>
        <w:rPr>
          <w:rFonts w:ascii="Arial" w:cs="Arial" w:eastAsia="Arial" w:hAnsi="Arial"/>
          <w:sz w:val="21"/>
          <w:szCs w:val="21"/>
          <w:u w:val="single" w:color="auto"/>
          <w:color w:val="auto"/>
        </w:rPr>
      </w:pPr>
      <w:r>
        <w:rPr>
          <w:rFonts w:ascii="Arial" w:cs="Arial" w:eastAsia="Arial" w:hAnsi="Arial"/>
          <w:sz w:val="21"/>
          <w:szCs w:val="21"/>
          <w:color w:val="auto"/>
        </w:rPr>
        <w:t>above, the Administrative Agent shall, if such agreement has been completed, (x) accept such agreement, (y) record the information contained therein in the Register and (z) give prompt notice thereof to the Borrower.</w:t>
      </w:r>
    </w:p>
    <w:p>
      <w:pPr>
        <w:spacing w:after="0" w:line="169" w:lineRule="exact"/>
        <w:rPr>
          <w:rFonts w:ascii="Arial" w:cs="Arial" w:eastAsia="Arial" w:hAnsi="Arial"/>
          <w:sz w:val="21"/>
          <w:szCs w:val="21"/>
          <w:u w:val="single" w:color="auto"/>
          <w:color w:val="auto"/>
        </w:rPr>
      </w:pPr>
    </w:p>
    <w:p>
      <w:pPr>
        <w:ind w:left="2660" w:hanging="964"/>
        <w:spacing w:after="0"/>
        <w:tabs>
          <w:tab w:leader="none" w:pos="2660" w:val="left"/>
        </w:tabs>
        <w:numPr>
          <w:ilvl w:val="1"/>
          <w:numId w:val="154"/>
        </w:numPr>
        <w:rPr>
          <w:rFonts w:ascii="Arial" w:cs="Arial" w:eastAsia="Arial" w:hAnsi="Arial"/>
          <w:sz w:val="19"/>
          <w:szCs w:val="19"/>
          <w:color w:val="auto"/>
        </w:rPr>
      </w:pPr>
      <w:r>
        <w:rPr>
          <w:rFonts w:ascii="Arial" w:cs="Arial" w:eastAsia="Arial" w:hAnsi="Arial"/>
          <w:sz w:val="19"/>
          <w:szCs w:val="19"/>
          <w:u w:val="single" w:color="auto"/>
          <w:color w:val="auto"/>
        </w:rPr>
        <w:t>Adjustments of Borrowings upon Effectiveness of Increase</w:t>
      </w:r>
      <w:r>
        <w:rPr>
          <w:rFonts w:ascii="Arial" w:cs="Arial" w:eastAsia="Arial" w:hAnsi="Arial"/>
          <w:sz w:val="19"/>
          <w:szCs w:val="19"/>
          <w:color w:val="auto"/>
        </w:rPr>
        <w:t>. On the Commitment Increase Date, the</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Borrower  shall  (A)  prepay  the  outstanding  Loans  (if  any)  of  the  affected  Class  of  Commitments  in  full,</w:t>
      </w:r>
    </w:p>
    <w:p>
      <w:pPr>
        <w:spacing w:after="0" w:line="2" w:lineRule="exact"/>
        <w:rPr>
          <w:sz w:val="20"/>
          <w:szCs w:val="20"/>
          <w:color w:val="auto"/>
        </w:rPr>
      </w:pPr>
    </w:p>
    <w:p>
      <w:pPr>
        <w:jc w:val="both"/>
        <w:ind w:left="880" w:firstLine="5"/>
        <w:spacing w:after="0" w:line="271" w:lineRule="auto"/>
        <w:tabs>
          <w:tab w:leader="none" w:pos="1244"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simultaneously borrow new Loans of such Class hereunder in an amount equal to such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w:t>
      </w:r>
      <w:r>
        <w:rPr>
          <w:rFonts w:ascii="Arial" w:cs="Arial" w:eastAsia="Arial" w:hAnsi="Arial"/>
          <w:sz w:val="19"/>
          <w:szCs w:val="19"/>
          <w:u w:val="single" w:color="auto"/>
          <w:color w:val="auto"/>
        </w:rPr>
        <w:t>subclauses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61" w:lineRule="exact"/>
        <w:rPr>
          <w:rFonts w:ascii="Arial" w:cs="Arial" w:eastAsia="Arial" w:hAnsi="Arial"/>
          <w:sz w:val="19"/>
          <w:szCs w:val="19"/>
          <w:color w:val="auto"/>
        </w:rPr>
      </w:pPr>
    </w:p>
    <w:p>
      <w:pPr>
        <w:ind w:firstLine="1763"/>
        <w:spacing w:after="0" w:line="251" w:lineRule="auto"/>
        <w:tabs>
          <w:tab w:leader="none" w:pos="2619" w:val="left"/>
        </w:tabs>
        <w:numPr>
          <w:ilvl w:val="2"/>
          <w:numId w:val="155"/>
        </w:numPr>
        <w:rPr>
          <w:rFonts w:ascii="Arial" w:cs="Arial" w:eastAsia="Arial" w:hAnsi="Arial"/>
          <w:sz w:val="22"/>
          <w:szCs w:val="22"/>
          <w:color w:val="auto"/>
        </w:rPr>
      </w:pPr>
      <w:r>
        <w:rPr>
          <w:rFonts w:ascii="Arial" w:cs="Arial" w:eastAsia="Arial" w:hAnsi="Arial"/>
          <w:sz w:val="22"/>
          <w:szCs w:val="22"/>
          <w:u w:val="single" w:color="auto"/>
          <w:color w:val="auto"/>
        </w:rPr>
        <w:t>Reduction of Non-Extending Lenders’ Commitment</w:t>
      </w:r>
      <w:r>
        <w:rPr>
          <w:rFonts w:ascii="Arial" w:cs="Arial" w:eastAsia="Arial" w:hAnsi="Arial"/>
          <w:sz w:val="22"/>
          <w:szCs w:val="22"/>
          <w:color w:val="auto"/>
        </w:rPr>
        <w:t xml:space="preserve">. Notwithstanding anything to the contrary herein (including </w:t>
      </w:r>
      <w:r>
        <w:rPr>
          <w:rFonts w:ascii="Arial" w:cs="Arial" w:eastAsia="Arial" w:hAnsi="Arial"/>
          <w:sz w:val="22"/>
          <w:szCs w:val="22"/>
          <w:u w:val="single" w:color="auto"/>
          <w:color w:val="auto"/>
        </w:rPr>
        <w:t>Section 2.08(d)</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left="880" w:firstLine="816"/>
        <w:spacing w:after="0" w:line="236" w:lineRule="auto"/>
        <w:tabs>
          <w:tab w:leader="none" w:pos="2542" w:val="left"/>
        </w:tabs>
        <w:numPr>
          <w:ilvl w:val="1"/>
          <w:numId w:val="155"/>
        </w:numPr>
        <w:rPr>
          <w:rFonts w:ascii="Arial" w:cs="Arial" w:eastAsia="Arial" w:hAnsi="Arial"/>
          <w:sz w:val="22"/>
          <w:szCs w:val="22"/>
          <w:color w:val="auto"/>
        </w:rPr>
      </w:pPr>
      <w:r>
        <w:rPr>
          <w:rFonts w:ascii="Arial" w:cs="Arial" w:eastAsia="Arial" w:hAnsi="Arial"/>
          <w:sz w:val="22"/>
          <w:szCs w:val="22"/>
          <w:color w:val="auto"/>
        </w:rPr>
        <w:t xml:space="preserve">The Borrower may at any time terminate, or from time to time reduce, the Commitment of any Non-Extending Lender without reducing the Commitments of any other Lender of the same Class of Commitments as such Non-Extending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reduction of the Commitment of a Non-Extending Lender hereunder shall be in an amount that is $10,000,000 or a larger multiple of $5,000,000 in excess thereof (or, in each case, the entire Commitment of such Non-Extending Lender).</w:t>
      </w:r>
    </w:p>
    <w:p>
      <w:pPr>
        <w:spacing w:after="0" w:line="187" w:lineRule="exact"/>
        <w:rPr>
          <w:rFonts w:ascii="Arial" w:cs="Arial" w:eastAsia="Arial" w:hAnsi="Arial"/>
          <w:sz w:val="22"/>
          <w:szCs w:val="22"/>
          <w:color w:val="auto"/>
        </w:rPr>
      </w:pPr>
    </w:p>
    <w:p>
      <w:pPr>
        <w:jc w:val="both"/>
        <w:ind w:left="880" w:firstLine="816"/>
        <w:spacing w:after="0" w:line="236" w:lineRule="auto"/>
        <w:tabs>
          <w:tab w:leader="none" w:pos="2602" w:val="left"/>
        </w:tabs>
        <w:numPr>
          <w:ilvl w:val="1"/>
          <w:numId w:val="155"/>
        </w:numPr>
        <w:rPr>
          <w:rFonts w:ascii="Arial" w:cs="Arial" w:eastAsia="Arial" w:hAnsi="Arial"/>
          <w:sz w:val="22"/>
          <w:szCs w:val="22"/>
          <w:color w:val="auto"/>
        </w:rPr>
      </w:pPr>
      <w:r>
        <w:rPr>
          <w:rFonts w:ascii="Arial" w:cs="Arial" w:eastAsia="Arial" w:hAnsi="Arial"/>
          <w:sz w:val="22"/>
          <w:szCs w:val="22"/>
          <w:color w:val="auto"/>
        </w:rPr>
        <w:t xml:space="preserve">The Borrower shall notify the Administrative Agent of any election to terminate or reduce the Commitment of any Non-Extending Lender under this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at least three Business Days prior to the effective date of such termination or reduction, specifying such election and the effective date thereof. Promptly following receipt of any notice, the Administrative Agent shall advise each Lender of the contents thereof. Each notice delivered by the Borrower pursuant to this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shall be irrevocable.</w:t>
      </w:r>
    </w:p>
    <w:p>
      <w:pPr>
        <w:spacing w:after="0" w:line="187" w:lineRule="exact"/>
        <w:rPr>
          <w:rFonts w:ascii="Arial" w:cs="Arial" w:eastAsia="Arial" w:hAnsi="Arial"/>
          <w:sz w:val="22"/>
          <w:szCs w:val="22"/>
          <w:color w:val="auto"/>
        </w:rPr>
      </w:pPr>
    </w:p>
    <w:p>
      <w:pPr>
        <w:jc w:val="both"/>
        <w:ind w:left="880" w:firstLine="816"/>
        <w:spacing w:after="0"/>
        <w:tabs>
          <w:tab w:leader="none" w:pos="2662" w:val="left"/>
        </w:tabs>
        <w:numPr>
          <w:ilvl w:val="1"/>
          <w:numId w:val="155"/>
        </w:numPr>
        <w:rPr>
          <w:rFonts w:ascii="Arial" w:cs="Arial" w:eastAsia="Arial" w:hAnsi="Arial"/>
          <w:sz w:val="22"/>
          <w:szCs w:val="22"/>
          <w:color w:val="auto"/>
        </w:rPr>
      </w:pPr>
      <w:r>
        <w:rPr>
          <w:rFonts w:ascii="Arial" w:cs="Arial" w:eastAsia="Arial" w:hAnsi="Arial"/>
          <w:sz w:val="22"/>
          <w:szCs w:val="22"/>
          <w:color w:val="auto"/>
        </w:rPr>
        <w:t xml:space="preserve">Any termination or reduction of the Commitment of any Non-Extending Lender pursuant to this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shall be permanent and shall be made concurrently with all required reallocation prepayments and cash collateralizations required under </w:t>
      </w:r>
      <w:r>
        <w:rPr>
          <w:rFonts w:ascii="Arial" w:cs="Arial" w:eastAsia="Arial" w:hAnsi="Arial"/>
          <w:sz w:val="22"/>
          <w:szCs w:val="22"/>
          <w:u w:val="single" w:color="auto"/>
          <w:color w:val="auto"/>
        </w:rPr>
        <w:t>Section 2.20</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1" w:name="page222"/>
    <w:bookmarkEnd w:id="221"/>
    <w:p>
      <w:pPr>
        <w:ind w:left="1760"/>
        <w:spacing w:after="0"/>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u w:val="single" w:color="auto"/>
          <w:color w:val="auto"/>
        </w:rPr>
        <w:t>Repayment of Loans; Evidence of Debt</w:t>
      </w:r>
      <w:r>
        <w:rPr>
          <w:rFonts w:ascii="Arial" w:cs="Arial" w:eastAsia="Arial" w:hAnsi="Arial"/>
          <w:sz w:val="22"/>
          <w:szCs w:val="22"/>
          <w:color w:val="auto"/>
        </w:rPr>
        <w:t>.</w:t>
      </w:r>
    </w:p>
    <w:p>
      <w:pPr>
        <w:spacing w:after="0" w:line="206" w:lineRule="exact"/>
        <w:rPr>
          <w:sz w:val="20"/>
          <w:szCs w:val="20"/>
          <w:color w:val="auto"/>
        </w:rPr>
      </w:pPr>
    </w:p>
    <w:p>
      <w:pPr>
        <w:ind w:firstLine="1763"/>
        <w:spacing w:after="0" w:line="251" w:lineRule="auto"/>
        <w:tabs>
          <w:tab w:leader="none" w:pos="2643" w:val="left"/>
        </w:tabs>
        <w:numPr>
          <w:ilvl w:val="1"/>
          <w:numId w:val="156"/>
        </w:numPr>
        <w:rPr>
          <w:rFonts w:ascii="Arial" w:cs="Arial" w:eastAsia="Arial" w:hAnsi="Arial"/>
          <w:sz w:val="22"/>
          <w:szCs w:val="22"/>
          <w:color w:val="auto"/>
        </w:rPr>
      </w:pPr>
      <w:r>
        <w:rPr>
          <w:rFonts w:ascii="Arial" w:cs="Arial" w:eastAsia="Arial" w:hAnsi="Arial"/>
          <w:sz w:val="22"/>
          <w:szCs w:val="22"/>
          <w:u w:val="single" w:color="auto"/>
          <w:color w:val="auto"/>
        </w:rPr>
        <w:t>Repayment</w:t>
      </w:r>
      <w:r>
        <w:rPr>
          <w:rFonts w:ascii="Arial" w:cs="Arial" w:eastAsia="Arial" w:hAnsi="Arial"/>
          <w:sz w:val="22"/>
          <w:szCs w:val="22"/>
          <w:color w:val="auto"/>
        </w:rPr>
        <w:t>. The Borrower hereby unconditionally promises to pay the Loans of each Class of Final Maturity Date or Commitments, as applicable, as follows:</w:t>
      </w:r>
    </w:p>
    <w:p>
      <w:pPr>
        <w:spacing w:after="0" w:line="173" w:lineRule="exact"/>
        <w:rPr>
          <w:rFonts w:ascii="Arial" w:cs="Arial" w:eastAsia="Arial" w:hAnsi="Arial"/>
          <w:sz w:val="22"/>
          <w:szCs w:val="22"/>
          <w:color w:val="auto"/>
        </w:rPr>
      </w:pPr>
    </w:p>
    <w:p>
      <w:pPr>
        <w:jc w:val="both"/>
        <w:ind w:left="880" w:firstLine="816"/>
        <w:spacing w:after="0"/>
        <w:tabs>
          <w:tab w:leader="none" w:pos="254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to the Administrative Agent for account of the Lenders of such Class of Final Maturity Date the outstanding principal amount of the Syndicated Loans of the Lenders of such Class of Final Maturity Date on the applicable Final Maturity Date; and</w:t>
      </w:r>
    </w:p>
    <w:p>
      <w:pPr>
        <w:spacing w:after="0" w:line="186" w:lineRule="exact"/>
        <w:rPr>
          <w:rFonts w:ascii="Arial" w:cs="Arial" w:eastAsia="Arial" w:hAnsi="Arial"/>
          <w:sz w:val="22"/>
          <w:szCs w:val="22"/>
          <w:color w:val="auto"/>
        </w:rPr>
      </w:pPr>
    </w:p>
    <w:p>
      <w:pPr>
        <w:jc w:val="both"/>
        <w:ind w:left="880" w:firstLine="816"/>
        <w:spacing w:after="0" w:line="235" w:lineRule="auto"/>
        <w:tabs>
          <w:tab w:leader="none" w:pos="260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 xml:space="preserve">to the applicable Swingline Lender the then unpaid principal amount of each Swingline Loan of each Class of Commitment denominated in Dollars made by such Swingline Lender, on the earlier of the Extended Commitment Termination Date and the first date after such Swingline Loan is made that is the 15th or last day of a calendar month and is at least ten Business Days after such Swingline Loan is made;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on each date that a Syndicated Borrowing of such Class of Commitment is made, the Borrower shall repay all Swingline Loans of such Class of Commitment then outstanding.</w:t>
      </w:r>
    </w:p>
    <w:p>
      <w:pPr>
        <w:spacing w:after="0" w:line="188"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spacing w:after="0" w:line="179" w:lineRule="exact"/>
        <w:rPr>
          <w:sz w:val="20"/>
          <w:szCs w:val="20"/>
          <w:color w:val="auto"/>
        </w:rPr>
      </w:pPr>
    </w:p>
    <w:p>
      <w:pPr>
        <w:jc w:val="both"/>
        <w:ind w:firstLine="1763"/>
        <w:spacing w:after="0" w:line="273" w:lineRule="auto"/>
        <w:tabs>
          <w:tab w:leader="none" w:pos="2655"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Manner of Payment</w:t>
      </w:r>
      <w:r>
        <w:rPr>
          <w:rFonts w:ascii="Arial" w:cs="Arial" w:eastAsia="Arial" w:hAnsi="Arial"/>
          <w:sz w:val="19"/>
          <w:szCs w:val="19"/>
          <w:color w:val="auto"/>
        </w:rPr>
        <w:t xml:space="preserve">. Prior to any repayment or prepayment of any Borrowings to any Lenders of any Class of Commitment hereunder, the Borrower shall select the Borrowing or Borrowings of such Class to be paid and shall notify the Administrative Agent by telephone (confirmed by telecopy) of such selection not later than the time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2.10(e)</w:t>
      </w:r>
      <w:r>
        <w:rPr>
          <w:rFonts w:ascii="Arial" w:cs="Arial" w:eastAsia="Arial" w:hAnsi="Arial"/>
          <w:sz w:val="19"/>
          <w:szCs w:val="19"/>
          <w:color w:val="auto"/>
        </w:rPr>
        <w:t xml:space="preserve"> prior to the scheduled date of such 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to Lenders of a Class of Commitments shall be applied ratably to the Loans included in such Borrowing and each payment of a Syndicated Borrowing to Lenders of a Class of Final Maturity Date shall be applied ratably to Non-Extending Lenders or Extending Lenders, as applicable, with Loans included in such Borrowing.</w:t>
      </w:r>
    </w:p>
    <w:p>
      <w:pPr>
        <w:spacing w:after="0" w:line="156" w:lineRule="exact"/>
        <w:rPr>
          <w:rFonts w:ascii="Arial" w:cs="Arial" w:eastAsia="Arial" w:hAnsi="Arial"/>
          <w:sz w:val="19"/>
          <w:szCs w:val="19"/>
          <w:color w:val="auto"/>
        </w:rPr>
      </w:pPr>
    </w:p>
    <w:p>
      <w:pPr>
        <w:jc w:val="both"/>
        <w:ind w:firstLine="1763"/>
        <w:spacing w:after="0" w:line="297" w:lineRule="auto"/>
        <w:tabs>
          <w:tab w:leader="none" w:pos="2643"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Maintenance of Records by Lenders</w:t>
      </w:r>
      <w:r>
        <w:rPr>
          <w:rFonts w:ascii="Arial" w:cs="Arial" w:eastAsia="Arial" w:hAnsi="Arial"/>
          <w:sz w:val="19"/>
          <w:szCs w:val="19"/>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2" w:name="page223"/>
    <w:bookmarkEnd w:id="222"/>
    <w:p>
      <w:pPr>
        <w:jc w:val="both"/>
        <w:ind w:firstLine="1763"/>
        <w:spacing w:after="0" w:line="282" w:lineRule="auto"/>
        <w:tabs>
          <w:tab w:leader="none" w:pos="2655"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Maintenance of Records by the Administrative Agent</w:t>
      </w:r>
      <w:r>
        <w:rPr>
          <w:rFonts w:ascii="Arial" w:cs="Arial" w:eastAsia="Arial" w:hAnsi="Arial"/>
          <w:sz w:val="19"/>
          <w:szCs w:val="19"/>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of Commitment or Final Maturity Date hereunder and (iii) the amount and Currency of any sum received by the Administrative Agent hereunder for account of the Lenders and each Lender’s share thereof.</w:t>
      </w:r>
    </w:p>
    <w:p>
      <w:pPr>
        <w:spacing w:after="0" w:line="147" w:lineRule="exact"/>
        <w:rPr>
          <w:rFonts w:ascii="Arial" w:cs="Arial" w:eastAsia="Arial" w:hAnsi="Arial"/>
          <w:sz w:val="19"/>
          <w:szCs w:val="19"/>
          <w:color w:val="auto"/>
        </w:rPr>
      </w:pPr>
    </w:p>
    <w:p>
      <w:pPr>
        <w:jc w:val="both"/>
        <w:ind w:firstLine="1763"/>
        <w:spacing w:after="0" w:line="287" w:lineRule="auto"/>
        <w:tabs>
          <w:tab w:leader="none" w:pos="2643"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Effect of Entries</w:t>
      </w:r>
      <w:r>
        <w:rPr>
          <w:rFonts w:ascii="Arial" w:cs="Arial" w:eastAsia="Arial" w:hAnsi="Arial"/>
          <w:sz w:val="19"/>
          <w:szCs w:val="19"/>
          <w:color w:val="auto"/>
        </w:rPr>
        <w:t xml:space="preserve">. The entries made in the records maintained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Section shall be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absent obvious error, of the existence and amounts of the obligations recorded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43" w:lineRule="exact"/>
        <w:rPr>
          <w:rFonts w:ascii="Arial" w:cs="Arial" w:eastAsia="Arial" w:hAnsi="Arial"/>
          <w:sz w:val="19"/>
          <w:szCs w:val="19"/>
          <w:color w:val="auto"/>
        </w:rPr>
      </w:pPr>
    </w:p>
    <w:p>
      <w:pPr>
        <w:jc w:val="both"/>
        <w:ind w:firstLine="1763"/>
        <w:spacing w:after="0" w:line="279" w:lineRule="auto"/>
        <w:tabs>
          <w:tab w:leader="none" w:pos="2619"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Promissory Notes</w:t>
      </w:r>
      <w:r>
        <w:rPr>
          <w:rFonts w:ascii="Arial" w:cs="Arial" w:eastAsia="Arial" w:hAnsi="Arial"/>
          <w:sz w:val="19"/>
          <w:szCs w:val="19"/>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be represented by one or more promissory notes in such form payable to the payee named therein (or, if such promissory note is a registered note, to such payee and its registered assigns).</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Prepayment of Loans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35" w:lineRule="auto"/>
        <w:tabs>
          <w:tab w:leader="none" w:pos="2643" w:val="left"/>
        </w:tabs>
        <w:numPr>
          <w:ilvl w:val="1"/>
          <w:numId w:val="160"/>
        </w:numPr>
        <w:rPr>
          <w:rFonts w:ascii="Arial" w:cs="Arial" w:eastAsia="Arial" w:hAnsi="Arial"/>
          <w:sz w:val="22"/>
          <w:szCs w:val="22"/>
          <w:color w:val="auto"/>
        </w:rPr>
      </w:pPr>
      <w:r>
        <w:rPr>
          <w:rFonts w:ascii="Arial" w:cs="Arial" w:eastAsia="Arial" w:hAnsi="Arial"/>
          <w:sz w:val="22"/>
          <w:szCs w:val="22"/>
          <w:u w:val="single" w:color="auto"/>
          <w:color w:val="auto"/>
        </w:rPr>
        <w:t>Optional Prepayments</w:t>
      </w:r>
      <w:r>
        <w:rPr>
          <w:rFonts w:ascii="Arial" w:cs="Arial" w:eastAsia="Arial" w:hAnsi="Arial"/>
          <w:sz w:val="22"/>
          <w:szCs w:val="22"/>
          <w:color w:val="auto"/>
        </w:rPr>
        <w:t xml:space="preserve">. The Borrower shall have the right at any time and from time to time to prepay any Borrowing in whole or in part, without premium or penalty except for payments under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subject to the requirements of this Section. Any prepayment of a Borrowing made in accordance with this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shall be applied ratably among the Lenders of a Class of Commitment unless such prepayment is made in connection with the reduction of Commitments in accordance with </w:t>
      </w:r>
      <w:r>
        <w:rPr>
          <w:rFonts w:ascii="Arial" w:cs="Arial" w:eastAsia="Arial" w:hAnsi="Arial"/>
          <w:sz w:val="22"/>
          <w:szCs w:val="22"/>
          <w:u w:val="single" w:color="auto"/>
          <w:color w:val="auto"/>
        </w:rPr>
        <w:t>Section 2.08(b)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(f)</w:t>
      </w:r>
      <w:r>
        <w:rPr>
          <w:rFonts w:ascii="Arial" w:cs="Arial" w:eastAsia="Arial" w:hAnsi="Arial"/>
          <w:sz w:val="22"/>
          <w:szCs w:val="22"/>
          <w:color w:val="auto"/>
        </w:rPr>
        <w:t xml:space="preserve"> in which case such prepayment shall be applied in accordance with </w:t>
      </w:r>
      <w:r>
        <w:rPr>
          <w:rFonts w:ascii="Arial" w:cs="Arial" w:eastAsia="Arial" w:hAnsi="Arial"/>
          <w:sz w:val="22"/>
          <w:szCs w:val="22"/>
          <w:u w:val="single" w:color="auto"/>
          <w:color w:val="auto"/>
        </w:rPr>
        <w:t>Section 2.08(d)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(f)</w:t>
      </w:r>
      <w:r>
        <w:rPr>
          <w:rFonts w:ascii="Arial" w:cs="Arial" w:eastAsia="Arial" w:hAnsi="Arial"/>
          <w:sz w:val="22"/>
          <w:szCs w:val="22"/>
          <w:color w:val="auto"/>
        </w:rPr>
        <w:t>, as applicable.</w:t>
      </w:r>
    </w:p>
    <w:p>
      <w:pPr>
        <w:spacing w:after="0" w:line="188" w:lineRule="exact"/>
        <w:rPr>
          <w:rFonts w:ascii="Arial" w:cs="Arial" w:eastAsia="Arial" w:hAnsi="Arial"/>
          <w:sz w:val="22"/>
          <w:szCs w:val="22"/>
          <w:color w:val="auto"/>
        </w:rPr>
      </w:pPr>
    </w:p>
    <w:p>
      <w:pPr>
        <w:ind w:left="2660" w:hanging="897"/>
        <w:spacing w:after="0"/>
        <w:tabs>
          <w:tab w:leader="none" w:pos="2660" w:val="left"/>
        </w:tabs>
        <w:numPr>
          <w:ilvl w:val="1"/>
          <w:numId w:val="160"/>
        </w:numPr>
        <w:rPr>
          <w:rFonts w:ascii="Arial" w:cs="Arial" w:eastAsia="Arial" w:hAnsi="Arial"/>
          <w:sz w:val="22"/>
          <w:szCs w:val="22"/>
          <w:color w:val="auto"/>
        </w:rPr>
      </w:pPr>
      <w:r>
        <w:rPr>
          <w:rFonts w:ascii="Arial" w:cs="Arial" w:eastAsia="Arial" w:hAnsi="Arial"/>
          <w:sz w:val="22"/>
          <w:szCs w:val="22"/>
          <w:u w:val="single" w:color="auto"/>
          <w:color w:val="auto"/>
        </w:rPr>
        <w:t>Mandatory Prepayments due to Changes in Exchange Rates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816"/>
        <w:spacing w:after="0" w:line="274" w:lineRule="auto"/>
        <w:tabs>
          <w:tab w:leader="none" w:pos="2542"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Determination of Amount Outstanding</w:t>
      </w:r>
      <w:r>
        <w:rPr>
          <w:rFonts w:ascii="Arial" w:cs="Arial" w:eastAsia="Arial" w:hAnsi="Arial"/>
          <w:sz w:val="19"/>
          <w:szCs w:val="19"/>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3" w:name="page224"/>
    <w:bookmarkEnd w:id="223"/>
    <w:p>
      <w:pPr>
        <w:jc w:val="both"/>
        <w:ind w:left="880" w:firstLine="816"/>
        <w:spacing w:after="0" w:line="271" w:lineRule="auto"/>
        <w:tabs>
          <w:tab w:leader="none" w:pos="2602"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Prepayment</w:t>
      </w:r>
      <w:r>
        <w:rPr>
          <w:rFonts w:ascii="Arial" w:cs="Arial" w:eastAsia="Arial" w:hAnsi="Arial"/>
          <w:sz w:val="19"/>
          <w:szCs w:val="19"/>
          <w:color w:val="auto"/>
        </w:rPr>
        <w:t xml:space="preserve">. If on the date of such determination the aggregate Revolving Multicurrency Credit Exposure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w:t>
      </w:r>
    </w:p>
    <w:p>
      <w:pPr>
        <w:spacing w:after="0" w:line="4" w:lineRule="exact"/>
        <w:rPr>
          <w:sz w:val="20"/>
          <w:szCs w:val="20"/>
          <w:color w:val="auto"/>
        </w:rPr>
      </w:pPr>
    </w:p>
    <w:p>
      <w:pPr>
        <w:jc w:val="both"/>
        <w:ind w:left="880"/>
        <w:spacing w:after="0" w:line="233" w:lineRule="auto"/>
        <w:rPr>
          <w:sz w:val="20"/>
          <w:szCs w:val="20"/>
          <w:color w:val="auto"/>
        </w:rPr>
      </w:pPr>
      <w:r>
        <w:rPr>
          <w:rFonts w:ascii="Arial" w:cs="Arial" w:eastAsia="Arial" w:hAnsi="Arial"/>
          <w:sz w:val="22"/>
          <w:szCs w:val="22"/>
          <w:color w:val="auto"/>
        </w:rPr>
        <w:t xml:space="preserve">Multicurrency Loans (and/or provide Cash Collateral for Multicurrency LC Exposure as specified in </w:t>
      </w:r>
      <w:r>
        <w:rPr>
          <w:rFonts w:ascii="Arial" w:cs="Arial" w:eastAsia="Arial" w:hAnsi="Arial"/>
          <w:sz w:val="22"/>
          <w:szCs w:val="22"/>
          <w:u w:val="single" w:color="auto"/>
          <w:color w:val="auto"/>
        </w:rPr>
        <w:t>Section 2.05(k)</w:t>
      </w:r>
      <w:r>
        <w:rPr>
          <w:rFonts w:ascii="Arial" w:cs="Arial" w:eastAsia="Arial" w:hAnsi="Arial"/>
          <w:sz w:val="22"/>
          <w:szCs w:val="22"/>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For purposes hereof “</w:t>
      </w:r>
      <w:r>
        <w:rPr>
          <w:rFonts w:ascii="Arial" w:cs="Arial" w:eastAsia="Arial" w:hAnsi="Arial"/>
          <w:sz w:val="21"/>
          <w:szCs w:val="21"/>
          <w:u w:val="single" w:color="auto"/>
          <w:color w:val="auto"/>
        </w:rPr>
        <w:t>Currency Valuation Notice</w:t>
      </w:r>
      <w:r>
        <w:rPr>
          <w:rFonts w:ascii="Arial" w:cs="Arial" w:eastAsia="Arial" w:hAnsi="Arial"/>
          <w:sz w:val="21"/>
          <w:szCs w:val="21"/>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74"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1"/>
          <w:szCs w:val="21"/>
          <w:color w:val="auto"/>
        </w:rPr>
        <w:t xml:space="preserve">Any prepayment pursuant to this paragraph shall be applied,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to Swingline Multicurrency Loans outstanding,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to Syndicated Multicurrency Loans outstanding and </w:t>
      </w:r>
      <w:r>
        <w:rPr>
          <w:rFonts w:ascii="Arial" w:cs="Arial" w:eastAsia="Arial" w:hAnsi="Arial"/>
          <w:sz w:val="21"/>
          <w:szCs w:val="21"/>
          <w:u w:val="single" w:color="auto"/>
          <w:color w:val="auto"/>
        </w:rPr>
        <w:t>third</w:t>
      </w:r>
      <w:r>
        <w:rPr>
          <w:rFonts w:ascii="Arial" w:cs="Arial" w:eastAsia="Arial" w:hAnsi="Arial"/>
          <w:sz w:val="21"/>
          <w:szCs w:val="21"/>
          <w:color w:val="auto"/>
        </w:rPr>
        <w:t>, as cover for Multicurrency LC Exposure.</w:t>
      </w:r>
    </w:p>
    <w:p>
      <w:pPr>
        <w:spacing w:after="0" w:line="151" w:lineRule="exact"/>
        <w:rPr>
          <w:sz w:val="20"/>
          <w:szCs w:val="20"/>
          <w:color w:val="auto"/>
        </w:rPr>
      </w:pPr>
    </w:p>
    <w:p>
      <w:pPr>
        <w:jc w:val="both"/>
        <w:ind w:firstLine="1763"/>
        <w:spacing w:after="0" w:line="244" w:lineRule="auto"/>
        <w:tabs>
          <w:tab w:leader="none" w:pos="2643"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Mandatory Prepayments due to Borrowing Base Deficiency</w:t>
      </w:r>
      <w:r>
        <w:rPr>
          <w:rFonts w:ascii="Arial" w:cs="Arial" w:eastAsia="Arial" w:hAnsi="Arial"/>
          <w:sz w:val="21"/>
          <w:szCs w:val="21"/>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Arial" w:cs="Arial" w:eastAsia="Arial" w:hAnsi="Arial"/>
          <w:sz w:val="21"/>
          <w:szCs w:val="21"/>
          <w:u w:val="single" w:color="auto"/>
          <w:color w:val="auto"/>
        </w:rPr>
        <w:t>Section 2.05(k)</w:t>
      </w:r>
      <w:r>
        <w:rPr>
          <w:rFonts w:ascii="Arial" w:cs="Arial" w:eastAsia="Arial" w:hAnsi="Arial"/>
          <w:sz w:val="21"/>
          <w:szCs w:val="21"/>
          <w:color w:val="auto"/>
        </w:rPr>
        <w:t xml:space="preserve">) or reduce Other Covered Indebtedness or any other Indebtedness that is included in the Covered Debt Amount at such time in such amounts as shall be necessary so that such Borrowing Base Deficiency is cured;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Lenders with a reasonably feasible plan acceptable to the Required Lenders in their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84" w:lineRule="exact"/>
        <w:rPr>
          <w:rFonts w:ascii="Arial" w:cs="Arial" w:eastAsia="Arial" w:hAnsi="Arial"/>
          <w:sz w:val="21"/>
          <w:szCs w:val="21"/>
          <w:color w:val="auto"/>
        </w:rPr>
      </w:pPr>
    </w:p>
    <w:p>
      <w:pPr>
        <w:jc w:val="both"/>
        <w:ind w:firstLine="1763"/>
        <w:spacing w:after="0"/>
        <w:tabs>
          <w:tab w:leader="none" w:pos="2655"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Mandatory Prepayments During Amortization Period</w:t>
      </w:r>
      <w:r>
        <w:rPr>
          <w:rFonts w:ascii="Arial" w:cs="Arial" w:eastAsia="Arial" w:hAnsi="Arial"/>
          <w:sz w:val="22"/>
          <w:szCs w:val="22"/>
          <w:color w:val="auto"/>
        </w:rPr>
        <w:t>. During the period commencing on the date immediately following the Commitment Termination Date with respect to any Loans of any Lender or Lenders and ending on the Final Maturity Date with respect to the Loans of such Lender or Lenders: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4" w:name="page225"/>
    <w:bookmarkEnd w:id="224"/>
    <w:p>
      <w:pPr>
        <w:jc w:val="both"/>
        <w:ind w:left="880" w:firstLine="816"/>
        <w:spacing w:after="0" w:line="282" w:lineRule="auto"/>
        <w:tabs>
          <w:tab w:leader="none" w:pos="2542"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Asset Disposition</w:t>
      </w:r>
      <w:r>
        <w:rPr>
          <w:rFonts w:ascii="Arial" w:cs="Arial" w:eastAsia="Arial" w:hAnsi="Arial"/>
          <w:sz w:val="19"/>
          <w:szCs w:val="19"/>
          <w:color w:val="auto"/>
        </w:rPr>
        <w:t xml:space="preserve">. If the Borrower or any of its Subsidiaries (other than a Financing Subsidiary) Disposes of any property which results in the receipt by such Person of Net Cash Proceeds in excess of $2,000,000 in the aggregate since the applicable Commitment Termination Date, the Borrower shall prepay an aggregate principal amount of such Loans owed to such Lender or Lenders equal to 100% of such Net Cash Proceeds no later than the fifth Business Day following the receipt of such Net Cash Proceeds (such prepayments to be applied as set forth in </w:t>
      </w:r>
      <w:r>
        <w:rPr>
          <w:rFonts w:ascii="Arial" w:cs="Arial" w:eastAsia="Arial" w:hAnsi="Arial"/>
          <w:sz w:val="19"/>
          <w:szCs w:val="19"/>
          <w:u w:val="single" w:color="auto"/>
          <w:color w:val="auto"/>
        </w:rPr>
        <w:t>Section 2.09(b)</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left="880" w:firstLine="816"/>
        <w:spacing w:after="0" w:line="282" w:lineRule="auto"/>
        <w:tabs>
          <w:tab w:leader="none" w:pos="2602"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Equity Issuance</w:t>
      </w:r>
      <w:r>
        <w:rPr>
          <w:rFonts w:ascii="Arial" w:cs="Arial" w:eastAsia="Arial" w:hAnsi="Arial"/>
          <w:sz w:val="19"/>
          <w:szCs w:val="19"/>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 (such prepayments to be applied as set forth in </w:t>
      </w:r>
      <w:r>
        <w:rPr>
          <w:rFonts w:ascii="Arial" w:cs="Arial" w:eastAsia="Arial" w:hAnsi="Arial"/>
          <w:sz w:val="19"/>
          <w:szCs w:val="19"/>
          <w:u w:val="single" w:color="auto"/>
          <w:color w:val="auto"/>
        </w:rPr>
        <w:t>Section 2.09(b)</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left="880" w:firstLine="816"/>
        <w:spacing w:after="0" w:line="282" w:lineRule="auto"/>
        <w:tabs>
          <w:tab w:leader="none" w:pos="2662"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Arial" w:cs="Arial" w:eastAsia="Arial" w:hAnsi="Arial"/>
          <w:sz w:val="19"/>
          <w:szCs w:val="19"/>
          <w:u w:val="single" w:color="auto"/>
          <w:color w:val="auto"/>
        </w:rPr>
        <w:t>Section 2.09(b)</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left="880" w:firstLine="816"/>
        <w:spacing w:after="0" w:line="234" w:lineRule="auto"/>
        <w:tabs>
          <w:tab w:leader="none" w:pos="2650"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Extraordinary Receipt</w:t>
      </w:r>
      <w:r>
        <w:rPr>
          <w:rFonts w:ascii="Arial" w:cs="Arial" w:eastAsia="Arial" w:hAnsi="Arial"/>
          <w:sz w:val="22"/>
          <w:szCs w:val="22"/>
          <w:color w:val="auto"/>
        </w:rPr>
        <w:t xml:space="preserve">. Upon any Extraordinary Receipt (which, when taken with all other Extraordinary Receipts received after the applicable Commitment Termination Date, exceeds $5,000,000 in the aggregate) received by or paid to or for the account of the Borrower or any of its Subsidiaries (other than a Financing Subsidiary), and not otherwise included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2.10(d)</w:t>
      </w:r>
      <w:r>
        <w:rPr>
          <w:rFonts w:ascii="Arial" w:cs="Arial" w:eastAsia="Arial" w:hAnsi="Arial"/>
          <w:sz w:val="22"/>
          <w:szCs w:val="22"/>
          <w:color w:val="auto"/>
        </w:rPr>
        <w:t xml:space="preserve">,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Arial" w:cs="Arial" w:eastAsia="Arial" w:hAnsi="Arial"/>
          <w:sz w:val="22"/>
          <w:szCs w:val="22"/>
          <w:u w:val="single" w:color="auto"/>
          <w:color w:val="auto"/>
        </w:rPr>
        <w:t>Section 2.09(b)</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jc w:val="both"/>
        <w:ind w:left="880" w:firstLine="816"/>
        <w:spacing w:after="0" w:line="236" w:lineRule="auto"/>
        <w:tabs>
          <w:tab w:leader="none" w:pos="2590"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Return of Capital</w:t>
      </w:r>
      <w:r>
        <w:rPr>
          <w:rFonts w:ascii="Arial" w:cs="Arial" w:eastAsia="Arial" w:hAnsi="Arial"/>
          <w:sz w:val="22"/>
          <w:szCs w:val="22"/>
          <w:color w:val="auto"/>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no later than the fifth Business Day following the receipt of such Return of Capital (such prepayments to be applied as set forth in </w:t>
      </w:r>
      <w:r>
        <w:rPr>
          <w:rFonts w:ascii="Arial" w:cs="Arial" w:eastAsia="Arial" w:hAnsi="Arial"/>
          <w:sz w:val="22"/>
          <w:szCs w:val="22"/>
          <w:u w:val="single" w:color="auto"/>
          <w:color w:val="auto"/>
        </w:rPr>
        <w:t>Section 2.09(b)</w:t>
      </w:r>
      <w:r>
        <w:rPr>
          <w:rFonts w:ascii="Arial" w:cs="Arial" w:eastAsia="Arial" w:hAnsi="Arial"/>
          <w:sz w:val="22"/>
          <w:szCs w:val="22"/>
          <w:color w:val="auto"/>
        </w:rPr>
        <w:t>).</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Notwithstanding the foregoing, (I) Net Cash Proceeds and Return of Capital required to be applied to the prepayment of the Loans pursuant to this </w:t>
      </w:r>
      <w:r>
        <w:rPr>
          <w:rFonts w:ascii="Arial" w:cs="Arial" w:eastAsia="Arial" w:hAnsi="Arial"/>
          <w:sz w:val="22"/>
          <w:szCs w:val="22"/>
          <w:u w:val="single" w:color="auto"/>
          <w:color w:val="auto"/>
        </w:rPr>
        <w:t>Section 2.10(d)</w:t>
      </w:r>
      <w:r>
        <w:rPr>
          <w:rFonts w:ascii="Arial" w:cs="Arial" w:eastAsia="Arial" w:hAnsi="Arial"/>
          <w:sz w:val="22"/>
          <w:szCs w:val="22"/>
          <w:color w:val="auto"/>
        </w:rPr>
        <w:t xml:space="preserve"> shall (A) (I) from the period commencing on any Non-Extended Commitment Termination Date and ending on the Extended Commitment Termination Date, be applied ratably among the Non-Extending Lenders for which any Non-Extended Commitment Termination Date shall have occurred and (II) from the Extended Commitment Termination Date to the Extended Final Maturity Date, be applied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5" w:name="page226"/>
    <w:bookmarkEnd w:id="225"/>
    <w:p>
      <w:pPr>
        <w:jc w:val="both"/>
        <w:spacing w:after="0" w:line="273" w:lineRule="auto"/>
        <w:rPr>
          <w:sz w:val="20"/>
          <w:szCs w:val="20"/>
          <w:color w:val="auto"/>
        </w:rPr>
      </w:pPr>
      <w:r>
        <w:rPr>
          <w:rFonts w:ascii="Arial" w:cs="Arial" w:eastAsia="Arial" w:hAnsi="Arial"/>
          <w:sz w:val="19"/>
          <w:szCs w:val="19"/>
          <w:color w:val="auto"/>
        </w:rPr>
        <w:t xml:space="preserve">accordance with the Guarantee and Security Agreement and (B) exclude the amount necessary for the Borrower to make all required distributions (which shall be no less than the amount estimated in good faith by Borrower under </w:t>
      </w:r>
      <w:r>
        <w:rPr>
          <w:rFonts w:ascii="Arial" w:cs="Arial" w:eastAsia="Arial" w:hAnsi="Arial"/>
          <w:sz w:val="19"/>
          <w:szCs w:val="19"/>
          <w:u w:val="single" w:color="auto"/>
          <w:color w:val="auto"/>
        </w:rPr>
        <w:t>Section 6.05(b)</w:t>
      </w:r>
      <w:r>
        <w:rPr>
          <w:rFonts w:ascii="Arial" w:cs="Arial" w:eastAsia="Arial" w:hAnsi="Arial"/>
          <w:sz w:val="19"/>
          <w:szCs w:val="19"/>
          <w:color w:val="auto"/>
        </w:rPr>
        <w:t xml:space="preserve"> herein) to maintain the status of a RIC under the Code and a “business development company” under the Investment Company Act for so long as the Borrower retains such status and (II) if the Loans to be prepaid pursuant to this </w:t>
      </w:r>
      <w:r>
        <w:rPr>
          <w:rFonts w:ascii="Arial" w:cs="Arial" w:eastAsia="Arial" w:hAnsi="Arial"/>
          <w:sz w:val="19"/>
          <w:szCs w:val="19"/>
          <w:u w:val="single" w:color="auto"/>
          <w:color w:val="auto"/>
        </w:rPr>
        <w:t>Section 2.01(d)</w:t>
      </w:r>
      <w:r>
        <w:rPr>
          <w:rFonts w:ascii="Arial" w:cs="Arial" w:eastAsia="Arial" w:hAnsi="Arial"/>
          <w:sz w:val="19"/>
          <w:szCs w:val="19"/>
          <w:color w:val="auto"/>
        </w:rPr>
        <w:t xml:space="preserve"> are Eurocurrency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Administrative Agent may direct the application of such deposits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2.09(b)</w:t>
      </w:r>
      <w:r>
        <w:rPr>
          <w:rFonts w:ascii="Arial" w:cs="Arial" w:eastAsia="Arial" w:hAnsi="Arial"/>
          <w:sz w:val="19"/>
          <w:szCs w:val="19"/>
          <w:color w:val="auto"/>
        </w:rPr>
        <w:t xml:space="preserve"> at any time and if the Administrative Agent does so, no amounts will be payable by the Borrower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w:t>
      </w:r>
    </w:p>
    <w:p>
      <w:pPr>
        <w:spacing w:after="0" w:line="162" w:lineRule="exact"/>
        <w:rPr>
          <w:sz w:val="20"/>
          <w:szCs w:val="20"/>
          <w:color w:val="auto"/>
        </w:rPr>
      </w:pPr>
    </w:p>
    <w:p>
      <w:pPr>
        <w:jc w:val="both"/>
        <w:ind w:firstLine="1763"/>
        <w:spacing w:after="0" w:line="269" w:lineRule="auto"/>
        <w:tabs>
          <w:tab w:leader="none" w:pos="2643"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Notices, Etc</w:t>
      </w:r>
      <w:r>
        <w:rPr>
          <w:rFonts w:ascii="Arial" w:cs="Arial" w:eastAsia="Arial" w:hAnsi="Arial"/>
          <w:sz w:val="19"/>
          <w:szCs w:val="19"/>
          <w:color w:val="auto"/>
        </w:rPr>
        <w:t xml:space="preserve">. The Borrower shall notify the Administrative Agent (and, in the case of prepayment of a Swingline Loan made by a Swingline Lender, such Swingline Lender) by telephone (confirmed by telecopy) of any prepayment hereunder (i) in the case of prepayment of a Eurocurrency Borrowing denominated in Dollars (other than in the case of a prepayment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not later than 11:00 a.m., Atlanta, Georgia time, three Business Days before the date of prepayment, (ii) in the case of prepayment of a Eurocurrency Borrowing denominated in a Foreign Currency (other than in the case of a prepayment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not later than 11:00 a.m., London time, four Business Days before the date of prepayment, (iii) in the case of prepayment of a Syndicated ABR Borrowing (other than in the case of a prepayment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not later than 11:00 a.m., Atlanta, Georgia time, one Business Day before the date of prepayment, (iv) in the case of prepayment of a Swingline Loan, not later than 11:00 a.m., Atlanta, Georgia time, on the date of prepayment, or (v) in the case of any prepayment pursuant to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not later than 1:00 p.m., Atlanta, Georgia time, on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(i) a notice of prepayment is given in connection with a conditional notice of termination of the Commitments of a Class as contemplated by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then such notice of prepayment may be revoked if such notice of termination is revoked in accordance with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and (ii) any notice given in connection with </w:t>
      </w:r>
      <w:r>
        <w:rPr>
          <w:rFonts w:ascii="Arial" w:cs="Arial" w:eastAsia="Arial" w:hAnsi="Arial"/>
          <w:sz w:val="19"/>
          <w:szCs w:val="19"/>
          <w:u w:val="single" w:color="auto"/>
          <w:color w:val="auto"/>
        </w:rPr>
        <w:t>Section 2.10(d)</w:t>
      </w:r>
      <w:r>
        <w:rPr>
          <w:rFonts w:ascii="Arial" w:cs="Arial" w:eastAsia="Arial" w:hAnsi="Arial"/>
          <w:sz w:val="19"/>
          <w:szCs w:val="19"/>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in the case of a Swingline Loan, as provided in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except as necessary to apply fully the required amount of a mandatory prepayment. Each prepayment of a Syndicated Borrowing of a Class of Commitments or Final Maturity Date shall be applied ratably to the Loans held by the Lenders of such Class included in the prepaid Borrowing. Prepayments shall be accompanied by accrued interest to the extent required by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shall be made in the manner specified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2.09(b)</w:t>
      </w:r>
      <w:r>
        <w:rPr>
          <w:rFonts w:ascii="Arial" w:cs="Arial" w:eastAsia="Arial" w:hAnsi="Arial"/>
          <w:sz w:val="19"/>
          <w:szCs w:val="19"/>
          <w:color w:val="auto"/>
        </w:rPr>
        <w:t xml:space="preserve"> unless such prepayment is made in connection with the reduction of Commitments in accordance with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in which case such prepayment shall be applied in accordance with </w:t>
      </w:r>
      <w:r>
        <w:rPr>
          <w:rFonts w:ascii="Arial" w:cs="Arial" w:eastAsia="Arial" w:hAnsi="Arial"/>
          <w:sz w:val="19"/>
          <w:szCs w:val="19"/>
          <w:u w:val="single" w:color="auto"/>
          <w:color w:val="auto"/>
        </w:rPr>
        <w:t>Section 2.08(d)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as applicable.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6" w:name="page227"/>
    <w:bookmarkEnd w:id="226"/>
    <w:p>
      <w:pPr>
        <w:ind w:left="1760"/>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Fees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44" w:lineRule="auto"/>
        <w:tabs>
          <w:tab w:leader="none" w:pos="2643" w:val="left"/>
        </w:tabs>
        <w:numPr>
          <w:ilvl w:val="0"/>
          <w:numId w:val="166"/>
        </w:numPr>
        <w:rPr>
          <w:rFonts w:ascii="Arial" w:cs="Arial" w:eastAsia="Arial" w:hAnsi="Arial"/>
          <w:sz w:val="21"/>
          <w:szCs w:val="21"/>
          <w:color w:val="auto"/>
        </w:rPr>
      </w:pPr>
      <w:r>
        <w:rPr>
          <w:rFonts w:ascii="Arial" w:cs="Arial" w:eastAsia="Arial" w:hAnsi="Arial"/>
          <w:sz w:val="21"/>
          <w:szCs w:val="21"/>
          <w:u w:val="single" w:color="auto"/>
          <w:color w:val="auto"/>
        </w:rPr>
        <w:t>Commitment Fee</w:t>
      </w:r>
      <w:r>
        <w:rPr>
          <w:rFonts w:ascii="Arial" w:cs="Arial" w:eastAsia="Arial" w:hAnsi="Arial"/>
          <w:sz w:val="21"/>
          <w:szCs w:val="21"/>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(i) the daily unused amount of the applicable Commitment shall be determined as of the end of each day and (ii)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87" w:lineRule="exact"/>
        <w:rPr>
          <w:rFonts w:ascii="Arial" w:cs="Arial" w:eastAsia="Arial" w:hAnsi="Arial"/>
          <w:sz w:val="21"/>
          <w:szCs w:val="21"/>
          <w:color w:val="auto"/>
        </w:rPr>
      </w:pPr>
    </w:p>
    <w:p>
      <w:pPr>
        <w:jc w:val="both"/>
        <w:ind w:firstLine="1763"/>
        <w:spacing w:after="0" w:line="270" w:lineRule="auto"/>
        <w:tabs>
          <w:tab w:leader="none" w:pos="2655"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xml:space="preserve">. The Borrower agrees to pay (i) to the Administrative Agent for account of each Lender a participation fee with respect to its participations in Letters of Credit of each Class of Commitments, which shall accrue at a rate per annum equal to, in the case of any Extending Lender, the Extended Applicable Margin and, in the case of any Non-Extending Lender, the Non-Extended Applicable Margin, in each case,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7" w:name="page228"/>
    <w:bookmarkEnd w:id="227"/>
    <w:p>
      <w:pPr>
        <w:jc w:val="both"/>
        <w:spacing w:after="0" w:line="252" w:lineRule="auto"/>
        <w:rPr>
          <w:sz w:val="20"/>
          <w:szCs w:val="20"/>
          <w:color w:val="auto"/>
        </w:rPr>
      </w:pPr>
      <w:r>
        <w:rPr>
          <w:rFonts w:ascii="Arial" w:cs="Arial" w:eastAsia="Arial" w:hAnsi="Arial"/>
          <w:sz w:val="21"/>
          <w:szCs w:val="21"/>
          <w:color w:val="auto"/>
        </w:rPr>
        <w:t>of such fees that ultimately accrue through the date of such expiration or termination and the 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74" w:lineRule="exact"/>
        <w:rPr>
          <w:sz w:val="20"/>
          <w:szCs w:val="20"/>
          <w:color w:val="auto"/>
        </w:rPr>
      </w:pPr>
    </w:p>
    <w:p>
      <w:pPr>
        <w:ind w:firstLine="1763"/>
        <w:spacing w:after="0" w:line="328" w:lineRule="auto"/>
        <w:tabs>
          <w:tab w:leader="none" w:pos="2643"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Administrative Agent Fees</w:t>
      </w:r>
      <w:r>
        <w:rPr>
          <w:rFonts w:ascii="Arial" w:cs="Arial" w:eastAsia="Arial" w:hAnsi="Arial"/>
          <w:sz w:val="19"/>
          <w:szCs w:val="19"/>
          <w:color w:val="auto"/>
        </w:rPr>
        <w:t>. The Borrower agrees to pay to the Administrative Agent, for its own account, fees payable in the amounts and at the times separately agreed upon between the Borrower and the Administrative Agent.</w:t>
      </w:r>
    </w:p>
    <w:p>
      <w:pPr>
        <w:spacing w:after="0" w:line="105" w:lineRule="exact"/>
        <w:rPr>
          <w:rFonts w:ascii="Arial" w:cs="Arial" w:eastAsia="Arial" w:hAnsi="Arial"/>
          <w:sz w:val="19"/>
          <w:szCs w:val="19"/>
          <w:color w:val="auto"/>
        </w:rPr>
      </w:pPr>
    </w:p>
    <w:p>
      <w:pPr>
        <w:jc w:val="both"/>
        <w:ind w:firstLine="1763"/>
        <w:spacing w:after="0" w:line="282" w:lineRule="auto"/>
        <w:tabs>
          <w:tab w:leader="none" w:pos="2655"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Payment of Fees</w:t>
      </w:r>
      <w:r>
        <w:rPr>
          <w:rFonts w:ascii="Arial" w:cs="Arial" w:eastAsia="Arial" w:hAnsi="Arial"/>
          <w:sz w:val="19"/>
          <w:szCs w:val="19"/>
          <w:color w:val="auto"/>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spacing w:after="0" w:line="14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Interest</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36" w:lineRule="auto"/>
        <w:tabs>
          <w:tab w:leader="none" w:pos="2643"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ABR Loans</w:t>
      </w:r>
      <w:r>
        <w:rPr>
          <w:rFonts w:ascii="Arial" w:cs="Arial" w:eastAsia="Arial" w:hAnsi="Arial"/>
          <w:sz w:val="22"/>
          <w:szCs w:val="22"/>
          <w:color w:val="auto"/>
        </w:rPr>
        <w:t xml:space="preserve">. The Loans constituting each ABR Borrowing (including each Swingline Loan) that are made by the Extending Lenders shall bear interest at a rate per annum equal to the Alternate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Extended Applicable Margin. The Loans constituting each ABR Borrowing (including each Swingline Loan) that are made by the Non-Extending Lenders shall bear interest at a rate per annum equal to the Alternate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Non-Extended Applicable Margin.</w:t>
      </w:r>
    </w:p>
    <w:p>
      <w:pPr>
        <w:spacing w:after="0" w:line="187" w:lineRule="exact"/>
        <w:rPr>
          <w:rFonts w:ascii="Arial" w:cs="Arial" w:eastAsia="Arial" w:hAnsi="Arial"/>
          <w:sz w:val="22"/>
          <w:szCs w:val="22"/>
          <w:color w:val="auto"/>
        </w:rPr>
      </w:pPr>
    </w:p>
    <w:p>
      <w:pPr>
        <w:jc w:val="both"/>
        <w:ind w:firstLine="1763"/>
        <w:spacing w:after="0" w:line="236" w:lineRule="auto"/>
        <w:tabs>
          <w:tab w:leader="none" w:pos="2655"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Eurocurrency Loans</w:t>
      </w:r>
      <w:r>
        <w:rPr>
          <w:rFonts w:ascii="Arial" w:cs="Arial" w:eastAsia="Arial" w:hAnsi="Arial"/>
          <w:sz w:val="22"/>
          <w:szCs w:val="22"/>
          <w:color w:val="auto"/>
        </w:rPr>
        <w:t xml:space="preserve">. The Loans constituting each Eurocurrency Borrowing that are made by the Extending Lenders shall bear interest at a rate per annum equal to the Adjusted LIBO Rate for the related Interest Period for such Borrowing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Extended Applicable Margin. The Loans constituting each Eurocurrency Borrowing that are made by the Non-Extending Lenders shall bear interest at a rate per annum equal to the Adjusted LIBO Rate for the related Interest Period for such Borrowing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Non-Extended Applicable Margin.</w:t>
      </w:r>
    </w:p>
    <w:p>
      <w:pPr>
        <w:spacing w:after="0" w:line="187" w:lineRule="exact"/>
        <w:rPr>
          <w:rFonts w:ascii="Arial" w:cs="Arial" w:eastAsia="Arial" w:hAnsi="Arial"/>
          <w:sz w:val="22"/>
          <w:szCs w:val="22"/>
          <w:color w:val="auto"/>
        </w:rPr>
      </w:pPr>
    </w:p>
    <w:p>
      <w:pPr>
        <w:jc w:val="both"/>
        <w:ind w:firstLine="1763"/>
        <w:spacing w:after="0" w:line="279" w:lineRule="auto"/>
        <w:tabs>
          <w:tab w:leader="none" w:pos="2643"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Default Interest</w:t>
      </w:r>
      <w:r>
        <w:rPr>
          <w:rFonts w:ascii="Arial" w:cs="Arial" w:eastAsia="Arial" w:hAnsi="Arial"/>
          <w:sz w:val="19"/>
          <w:szCs w:val="19"/>
          <w:color w:val="auto"/>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otherwise applicable to such Loan as provided above, (ii) in the case of any Letter of Credit, 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fee otherwise applicable to such Letter of Credit as provided in </w:t>
      </w:r>
      <w:r>
        <w:rPr>
          <w:rFonts w:ascii="Arial" w:cs="Arial" w:eastAsia="Arial" w:hAnsi="Arial"/>
          <w:sz w:val="19"/>
          <w:szCs w:val="19"/>
          <w:u w:val="single" w:color="auto"/>
          <w:color w:val="auto"/>
        </w:rPr>
        <w:t>Section 2.11(b)(i)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in the case of any fee or other amount, 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applicable to ABR Loans as provided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w:t>
      </w:r>
    </w:p>
    <w:p>
      <w:pPr>
        <w:spacing w:after="0" w:line="150" w:lineRule="exact"/>
        <w:rPr>
          <w:rFonts w:ascii="Arial" w:cs="Arial" w:eastAsia="Arial" w:hAnsi="Arial"/>
          <w:sz w:val="19"/>
          <w:szCs w:val="19"/>
          <w:color w:val="auto"/>
        </w:rPr>
      </w:pPr>
    </w:p>
    <w:p>
      <w:pPr>
        <w:jc w:val="both"/>
        <w:ind w:firstLine="1763"/>
        <w:spacing w:after="0"/>
        <w:tabs>
          <w:tab w:leader="none" w:pos="2655"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Payment of Interest</w:t>
      </w:r>
      <w:r>
        <w:rPr>
          <w:rFonts w:ascii="Arial" w:cs="Arial" w:eastAsia="Arial" w:hAnsi="Arial"/>
          <w:sz w:val="22"/>
          <w:szCs w:val="22"/>
          <w:color w:val="auto"/>
        </w:rPr>
        <w:t>. Accrued interest on each Loan shall be payable in arrears on each Interest Payment Date for such Loan in the Currency in which such Loan is denominated and, in the case of Syndicated Loans, with respect to any Lender, upon the earlier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8" w:name="page229"/>
    <w:bookmarkEnd w:id="228"/>
    <w:p>
      <w:pPr>
        <w:jc w:val="both"/>
        <w:spacing w:after="0" w:line="235" w:lineRule="auto"/>
        <w:rPr>
          <w:sz w:val="20"/>
          <w:szCs w:val="20"/>
          <w:color w:val="auto"/>
        </w:rPr>
      </w:pPr>
      <w:r>
        <w:rPr>
          <w:rFonts w:ascii="Arial" w:cs="Arial" w:eastAsia="Arial" w:hAnsi="Arial"/>
          <w:sz w:val="22"/>
          <w:szCs w:val="22"/>
          <w:color w:val="auto"/>
        </w:rPr>
        <w:t xml:space="preserve">such Lender’s Final Maturity Date and the Termination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interest accrued pursuant to </w:t>
      </w:r>
      <w:r>
        <w:rPr>
          <w:rFonts w:ascii="Arial" w:cs="Arial" w:eastAsia="Arial" w:hAnsi="Arial"/>
          <w:sz w:val="22"/>
          <w:szCs w:val="22"/>
          <w:u w:val="single" w:color="auto"/>
          <w:color w:val="auto"/>
        </w:rPr>
        <w:t>paragraph (c)</w:t>
      </w:r>
      <w:r>
        <w:rPr>
          <w:rFonts w:ascii="Arial" w:cs="Arial" w:eastAsia="Arial" w:hAnsi="Arial"/>
          <w:sz w:val="22"/>
          <w:szCs w:val="22"/>
          <w:color w:val="auto"/>
        </w:rPr>
        <w:t xml:space="preserve"> 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188" w:lineRule="exact"/>
        <w:rPr>
          <w:sz w:val="20"/>
          <w:szCs w:val="20"/>
          <w:color w:val="auto"/>
        </w:rPr>
      </w:pPr>
    </w:p>
    <w:p>
      <w:pPr>
        <w:jc w:val="both"/>
        <w:ind w:firstLine="1763"/>
        <w:spacing w:after="0" w:line="248" w:lineRule="auto"/>
        <w:tabs>
          <w:tab w:leader="none" w:pos="2643" w:val="left"/>
        </w:tabs>
        <w:numPr>
          <w:ilvl w:val="0"/>
          <w:numId w:val="169"/>
        </w:numPr>
        <w:rPr>
          <w:rFonts w:ascii="Arial" w:cs="Arial" w:eastAsia="Arial" w:hAnsi="Arial"/>
          <w:sz w:val="21"/>
          <w:szCs w:val="21"/>
          <w:color w:val="auto"/>
        </w:rPr>
      </w:pPr>
      <w:r>
        <w:rPr>
          <w:rFonts w:ascii="Arial" w:cs="Arial" w:eastAsia="Arial" w:hAnsi="Arial"/>
          <w:sz w:val="21"/>
          <w:szCs w:val="21"/>
          <w:u w:val="single" w:color="auto"/>
          <w:color w:val="auto"/>
        </w:rPr>
        <w:t>Computation</w:t>
      </w:r>
      <w:r>
        <w:rPr>
          <w:rFonts w:ascii="Arial" w:cs="Arial" w:eastAsia="Arial" w:hAnsi="Arial"/>
          <w:sz w:val="21"/>
          <w:szCs w:val="21"/>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Pounds Sterling or Canadian Dollars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77" w:lineRule="exact"/>
        <w:rPr>
          <w:sz w:val="20"/>
          <w:szCs w:val="20"/>
          <w:color w:val="auto"/>
        </w:rPr>
      </w:pPr>
    </w:p>
    <w:p>
      <w:pPr>
        <w:ind w:firstLine="1755"/>
        <w:spacing w:after="0" w:line="274" w:lineRule="auto"/>
        <w:rPr>
          <w:sz w:val="20"/>
          <w:szCs w:val="20"/>
          <w:color w:val="auto"/>
        </w:rPr>
      </w:pPr>
      <w:r>
        <w:rPr>
          <w:rFonts w:ascii="Arial" w:cs="Arial" w:eastAsia="Arial" w:hAnsi="Arial"/>
          <w:sz w:val="21"/>
          <w:szCs w:val="21"/>
          <w:color w:val="auto"/>
        </w:rPr>
        <w:t xml:space="preserve">SECTION 2.13. </w:t>
      </w:r>
      <w:r>
        <w:rPr>
          <w:rFonts w:ascii="Arial" w:cs="Arial" w:eastAsia="Arial" w:hAnsi="Arial"/>
          <w:sz w:val="21"/>
          <w:szCs w:val="21"/>
          <w:u w:val="single" w:color="auto"/>
          <w:color w:val="auto"/>
        </w:rPr>
        <w:t>Inability to Determine Interest Rates</w:t>
      </w:r>
      <w:r>
        <w:rPr>
          <w:rFonts w:ascii="Arial" w:cs="Arial" w:eastAsia="Arial" w:hAnsi="Arial"/>
          <w:sz w:val="21"/>
          <w:szCs w:val="21"/>
          <w:color w:val="auto"/>
        </w:rPr>
        <w:t>. If, prior to the commencement of any Interest Period for any Eurocurrency Borrowing of a Class (the Currency of such Borrowing herein called the “</w:t>
      </w:r>
      <w:r>
        <w:rPr>
          <w:rFonts w:ascii="Arial" w:cs="Arial" w:eastAsia="Arial" w:hAnsi="Arial"/>
          <w:sz w:val="21"/>
          <w:szCs w:val="21"/>
          <w:u w:val="single" w:color="auto"/>
          <w:color w:val="auto"/>
        </w:rPr>
        <w:t>Affected Currency</w:t>
      </w:r>
      <w:r>
        <w:rPr>
          <w:rFonts w:ascii="Arial" w:cs="Arial" w:eastAsia="Arial" w:hAnsi="Arial"/>
          <w:sz w:val="21"/>
          <w:szCs w:val="21"/>
          <w:color w:val="auto"/>
        </w:rPr>
        <w:t>”):</w:t>
      </w:r>
    </w:p>
    <w:p>
      <w:pPr>
        <w:spacing w:after="0" w:line="151" w:lineRule="exact"/>
        <w:rPr>
          <w:sz w:val="20"/>
          <w:szCs w:val="20"/>
          <w:color w:val="auto"/>
        </w:rPr>
      </w:pPr>
    </w:p>
    <w:p>
      <w:pPr>
        <w:jc w:val="both"/>
        <w:ind w:firstLine="1763"/>
        <w:spacing w:after="0" w:line="252" w:lineRule="auto"/>
        <w:tabs>
          <w:tab w:leader="none" w:pos="2643"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Administrative Agent shall have determined (which determination shall be conclusive and binding upon the Borrower absent manifest error) that, by reason of circumstances affecting the relevant interbank market, adequate and reasonable means do not exist for ascertaining the Adjusted LIBO Rate for the Affected Currency (including, without limitation, because the Screen Rate is not available or published on a current basis) for such Interest Period; or</w:t>
      </w:r>
    </w:p>
    <w:p>
      <w:pPr>
        <w:spacing w:after="0" w:line="174" w:lineRule="exact"/>
        <w:rPr>
          <w:rFonts w:ascii="Arial" w:cs="Arial" w:eastAsia="Arial" w:hAnsi="Arial"/>
          <w:sz w:val="21"/>
          <w:szCs w:val="21"/>
          <w:color w:val="auto"/>
        </w:rPr>
      </w:pPr>
    </w:p>
    <w:p>
      <w:pPr>
        <w:jc w:val="both"/>
        <w:ind w:firstLine="1763"/>
        <w:spacing w:after="0" w:line="297" w:lineRule="auto"/>
        <w:tabs>
          <w:tab w:leader="none" w:pos="2655"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Administrative Agent shall have received notice from the Required Lenders of such Class of Commitments that the Adjusted LIBO Rate for the Affected Currency for such Interest Period will not adequately and fairly reflect the cost to such Lenders of making or maintaining their respective Loans included in such Borrowing for such Interest Period;</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 (iii) if the Affected Currency is a Foreign Currency, then either, at the Borrower’s election, (A) any Borrowing Request that requests a Eurocurrency Borrowing denominated in the Affected Currency shall be ineffective, or (B) the LIBO Rate for such Eurocurrency Borrowing shall be the cost to each Lender to fund its pro rata share of such Eurocurrency Borrowing (from whatever source and using whatever methodologies as such Lender may select in its reasonable discretion).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9" w:name="page230"/>
    <w:bookmarkEnd w:id="229"/>
    <w:p>
      <w:pPr>
        <w:ind w:left="1760"/>
        <w:spacing w:after="0"/>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Increased Costs</w:t>
      </w:r>
      <w:r>
        <w:rPr>
          <w:rFonts w:ascii="Arial" w:cs="Arial" w:eastAsia="Arial" w:hAnsi="Arial"/>
          <w:sz w:val="22"/>
          <w:szCs w:val="22"/>
          <w:color w:val="auto"/>
        </w:rPr>
        <w:t>.</w:t>
      </w:r>
    </w:p>
    <w:p>
      <w:pPr>
        <w:spacing w:after="0" w:line="206" w:lineRule="exact"/>
        <w:rPr>
          <w:sz w:val="20"/>
          <w:szCs w:val="20"/>
          <w:color w:val="auto"/>
        </w:rPr>
      </w:pPr>
    </w:p>
    <w:p>
      <w:pPr>
        <w:ind w:left="2660" w:hanging="897"/>
        <w:spacing w:after="0"/>
        <w:tabs>
          <w:tab w:leader="none" w:pos="2660" w:val="left"/>
        </w:tabs>
        <w:numPr>
          <w:ilvl w:val="1"/>
          <w:numId w:val="171"/>
        </w:numPr>
        <w:rPr>
          <w:rFonts w:ascii="Arial" w:cs="Arial" w:eastAsia="Arial" w:hAnsi="Arial"/>
          <w:sz w:val="22"/>
          <w:szCs w:val="22"/>
          <w:color w:val="auto"/>
        </w:rPr>
      </w:pPr>
      <w:r>
        <w:rPr>
          <w:rFonts w:ascii="Arial" w:cs="Arial" w:eastAsia="Arial" w:hAnsi="Arial"/>
          <w:sz w:val="22"/>
          <w:szCs w:val="22"/>
          <w:u w:val="single" w:color="auto"/>
          <w:color w:val="auto"/>
        </w:rPr>
        <w:t>Increased Costs Generally</w:t>
      </w:r>
      <w:r>
        <w:rPr>
          <w:rFonts w:ascii="Arial" w:cs="Arial" w:eastAsia="Arial" w:hAnsi="Arial"/>
          <w:sz w:val="22"/>
          <w:szCs w:val="22"/>
          <w:color w:val="auto"/>
        </w:rPr>
        <w:t>. If any Change in Law shall:</w:t>
      </w:r>
    </w:p>
    <w:p>
      <w:pPr>
        <w:spacing w:after="0" w:line="206" w:lineRule="exact"/>
        <w:rPr>
          <w:rFonts w:ascii="Arial" w:cs="Arial" w:eastAsia="Arial" w:hAnsi="Arial"/>
          <w:sz w:val="22"/>
          <w:szCs w:val="22"/>
          <w:color w:val="auto"/>
        </w:rPr>
      </w:pPr>
    </w:p>
    <w:p>
      <w:pPr>
        <w:jc w:val="both"/>
        <w:ind w:left="880" w:firstLine="816"/>
        <w:spacing w:after="0" w:line="258" w:lineRule="auto"/>
        <w:tabs>
          <w:tab w:leader="none" w:pos="2542" w:val="left"/>
        </w:tabs>
        <w:numPr>
          <w:ilvl w:val="0"/>
          <w:numId w:val="172"/>
        </w:numPr>
        <w:rPr>
          <w:rFonts w:ascii="Arial" w:cs="Arial" w:eastAsia="Arial" w:hAnsi="Arial"/>
          <w:sz w:val="21"/>
          <w:szCs w:val="21"/>
          <w:color w:val="auto"/>
        </w:rPr>
      </w:pPr>
      <w:r>
        <w:rPr>
          <w:rFonts w:ascii="Arial" w:cs="Arial" w:eastAsia="Arial" w:hAnsi="Arial"/>
          <w:sz w:val="21"/>
          <w:szCs w:val="21"/>
          <w:color w:val="auto"/>
        </w:rPr>
        <w:t>impose, modify or deem applicable any reserve, special deposit, compulsory loan, insurance charge or similar requirement against assets of, deposits with or for account of, or credit extended by, any Lender (except any such reserve requirement reflected in the Adjusted LIBO Rate) or any Issuing Bank; or</w:t>
      </w:r>
    </w:p>
    <w:p>
      <w:pPr>
        <w:spacing w:after="0" w:line="166" w:lineRule="exact"/>
        <w:rPr>
          <w:rFonts w:ascii="Arial" w:cs="Arial" w:eastAsia="Arial" w:hAnsi="Arial"/>
          <w:sz w:val="21"/>
          <w:szCs w:val="21"/>
          <w:color w:val="auto"/>
        </w:rPr>
      </w:pPr>
    </w:p>
    <w:p>
      <w:pPr>
        <w:jc w:val="both"/>
        <w:ind w:left="880" w:firstLine="816"/>
        <w:spacing w:after="0"/>
        <w:tabs>
          <w:tab w:leader="none" w:pos="2602" w:val="left"/>
        </w:tabs>
        <w:numPr>
          <w:ilvl w:val="0"/>
          <w:numId w:val="172"/>
        </w:numPr>
        <w:rPr>
          <w:rFonts w:ascii="Arial" w:cs="Arial" w:eastAsia="Arial" w:hAnsi="Arial"/>
          <w:sz w:val="22"/>
          <w:szCs w:val="22"/>
          <w:color w:val="auto"/>
        </w:rPr>
      </w:pPr>
      <w:r>
        <w:rPr>
          <w:rFonts w:ascii="Arial" w:cs="Arial" w:eastAsia="Arial" w:hAnsi="Arial"/>
          <w:sz w:val="22"/>
          <w:szCs w:val="22"/>
          <w:color w:val="auto"/>
        </w:rPr>
        <w:t>impose on any Lender or any Issuing Bank or the London interbank market any other condition, cost or expense (other than Taxes) affecting this Agreement or Eurocurrency Loans made by such Lender or any Letter of Credit or participation therein;</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and the result of any of the foregoing shall be to increase the cost to such Lenders of making, converting to, continuing or maintaining any Eurocurrency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in Dollars, such additional amount or amounts as will compensate such Lender or such Issuing Bank, as the case may be, for such additional costs incurred or reduction suffered.</w:t>
      </w:r>
    </w:p>
    <w:p>
      <w:pPr>
        <w:spacing w:after="0" w:line="151" w:lineRule="exact"/>
        <w:rPr>
          <w:sz w:val="20"/>
          <w:szCs w:val="20"/>
          <w:color w:val="auto"/>
        </w:rPr>
      </w:pPr>
    </w:p>
    <w:p>
      <w:pPr>
        <w:jc w:val="both"/>
        <w:ind w:firstLine="1763"/>
        <w:spacing w:after="0" w:line="244" w:lineRule="auto"/>
        <w:tabs>
          <w:tab w:leader="none" w:pos="2655" w:val="left"/>
        </w:tabs>
        <w:numPr>
          <w:ilvl w:val="0"/>
          <w:numId w:val="173"/>
        </w:numPr>
        <w:rPr>
          <w:rFonts w:ascii="Arial" w:cs="Arial" w:eastAsia="Arial" w:hAnsi="Arial"/>
          <w:sz w:val="21"/>
          <w:szCs w:val="21"/>
          <w:color w:val="auto"/>
        </w:rPr>
      </w:pPr>
      <w:r>
        <w:rPr>
          <w:rFonts w:ascii="Arial" w:cs="Arial" w:eastAsia="Arial" w:hAnsi="Arial"/>
          <w:sz w:val="21"/>
          <w:szCs w:val="21"/>
          <w:u w:val="single" w:color="auto"/>
          <w:color w:val="auto"/>
        </w:rPr>
        <w:t>Capital and Liquidity Requirements</w:t>
      </w:r>
      <w:r>
        <w:rPr>
          <w:rFonts w:ascii="Arial" w:cs="Arial" w:eastAsia="Arial" w:hAnsi="Arial"/>
          <w:sz w:val="21"/>
          <w:szCs w:val="21"/>
          <w:color w:val="auto"/>
        </w:rPr>
        <w:t>.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from time to time the Borrower will pay to such Lender or such Issuing Bank, as the case may be, in Dollars, such additional amount or amounts as will compensate such Lender or such Issuing Bank or such Lender’s or such Issuing Bank’s holding company for any such reduction suffered.</w:t>
      </w:r>
    </w:p>
    <w:p>
      <w:pPr>
        <w:spacing w:after="0" w:line="189" w:lineRule="exact"/>
        <w:rPr>
          <w:rFonts w:ascii="Arial" w:cs="Arial" w:eastAsia="Arial" w:hAnsi="Arial"/>
          <w:sz w:val="21"/>
          <w:szCs w:val="21"/>
          <w:color w:val="auto"/>
        </w:rPr>
      </w:pPr>
    </w:p>
    <w:p>
      <w:pPr>
        <w:jc w:val="both"/>
        <w:ind w:firstLine="1763"/>
        <w:spacing w:after="0" w:line="236" w:lineRule="auto"/>
        <w:tabs>
          <w:tab w:leader="none" w:pos="2643"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Certificates from Lenders</w:t>
      </w:r>
      <w:r>
        <w:rPr>
          <w:rFonts w:ascii="Arial" w:cs="Arial" w:eastAsia="Arial" w:hAnsi="Arial"/>
          <w:sz w:val="22"/>
          <w:szCs w:val="22"/>
          <w:color w:val="auto"/>
        </w:rPr>
        <w:t xml:space="preserve">. A certificate of a Lender or an Issuing Bank setting forth the amount or amounts, in Dollars, necessary to compensate such Lender or such Issuing Bank or its holding company, as the case may be, as specified in </w:t>
      </w:r>
      <w:r>
        <w:rPr>
          <w:rFonts w:ascii="Arial" w:cs="Arial" w:eastAsia="Arial" w:hAnsi="Arial"/>
          <w:sz w:val="22"/>
          <w:szCs w:val="22"/>
          <w:u w:val="single" w:color="auto"/>
          <w:color w:val="auto"/>
        </w:rPr>
        <w:t>paragraph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Section shall be promptly delivered to the Borrower and shall be conclusive absent manifest error. The Borrower shall pay such Lender or such Issuing Bank, as the case may be, the amount shown as due on any such certificate within 10 days after receipt thereof.</w:t>
      </w:r>
    </w:p>
    <w:p>
      <w:pPr>
        <w:spacing w:after="0" w:line="187" w:lineRule="exact"/>
        <w:rPr>
          <w:rFonts w:ascii="Arial" w:cs="Arial" w:eastAsia="Arial" w:hAnsi="Arial"/>
          <w:sz w:val="22"/>
          <w:szCs w:val="22"/>
          <w:color w:val="auto"/>
        </w:rPr>
      </w:pPr>
    </w:p>
    <w:p>
      <w:pPr>
        <w:jc w:val="both"/>
        <w:ind w:firstLine="1763"/>
        <w:spacing w:after="0"/>
        <w:tabs>
          <w:tab w:leader="none" w:pos="2655"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Delay in Requests</w:t>
      </w:r>
      <w:r>
        <w:rPr>
          <w:rFonts w:ascii="Arial" w:cs="Arial" w:eastAsia="Arial" w:hAnsi="Arial"/>
          <w:sz w:val="22"/>
          <w:szCs w:val="22"/>
          <w:color w:val="auto"/>
        </w:rPr>
        <w:t xml:space="preserve">. 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0" w:name="page231"/>
    <w:bookmarkEnd w:id="230"/>
    <w:p>
      <w:pPr>
        <w:jc w:val="both"/>
        <w:spacing w:after="0" w:line="282" w:lineRule="auto"/>
        <w:rPr>
          <w:sz w:val="20"/>
          <w:szCs w:val="20"/>
          <w:color w:val="auto"/>
        </w:rPr>
      </w:pPr>
      <w:r>
        <w:rPr>
          <w:rFonts w:ascii="Arial" w:cs="Arial" w:eastAsia="Arial" w:hAnsi="Arial"/>
          <w:sz w:val="19"/>
          <w:szCs w:val="19"/>
          <w:color w:val="auto"/>
        </w:rPr>
        <w:t xml:space="preserve">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Change in Law giving rise to such increased costs or reductions is retroactive, then the six-month period referred to above shall be extended to include the period of retroactive effect thereof.</w:t>
      </w:r>
    </w:p>
    <w:p>
      <w:pPr>
        <w:spacing w:after="0" w:line="148"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(a) the payment of any principal of any Eurocurrency Loan other than on the last day of an Interest Period therefor (including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Arial" w:cs="Arial" w:eastAsia="Arial" w:hAnsi="Arial"/>
          <w:sz w:val="19"/>
          <w:szCs w:val="19"/>
          <w:u w:val="single" w:color="auto"/>
          <w:color w:val="auto"/>
        </w:rPr>
        <w:t>Section 2.10(e)</w:t>
      </w:r>
      <w:r>
        <w:rPr>
          <w:rFonts w:ascii="Arial" w:cs="Arial" w:eastAsia="Arial" w:hAnsi="Arial"/>
          <w:sz w:val="19"/>
          <w:szCs w:val="19"/>
          <w:color w:val="auto"/>
        </w:rPr>
        <w:t xml:space="preserve"> and is revoked in accordance herewith), or (d) the assignment as a result of a request by the Borrower pursuant to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of any Eurocurrency Loan other than on the last day of an Interest Period therefor, then, in any such event, the Borrower shall compensate each Lender for the loss, cost and reasonable expense attributable to such event (excluding loss of anticipated profits). In the case of a Eurocurrency Loan, the loss to any Lender attributable to any such event shall be deemed to include an amount determined by such Lender to be equal to the excess, if any, of</w:t>
      </w:r>
    </w:p>
    <w:p>
      <w:pPr>
        <w:spacing w:after="0" w:line="162" w:lineRule="exact"/>
        <w:rPr>
          <w:sz w:val="20"/>
          <w:szCs w:val="20"/>
          <w:color w:val="auto"/>
        </w:rPr>
      </w:pPr>
    </w:p>
    <w:p>
      <w:pPr>
        <w:jc w:val="both"/>
        <w:ind w:left="880" w:firstLine="816"/>
        <w:spacing w:after="0" w:line="235" w:lineRule="auto"/>
        <w:tabs>
          <w:tab w:leader="none" w:pos="254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Arial" w:cs="Arial" w:eastAsia="Arial" w:hAnsi="Arial"/>
          <w:sz w:val="22"/>
          <w:szCs w:val="22"/>
          <w:u w:val="single" w:color="auto"/>
          <w:color w:val="auto"/>
        </w:rPr>
        <w:t>over</w:t>
      </w:r>
    </w:p>
    <w:p>
      <w:pPr>
        <w:spacing w:after="0" w:line="188" w:lineRule="exact"/>
        <w:rPr>
          <w:rFonts w:ascii="Arial" w:cs="Arial" w:eastAsia="Arial" w:hAnsi="Arial"/>
          <w:sz w:val="22"/>
          <w:szCs w:val="22"/>
          <w:color w:val="auto"/>
        </w:rPr>
      </w:pPr>
    </w:p>
    <w:p>
      <w:pPr>
        <w:jc w:val="both"/>
        <w:ind w:left="880" w:firstLine="816"/>
        <w:spacing w:after="0" w:line="238" w:lineRule="auto"/>
        <w:tabs>
          <w:tab w:leader="none" w:pos="260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1" w:name="page232"/>
    <w:bookmarkEnd w:id="231"/>
    <w:p>
      <w:pPr>
        <w:ind w:left="1760"/>
        <w:spacing w:after="0"/>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46" w:lineRule="auto"/>
        <w:tabs>
          <w:tab w:leader="none" w:pos="2643" w:val="left"/>
        </w:tabs>
        <w:numPr>
          <w:ilvl w:val="0"/>
          <w:numId w:val="175"/>
        </w:numPr>
        <w:rPr>
          <w:rFonts w:ascii="Arial" w:cs="Arial" w:eastAsia="Arial" w:hAnsi="Arial"/>
          <w:sz w:val="21"/>
          <w:szCs w:val="21"/>
          <w:color w:val="auto"/>
        </w:rPr>
      </w:pPr>
      <w:r>
        <w:rPr>
          <w:rFonts w:ascii="Arial" w:cs="Arial" w:eastAsia="Arial" w:hAnsi="Arial"/>
          <w:sz w:val="21"/>
          <w:szCs w:val="21"/>
          <w:u w:val="single" w:color="auto"/>
          <w:color w:val="auto"/>
        </w:rPr>
        <w:t>Payments Free of Taxes</w:t>
      </w:r>
      <w:r>
        <w:rPr>
          <w:rFonts w:ascii="Arial" w:cs="Arial" w:eastAsia="Arial" w:hAnsi="Arial"/>
          <w:sz w:val="21"/>
          <w:szCs w:val="21"/>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80" w:lineRule="exact"/>
        <w:rPr>
          <w:rFonts w:ascii="Arial" w:cs="Arial" w:eastAsia="Arial" w:hAnsi="Arial"/>
          <w:sz w:val="21"/>
          <w:szCs w:val="21"/>
          <w:color w:val="auto"/>
        </w:rPr>
      </w:pPr>
    </w:p>
    <w:p>
      <w:pPr>
        <w:ind w:firstLine="1763"/>
        <w:spacing w:after="0" w:line="251" w:lineRule="auto"/>
        <w:tabs>
          <w:tab w:leader="none" w:pos="2655"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Borrower</w:t>
      </w:r>
      <w:r>
        <w:rPr>
          <w:rFonts w:ascii="Arial" w:cs="Arial" w:eastAsia="Arial" w:hAnsi="Arial"/>
          <w:sz w:val="22"/>
          <w:szCs w:val="22"/>
          <w:color w:val="auto"/>
        </w:rPr>
        <w:t>. In addition, the Borrower shall pay any Other Taxes to the relevant Governmental Authority in accordance with applicable law.</w:t>
      </w:r>
    </w:p>
    <w:p>
      <w:pPr>
        <w:spacing w:after="0" w:line="173" w:lineRule="exact"/>
        <w:rPr>
          <w:rFonts w:ascii="Arial" w:cs="Arial" w:eastAsia="Arial" w:hAnsi="Arial"/>
          <w:sz w:val="22"/>
          <w:szCs w:val="22"/>
          <w:color w:val="auto"/>
        </w:rPr>
      </w:pPr>
    </w:p>
    <w:p>
      <w:pPr>
        <w:jc w:val="both"/>
        <w:ind w:firstLine="1763"/>
        <w:spacing w:after="0" w:line="245" w:lineRule="auto"/>
        <w:tabs>
          <w:tab w:leader="none" w:pos="2643" w:val="left"/>
        </w:tabs>
        <w:numPr>
          <w:ilvl w:val="0"/>
          <w:numId w:val="175"/>
        </w:numPr>
        <w:rPr>
          <w:rFonts w:ascii="Arial" w:cs="Arial" w:eastAsia="Arial" w:hAnsi="Arial"/>
          <w:sz w:val="21"/>
          <w:szCs w:val="21"/>
          <w:color w:val="auto"/>
        </w:rPr>
      </w:pPr>
      <w:r>
        <w:rPr>
          <w:rFonts w:ascii="Arial" w:cs="Arial" w:eastAsia="Arial" w:hAnsi="Arial"/>
          <w:sz w:val="21"/>
          <w:szCs w:val="21"/>
          <w:u w:val="single" w:color="auto"/>
          <w:color w:val="auto"/>
        </w:rPr>
        <w:t>Indemnification by the Borrower</w:t>
      </w:r>
      <w:r>
        <w:rPr>
          <w:rFonts w:ascii="Arial" w:cs="Arial" w:eastAsia="Arial" w:hAnsi="Arial"/>
          <w:sz w:val="21"/>
          <w:szCs w:val="21"/>
          <w:color w:val="auto"/>
        </w:rPr>
        <w:t>. The Borrower shall indemnify the Administrative Agent, each Lender and each Issuing Bank for 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181" w:lineRule="exact"/>
        <w:rPr>
          <w:rFonts w:ascii="Arial" w:cs="Arial" w:eastAsia="Arial" w:hAnsi="Arial"/>
          <w:sz w:val="21"/>
          <w:szCs w:val="21"/>
          <w:color w:val="auto"/>
        </w:rPr>
      </w:pPr>
    </w:p>
    <w:p>
      <w:pPr>
        <w:jc w:val="both"/>
        <w:ind w:firstLine="1763"/>
        <w:spacing w:after="0" w:line="244" w:lineRule="auto"/>
        <w:tabs>
          <w:tab w:leader="none" w:pos="2655" w:val="left"/>
        </w:tabs>
        <w:numPr>
          <w:ilvl w:val="0"/>
          <w:numId w:val="175"/>
        </w:numPr>
        <w:rPr>
          <w:rFonts w:ascii="Arial" w:cs="Arial" w:eastAsia="Arial" w:hAnsi="Arial"/>
          <w:sz w:val="21"/>
          <w:szCs w:val="21"/>
          <w:color w:val="auto"/>
        </w:rPr>
      </w:pPr>
      <w:r>
        <w:rPr>
          <w:rFonts w:ascii="Arial" w:cs="Arial" w:eastAsia="Arial" w:hAnsi="Arial"/>
          <w:sz w:val="21"/>
          <w:szCs w:val="21"/>
          <w:u w:val="single" w:color="auto"/>
          <w:color w:val="auto"/>
        </w:rPr>
        <w:t>Indemnification by the Lenders</w:t>
      </w:r>
      <w:r>
        <w:rPr>
          <w:rFonts w:ascii="Arial" w:cs="Arial" w:eastAsia="Arial" w:hAnsi="Arial"/>
          <w:sz w:val="21"/>
          <w:szCs w:val="21"/>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21"/>
          <w:szCs w:val="21"/>
          <w:u w:val="single" w:color="auto"/>
          <w:color w:val="auto"/>
        </w:rPr>
        <w:t>Section 9.04(f)</w:t>
      </w:r>
      <w:r>
        <w:rPr>
          <w:rFonts w:ascii="Arial" w:cs="Arial" w:eastAsia="Arial" w:hAnsi="Arial"/>
          <w:sz w:val="21"/>
          <w:szCs w:val="21"/>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21"/>
          <w:szCs w:val="21"/>
          <w:u w:val="single" w:color="auto"/>
          <w:color w:val="auto"/>
        </w:rPr>
        <w:t>paragraph (d)</w:t>
      </w:r>
      <w:r>
        <w:rPr>
          <w:rFonts w:ascii="Arial" w:cs="Arial" w:eastAsia="Arial" w:hAnsi="Arial"/>
          <w:sz w:val="21"/>
          <w:szCs w:val="21"/>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2" w:name="page233"/>
    <w:bookmarkEnd w:id="232"/>
    <w:p>
      <w:pPr>
        <w:jc w:val="both"/>
        <w:ind w:firstLine="1763"/>
        <w:spacing w:after="0" w:line="252" w:lineRule="auto"/>
        <w:tabs>
          <w:tab w:leader="none" w:pos="2643" w:val="left"/>
        </w:tabs>
        <w:numPr>
          <w:ilvl w:val="1"/>
          <w:numId w:val="176"/>
        </w:numPr>
        <w:rPr>
          <w:rFonts w:ascii="Arial" w:cs="Arial" w:eastAsia="Arial" w:hAnsi="Arial"/>
          <w:sz w:val="21"/>
          <w:szCs w:val="21"/>
          <w:color w:val="auto"/>
        </w:rPr>
      </w:pPr>
      <w:r>
        <w:rPr>
          <w:rFonts w:ascii="Arial" w:cs="Arial" w:eastAsia="Arial" w:hAnsi="Arial"/>
          <w:sz w:val="21"/>
          <w:szCs w:val="21"/>
          <w:u w:val="single" w:color="auto"/>
          <w:color w:val="auto"/>
        </w:rPr>
        <w:t>Evidence of Payments</w:t>
      </w:r>
      <w:r>
        <w:rPr>
          <w:rFonts w:ascii="Arial" w:cs="Arial" w:eastAsia="Arial" w:hAnsi="Arial"/>
          <w:sz w:val="21"/>
          <w:szCs w:val="21"/>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4" w:lineRule="exact"/>
        <w:rPr>
          <w:rFonts w:ascii="Arial" w:cs="Arial" w:eastAsia="Arial" w:hAnsi="Arial"/>
          <w:sz w:val="21"/>
          <w:szCs w:val="21"/>
          <w:color w:val="auto"/>
        </w:rPr>
      </w:pPr>
    </w:p>
    <w:p>
      <w:pPr>
        <w:jc w:val="both"/>
        <w:ind w:firstLine="1763"/>
        <w:spacing w:after="0" w:line="272" w:lineRule="auto"/>
        <w:tabs>
          <w:tab w:leader="none" w:pos="2619" w:val="left"/>
        </w:tabs>
        <w:numPr>
          <w:ilvl w:val="1"/>
          <w:numId w:val="176"/>
        </w:numPr>
        <w:rPr>
          <w:rFonts w:ascii="Arial" w:cs="Arial" w:eastAsia="Arial" w:hAnsi="Arial"/>
          <w:sz w:val="19"/>
          <w:szCs w:val="19"/>
          <w:color w:val="auto"/>
        </w:rPr>
      </w:pPr>
      <w:r>
        <w:rPr>
          <w:rFonts w:ascii="Arial" w:cs="Arial" w:eastAsia="Arial" w:hAnsi="Arial"/>
          <w:sz w:val="19"/>
          <w:szCs w:val="19"/>
          <w:u w:val="single" w:color="auto"/>
          <w:color w:val="auto"/>
        </w:rPr>
        <w:t>Tax Documentation</w:t>
      </w:r>
      <w:r>
        <w:rPr>
          <w:rFonts w:ascii="Arial" w:cs="Arial" w:eastAsia="Arial" w:hAnsi="Arial"/>
          <w:sz w:val="19"/>
          <w:szCs w:val="19"/>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2.16(f)(ii)</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1" w:lineRule="exact"/>
        <w:rPr>
          <w:rFonts w:ascii="Arial" w:cs="Arial" w:eastAsia="Arial" w:hAnsi="Arial"/>
          <w:sz w:val="19"/>
          <w:szCs w:val="19"/>
          <w:color w:val="auto"/>
        </w:rPr>
      </w:pPr>
    </w:p>
    <w:p>
      <w:pPr>
        <w:ind w:left="2600" w:hanging="904"/>
        <w:spacing w:after="0"/>
        <w:tabs>
          <w:tab w:leader="none" w:pos="260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06" w:lineRule="exact"/>
        <w:rPr>
          <w:rFonts w:ascii="Arial" w:cs="Arial" w:eastAsia="Arial" w:hAnsi="Arial"/>
          <w:sz w:val="22"/>
          <w:szCs w:val="22"/>
          <w:color w:val="auto"/>
        </w:rPr>
      </w:pPr>
    </w:p>
    <w:p>
      <w:pPr>
        <w:jc w:val="both"/>
        <w:ind w:left="1760" w:firstLine="746"/>
        <w:spacing w:after="0" w:line="235" w:lineRule="auto"/>
        <w:tabs>
          <w:tab w:leader="none" w:pos="3451" w:val="left"/>
        </w:tabs>
        <w:numPr>
          <w:ilvl w:val="2"/>
          <w:numId w:val="177"/>
        </w:numPr>
        <w:rPr>
          <w:rFonts w:ascii="Arial" w:cs="Arial" w:eastAsia="Arial" w:hAnsi="Arial"/>
          <w:sz w:val="22"/>
          <w:szCs w:val="22"/>
          <w:color w:val="auto"/>
        </w:rPr>
      </w:pPr>
      <w:r>
        <w:rPr>
          <w:rFonts w:ascii="Arial" w:cs="Arial" w:eastAsia="Arial" w:hAnsi="Arial"/>
          <w:sz w:val="22"/>
          <w:szCs w:val="22"/>
          <w:color w:val="auto"/>
        </w:rPr>
        <w:t>any Lender that is a U.S. Person shall deliver to the Borrower and the Administrative Agent (and such additional copies as shall be reasonably requested by the recipient) on or prior to the date on which such Lender become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88" w:lineRule="exact"/>
        <w:rPr>
          <w:rFonts w:ascii="Arial" w:cs="Arial" w:eastAsia="Arial" w:hAnsi="Arial"/>
          <w:sz w:val="22"/>
          <w:szCs w:val="22"/>
          <w:color w:val="auto"/>
        </w:rPr>
      </w:pPr>
    </w:p>
    <w:p>
      <w:pPr>
        <w:jc w:val="both"/>
        <w:ind w:left="1760" w:firstLine="746"/>
        <w:spacing w:after="0" w:line="236" w:lineRule="auto"/>
        <w:tabs>
          <w:tab w:leader="none" w:pos="3439" w:val="left"/>
        </w:tabs>
        <w:numPr>
          <w:ilvl w:val="2"/>
          <w:numId w:val="177"/>
        </w:numPr>
        <w:rPr>
          <w:rFonts w:ascii="Arial" w:cs="Arial" w:eastAsia="Arial" w:hAnsi="Arial"/>
          <w:sz w:val="22"/>
          <w:szCs w:val="22"/>
          <w:color w:val="auto"/>
        </w:rPr>
      </w:pPr>
      <w:r>
        <w:rPr>
          <w:rFonts w:ascii="Arial" w:cs="Arial" w:eastAsia="Arial" w:hAnsi="Arial"/>
          <w:sz w:val="22"/>
          <w:szCs w:val="22"/>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187" w:lineRule="exact"/>
        <w:rPr>
          <w:rFonts w:ascii="Arial" w:cs="Arial" w:eastAsia="Arial" w:hAnsi="Arial"/>
          <w:sz w:val="22"/>
          <w:szCs w:val="22"/>
          <w:color w:val="auto"/>
        </w:rPr>
      </w:pPr>
    </w:p>
    <w:p>
      <w:pPr>
        <w:jc w:val="both"/>
        <w:ind w:left="2640" w:firstLine="677"/>
        <w:spacing w:after="0"/>
        <w:tabs>
          <w:tab w:leader="none" w:pos="4263" w:val="left"/>
        </w:tabs>
        <w:numPr>
          <w:ilvl w:val="3"/>
          <w:numId w:val="177"/>
        </w:numPr>
        <w:rPr>
          <w:rFonts w:ascii="Arial" w:cs="Arial" w:eastAsia="Arial" w:hAnsi="Arial"/>
          <w:sz w:val="22"/>
          <w:szCs w:val="22"/>
          <w:color w:val="auto"/>
        </w:rPr>
      </w:pPr>
      <w:r>
        <w:rPr>
          <w:rFonts w:ascii="Arial" w:cs="Arial" w:eastAsia="Arial" w:hAnsi="Arial"/>
          <w:sz w:val="22"/>
          <w:szCs w:val="22"/>
          <w:color w:val="auto"/>
        </w:rPr>
        <w:t>duly completed and executed copies of Internal Revenue Service Form W-8BEN or W-8BEN-E or any successor form claiming eligibility for benefits of an income tax treaty to which the United States is a party,</w:t>
      </w:r>
    </w:p>
    <w:p>
      <w:pPr>
        <w:spacing w:after="0" w:line="186" w:lineRule="exact"/>
        <w:rPr>
          <w:rFonts w:ascii="Arial" w:cs="Arial" w:eastAsia="Arial" w:hAnsi="Arial"/>
          <w:sz w:val="22"/>
          <w:szCs w:val="22"/>
          <w:color w:val="auto"/>
        </w:rPr>
      </w:pPr>
    </w:p>
    <w:p>
      <w:pPr>
        <w:ind w:left="2640" w:firstLine="677"/>
        <w:spacing w:after="0" w:line="251" w:lineRule="auto"/>
        <w:tabs>
          <w:tab w:leader="none" w:pos="4215" w:val="left"/>
        </w:tabs>
        <w:numPr>
          <w:ilvl w:val="3"/>
          <w:numId w:val="177"/>
        </w:numPr>
        <w:rPr>
          <w:rFonts w:ascii="Arial" w:cs="Arial" w:eastAsia="Arial" w:hAnsi="Arial"/>
          <w:sz w:val="22"/>
          <w:szCs w:val="22"/>
          <w:color w:val="auto"/>
        </w:rPr>
      </w:pPr>
      <w:r>
        <w:rPr>
          <w:rFonts w:ascii="Arial" w:cs="Arial" w:eastAsia="Arial" w:hAnsi="Arial"/>
          <w:sz w:val="22"/>
          <w:szCs w:val="22"/>
          <w:color w:val="auto"/>
        </w:rPr>
        <w:t>duly completed copies of Internal Revenue Service Form W-8ECI or any successor form certifying that the income receivable pursuant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3" w:name="page234"/>
    <w:bookmarkEnd w:id="233"/>
    <w:p>
      <w:pPr>
        <w:ind w:left="2640"/>
        <w:spacing w:after="0" w:line="251" w:lineRule="auto"/>
        <w:rPr>
          <w:sz w:val="20"/>
          <w:szCs w:val="20"/>
          <w:color w:val="auto"/>
        </w:rPr>
      </w:pPr>
      <w:r>
        <w:rPr>
          <w:rFonts w:ascii="Arial" w:cs="Arial" w:eastAsia="Arial" w:hAnsi="Arial"/>
          <w:sz w:val="22"/>
          <w:szCs w:val="22"/>
          <w:color w:val="auto"/>
        </w:rPr>
        <w:t>to this Agreement is effectively connected with the conduct of a trade or business in the United States,</w:t>
      </w:r>
    </w:p>
    <w:p>
      <w:pPr>
        <w:spacing w:after="0" w:line="173" w:lineRule="exact"/>
        <w:rPr>
          <w:sz w:val="20"/>
          <w:szCs w:val="20"/>
          <w:color w:val="auto"/>
        </w:rPr>
      </w:pPr>
    </w:p>
    <w:p>
      <w:pPr>
        <w:jc w:val="both"/>
        <w:ind w:left="2640" w:firstLine="677"/>
        <w:spacing w:after="0" w:line="247" w:lineRule="auto"/>
        <w:tabs>
          <w:tab w:leader="none" w:pos="4215" w:val="left"/>
        </w:tabs>
        <w:numPr>
          <w:ilvl w:val="1"/>
          <w:numId w:val="178"/>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W-8BEN-E (or any successor form) certifying that the Foreign Lender is not a U.S. Person, or</w:t>
      </w:r>
    </w:p>
    <w:p>
      <w:pPr>
        <w:spacing w:after="0" w:line="178" w:lineRule="exact"/>
        <w:rPr>
          <w:rFonts w:ascii="Arial" w:cs="Arial" w:eastAsia="Arial" w:hAnsi="Arial"/>
          <w:sz w:val="21"/>
          <w:szCs w:val="21"/>
          <w:color w:val="auto"/>
        </w:rPr>
      </w:pPr>
    </w:p>
    <w:p>
      <w:pPr>
        <w:jc w:val="both"/>
        <w:ind w:left="2640" w:firstLine="677"/>
        <w:spacing w:after="0" w:line="236" w:lineRule="auto"/>
        <w:tabs>
          <w:tab w:leader="none" w:pos="4203" w:val="left"/>
        </w:tabs>
        <w:numPr>
          <w:ilvl w:val="1"/>
          <w:numId w:val="178"/>
        </w:numPr>
        <w:rPr>
          <w:rFonts w:ascii="Arial" w:cs="Arial" w:eastAsia="Arial" w:hAnsi="Arial"/>
          <w:sz w:val="22"/>
          <w:szCs w:val="22"/>
          <w:color w:val="auto"/>
        </w:rPr>
      </w:pPr>
      <w:r>
        <w:rPr>
          <w:rFonts w:ascii="Arial" w:cs="Arial" w:eastAsia="Arial" w:hAnsi="Arial"/>
          <w:sz w:val="22"/>
          <w:szCs w:val="22"/>
          <w:color w:val="auto"/>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187" w:lineRule="exact"/>
        <w:rPr>
          <w:rFonts w:ascii="Arial" w:cs="Arial" w:eastAsia="Arial" w:hAnsi="Arial"/>
          <w:sz w:val="22"/>
          <w:szCs w:val="22"/>
          <w:color w:val="auto"/>
        </w:rPr>
      </w:pPr>
    </w:p>
    <w:p>
      <w:pPr>
        <w:jc w:val="both"/>
        <w:ind w:left="880" w:firstLine="816"/>
        <w:spacing w:after="0" w:line="282" w:lineRule="auto"/>
        <w:tabs>
          <w:tab w:leader="none" w:pos="2662"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In addition, each Lender shall deliver such forms promptly upon the obsolescence, expiration or invalidity of any form previously delivered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48" w:lineRule="exact"/>
        <w:rPr>
          <w:sz w:val="20"/>
          <w:szCs w:val="20"/>
          <w:color w:val="auto"/>
        </w:rPr>
      </w:pPr>
    </w:p>
    <w:p>
      <w:pPr>
        <w:jc w:val="both"/>
        <w:ind w:firstLine="1763"/>
        <w:spacing w:after="0" w:line="274" w:lineRule="auto"/>
        <w:tabs>
          <w:tab w:leader="none" w:pos="2655"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Documentation Required by FATCA</w:t>
      </w:r>
      <w:r>
        <w:rPr>
          <w:rFonts w:ascii="Arial" w:cs="Arial" w:eastAsia="Arial" w:hAnsi="Arial"/>
          <w:sz w:val="19"/>
          <w:szCs w:val="19"/>
          <w:color w:val="auto"/>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Arial" w:cs="Arial" w:eastAsia="Arial" w:hAnsi="Arial"/>
          <w:sz w:val="19"/>
          <w:szCs w:val="19"/>
          <w:u w:val="single" w:color="auto"/>
          <w:color w:val="auto"/>
        </w:rPr>
        <w:t>Section 2.16(g)</w:t>
      </w:r>
      <w:r>
        <w:rPr>
          <w:rFonts w:ascii="Arial" w:cs="Arial" w:eastAsia="Arial" w:hAnsi="Arial"/>
          <w:sz w:val="19"/>
          <w:szCs w:val="19"/>
          <w:color w:val="auto"/>
        </w:rPr>
        <w:t>, “FATCA” shall include any amendments made to FATCA after the date of this Agreement.</w:t>
      </w:r>
    </w:p>
    <w:p>
      <w:pPr>
        <w:spacing w:after="0" w:line="158" w:lineRule="exact"/>
        <w:rPr>
          <w:rFonts w:ascii="Arial" w:cs="Arial" w:eastAsia="Arial" w:hAnsi="Arial"/>
          <w:sz w:val="19"/>
          <w:szCs w:val="19"/>
          <w:color w:val="auto"/>
        </w:rPr>
      </w:pPr>
    </w:p>
    <w:p>
      <w:pPr>
        <w:jc w:val="both"/>
        <w:ind w:firstLine="1763"/>
        <w:spacing w:after="0" w:line="249" w:lineRule="auto"/>
        <w:tabs>
          <w:tab w:leader="none" w:pos="2655" w:val="left"/>
        </w:tabs>
        <w:numPr>
          <w:ilvl w:val="0"/>
          <w:numId w:val="180"/>
        </w:numPr>
        <w:rPr>
          <w:rFonts w:ascii="Arial" w:cs="Arial" w:eastAsia="Arial" w:hAnsi="Arial"/>
          <w:sz w:val="21"/>
          <w:szCs w:val="21"/>
          <w:color w:val="auto"/>
        </w:rPr>
      </w:pPr>
      <w:r>
        <w:rPr>
          <w:rFonts w:ascii="Arial" w:cs="Arial" w:eastAsia="Arial" w:hAnsi="Arial"/>
          <w:sz w:val="21"/>
          <w:szCs w:val="21"/>
          <w:u w:val="single" w:color="auto"/>
          <w:color w:val="auto"/>
        </w:rPr>
        <w:t>Treatment of Certain Refunds</w:t>
      </w:r>
      <w:r>
        <w:rPr>
          <w:rFonts w:ascii="Arial" w:cs="Arial" w:eastAsia="Arial" w:hAnsi="Arial"/>
          <w:sz w:val="21"/>
          <w:szCs w:val="21"/>
          <w:color w:val="auto"/>
        </w:rPr>
        <w:t>.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4" w:name="page235"/>
    <w:bookmarkEnd w:id="234"/>
    <w:p>
      <w:pPr>
        <w:jc w:val="both"/>
        <w:spacing w:after="0" w:line="272" w:lineRule="auto"/>
        <w:rPr>
          <w:sz w:val="20"/>
          <w:szCs w:val="20"/>
          <w:color w:val="auto"/>
        </w:rPr>
      </w:pPr>
      <w:r>
        <w:rPr>
          <w:rFonts w:ascii="Arial" w:cs="Arial" w:eastAsia="Arial" w:hAnsi="Arial"/>
          <w:sz w:val="19"/>
          <w:szCs w:val="19"/>
          <w:color w:val="auto"/>
        </w:rPr>
        <w:t xml:space="preserve">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in no event will the Administrative Agent, any Lender or an Issuing Bank be required to pay any amount to Borrower pursuant to this </w:t>
      </w:r>
      <w:r>
        <w:rPr>
          <w:rFonts w:ascii="Arial" w:cs="Arial" w:eastAsia="Arial" w:hAnsi="Arial"/>
          <w:sz w:val="19"/>
          <w:szCs w:val="19"/>
          <w:u w:val="single" w:color="auto"/>
          <w:color w:val="auto"/>
        </w:rPr>
        <w:t>clause (h)</w:t>
      </w:r>
      <w:r>
        <w:rPr>
          <w:rFonts w:ascii="Arial" w:cs="Arial" w:eastAsia="Arial" w:hAnsi="Arial"/>
          <w:sz w:val="19"/>
          <w:szCs w:val="19"/>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200" w:lineRule="exact"/>
        <w:rPr>
          <w:sz w:val="20"/>
          <w:szCs w:val="20"/>
          <w:color w:val="auto"/>
        </w:rPr>
      </w:pPr>
    </w:p>
    <w:p>
      <w:pPr>
        <w:spacing w:after="0" w:line="209"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u w:val="single" w:color="auto"/>
          <w:color w:val="auto"/>
        </w:rPr>
        <w:t>Payments Generally; Pro Rata Treatment: Sharing of Set-offs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72" w:lineRule="auto"/>
        <w:tabs>
          <w:tab w:leader="none" w:pos="2643"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Payments by the Borrower</w:t>
      </w:r>
      <w:r>
        <w:rPr>
          <w:rFonts w:ascii="Arial" w:cs="Arial" w:eastAsia="Arial" w:hAnsi="Arial"/>
          <w:sz w:val="19"/>
          <w:szCs w:val="19"/>
          <w:color w:val="auto"/>
        </w:rPr>
        <w:t xml:space="preserve">. The Borrower shall make each payment required to be made by it hereunder (whether of principal, interest, fees or reimbursement of LC Disbursements, or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or otherwise) or under any other Loan Document (except to the extent otherwise provided therein) prior to 12:00 noon,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62"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 xml:space="preserve">All amounts owing under this Agreement (including commitment fees, payments required under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and payments required under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21"/>
          <w:szCs w:val="21"/>
          <w:u w:val="single" w:color="auto"/>
          <w:color w:val="auto"/>
        </w:rPr>
        <w:t>Section 2.15</w:t>
      </w:r>
      <w:r>
        <w:rPr>
          <w:rFonts w:ascii="Arial" w:cs="Arial" w:eastAsia="Arial" w:hAnsi="Arial"/>
          <w:sz w:val="21"/>
          <w:szCs w:val="21"/>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5" w:name="page236"/>
    <w:bookmarkEnd w:id="235"/>
    <w:p>
      <w:pPr>
        <w:jc w:val="both"/>
        <w:spacing w:after="0" w:line="287" w:lineRule="auto"/>
        <w:rPr>
          <w:sz w:val="20"/>
          <w:szCs w:val="20"/>
          <w:color w:val="auto"/>
        </w:rPr>
      </w:pPr>
      <w:r>
        <w:rPr>
          <w:rFonts w:ascii="Arial" w:cs="Arial" w:eastAsia="Arial" w:hAnsi="Arial"/>
          <w:sz w:val="19"/>
          <w:szCs w:val="19"/>
          <w:color w:val="auto"/>
        </w:rPr>
        <w:t>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43"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Arial" w:cs="Arial" w:eastAsia="Arial" w:hAnsi="Arial"/>
          <w:sz w:val="19"/>
          <w:szCs w:val="19"/>
          <w:u w:val="single" w:color="auto"/>
          <w:color w:val="auto"/>
        </w:rPr>
        <w:t>Original Currency</w:t>
      </w:r>
      <w:r>
        <w:rPr>
          <w:rFonts w:ascii="Arial" w:cs="Arial" w:eastAsia="Arial" w:hAnsi="Arial"/>
          <w:sz w:val="19"/>
          <w:szCs w:val="19"/>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53" w:lineRule="exact"/>
        <w:rPr>
          <w:sz w:val="20"/>
          <w:szCs w:val="20"/>
          <w:color w:val="auto"/>
        </w:rPr>
      </w:pPr>
    </w:p>
    <w:p>
      <w:pPr>
        <w:jc w:val="both"/>
        <w:ind w:firstLine="1763"/>
        <w:spacing w:after="0" w:line="247" w:lineRule="auto"/>
        <w:tabs>
          <w:tab w:leader="none" w:pos="2655" w:val="left"/>
        </w:tabs>
        <w:numPr>
          <w:ilvl w:val="0"/>
          <w:numId w:val="182"/>
        </w:numPr>
        <w:rPr>
          <w:rFonts w:ascii="Arial" w:cs="Arial" w:eastAsia="Arial" w:hAnsi="Arial"/>
          <w:sz w:val="21"/>
          <w:szCs w:val="21"/>
          <w:color w:val="auto"/>
        </w:rPr>
      </w:pPr>
      <w:r>
        <w:rPr>
          <w:rFonts w:ascii="Arial" w:cs="Arial" w:eastAsia="Arial" w:hAnsi="Arial"/>
          <w:sz w:val="21"/>
          <w:szCs w:val="21"/>
          <w:u w:val="single" w:color="auto"/>
          <w:color w:val="auto"/>
        </w:rPr>
        <w:t>Application of Insufficient Payments</w:t>
      </w:r>
      <w:r>
        <w:rPr>
          <w:rFonts w:ascii="Arial" w:cs="Arial" w:eastAsia="Arial" w:hAnsi="Arial"/>
          <w:sz w:val="21"/>
          <w:szCs w:val="21"/>
          <w:color w:val="auto"/>
        </w:rPr>
        <w:t>. If at any time insufficient funds are received by and available to the Administrative Agent to pay fully all amounts of principal, unreimbursed LC Disbursements, interest and fees of a Class of Commitments or Final Maturity Date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78" w:lineRule="exact"/>
        <w:rPr>
          <w:rFonts w:ascii="Arial" w:cs="Arial" w:eastAsia="Arial" w:hAnsi="Arial"/>
          <w:sz w:val="21"/>
          <w:szCs w:val="21"/>
          <w:color w:val="auto"/>
        </w:rPr>
      </w:pPr>
    </w:p>
    <w:p>
      <w:pPr>
        <w:jc w:val="both"/>
        <w:ind w:firstLine="1763"/>
        <w:spacing w:after="0" w:line="270" w:lineRule="auto"/>
        <w:tabs>
          <w:tab w:leader="none" w:pos="2643"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Pro Rata Treatment</w:t>
      </w:r>
      <w:r>
        <w:rPr>
          <w:rFonts w:ascii="Arial" w:cs="Arial" w:eastAsia="Arial" w:hAnsi="Arial"/>
          <w:sz w:val="19"/>
          <w:szCs w:val="19"/>
          <w:color w:val="auto"/>
        </w:rPr>
        <w:t xml:space="preserve">. Except to the extent otherwise provided herein: (i) other than with respect any Syndicated Borrowing requested pursuant to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each Syndicated Borrowing of a Class shall be made from the Lenders of such Class of Commitments and each Syndicated Borrowing of a Class requested pursuant to Section 2.20 shall be made from each Extending Lender, each payment of commitment fee under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shall be made for account of the Lenders of the applicable Class, and each termination or reduction of the amount of the Commitments of a Class of Commitments or Final Maturity Date under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shall be applied to the respective Commitments of the Lenders of such Class of Commitments or Final Maturity Date, pro rata according to the amounts of their respective Commitments of such Class of Commitments or Final Maturity Date; (ii) each Syndicated Borrowing of a Class of Commitments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of Commitments or Final Maturity Date by the Borrower shall be made for account of the Lenders of such Class of Commitments or Final Maturity Date pro rata in accordance with the respective unpaid principal amounts of the Syndicated Loans of such Class of Commitments or Final Maturity Date held by them; and (iv) each payment of interest on Syndicated Loans of a Class of Commitments or Final Maturity Date by the Borrower shall be made for account of the Lenders of such Class of Commitments or Final Maturity Date pro rata in accordance with the amounts of interest on such Loans of such Class of Commitments or Final Maturity Date then due and payable to the respective Lenders.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6" w:name="page237"/>
    <w:bookmarkEnd w:id="236"/>
    <w:p>
      <w:pPr>
        <w:jc w:val="both"/>
        <w:ind w:firstLine="1763"/>
        <w:spacing w:after="0" w:line="270" w:lineRule="auto"/>
        <w:tabs>
          <w:tab w:leader="none" w:pos="2655"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Sharing of Payments by Lenders</w:t>
      </w:r>
      <w:r>
        <w:rPr>
          <w:rFonts w:ascii="Arial" w:cs="Arial" w:eastAsia="Arial" w:hAnsi="Arial"/>
          <w:sz w:val="19"/>
          <w:szCs w:val="19"/>
          <w:color w:val="auto"/>
        </w:rPr>
        <w:t xml:space="preserve">. If any Lender of any Class of Commitment or Final Maturity Date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763"/>
        <w:spacing w:after="0" w:line="275" w:lineRule="auto"/>
        <w:tabs>
          <w:tab w:leader="none" w:pos="2643"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Presumptions of Payment</w:t>
      </w:r>
      <w:r>
        <w:rPr>
          <w:rFonts w:ascii="Arial" w:cs="Arial" w:eastAsia="Arial" w:hAnsi="Arial"/>
          <w:sz w:val="19"/>
          <w:szCs w:val="19"/>
          <w:color w:val="auto"/>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spacing w:after="0" w:line="158" w:lineRule="exact"/>
        <w:rPr>
          <w:rFonts w:ascii="Arial" w:cs="Arial" w:eastAsia="Arial" w:hAnsi="Arial"/>
          <w:sz w:val="19"/>
          <w:szCs w:val="19"/>
          <w:color w:val="auto"/>
        </w:rPr>
      </w:pPr>
    </w:p>
    <w:p>
      <w:pPr>
        <w:jc w:val="both"/>
        <w:ind w:firstLine="1763"/>
        <w:spacing w:after="0" w:line="287" w:lineRule="auto"/>
        <w:tabs>
          <w:tab w:leader="none" w:pos="2619"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Certain Deductions by the Administrative Agent</w:t>
      </w:r>
      <w:r>
        <w:rPr>
          <w:rFonts w:ascii="Arial" w:cs="Arial" w:eastAsia="Arial" w:hAnsi="Arial"/>
          <w:sz w:val="19"/>
          <w:szCs w:val="19"/>
          <w:color w:val="auto"/>
        </w:rPr>
        <w:t xml:space="preserve">. If any Lender shall fail to make any payment required to be made by it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2.05(e)</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2.17(e)</w:t>
      </w:r>
      <w:r>
        <w:rPr>
          <w:rFonts w:ascii="Arial" w:cs="Arial" w:eastAsia="Arial" w:hAnsi="Arial"/>
          <w:sz w:val="19"/>
          <w:szCs w:val="19"/>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7" w:name="page238"/>
    <w:bookmarkEnd w:id="237"/>
    <w:p>
      <w:pPr>
        <w:ind w:left="1760"/>
        <w:spacing w:after="0"/>
        <w:rPr>
          <w:sz w:val="20"/>
          <w:szCs w:val="20"/>
          <w:color w:val="auto"/>
        </w:rPr>
      </w:pPr>
      <w:r>
        <w:rPr>
          <w:rFonts w:ascii="Arial" w:cs="Arial" w:eastAsia="Arial" w:hAnsi="Arial"/>
          <w:sz w:val="22"/>
          <w:szCs w:val="22"/>
          <w:color w:val="auto"/>
        </w:rPr>
        <w:t xml:space="preserve">SECTION 2.18. </w:t>
      </w:r>
      <w:r>
        <w:rPr>
          <w:rFonts w:ascii="Arial" w:cs="Arial" w:eastAsia="Arial" w:hAnsi="Arial"/>
          <w:sz w:val="22"/>
          <w:szCs w:val="22"/>
          <w:u w:val="single" w:color="auto"/>
          <w:color w:val="auto"/>
        </w:rPr>
        <w:t>Mitigation Obligations; Replacement of Lenders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75" w:lineRule="auto"/>
        <w:tabs>
          <w:tab w:leader="none" w:pos="2643"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if the Borrower is required to pay any additional amount to any Lender or any Governmental Authority for the account of any Lender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58" w:lineRule="exact"/>
        <w:rPr>
          <w:rFonts w:ascii="Arial" w:cs="Arial" w:eastAsia="Arial" w:hAnsi="Arial"/>
          <w:sz w:val="19"/>
          <w:szCs w:val="19"/>
          <w:color w:val="auto"/>
        </w:rPr>
      </w:pPr>
    </w:p>
    <w:p>
      <w:pPr>
        <w:jc w:val="both"/>
        <w:ind w:firstLine="1763"/>
        <w:spacing w:after="0" w:line="271" w:lineRule="auto"/>
        <w:tabs>
          <w:tab w:leader="none" w:pos="2655"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if the Borrower is required to pay any additional amount to any Lender or any Governmental Authority for account of any Lender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or if any Lender becomes a Defaulting Lender or is a Non-Consenting Lender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9.02(d)</w:t>
      </w:r>
      <w:r>
        <w:rPr>
          <w:rFonts w:ascii="Arial" w:cs="Arial" w:eastAsia="Arial" w:hAnsi="Arial"/>
          <w:sz w:val="19"/>
          <w:szCs w:val="19"/>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have received the prior written consent of the Administrative Agent (and, if a Commitment is being assigned, each Issuing Bank and each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200" w:lineRule="exact"/>
        <w:rPr>
          <w:sz w:val="20"/>
          <w:szCs w:val="20"/>
          <w:color w:val="auto"/>
        </w:rPr>
      </w:pPr>
    </w:p>
    <w:p>
      <w:pPr>
        <w:spacing w:after="0" w:line="20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2.19. </w:t>
      </w:r>
      <w:r>
        <w:rPr>
          <w:rFonts w:ascii="Arial" w:cs="Arial" w:eastAsia="Arial" w:hAnsi="Arial"/>
          <w:sz w:val="22"/>
          <w:szCs w:val="22"/>
          <w:u w:val="single" w:color="auto"/>
          <w:color w:val="auto"/>
        </w:rPr>
        <w:t>Defaulting Lenders</w:t>
      </w:r>
      <w:r>
        <w:rPr>
          <w:rFonts w:ascii="Arial" w:cs="Arial" w:eastAsia="Arial" w:hAnsi="Arial"/>
          <w:sz w:val="22"/>
          <w:szCs w:val="22"/>
          <w:color w:val="auto"/>
        </w:rPr>
        <w:t>.</w:t>
      </w:r>
    </w:p>
    <w:p>
      <w:pPr>
        <w:spacing w:after="0" w:line="206" w:lineRule="exact"/>
        <w:rPr>
          <w:sz w:val="20"/>
          <w:szCs w:val="20"/>
          <w:color w:val="auto"/>
        </w:rPr>
      </w:pPr>
    </w:p>
    <w:p>
      <w:pPr>
        <w:jc w:val="both"/>
        <w:ind w:right="20" w:firstLine="1763"/>
        <w:spacing w:after="0"/>
        <w:tabs>
          <w:tab w:leader="none" w:pos="2643" w:val="left"/>
        </w:tabs>
        <w:numPr>
          <w:ilvl w:val="1"/>
          <w:numId w:val="185"/>
        </w:numPr>
        <w:rPr>
          <w:rFonts w:ascii="Arial" w:cs="Arial" w:eastAsia="Arial" w:hAnsi="Arial"/>
          <w:sz w:val="22"/>
          <w:szCs w:val="22"/>
          <w:color w:val="auto"/>
        </w:rPr>
      </w:pPr>
      <w:r>
        <w:rPr>
          <w:rFonts w:ascii="Arial" w:cs="Arial" w:eastAsia="Arial" w:hAnsi="Arial"/>
          <w:sz w:val="22"/>
          <w:szCs w:val="22"/>
          <w:u w:val="single" w:color="auto"/>
          <w:color w:val="auto"/>
        </w:rPr>
        <w:t>Defaulting Lender Adjustments</w:t>
      </w:r>
      <w:r>
        <w:rPr>
          <w:rFonts w:ascii="Arial" w:cs="Arial" w:eastAsia="Arial" w:hAnsi="Arial"/>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6" w:lineRule="exact"/>
        <w:rPr>
          <w:rFonts w:ascii="Arial" w:cs="Arial" w:eastAsia="Arial" w:hAnsi="Arial"/>
          <w:sz w:val="22"/>
          <w:szCs w:val="22"/>
          <w:color w:val="auto"/>
        </w:rPr>
      </w:pPr>
    </w:p>
    <w:p>
      <w:pPr>
        <w:jc w:val="both"/>
        <w:ind w:left="880" w:right="20" w:firstLine="816"/>
        <w:spacing w:after="0" w:line="252" w:lineRule="auto"/>
        <w:tabs>
          <w:tab w:leader="none" w:pos="2542" w:val="left"/>
        </w:tabs>
        <w:numPr>
          <w:ilvl w:val="0"/>
          <w:numId w:val="186"/>
        </w:numPr>
        <w:rPr>
          <w:rFonts w:ascii="Arial" w:cs="Arial" w:eastAsia="Arial" w:hAnsi="Arial"/>
          <w:sz w:val="21"/>
          <w:szCs w:val="21"/>
          <w:color w:val="auto"/>
        </w:rPr>
      </w:pPr>
      <w:r>
        <w:rPr>
          <w:rFonts w:ascii="Arial" w:cs="Arial" w:eastAsia="Arial" w:hAnsi="Arial"/>
          <w:sz w:val="21"/>
          <w:szCs w:val="21"/>
          <w:u w:val="single" w:color="auto"/>
          <w:color w:val="auto"/>
        </w:rPr>
        <w:t>Defaulting Lender Waterfall</w:t>
      </w:r>
      <w:r>
        <w:rPr>
          <w:rFonts w:ascii="Arial" w:cs="Arial" w:eastAsia="Arial" w:hAnsi="Arial"/>
          <w:sz w:val="21"/>
          <w:szCs w:val="21"/>
          <w:color w:val="auto"/>
        </w:rPr>
        <w:t xml:space="preserve">. Any payment of principal, interest, fees or other amounts received by Administrative Agent for the account of such Defaulting Lender (whether voluntary or mandatory, at maturity, pursuant to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or otherwise) or received by Administrative Agent from a Defaulting Lender pursuant to </w:t>
      </w:r>
      <w:r>
        <w:rPr>
          <w:rFonts w:ascii="Arial" w:cs="Arial" w:eastAsia="Arial" w:hAnsi="Arial"/>
          <w:sz w:val="21"/>
          <w:szCs w:val="21"/>
          <w:u w:val="single" w:color="auto"/>
          <w:color w:val="auto"/>
        </w:rPr>
        <w:t>Section 9.08</w:t>
      </w:r>
      <w:r>
        <w:rPr>
          <w:rFonts w:ascii="Arial" w:cs="Arial" w:eastAsia="Arial" w:hAnsi="Arial"/>
          <w:sz w:val="21"/>
          <w:szCs w:val="21"/>
          <w:color w:val="auto"/>
        </w:rPr>
        <w:t xml:space="preserve"> shall be applied at such time or times as may be determined by Administrative Agent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38" w:name="page239"/>
    <w:bookmarkEnd w:id="238"/>
    <w:p>
      <w:pPr>
        <w:jc w:val="both"/>
        <w:spacing w:after="0" w:line="269" w:lineRule="auto"/>
        <w:rPr>
          <w:sz w:val="20"/>
          <w:szCs w:val="20"/>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to the payment of any amounts owing by such Defaulting Lender to Administrative Agent hereunder;</w:t>
      </w:r>
      <w:r>
        <w:rPr>
          <w:rFonts w:ascii="Arial" w:cs="Arial" w:eastAsia="Arial" w:hAnsi="Arial"/>
          <w:sz w:val="19"/>
          <w:szCs w:val="19"/>
          <w:i w:val="1"/>
          <w:iCs w:val="1"/>
          <w:color w:val="auto"/>
        </w:rPr>
        <w:t xml:space="preserve"> second</w:t>
      </w:r>
      <w:r>
        <w:rPr>
          <w:rFonts w:ascii="Arial" w:cs="Arial" w:eastAsia="Arial" w:hAnsi="Arial"/>
          <w:sz w:val="19"/>
          <w:szCs w:val="19"/>
          <w:color w:val="auto"/>
        </w:rPr>
        <w: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payment on a pro rata basis of any amounts owing by such Defaulting Lender to any Issuing Bank or any Swingline Lender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each Issuing Bank’s Fronting Exposure with respect to such Defaulting Lender in the manner described in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Arial" w:cs="Arial" w:eastAsia="Arial" w:hAnsi="Arial"/>
          <w:sz w:val="19"/>
          <w:szCs w:val="19"/>
          <w:u w:val="single" w:color="auto"/>
          <w:color w:val="auto"/>
        </w:rPr>
        <w:t>Section 2.19(a)(iii)</w:t>
      </w:r>
      <w:r>
        <w:rPr>
          <w:rFonts w:ascii="Arial" w:cs="Arial" w:eastAsia="Arial" w:hAnsi="Arial"/>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2.19(a)(i)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13" w:lineRule="exact"/>
        <w:rPr>
          <w:sz w:val="20"/>
          <w:szCs w:val="20"/>
          <w:color w:val="auto"/>
        </w:rPr>
      </w:pPr>
    </w:p>
    <w:p>
      <w:pPr>
        <w:ind w:left="1720" w:hanging="904"/>
        <w:spacing w:after="0"/>
        <w:tabs>
          <w:tab w:leader="none" w:pos="1720"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80" w:hanging="954"/>
        <w:spacing w:after="0"/>
        <w:tabs>
          <w:tab w:leader="none" w:pos="2580" w:val="left"/>
        </w:tabs>
        <w:numPr>
          <w:ilvl w:val="2"/>
          <w:numId w:val="187"/>
        </w:numPr>
        <w:rPr>
          <w:rFonts w:ascii="Arial" w:cs="Arial" w:eastAsia="Arial" w:hAnsi="Arial"/>
          <w:sz w:val="19"/>
          <w:szCs w:val="19"/>
          <w:color w:val="auto"/>
        </w:rPr>
      </w:pPr>
      <w:r>
        <w:rPr>
          <w:rFonts w:ascii="Arial" w:cs="Arial" w:eastAsia="Arial" w:hAnsi="Arial"/>
          <w:sz w:val="19"/>
          <w:szCs w:val="19"/>
          <w:color w:val="auto"/>
        </w:rPr>
        <w:t xml:space="preserve">No Defaulting Lender shall be entitled to receive any fee pursuant to </w:t>
      </w:r>
      <w:r>
        <w:rPr>
          <w:rFonts w:ascii="Arial" w:cs="Arial" w:eastAsia="Arial" w:hAnsi="Arial"/>
          <w:sz w:val="19"/>
          <w:szCs w:val="19"/>
          <w:u w:val="single" w:color="auto"/>
          <w:color w:val="auto"/>
        </w:rPr>
        <w:t>Sections 2.11(a)</w:t>
      </w:r>
      <w:r>
        <w:rPr>
          <w:rFonts w:ascii="Arial" w:cs="Arial" w:eastAsia="Arial" w:hAnsi="Arial"/>
          <w:sz w:val="19"/>
          <w:szCs w:val="19"/>
          <w:color w:val="auto"/>
        </w:rPr>
        <w:t xml:space="preserve"> and</w:t>
      </w:r>
    </w:p>
    <w:p>
      <w:pPr>
        <w:spacing w:after="0" w:line="42" w:lineRule="exact"/>
        <w:rPr>
          <w:rFonts w:ascii="Arial" w:cs="Arial" w:eastAsia="Arial" w:hAnsi="Arial"/>
          <w:sz w:val="19"/>
          <w:szCs w:val="19"/>
          <w:color w:val="auto"/>
        </w:rPr>
      </w:pPr>
    </w:p>
    <w:p>
      <w:pPr>
        <w:jc w:val="both"/>
        <w:ind w:left="880" w:firstLine="3"/>
        <w:spacing w:after="0" w:line="277" w:lineRule="auto"/>
        <w:tabs>
          <w:tab w:leader="none" w:pos="1194" w:val="left"/>
        </w:tabs>
        <w:numPr>
          <w:ilvl w:val="1"/>
          <w:numId w:val="187"/>
        </w:numPr>
        <w:rPr>
          <w:rFonts w:ascii="Arial" w:cs="Arial" w:eastAsia="Arial" w:hAnsi="Arial"/>
          <w:sz w:val="19"/>
          <w:szCs w:val="19"/>
          <w:u w:val="single" w:color="auto"/>
          <w:color w:val="auto"/>
        </w:rPr>
      </w:pPr>
      <w:r>
        <w:rPr>
          <w:rFonts w:ascii="Arial" w:cs="Arial" w:eastAsia="Arial" w:hAnsi="Arial"/>
          <w:sz w:val="19"/>
          <w:szCs w:val="19"/>
          <w:color w:val="auto"/>
        </w:rPr>
        <w:t xml:space="preserve">for any period during which that Lender is a Defaulting Lender (and Borrower shall not be required to pay any such fee that otherwise would have been required to have been paid to that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Defaulting Lender shall be entitled to receive fees pursuant to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Arial" w:cs="Arial" w:eastAsia="Arial" w:hAnsi="Arial"/>
          <w:sz w:val="19"/>
          <w:szCs w:val="19"/>
          <w:u w:val="single" w:color="auto"/>
          <w:color w:val="auto"/>
        </w:rPr>
        <w:t>Section 2.19(d)</w:t>
      </w:r>
      <w:r>
        <w:rPr>
          <w:rFonts w:ascii="Arial" w:cs="Arial" w:eastAsia="Arial" w:hAnsi="Arial"/>
          <w:sz w:val="19"/>
          <w:szCs w:val="19"/>
          <w:color w:val="auto"/>
        </w:rPr>
        <w:t>.</w:t>
      </w:r>
    </w:p>
    <w:p>
      <w:pPr>
        <w:spacing w:after="0" w:line="153"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61" w:right="239" w:bottom="1440" w:gutter="0" w:footer="0" w:header="0"/>
        </w:sectPr>
      </w:pPr>
    </w:p>
    <w:bookmarkStart w:id="239" w:name="page240"/>
    <w:bookmarkEnd w:id="239"/>
    <w:p>
      <w:pPr>
        <w:jc w:val="both"/>
        <w:ind w:left="1760" w:firstLine="746"/>
        <w:spacing w:after="0" w:line="277" w:lineRule="auto"/>
        <w:tabs>
          <w:tab w:leader="none" w:pos="3439" w:val="left"/>
        </w:tabs>
        <w:numPr>
          <w:ilvl w:val="2"/>
          <w:numId w:val="188"/>
        </w:numPr>
        <w:rPr>
          <w:rFonts w:ascii="Arial" w:cs="Arial" w:eastAsia="Arial" w:hAnsi="Arial"/>
          <w:sz w:val="19"/>
          <w:szCs w:val="19"/>
          <w:color w:val="auto"/>
        </w:rPr>
      </w:pPr>
      <w:r>
        <w:rPr>
          <w:rFonts w:ascii="Arial" w:cs="Arial" w:eastAsia="Arial" w:hAnsi="Arial"/>
          <w:sz w:val="19"/>
          <w:szCs w:val="19"/>
          <w:color w:val="auto"/>
        </w:rPr>
        <w:t xml:space="preserve">With respect to any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fees not required to be paid to any Defaulting Lender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152" w:lineRule="exact"/>
        <w:rPr>
          <w:rFonts w:ascii="Arial" w:cs="Arial" w:eastAsia="Arial" w:hAnsi="Arial"/>
          <w:sz w:val="19"/>
          <w:szCs w:val="19"/>
          <w:color w:val="auto"/>
        </w:rPr>
      </w:pPr>
    </w:p>
    <w:p>
      <w:pPr>
        <w:jc w:val="both"/>
        <w:ind w:left="880" w:firstLine="816"/>
        <w:spacing w:after="0" w:line="244" w:lineRule="auto"/>
        <w:tabs>
          <w:tab w:leader="none" w:pos="2662" w:val="left"/>
        </w:tabs>
        <w:numPr>
          <w:ilvl w:val="1"/>
          <w:numId w:val="189"/>
        </w:numPr>
        <w:rPr>
          <w:rFonts w:ascii="Arial" w:cs="Arial" w:eastAsia="Arial" w:hAnsi="Arial"/>
          <w:sz w:val="21"/>
          <w:szCs w:val="21"/>
          <w:color w:val="auto"/>
        </w:rPr>
      </w:pPr>
      <w:r>
        <w:rPr>
          <w:rFonts w:ascii="Arial" w:cs="Arial" w:eastAsia="Arial" w:hAnsi="Arial"/>
          <w:sz w:val="21"/>
          <w:szCs w:val="21"/>
          <w:u w:val="single" w:color="auto"/>
          <w:color w:val="auto"/>
        </w:rPr>
        <w:t>Reallocation of Participations to Reduce Fronting Exposure</w:t>
      </w:r>
      <w:r>
        <w:rPr>
          <w:rFonts w:ascii="Arial" w:cs="Arial" w:eastAsia="Arial" w:hAnsi="Arial"/>
          <w:sz w:val="21"/>
          <w:szCs w:val="21"/>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Arial" w:cs="Arial" w:eastAsia="Arial" w:hAnsi="Arial"/>
          <w:sz w:val="21"/>
          <w:szCs w:val="21"/>
          <w:u w:val="single" w:color="auto"/>
          <w:color w:val="auto"/>
        </w:rPr>
        <w:t>Section 9.17</w:t>
      </w:r>
      <w:r>
        <w:rPr>
          <w:rFonts w:ascii="Arial" w:cs="Arial" w:eastAsia="Arial" w:hAnsi="Arial"/>
          <w:sz w:val="21"/>
          <w:szCs w:val="21"/>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4" w:lineRule="exact"/>
        <w:rPr>
          <w:rFonts w:ascii="Arial" w:cs="Arial" w:eastAsia="Arial" w:hAnsi="Arial"/>
          <w:sz w:val="21"/>
          <w:szCs w:val="21"/>
          <w:color w:val="auto"/>
        </w:rPr>
      </w:pPr>
    </w:p>
    <w:p>
      <w:pPr>
        <w:jc w:val="both"/>
        <w:ind w:left="880" w:firstLine="816"/>
        <w:spacing w:after="0" w:line="244" w:lineRule="auto"/>
        <w:tabs>
          <w:tab w:leader="none" w:pos="2650" w:val="left"/>
        </w:tabs>
        <w:numPr>
          <w:ilvl w:val="0"/>
          <w:numId w:val="190"/>
        </w:numPr>
        <w:rPr>
          <w:rFonts w:ascii="Arial" w:cs="Arial" w:eastAsia="Arial" w:hAnsi="Arial"/>
          <w:sz w:val="21"/>
          <w:szCs w:val="21"/>
          <w:color w:val="auto"/>
        </w:rPr>
      </w:pPr>
      <w:r>
        <w:rPr>
          <w:rFonts w:ascii="Arial" w:cs="Arial" w:eastAsia="Arial" w:hAnsi="Arial"/>
          <w:sz w:val="21"/>
          <w:szCs w:val="21"/>
          <w:u w:val="single" w:color="auto"/>
          <w:color w:val="auto"/>
        </w:rPr>
        <w:t>Cash Collateral; Repayment of Swingline Loans</w:t>
      </w:r>
      <w:r>
        <w:rPr>
          <w:rFonts w:ascii="Arial" w:cs="Arial" w:eastAsia="Arial" w:hAnsi="Arial"/>
          <w:sz w:val="21"/>
          <w:szCs w:val="21"/>
          <w:color w:val="auto"/>
        </w:rPr>
        <w:t xml:space="preserve">. If the reallocation described in </w:t>
      </w:r>
      <w:r>
        <w:rPr>
          <w:rFonts w:ascii="Arial" w:cs="Arial" w:eastAsia="Arial" w:hAnsi="Arial"/>
          <w:sz w:val="21"/>
          <w:szCs w:val="21"/>
          <w:u w:val="single" w:color="auto"/>
          <w:color w:val="auto"/>
        </w:rPr>
        <w:t>clause (iii)</w:t>
      </w:r>
      <w:r>
        <w:rPr>
          <w:rFonts w:ascii="Arial" w:cs="Arial" w:eastAsia="Arial" w:hAnsi="Arial"/>
          <w:sz w:val="21"/>
          <w:szCs w:val="21"/>
          <w:color w:val="auto"/>
        </w:rPr>
        <w:t xml:space="preserve"> 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each Issuing Bank’s Fronting Exposure in accordance with the procedures set forth in </w:t>
      </w:r>
      <w:r>
        <w:rPr>
          <w:rFonts w:ascii="Arial" w:cs="Arial" w:eastAsia="Arial" w:hAnsi="Arial"/>
          <w:sz w:val="21"/>
          <w:szCs w:val="21"/>
          <w:u w:val="single" w:color="auto"/>
          <w:color w:val="auto"/>
        </w:rPr>
        <w:t>Section 2.19(d)</w:t>
      </w:r>
      <w:r>
        <w:rPr>
          <w:rFonts w:ascii="Arial" w:cs="Arial" w:eastAsia="Arial" w:hAnsi="Arial"/>
          <w:sz w:val="21"/>
          <w:szCs w:val="21"/>
          <w:color w:val="auto"/>
        </w:rPr>
        <w:t xml:space="preserve"> or (z) make other arrangements reasonably satisfactory to the Administrative Agent, the Issuing Banks and the Swingline Lenders in their sole discretion to protect them against the risk of non-payment by such Defaulting Lender.</w:t>
      </w:r>
    </w:p>
    <w:p>
      <w:pPr>
        <w:spacing w:after="0" w:line="189" w:lineRule="exact"/>
        <w:rPr>
          <w:rFonts w:ascii="Arial" w:cs="Arial" w:eastAsia="Arial" w:hAnsi="Arial"/>
          <w:sz w:val="21"/>
          <w:szCs w:val="21"/>
          <w:color w:val="auto"/>
        </w:rPr>
      </w:pPr>
    </w:p>
    <w:p>
      <w:pPr>
        <w:jc w:val="both"/>
        <w:ind w:firstLine="1763"/>
        <w:spacing w:after="0" w:line="252" w:lineRule="auto"/>
        <w:tabs>
          <w:tab w:leader="none" w:pos="2655" w:val="left"/>
        </w:tabs>
        <w:numPr>
          <w:ilvl w:val="1"/>
          <w:numId w:val="190"/>
        </w:numPr>
        <w:rPr>
          <w:rFonts w:ascii="Arial" w:cs="Arial" w:eastAsia="Arial" w:hAnsi="Arial"/>
          <w:sz w:val="21"/>
          <w:szCs w:val="21"/>
          <w:color w:val="auto"/>
        </w:rPr>
      </w:pPr>
      <w:r>
        <w:rPr>
          <w:rFonts w:ascii="Arial" w:cs="Arial" w:eastAsia="Arial" w:hAnsi="Arial"/>
          <w:sz w:val="21"/>
          <w:szCs w:val="21"/>
          <w:u w:val="single" w:color="auto"/>
          <w:color w:val="auto"/>
        </w:rPr>
        <w:t>Defaulting Lender Cure</w:t>
      </w:r>
      <w:r>
        <w:rPr>
          <w:rFonts w:ascii="Arial" w:cs="Arial" w:eastAsia="Arial" w:hAnsi="Arial"/>
          <w:sz w:val="21"/>
          <w:szCs w:val="21"/>
          <w:color w:val="auto"/>
        </w:rPr>
        <w:t>.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0" w:name="page241"/>
    <w:bookmarkEnd w:id="240"/>
    <w:p>
      <w:pPr>
        <w:jc w:val="both"/>
        <w:spacing w:after="0" w:line="274" w:lineRule="auto"/>
        <w:rPr>
          <w:sz w:val="20"/>
          <w:szCs w:val="20"/>
          <w:color w:val="auto"/>
        </w:rPr>
      </w:pPr>
      <w:r>
        <w:rPr>
          <w:rFonts w:ascii="Arial" w:cs="Arial" w:eastAsia="Arial" w:hAnsi="Arial"/>
          <w:sz w:val="19"/>
          <w:szCs w:val="19"/>
          <w:color w:val="auto"/>
        </w:rPr>
        <w:t xml:space="preserve">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9"/>
          <w:szCs w:val="19"/>
          <w:u w:val="single" w:color="auto"/>
          <w:color w:val="auto"/>
        </w:rPr>
        <w:t>Section 2.19(a)(iii)</w:t>
      </w:r>
      <w:r>
        <w:rPr>
          <w:rFonts w:ascii="Arial" w:cs="Arial" w:eastAsia="Arial" w:hAnsi="Arial"/>
          <w:sz w:val="19"/>
          <w:szCs w:val="19"/>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59" w:lineRule="exact"/>
        <w:rPr>
          <w:sz w:val="20"/>
          <w:szCs w:val="20"/>
          <w:color w:val="auto"/>
        </w:rPr>
      </w:pPr>
    </w:p>
    <w:p>
      <w:pPr>
        <w:jc w:val="both"/>
        <w:ind w:firstLine="1763"/>
        <w:spacing w:after="0" w:line="246" w:lineRule="auto"/>
        <w:tabs>
          <w:tab w:leader="none" w:pos="2643" w:val="left"/>
        </w:tabs>
        <w:numPr>
          <w:ilvl w:val="1"/>
          <w:numId w:val="191"/>
        </w:numPr>
        <w:rPr>
          <w:rFonts w:ascii="Arial" w:cs="Arial" w:eastAsia="Arial" w:hAnsi="Arial"/>
          <w:sz w:val="21"/>
          <w:szCs w:val="21"/>
          <w:color w:val="auto"/>
        </w:rPr>
      </w:pPr>
      <w:r>
        <w:rPr>
          <w:rFonts w:ascii="Arial" w:cs="Arial" w:eastAsia="Arial" w:hAnsi="Arial"/>
          <w:sz w:val="21"/>
          <w:szCs w:val="21"/>
          <w:u w:val="single" w:color="auto"/>
          <w:color w:val="auto"/>
        </w:rPr>
        <w:t>New Swingline Loans/Letters of Credit</w:t>
      </w:r>
      <w:r>
        <w:rPr>
          <w:rFonts w:ascii="Arial" w:cs="Arial" w:eastAsia="Arial" w:hAnsi="Arial"/>
          <w:sz w:val="21"/>
          <w:szCs w:val="21"/>
          <w:color w:val="auto"/>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Arial" w:cs="Arial" w:eastAsia="Arial" w:hAnsi="Arial"/>
          <w:sz w:val="21"/>
          <w:szCs w:val="21"/>
          <w:u w:val="single" w:color="auto"/>
          <w:color w:val="auto"/>
        </w:rPr>
        <w:t>clause (a)(iii)</w:t>
      </w:r>
      <w:r>
        <w:rPr>
          <w:rFonts w:ascii="Arial" w:cs="Arial" w:eastAsia="Arial" w:hAnsi="Arial"/>
          <w:sz w:val="21"/>
          <w:szCs w:val="21"/>
          <w:color w:val="auto"/>
        </w:rPr>
        <w:t xml:space="preserve"> 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21"/>
          <w:szCs w:val="21"/>
          <w:u w:val="single" w:color="auto"/>
          <w:color w:val="auto"/>
        </w:rPr>
        <w:t>clause (a)(iii)</w:t>
      </w:r>
      <w:r>
        <w:rPr>
          <w:rFonts w:ascii="Arial" w:cs="Arial" w:eastAsia="Arial" w:hAnsi="Arial"/>
          <w:sz w:val="21"/>
          <w:szCs w:val="21"/>
          <w:color w:val="auto"/>
        </w:rPr>
        <w:t xml:space="preserve"> above and such Defaulting Lender shall not participate therein except to the extent such Defaulting Lender’s participation has been or will be fully Cash Collateralized in accordance with </w:t>
      </w:r>
      <w:r>
        <w:rPr>
          <w:rFonts w:ascii="Arial" w:cs="Arial" w:eastAsia="Arial" w:hAnsi="Arial"/>
          <w:sz w:val="21"/>
          <w:szCs w:val="21"/>
          <w:u w:val="single" w:color="auto"/>
          <w:color w:val="auto"/>
        </w:rPr>
        <w:t>Section 2.19(d)</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firstLine="1763"/>
        <w:spacing w:after="0" w:line="236" w:lineRule="auto"/>
        <w:tabs>
          <w:tab w:leader="none" w:pos="2655" w:val="left"/>
        </w:tabs>
        <w:numPr>
          <w:ilvl w:val="1"/>
          <w:numId w:val="191"/>
        </w:numPr>
        <w:rPr>
          <w:rFonts w:ascii="Arial" w:cs="Arial" w:eastAsia="Arial" w:hAnsi="Arial"/>
          <w:sz w:val="22"/>
          <w:szCs w:val="22"/>
          <w:color w:val="auto"/>
        </w:rPr>
      </w:pPr>
      <w:r>
        <w:rPr>
          <w:rFonts w:ascii="Arial" w:cs="Arial" w:eastAsia="Arial" w:hAnsi="Arial"/>
          <w:sz w:val="22"/>
          <w:szCs w:val="22"/>
          <w:u w:val="single" w:color="auto"/>
          <w:color w:val="auto"/>
        </w:rPr>
        <w:t>Cash Collateral</w:t>
      </w:r>
      <w:r>
        <w:rPr>
          <w:rFonts w:ascii="Arial" w:cs="Arial" w:eastAsia="Arial" w:hAnsi="Arial"/>
          <w:sz w:val="22"/>
          <w:szCs w:val="22"/>
          <w:color w:val="auto"/>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Arial" w:cs="Arial" w:eastAsia="Arial" w:hAnsi="Arial"/>
          <w:sz w:val="22"/>
          <w:szCs w:val="22"/>
          <w:u w:val="single" w:color="auto"/>
          <w:color w:val="auto"/>
        </w:rPr>
        <w:t>Section 2.19(a)(iii)</w:t>
      </w:r>
      <w:r>
        <w:rPr>
          <w:rFonts w:ascii="Arial" w:cs="Arial" w:eastAsia="Arial" w:hAnsi="Arial"/>
          <w:sz w:val="22"/>
          <w:szCs w:val="22"/>
          <w:color w:val="auto"/>
        </w:rPr>
        <w:t xml:space="preserve"> and any Cash Collateral provided by such Defaulting Lender) in an amount not less than the Minimum Collateral Amount.</w:t>
      </w:r>
    </w:p>
    <w:p>
      <w:pPr>
        <w:spacing w:after="0" w:line="187" w:lineRule="exact"/>
        <w:rPr>
          <w:rFonts w:ascii="Arial" w:cs="Arial" w:eastAsia="Arial" w:hAnsi="Arial"/>
          <w:sz w:val="22"/>
          <w:szCs w:val="22"/>
          <w:color w:val="auto"/>
        </w:rPr>
      </w:pPr>
    </w:p>
    <w:p>
      <w:pPr>
        <w:jc w:val="both"/>
        <w:ind w:left="880" w:firstLine="816"/>
        <w:spacing w:after="0" w:line="272" w:lineRule="auto"/>
        <w:tabs>
          <w:tab w:leader="none" w:pos="2542"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pursuant to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1" w:name="page242"/>
    <w:bookmarkEnd w:id="241"/>
    <w:p>
      <w:pPr>
        <w:jc w:val="both"/>
        <w:ind w:left="-320" w:firstLine="816"/>
        <w:spacing w:after="0" w:line="249" w:lineRule="auto"/>
        <w:tabs>
          <w:tab w:leader="none" w:pos="1402" w:val="left"/>
        </w:tabs>
        <w:numPr>
          <w:ilvl w:val="0"/>
          <w:numId w:val="193"/>
        </w:numPr>
        <w:rPr>
          <w:rFonts w:ascii="Arial" w:cs="Arial" w:eastAsia="Arial" w:hAnsi="Arial"/>
          <w:sz w:val="21"/>
          <w:szCs w:val="21"/>
          <w:color w:val="auto"/>
        </w:rPr>
      </w:pPr>
      <w:r>
        <w:rPr>
          <w:rFonts w:ascii="Arial" w:cs="Arial" w:eastAsia="Arial" w:hAnsi="Arial"/>
          <w:sz w:val="21"/>
          <w:szCs w:val="21"/>
          <w:u w:val="single" w:color="auto"/>
          <w:color w:val="auto"/>
        </w:rPr>
        <w:t>Application</w:t>
      </w:r>
      <w:r>
        <w:rPr>
          <w:rFonts w:ascii="Arial" w:cs="Arial" w:eastAsia="Arial" w:hAnsi="Arial"/>
          <w:sz w:val="21"/>
          <w:szCs w:val="21"/>
          <w:color w:val="auto"/>
        </w:rPr>
        <w:t xml:space="preserve">. Notwithstanding anything to the contrary contained in this Agreement, Cash Collateral provided under this </w:t>
      </w:r>
      <w:r>
        <w:rPr>
          <w:rFonts w:ascii="Arial" w:cs="Arial" w:eastAsia="Arial" w:hAnsi="Arial"/>
          <w:sz w:val="21"/>
          <w:szCs w:val="21"/>
          <w:u w:val="single" w:color="auto"/>
          <w:color w:val="auto"/>
        </w:rPr>
        <w:t>Section 2.19</w:t>
      </w:r>
      <w:r>
        <w:rPr>
          <w:rFonts w:ascii="Arial" w:cs="Arial" w:eastAsia="Arial" w:hAnsi="Arial"/>
          <w:sz w:val="21"/>
          <w:szCs w:val="21"/>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78" w:lineRule="exact"/>
        <w:rPr>
          <w:rFonts w:ascii="Arial" w:cs="Arial" w:eastAsia="Arial" w:hAnsi="Arial"/>
          <w:sz w:val="21"/>
          <w:szCs w:val="21"/>
          <w:color w:val="auto"/>
        </w:rPr>
      </w:pPr>
    </w:p>
    <w:p>
      <w:pPr>
        <w:jc w:val="both"/>
        <w:ind w:left="-320" w:firstLine="816"/>
        <w:spacing w:after="0" w:line="275" w:lineRule="auto"/>
        <w:tabs>
          <w:tab w:leader="none" w:pos="1462"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Termination of Requirement</w:t>
      </w:r>
      <w:r>
        <w:rPr>
          <w:rFonts w:ascii="Arial" w:cs="Arial" w:eastAsia="Arial" w:hAnsi="Arial"/>
          <w:sz w:val="19"/>
          <w:szCs w:val="19"/>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other provisions of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the Person providing Cash Collateral and each Issuing Bank may agree that Cash Collateral shall be held to support future anticipated Fronting Exposure;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that such Cash Collateral was provided by Borrower, such Cash Collateral shall remain subject to the security interest granted pursuant to the Loan Documents.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 xml:space="preserve">SECTION 2.20. </w:t>
      </w:r>
      <w:r>
        <w:rPr>
          <w:rFonts w:ascii="Arial" w:cs="Arial" w:eastAsia="Arial" w:hAnsi="Arial"/>
          <w:sz w:val="22"/>
          <w:szCs w:val="22"/>
          <w:u w:val="single" w:color="auto"/>
          <w:color w:val="auto"/>
        </w:rPr>
        <w:t>Reallocation Following a Non-Extended Commitment Termination Date</w:t>
      </w:r>
      <w:r>
        <w:rPr>
          <w:rFonts w:ascii="Arial" w:cs="Arial" w:eastAsia="Arial" w:hAnsi="Arial"/>
          <w:sz w:val="22"/>
          <w:szCs w:val="22"/>
          <w:color w:val="auto"/>
        </w:rPr>
        <w:t>.</w:t>
      </w:r>
    </w:p>
    <w:p>
      <w:pPr>
        <w:spacing w:after="0" w:line="206" w:lineRule="exact"/>
        <w:rPr>
          <w:sz w:val="20"/>
          <w:szCs w:val="20"/>
          <w:color w:val="auto"/>
        </w:rPr>
      </w:pPr>
    </w:p>
    <w:p>
      <w:pPr>
        <w:ind w:left="1460" w:hanging="897"/>
        <w:spacing w:after="0"/>
        <w:tabs>
          <w:tab w:leader="none" w:pos="1460" w:val="left"/>
        </w:tabs>
        <w:numPr>
          <w:ilvl w:val="1"/>
          <w:numId w:val="194"/>
        </w:numPr>
        <w:rPr>
          <w:rFonts w:ascii="Arial" w:cs="Arial" w:eastAsia="Arial" w:hAnsi="Arial"/>
          <w:sz w:val="22"/>
          <w:szCs w:val="22"/>
          <w:color w:val="auto"/>
        </w:rPr>
      </w:pPr>
      <w:r>
        <w:rPr>
          <w:rFonts w:ascii="Arial" w:cs="Arial" w:eastAsia="Arial" w:hAnsi="Arial"/>
          <w:sz w:val="22"/>
          <w:szCs w:val="22"/>
          <w:u w:val="single" w:color="auto"/>
          <w:color w:val="auto"/>
        </w:rPr>
        <w:t>Reallocation of Participations and Loans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320" w:firstLine="816"/>
        <w:spacing w:after="0" w:line="270" w:lineRule="auto"/>
        <w:tabs>
          <w:tab w:leader="none" w:pos="1342"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(a) in connection with the reduction or termination of any Non-Extending Lender’s Commitments in accordance with </w:t>
      </w:r>
      <w:r>
        <w:rPr>
          <w:rFonts w:ascii="Arial" w:cs="Arial" w:eastAsia="Arial" w:hAnsi="Arial"/>
          <w:sz w:val="19"/>
          <w:szCs w:val="19"/>
          <w:u w:val="single" w:color="auto"/>
          <w:color w:val="auto"/>
        </w:rPr>
        <w:t>Section 2.08(f)</w:t>
      </w:r>
      <w:r>
        <w:rPr>
          <w:rFonts w:ascii="Arial" w:cs="Arial" w:eastAsia="Arial" w:hAnsi="Arial"/>
          <w:sz w:val="19"/>
          <w:szCs w:val="19"/>
          <w:color w:val="auto"/>
        </w:rPr>
        <w:t xml:space="preserve"> on any date prior to the Non-Extended Commitment Termination Date for such Non-Extending Lender, the Borrower shall be permitted to request a Dollar Loan be made ratably among the Extending Lenders and Non-Extending Lenders for which the Non-Extended Commitment Termination Date shall not have occurred in accordance with the provisions of </w:t>
      </w:r>
      <w:r>
        <w:rPr>
          <w:rFonts w:ascii="Arial" w:cs="Arial" w:eastAsia="Arial" w:hAnsi="Arial"/>
          <w:sz w:val="19"/>
          <w:szCs w:val="19"/>
          <w:u w:val="single" w:color="auto"/>
          <w:color w:val="auto"/>
        </w:rPr>
        <w:t>Sections 2.02</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2.17(c)</w:t>
      </w:r>
      <w:r>
        <w:rPr>
          <w:rFonts w:ascii="Arial" w:cs="Arial" w:eastAsia="Arial" w:hAnsi="Arial"/>
          <w:sz w:val="19"/>
          <w:szCs w:val="19"/>
          <w:color w:val="auto"/>
        </w:rPr>
        <w:t xml:space="preserve"> in an amount up to the amount by which such Non-Extending Lender’s Revolving Credit Exposure exceeds such Non-Extending Lender’s Commitments after giving effect to such Commitment reduction and (b) on any date following the Non-Extended Commitment Termination Date for any Non-Extending Lender until the Extended Commitment Termination Date, the Borrower shall be permitted to request a Dollar Loan to be made ratably among the Extending Lenders and Non-Extending Lenders for which the Non-Extended Commitment Termination Date shall not have occurred in accordance with </w:t>
      </w:r>
      <w:r>
        <w:rPr>
          <w:rFonts w:ascii="Arial" w:cs="Arial" w:eastAsia="Arial" w:hAnsi="Arial"/>
          <w:sz w:val="19"/>
          <w:szCs w:val="19"/>
          <w:u w:val="single" w:color="auto"/>
          <w:color w:val="auto"/>
        </w:rPr>
        <w:t>Sections 2.02</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2.17(c)</w:t>
      </w:r>
      <w:r>
        <w:rPr>
          <w:rFonts w:ascii="Arial" w:cs="Arial" w:eastAsia="Arial" w:hAnsi="Arial"/>
          <w:sz w:val="19"/>
          <w:szCs w:val="19"/>
          <w:color w:val="auto"/>
        </w:rPr>
        <w:t xml:space="preserve"> in an amount up to the Revolving Credit Exposure of each Non-Extending Lender for which the Non-Extended Commitment Termination shall have occurred, in each case, so long as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w:t>
      </w:r>
    </w:p>
    <w:p>
      <w:pPr>
        <w:spacing w:after="0" w:line="17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42" w:name="page243"/>
    <w:bookmarkEnd w:id="242"/>
    <w:p>
      <w:pPr>
        <w:jc w:val="both"/>
        <w:ind w:left="880"/>
        <w:spacing w:after="0" w:line="252" w:lineRule="auto"/>
        <w:rPr>
          <w:sz w:val="20"/>
          <w:szCs w:val="20"/>
          <w:color w:val="auto"/>
        </w:rPr>
      </w:pPr>
      <w:r>
        <w:rPr>
          <w:rFonts w:ascii="Arial" w:cs="Arial" w:eastAsia="Arial" w:hAnsi="Arial"/>
          <w:sz w:val="21"/>
          <w:szCs w:val="21"/>
          <w:color w:val="auto"/>
        </w:rPr>
        <w:t>Dollar Commitments at such time or (III) the aggregate Revolving 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spacing w:after="0" w:line="174" w:lineRule="exact"/>
        <w:rPr>
          <w:sz w:val="20"/>
          <w:szCs w:val="20"/>
          <w:color w:val="auto"/>
        </w:rPr>
      </w:pPr>
    </w:p>
    <w:p>
      <w:pPr>
        <w:jc w:val="both"/>
        <w:ind w:left="880" w:firstLine="816"/>
        <w:spacing w:after="0" w:line="268" w:lineRule="auto"/>
        <w:tabs>
          <w:tab w:leader="none" w:pos="2602" w:val="left"/>
        </w:tabs>
        <w:numPr>
          <w:ilvl w:val="1"/>
          <w:numId w:val="196"/>
        </w:numPr>
        <w:rPr>
          <w:rFonts w:ascii="Arial" w:cs="Arial" w:eastAsia="Arial" w:hAnsi="Arial"/>
          <w:sz w:val="19"/>
          <w:szCs w:val="19"/>
          <w:color w:val="auto"/>
        </w:rPr>
      </w:pPr>
      <w:r>
        <w:rPr>
          <w:rFonts w:ascii="Arial" w:cs="Arial" w:eastAsia="Arial" w:hAnsi="Arial"/>
          <w:sz w:val="19"/>
          <w:szCs w:val="19"/>
          <w:color w:val="auto"/>
        </w:rPr>
        <w:t xml:space="preserve">All or any part of each Non-Extending Lender’s participation in Letters of Credit and Swingline Loans shall be reallocated on (A) any date on which the Commitment of such Non-Extending Lender is reduced or terminated pursuant to </w:t>
      </w:r>
      <w:r>
        <w:rPr>
          <w:rFonts w:ascii="Arial" w:cs="Arial" w:eastAsia="Arial" w:hAnsi="Arial"/>
          <w:sz w:val="19"/>
          <w:szCs w:val="19"/>
          <w:u w:val="single" w:color="auto"/>
          <w:color w:val="auto"/>
        </w:rPr>
        <w:t>Section 2.08(f)</w:t>
      </w:r>
      <w:r>
        <w:rPr>
          <w:rFonts w:ascii="Arial" w:cs="Arial" w:eastAsia="Arial" w:hAnsi="Arial"/>
          <w:sz w:val="19"/>
          <w:szCs w:val="19"/>
          <w:color w:val="auto"/>
        </w:rPr>
        <w:t xml:space="preserve"> 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or Non-Extending Lender for which the Commitment Termination Date shall not have occurred to exceed such Lender’s Commitment, (II) the total Revolving Dollar Credit Exposures of Dollar Lenders with Dollar Commitments then in effect to exceed the aggregate Dollar Commitments at such time, or</w:t>
      </w:r>
    </w:p>
    <w:p>
      <w:pPr>
        <w:spacing w:after="0" w:line="7" w:lineRule="exact"/>
        <w:rPr>
          <w:rFonts w:ascii="Arial" w:cs="Arial" w:eastAsia="Arial" w:hAnsi="Arial"/>
          <w:sz w:val="19"/>
          <w:szCs w:val="19"/>
          <w:color w:val="auto"/>
        </w:rPr>
      </w:pPr>
    </w:p>
    <w:p>
      <w:pPr>
        <w:ind w:left="880" w:firstLine="5"/>
        <w:spacing w:after="0" w:line="237" w:lineRule="auto"/>
        <w:tabs>
          <w:tab w:leader="none" w:pos="1322"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total Revolving Multicurrency Credit Exposures of Multicurrency Lenders with Multicurrency Commitments then in effect to exceed the aggregate Multicurrency Commitments at such time.</w:t>
      </w:r>
    </w:p>
    <w:p>
      <w:pPr>
        <w:spacing w:after="0" w:line="184" w:lineRule="exact"/>
        <w:rPr>
          <w:rFonts w:ascii="Arial" w:cs="Arial" w:eastAsia="Arial" w:hAnsi="Arial"/>
          <w:sz w:val="22"/>
          <w:szCs w:val="22"/>
          <w:color w:val="auto"/>
        </w:rPr>
      </w:pPr>
    </w:p>
    <w:p>
      <w:pPr>
        <w:jc w:val="both"/>
        <w:ind w:firstLine="1763"/>
        <w:spacing w:after="0" w:line="271" w:lineRule="auto"/>
        <w:tabs>
          <w:tab w:leader="none" w:pos="2655" w:val="left"/>
        </w:tabs>
        <w:numPr>
          <w:ilvl w:val="2"/>
          <w:numId w:val="197"/>
        </w:numPr>
        <w:rPr>
          <w:rFonts w:ascii="Arial" w:cs="Arial" w:eastAsia="Arial" w:hAnsi="Arial"/>
          <w:sz w:val="19"/>
          <w:szCs w:val="19"/>
          <w:color w:val="auto"/>
        </w:rPr>
      </w:pPr>
      <w:r>
        <w:rPr>
          <w:rFonts w:ascii="Arial" w:cs="Arial" w:eastAsia="Arial" w:hAnsi="Arial"/>
          <w:sz w:val="19"/>
          <w:szCs w:val="19"/>
          <w:u w:val="single" w:color="auto"/>
          <w:color w:val="auto"/>
        </w:rPr>
        <w:t>Cash Collateral; Repayment of Swingline Loans</w:t>
      </w:r>
      <w:r>
        <w:rPr>
          <w:rFonts w:ascii="Arial" w:cs="Arial" w:eastAsia="Arial" w:hAnsi="Arial"/>
          <w:sz w:val="19"/>
          <w:szCs w:val="19"/>
          <w:color w:val="auto"/>
        </w:rPr>
        <w:t xml:space="preserve">. If any Loan related to the reduction or termination of a Non-Extending Lender’s Commitment prior to the Non-Extended Commitment Termination Date described in </w:t>
      </w:r>
      <w:r>
        <w:rPr>
          <w:rFonts w:ascii="Arial" w:cs="Arial" w:eastAsia="Arial" w:hAnsi="Arial"/>
          <w:sz w:val="19"/>
          <w:szCs w:val="19"/>
          <w:u w:val="single" w:color="auto"/>
          <w:color w:val="auto"/>
        </w:rPr>
        <w:t>clause (a)(i)</w:t>
      </w:r>
      <w:r>
        <w:rPr>
          <w:rFonts w:ascii="Arial" w:cs="Arial" w:eastAsia="Arial" w:hAnsi="Arial"/>
          <w:sz w:val="19"/>
          <w:szCs w:val="19"/>
          <w:color w:val="auto"/>
        </w:rPr>
        <w:t xml:space="preserve"> above or any reallocation described in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above cannot, or can only partially, be effected, the Borrower shall, not later than (i) with respect to any reduction or termination of a Non-Extending Lender’s Commitment pursuant to </w:t>
      </w:r>
      <w:r>
        <w:rPr>
          <w:rFonts w:ascii="Arial" w:cs="Arial" w:eastAsia="Arial" w:hAnsi="Arial"/>
          <w:sz w:val="19"/>
          <w:szCs w:val="19"/>
          <w:u w:val="single" w:color="auto"/>
          <w:color w:val="auto"/>
        </w:rPr>
        <w:t>Section 2.08(f)</w:t>
      </w:r>
      <w:r>
        <w:rPr>
          <w:rFonts w:ascii="Arial" w:cs="Arial" w:eastAsia="Arial" w:hAnsi="Arial"/>
          <w:sz w:val="19"/>
          <w:szCs w:val="19"/>
          <w:color w:val="auto"/>
        </w:rPr>
        <w:t xml:space="preserve">, the date of such Commitment reduction or termination or, (ii) with respect to any reallocation of participations in Letters of Credit and Swingline Loans on the Non-Extended Commitment Termination Date for any Non-Extending Lender, on the Non-Extended Commitment Termination Date applicable to such Non-Extending Lender, as the case may be, without prejudice to any right or remedy available to it hereunder or under law, (x) prepay 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Non-Extended Commitment Termination Date shall not have occurred pursuant to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above, (y) provide Cash Collateral in an amount equal to the amount by which the participation obligations of such Non-Extending Lenders in Letters of Credit have not been reallocated pursuant to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above and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Arial" w:cs="Arial" w:eastAsia="Arial" w:hAnsi="Arial"/>
          <w:sz w:val="19"/>
          <w:szCs w:val="19"/>
          <w:u w:val="single" w:color="auto"/>
          <w:color w:val="auto"/>
        </w:rPr>
        <w:t>clause (a)(i)(z) above</w:t>
      </w:r>
      <w:r>
        <w:rPr>
          <w:rFonts w:ascii="Arial" w:cs="Arial" w:eastAsia="Arial" w:hAnsi="Arial"/>
          <w:sz w:val="19"/>
          <w:szCs w:val="19"/>
          <w:color w:val="auto"/>
        </w:rPr>
        <w:t xml:space="preserve"> exceeds such Non-Extending Lender’s Commitment after giving effect to any reduction in such Non-Extending Lender’s Commitment.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3" w:name="page244"/>
    <w:bookmarkEnd w:id="243"/>
    <w:p>
      <w:pPr>
        <w:jc w:val="center"/>
        <w:ind w:right="-159"/>
        <w:spacing w:after="0"/>
        <w:rPr>
          <w:sz w:val="20"/>
          <w:szCs w:val="20"/>
          <w:color w:val="auto"/>
        </w:rPr>
      </w:pPr>
      <w:r>
        <w:rPr>
          <w:rFonts w:ascii="Arial" w:cs="Arial" w:eastAsia="Arial" w:hAnsi="Arial"/>
          <w:sz w:val="22"/>
          <w:szCs w:val="22"/>
          <w:color w:val="auto"/>
        </w:rPr>
        <w:t xml:space="preserve">SECTION 2.21. </w:t>
      </w:r>
      <w:r>
        <w:rPr>
          <w:rFonts w:ascii="Arial" w:cs="Arial" w:eastAsia="Arial" w:hAnsi="Arial"/>
          <w:sz w:val="22"/>
          <w:szCs w:val="22"/>
          <w:u w:val="single" w:color="auto"/>
          <w:color w:val="auto"/>
        </w:rPr>
        <w:t>Assignment and Reallocation of Existing Commitments and Existing Loans</w:t>
      </w:r>
      <w:r>
        <w:rPr>
          <w:rFonts w:ascii="Arial" w:cs="Arial" w:eastAsia="Arial" w:hAnsi="Arial"/>
          <w:sz w:val="22"/>
          <w:szCs w:val="22"/>
          <w:color w:val="auto"/>
        </w:rPr>
        <w:t>.</w:t>
      </w:r>
    </w:p>
    <w:p>
      <w:pPr>
        <w:spacing w:after="0" w:line="206" w:lineRule="exact"/>
        <w:rPr>
          <w:sz w:val="20"/>
          <w:szCs w:val="20"/>
          <w:color w:val="auto"/>
        </w:rPr>
      </w:pPr>
    </w:p>
    <w:p>
      <w:pPr>
        <w:ind w:left="2660" w:hanging="897"/>
        <w:spacing w:after="0"/>
        <w:tabs>
          <w:tab w:leader="none" w:pos="2660" w:val="left"/>
        </w:tabs>
        <w:numPr>
          <w:ilvl w:val="1"/>
          <w:numId w:val="198"/>
        </w:numPr>
        <w:rPr>
          <w:rFonts w:ascii="Arial" w:cs="Arial" w:eastAsia="Arial" w:hAnsi="Arial"/>
          <w:sz w:val="19"/>
          <w:szCs w:val="19"/>
          <w:color w:val="auto"/>
        </w:rPr>
      </w:pPr>
      <w:r>
        <w:rPr>
          <w:rFonts w:ascii="Arial" w:cs="Arial" w:eastAsia="Arial" w:hAnsi="Arial"/>
          <w:sz w:val="19"/>
          <w:szCs w:val="19"/>
          <w:color w:val="auto"/>
        </w:rPr>
        <w:t>On the Ninth Amendment Effective Date, the Borrower shall (A) prepay the outstanding Loans and</w:t>
      </w:r>
    </w:p>
    <w:p>
      <w:pPr>
        <w:spacing w:after="0" w:line="42" w:lineRule="exact"/>
        <w:rPr>
          <w:rFonts w:ascii="Arial" w:cs="Arial" w:eastAsia="Arial" w:hAnsi="Arial"/>
          <w:sz w:val="19"/>
          <w:szCs w:val="19"/>
          <w:color w:val="auto"/>
        </w:rPr>
      </w:pPr>
    </w:p>
    <w:p>
      <w:pPr>
        <w:ind w:left="360" w:hanging="352"/>
        <w:spacing w:after="0"/>
        <w:tabs>
          <w:tab w:leader="none" w:pos="36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simultaneously borrow new Loans in an amount equal to such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w:t>
      </w:r>
      <w:r>
        <w:rPr>
          <w:rFonts w:ascii="Arial" w:cs="Arial" w:eastAsia="Arial" w:hAnsi="Arial"/>
          <w:sz w:val="19"/>
          <w:szCs w:val="19"/>
          <w:u w:val="single" w:color="auto"/>
          <w:color w:val="auto"/>
        </w:rPr>
        <w:t>subclauses (A)</w:t>
      </w:r>
      <w:r>
        <w:rPr>
          <w:rFonts w:ascii="Arial" w:cs="Arial" w:eastAsia="Arial" w:hAnsi="Arial"/>
          <w:sz w:val="19"/>
          <w:szCs w:val="19"/>
          <w:color w:val="auto"/>
        </w:rPr>
        <w:t xml:space="preserve"> and</w:t>
      </w:r>
    </w:p>
    <w:p>
      <w:pPr>
        <w:spacing w:after="0" w:line="24" w:lineRule="exact"/>
        <w:rPr>
          <w:rFonts w:ascii="Arial" w:cs="Arial" w:eastAsia="Arial" w:hAnsi="Arial"/>
          <w:sz w:val="19"/>
          <w:szCs w:val="19"/>
          <w:color w:val="auto"/>
        </w:rPr>
      </w:pPr>
    </w:p>
    <w:p>
      <w:pPr>
        <w:jc w:val="both"/>
        <w:ind w:firstLine="8"/>
        <w:spacing w:after="0" w:line="273" w:lineRule="auto"/>
        <w:tabs>
          <w:tab w:leader="none" w:pos="288" w:val="left"/>
        </w:tabs>
        <w:numPr>
          <w:ilvl w:val="0"/>
          <w:numId w:val="200"/>
        </w:numPr>
        <w:rPr>
          <w:rFonts w:ascii="Arial" w:cs="Arial" w:eastAsia="Arial" w:hAnsi="Arial"/>
          <w:sz w:val="19"/>
          <w:szCs w:val="19"/>
          <w:u w:val="single" w:color="auto"/>
          <w:color w:val="auto"/>
        </w:rPr>
      </w:pPr>
      <w:r>
        <w:rPr>
          <w:rFonts w:ascii="Arial" w:cs="Arial" w:eastAsia="Arial" w:hAnsi="Arial"/>
          <w:sz w:val="19"/>
          <w:szCs w:val="19"/>
          <w:color w:val="auto"/>
        </w:rPr>
        <w:t xml:space="preserve">, (x) the prepayment to, and borrowing from, any Lender shall be effected by book entry to the extent that any portion of the amount prepaid to such Lender will be subsequently borrowed from such Lender and (y) the Lenders shall make and receive payments among themselves, in a manner acceptable to the Administrative Agent, so that, after giving effect thereto, the Loans of each Class are held ratably by the Lenders of such Class in accordance with each Lender’s Applicable Percentage of Commitments and portion of loans, which, for the purposes of this Agreement and each other Loan Document, will be as set forth opposite such Person’s name on </w:t>
      </w:r>
      <w:r>
        <w:rPr>
          <w:rFonts w:ascii="Arial" w:cs="Arial" w:eastAsia="Arial" w:hAnsi="Arial"/>
          <w:sz w:val="19"/>
          <w:szCs w:val="19"/>
          <w:u w:val="single" w:color="auto"/>
          <w:color w:val="auto"/>
        </w:rPr>
        <w:t>Schedule 1.01(b)</w:t>
      </w:r>
      <w:r>
        <w:rPr>
          <w:rFonts w:ascii="Arial" w:cs="Arial" w:eastAsia="Arial" w:hAnsi="Arial"/>
          <w:sz w:val="19"/>
          <w:szCs w:val="19"/>
          <w:color w:val="auto"/>
        </w:rPr>
        <w:t>. Concurrently therewith, the Lenders of each Class shall be deemed to have adjusted their participation interests in any outstanding Letters of Credit of such Class so that such interests are held ratably in accordance with their Applicable Percentage of Commitments of such Class.</w:t>
      </w:r>
    </w:p>
    <w:p>
      <w:pPr>
        <w:spacing w:after="0" w:line="154" w:lineRule="exact"/>
        <w:rPr>
          <w:rFonts w:ascii="Arial" w:cs="Arial" w:eastAsia="Arial" w:hAnsi="Arial"/>
          <w:sz w:val="19"/>
          <w:szCs w:val="19"/>
          <w:u w:val="single" w:color="auto"/>
          <w:color w:val="auto"/>
        </w:rPr>
      </w:pPr>
    </w:p>
    <w:p>
      <w:pPr>
        <w:jc w:val="both"/>
        <w:ind w:firstLine="1763"/>
        <w:spacing w:after="0" w:line="246" w:lineRule="auto"/>
        <w:tabs>
          <w:tab w:leader="none" w:pos="2655" w:val="left"/>
        </w:tabs>
        <w:numPr>
          <w:ilvl w:val="1"/>
          <w:numId w:val="200"/>
        </w:numPr>
        <w:rPr>
          <w:rFonts w:ascii="Arial" w:cs="Arial" w:eastAsia="Arial" w:hAnsi="Arial"/>
          <w:sz w:val="21"/>
          <w:szCs w:val="21"/>
          <w:color w:val="auto"/>
        </w:rPr>
      </w:pPr>
      <w:r>
        <w:rPr>
          <w:rFonts w:ascii="Arial" w:cs="Arial" w:eastAsia="Arial" w:hAnsi="Arial"/>
          <w:sz w:val="21"/>
          <w:szCs w:val="21"/>
          <w:color w:val="auto"/>
        </w:rPr>
        <w:t>Each of the Lenders hereby acknowledges and agrees that (i) no Lender nor the Administrative Agent has made any representations or warranties or assumed any responsibility with respect to (A) any statements, warranties or representations made in or in connection with this Agreement or the execution, legality, validity, enforceability, genuineness or sufficiency of this Agreement, the Existing Credit Agreement or any other Loan Document or (B) the financial condition of any Obligor or the performance by any Obligor of its obligations hereunder or under any other Loan Document; (ii) it has received such information as it has deemed appropriate to make its own credit analysis and decision to enter into this Agreement; and (iii) it has made and continues to make its own credit decisions in taking or not taking action under this Agreement, independently and without reliance upon the Administrative Agent or any other Lender.</w:t>
      </w:r>
    </w:p>
    <w:p>
      <w:pPr>
        <w:spacing w:after="0" w:line="18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2.22. </w:t>
      </w:r>
      <w:r>
        <w:rPr>
          <w:rFonts w:ascii="Arial" w:cs="Arial" w:eastAsia="Arial" w:hAnsi="Arial"/>
          <w:sz w:val="22"/>
          <w:szCs w:val="22"/>
          <w:u w:val="single" w:color="auto"/>
          <w:color w:val="auto"/>
        </w:rPr>
        <w:t>Effect of Benchmark Transition Event</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73" w:lineRule="auto"/>
        <w:tabs>
          <w:tab w:leader="none" w:pos="2643"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Notwithstanding anything to the contrary herein or in any other Loan Document, upon the occurrence of a Benchmark Transition Event or an Early Opt-in Election, as applicable, the Administrative Agent and the Borrower may amend this Agreement to replace the LIBO Rate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of each Class. Any such amendment with respect to an Early Opt-in Election will become effective on the date that Lenders comprising the Required Lenders of each Class have delivered to the Administrative Agent written notice that such Required Lenders accept such amendment. No replacement of the LIBO Rate with a Benchmark Replacement pursuant to this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will occur prior to the applicable Benchmark Transition Start Date.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4" w:name="page245"/>
    <w:bookmarkEnd w:id="244"/>
    <w:p>
      <w:pPr>
        <w:jc w:val="both"/>
        <w:ind w:firstLine="1763"/>
        <w:spacing w:after="0" w:line="236" w:lineRule="auto"/>
        <w:tabs>
          <w:tab w:leader="none" w:pos="2655"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Benchmark Replacement Conforming Changes</w:t>
      </w:r>
      <w:r>
        <w:rPr>
          <w:rFonts w:ascii="Arial" w:cs="Arial" w:eastAsia="Arial" w:hAnsi="Arial"/>
          <w:sz w:val="22"/>
          <w:szCs w:val="22"/>
          <w:color w:val="auto"/>
        </w:rPr>
        <w:t>. In connection with the implementation of a Benchmark Replacement, the Administrative Agent (after consulting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87" w:lineRule="exact"/>
        <w:rPr>
          <w:rFonts w:ascii="Arial" w:cs="Arial" w:eastAsia="Arial" w:hAnsi="Arial"/>
          <w:sz w:val="22"/>
          <w:szCs w:val="22"/>
          <w:color w:val="auto"/>
        </w:rPr>
      </w:pPr>
    </w:p>
    <w:p>
      <w:pPr>
        <w:jc w:val="both"/>
        <w:ind w:firstLine="1763"/>
        <w:spacing w:after="0" w:line="274" w:lineRule="auto"/>
        <w:tabs>
          <w:tab w:leader="none" w:pos="2643"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xml:space="preserve">. The Administrative Agent will promptly notify the Borrower and the Lenders 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19"/>
          <w:szCs w:val="19"/>
          <w:u w:val="single" w:color="auto"/>
          <w:color w:val="auto"/>
        </w:rPr>
        <w:t>Section 2.22</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1763"/>
        <w:spacing w:after="0" w:line="235" w:lineRule="auto"/>
        <w:tabs>
          <w:tab w:leader="none" w:pos="2655"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Benchmark Unavailability Period</w:t>
      </w:r>
      <w:r>
        <w:rPr>
          <w:rFonts w:ascii="Arial" w:cs="Arial" w:eastAsia="Arial" w:hAnsi="Arial"/>
          <w:sz w:val="22"/>
          <w:szCs w:val="22"/>
          <w:color w:val="auto"/>
        </w:rPr>
        <w:t>. Upon the Borrower’s receipt of notice of the commencement of a Benchmark Unavailability Period, the Borrower may revoke any request for a Eurocurrency Borrowing of, conversion to or continuation of Eurocurrency Loans to be made, converted or continued during any Benchmark Unavailability Period and, failing that, the Borrower will be deemed to have converted any such request into a request for a Borrowing of or conversion to ABR Loans. During any Benchmark Unavailability Period, the component of ABR based upon the LIBO Rate will not be used in any determination of ABR.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ind w:left="1760" w:right="3740" w:firstLine="1985"/>
        <w:spacing w:after="0" w:line="504" w:lineRule="auto"/>
        <w:rPr>
          <w:sz w:val="20"/>
          <w:szCs w:val="20"/>
          <w:color w:val="auto"/>
        </w:rPr>
      </w:pPr>
      <w:r>
        <w:rPr>
          <w:rFonts w:ascii="Arial" w:cs="Arial" w:eastAsia="Arial" w:hAnsi="Arial"/>
          <w:sz w:val="19"/>
          <w:szCs w:val="19"/>
          <w:color w:val="auto"/>
        </w:rPr>
        <w:t>REPRESENTATIONS AND WARRANTIES The Borrower represents and warrants to the Lenders that:</w:t>
      </w:r>
    </w:p>
    <w:p>
      <w:pPr>
        <w:spacing w:after="0" w:line="1"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Organization; Powers</w:t>
      </w:r>
      <w:r>
        <w:rPr>
          <w:rFonts w:ascii="Arial" w:cs="Arial" w:eastAsia="Arial" w:hAnsi="Arial"/>
          <w:sz w:val="21"/>
          <w:szCs w:val="21"/>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79"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Authorization; Enforceability</w:t>
      </w:r>
      <w:r>
        <w:rPr>
          <w:rFonts w:ascii="Arial" w:cs="Arial" w:eastAsia="Arial" w:hAnsi="Arial"/>
          <w:sz w:val="21"/>
          <w:szCs w:val="21"/>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5" w:name="page246"/>
    <w:bookmarkEnd w:id="245"/>
    <w:p>
      <w:pPr>
        <w:spacing w:after="0" w:line="276" w:lineRule="auto"/>
        <w:rPr>
          <w:sz w:val="20"/>
          <w:szCs w:val="20"/>
          <w:color w:val="auto"/>
        </w:rPr>
      </w:pPr>
      <w:r>
        <w:rPr>
          <w:rFonts w:ascii="Arial" w:cs="Arial" w:eastAsia="Arial" w:hAnsi="Arial"/>
          <w:sz w:val="19"/>
          <w:szCs w:val="19"/>
          <w:color w:val="auto"/>
        </w:rPr>
        <w:t>of such Obligor, enforceable in accordance with its terms, except as such enforceability may be limited by (a) bankruptcy, insolvency, reorganization, moratorium or similar laws of general applicability affecting the enforcement of creditors’ rights and</w:t>
      </w:r>
    </w:p>
    <w:p>
      <w:pPr>
        <w:spacing w:after="0" w:line="2" w:lineRule="exact"/>
        <w:rPr>
          <w:sz w:val="20"/>
          <w:szCs w:val="20"/>
          <w:color w:val="auto"/>
        </w:rPr>
      </w:pPr>
    </w:p>
    <w:p>
      <w:pPr>
        <w:ind w:firstLine="8"/>
        <w:spacing w:after="0" w:line="237" w:lineRule="auto"/>
        <w:tabs>
          <w:tab w:leader="none" w:pos="31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application of general principles of equity (regardless of whether such enforceability is considered in a proceeding in equity or at law).</w:t>
      </w:r>
    </w:p>
    <w:p>
      <w:pPr>
        <w:spacing w:after="0" w:line="185"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and</w:t>
      </w:r>
    </w:p>
    <w:p>
      <w:pPr>
        <w:spacing w:after="0" w:line="5" w:lineRule="exact"/>
        <w:rPr>
          <w:sz w:val="20"/>
          <w:szCs w:val="20"/>
          <w:color w:val="auto"/>
        </w:rPr>
      </w:pPr>
    </w:p>
    <w:p>
      <w:pPr>
        <w:ind w:firstLine="8"/>
        <w:spacing w:after="0" w:line="237" w:lineRule="auto"/>
        <w:tabs>
          <w:tab w:leader="none" w:pos="312" w:val="left"/>
        </w:tabs>
        <w:numPr>
          <w:ilvl w:val="0"/>
          <w:numId w:val="204"/>
        </w:numPr>
        <w:rPr>
          <w:rFonts w:ascii="Arial" w:cs="Arial" w:eastAsia="Arial" w:hAnsi="Arial"/>
          <w:sz w:val="22"/>
          <w:szCs w:val="22"/>
          <w:color w:val="auto"/>
        </w:rPr>
      </w:pPr>
      <w:r>
        <w:rPr>
          <w:rFonts w:ascii="Arial" w:cs="Arial" w:eastAsia="Arial" w:hAnsi="Arial"/>
          <w:sz w:val="22"/>
          <w:szCs w:val="22"/>
          <w:color w:val="auto"/>
        </w:rPr>
        <w:t>except for the Liens created pursuant to this Agreement or the Security Documents, will not result in the creation or imposition of any Lien on any asset of the Borrower or any of its Subsidiaries.</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Financial Condition; No Material Adverse Change</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49" w:lineRule="auto"/>
        <w:tabs>
          <w:tab w:leader="none" w:pos="2643" w:val="left"/>
        </w:tabs>
        <w:numPr>
          <w:ilvl w:val="0"/>
          <w:numId w:val="205"/>
        </w:numPr>
        <w:rPr>
          <w:rFonts w:ascii="Arial" w:cs="Arial" w:eastAsia="Arial" w:hAnsi="Arial"/>
          <w:sz w:val="21"/>
          <w:szCs w:val="21"/>
          <w:color w:val="auto"/>
        </w:rPr>
      </w:pPr>
      <w:r>
        <w:rPr>
          <w:rFonts w:ascii="Arial" w:cs="Arial" w:eastAsia="Arial" w:hAnsi="Arial"/>
          <w:sz w:val="21"/>
          <w:szCs w:val="21"/>
          <w:u w:val="single" w:color="auto"/>
          <w:color w:val="auto"/>
        </w:rPr>
        <w:t>Financial Statements</w:t>
      </w:r>
      <w:r>
        <w:rPr>
          <w:rFonts w:ascii="Arial" w:cs="Arial" w:eastAsia="Arial" w:hAnsi="Arial"/>
          <w:sz w:val="21"/>
          <w:szCs w:val="21"/>
          <w:color w:val="auto"/>
        </w:rPr>
        <w:t>. The Borrower has heretofore delivered to the Lenders the audited consolidated balance sheet and statement of operations, changes in net assets and cash flows of the Borrower and its Subsidiaries as of and for the year ended December 31, 2012,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78" w:lineRule="exact"/>
        <w:rPr>
          <w:rFonts w:ascii="Arial" w:cs="Arial" w:eastAsia="Arial" w:hAnsi="Arial"/>
          <w:sz w:val="21"/>
          <w:szCs w:val="21"/>
          <w:color w:val="auto"/>
        </w:rPr>
      </w:pPr>
    </w:p>
    <w:p>
      <w:pPr>
        <w:jc w:val="both"/>
        <w:ind w:firstLine="1763"/>
        <w:spacing w:after="0" w:line="234" w:lineRule="auto"/>
        <w:tabs>
          <w:tab w:leader="none" w:pos="2655"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No Material Adverse Change</w:t>
      </w:r>
      <w:r>
        <w:rPr>
          <w:rFonts w:ascii="Arial" w:cs="Arial" w:eastAsia="Arial" w:hAnsi="Arial"/>
          <w:sz w:val="22"/>
          <w:szCs w:val="22"/>
          <w:color w:val="auto"/>
        </w:rPr>
        <w:t>. Since the date of the most recent Applicable Financial Statements, there has not been any event, development or circumstance (herein, a “</w:t>
      </w:r>
      <w:r>
        <w:rPr>
          <w:rFonts w:ascii="Arial" w:cs="Arial" w:eastAsia="Arial" w:hAnsi="Arial"/>
          <w:sz w:val="22"/>
          <w:szCs w:val="22"/>
          <w:u w:val="single" w:color="auto"/>
          <w:color w:val="auto"/>
        </w:rPr>
        <w:t>Material Adverse Change</w:t>
      </w:r>
      <w:r>
        <w:rPr>
          <w:rFonts w:ascii="Arial" w:cs="Arial" w:eastAsia="Arial" w:hAnsi="Arial"/>
          <w:sz w:val="22"/>
          <w:szCs w:val="22"/>
          <w:color w:val="auto"/>
        </w:rPr>
        <w:t>”) that has had or could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91"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Litigation</w:t>
      </w:r>
      <w:r>
        <w:rPr>
          <w:rFonts w:ascii="Arial" w:cs="Arial" w:eastAsia="Arial" w:hAnsi="Arial"/>
          <w:sz w:val="22"/>
          <w:szCs w:val="22"/>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6" w:name="page247"/>
    <w:bookmarkEnd w:id="246"/>
    <w:p>
      <w:pPr>
        <w:jc w:val="both"/>
        <w:ind w:firstLine="1755"/>
        <w:spacing w:after="0" w:line="235"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Compliance with Laws and Agreements</w:t>
      </w:r>
      <w:r>
        <w:rPr>
          <w:rFonts w:ascii="Arial" w:cs="Arial" w:eastAsia="Arial" w:hAnsi="Arial"/>
          <w:sz w:val="22"/>
          <w:szCs w:val="22"/>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88"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Taxes</w:t>
      </w:r>
      <w:r>
        <w:rPr>
          <w:rFonts w:ascii="Arial" w:cs="Arial" w:eastAsia="Arial" w:hAnsi="Arial"/>
          <w:sz w:val="22"/>
          <w:szCs w:val="22"/>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8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ERISA</w:t>
      </w:r>
      <w:r>
        <w:rPr>
          <w:rFonts w:ascii="Arial" w:cs="Arial" w:eastAsia="Arial" w:hAnsi="Arial"/>
          <w:sz w:val="22"/>
          <w:szCs w:val="22"/>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86"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Disclosure</w:t>
      </w:r>
      <w:r>
        <w:rPr>
          <w:rFonts w:ascii="Arial" w:cs="Arial" w:eastAsia="Arial" w:hAnsi="Arial"/>
          <w:sz w:val="19"/>
          <w:szCs w:val="19"/>
          <w:color w:val="auto"/>
        </w:rPr>
        <w:t xml:space="preserve">. As of the Effective Date,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Effective Date,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the Borrower represents only that such information was prepared in good faith based upon assumptions believed to be reasonable at the time.</w:t>
      </w:r>
    </w:p>
    <w:p>
      <w:pPr>
        <w:spacing w:after="0" w:line="15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Investment Company Act; Margin Regulations</w:t>
      </w:r>
      <w:r>
        <w:rPr>
          <w:rFonts w:ascii="Arial" w:cs="Arial" w:eastAsia="Arial" w:hAnsi="Arial"/>
          <w:sz w:val="22"/>
          <w:szCs w:val="22"/>
          <w:color w:val="auto"/>
        </w:rPr>
        <w:t>.</w:t>
      </w:r>
    </w:p>
    <w:p>
      <w:pPr>
        <w:spacing w:after="0" w:line="206" w:lineRule="exact"/>
        <w:rPr>
          <w:sz w:val="20"/>
          <w:szCs w:val="20"/>
          <w:color w:val="auto"/>
        </w:rPr>
      </w:pPr>
    </w:p>
    <w:p>
      <w:pPr>
        <w:ind w:firstLine="1763"/>
        <w:spacing w:after="0" w:line="251" w:lineRule="auto"/>
        <w:tabs>
          <w:tab w:leader="none" w:pos="2643"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Status as Business Development Company</w:t>
      </w:r>
      <w:r>
        <w:rPr>
          <w:rFonts w:ascii="Arial" w:cs="Arial" w:eastAsia="Arial" w:hAnsi="Arial"/>
          <w:sz w:val="22"/>
          <w:szCs w:val="22"/>
          <w:color w:val="auto"/>
        </w:rPr>
        <w:t>. The Borrower has elected to be regulated as a “business development company” within the meaning of the Investment Company Act and qualifies as a RIC.</w:t>
      </w:r>
    </w:p>
    <w:p>
      <w:pPr>
        <w:spacing w:after="0" w:line="173" w:lineRule="exact"/>
        <w:rPr>
          <w:rFonts w:ascii="Arial" w:cs="Arial" w:eastAsia="Arial" w:hAnsi="Arial"/>
          <w:sz w:val="22"/>
          <w:szCs w:val="22"/>
          <w:color w:val="auto"/>
        </w:rPr>
      </w:pPr>
    </w:p>
    <w:p>
      <w:pPr>
        <w:jc w:val="both"/>
        <w:ind w:firstLine="1763"/>
        <w:spacing w:after="0" w:line="282" w:lineRule="auto"/>
        <w:tabs>
          <w:tab w:leader="none" w:pos="2655"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Compliance with Investment Company Act</w:t>
      </w:r>
      <w:r>
        <w:rPr>
          <w:rFonts w:ascii="Arial" w:cs="Arial" w:eastAsia="Arial" w:hAnsi="Arial"/>
          <w:sz w:val="19"/>
          <w:szCs w:val="19"/>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7" w:name="page248"/>
    <w:bookmarkEnd w:id="247"/>
    <w:p>
      <w:pPr>
        <w:jc w:val="both"/>
        <w:ind w:firstLine="1763"/>
        <w:spacing w:after="0"/>
        <w:tabs>
          <w:tab w:leader="none" w:pos="2643"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Investment Policies</w:t>
      </w:r>
      <w:r>
        <w:rPr>
          <w:rFonts w:ascii="Arial" w:cs="Arial" w:eastAsia="Arial" w:hAnsi="Arial"/>
          <w:sz w:val="22"/>
          <w:szCs w:val="22"/>
          <w:color w:val="auto"/>
        </w:rPr>
        <w:t>. The Borrower is in compliance in all respects with the Investment Policies (after giving effect to any Permitted Policy Amendments), except to the extent that the failure to so comply could not reasonably be expected to have a Material Adverse Effect.</w:t>
      </w:r>
    </w:p>
    <w:p>
      <w:pPr>
        <w:spacing w:after="0" w:line="186" w:lineRule="exact"/>
        <w:rPr>
          <w:rFonts w:ascii="Arial" w:cs="Arial" w:eastAsia="Arial" w:hAnsi="Arial"/>
          <w:sz w:val="22"/>
          <w:szCs w:val="22"/>
          <w:color w:val="auto"/>
        </w:rPr>
      </w:pPr>
    </w:p>
    <w:p>
      <w:pPr>
        <w:jc w:val="both"/>
        <w:ind w:firstLine="1763"/>
        <w:spacing w:after="0" w:line="238" w:lineRule="auto"/>
        <w:tabs>
          <w:tab w:leader="none" w:pos="2655"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Use of Credit</w:t>
      </w:r>
      <w:r>
        <w:rPr>
          <w:rFonts w:ascii="Arial" w:cs="Arial" w:eastAsia="Arial" w:hAnsi="Arial"/>
          <w:sz w:val="22"/>
          <w:szCs w:val="22"/>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Material Agreements and Liens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35" w:lineRule="auto"/>
        <w:tabs>
          <w:tab w:leader="none" w:pos="2643"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Material Agreements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 A</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3.11</w:t>
      </w:r>
      <w:r>
        <w:rPr>
          <w:rFonts w:ascii="Arial" w:cs="Arial" w:eastAsia="Arial" w:hAnsi="Arial"/>
          <w:sz w:val="22"/>
          <w:szCs w:val="22"/>
          <w:color w:val="auto"/>
        </w:rPr>
        <w:t xml:space="preserve"> is a complete and correct list, as of the Original Effective Date,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as of the Original Effective Date, and the aggregate principal or face amount outstanding or that is, or may become, outstanding under each such arrangement is correctly described in </w:t>
      </w:r>
      <w:r>
        <w:rPr>
          <w:rFonts w:ascii="Arial" w:cs="Arial" w:eastAsia="Arial" w:hAnsi="Arial"/>
          <w:sz w:val="22"/>
          <w:szCs w:val="22"/>
          <w:u w:val="single" w:color="auto"/>
          <w:color w:val="auto"/>
        </w:rPr>
        <w:t>Part A</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3.11</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firstLine="1763"/>
        <w:spacing w:after="0" w:line="252" w:lineRule="auto"/>
        <w:tabs>
          <w:tab w:leader="none" w:pos="2655"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Liens</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 B</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Schedule 3.11</w:t>
      </w:r>
      <w:r>
        <w:rPr>
          <w:rFonts w:ascii="Arial" w:cs="Arial" w:eastAsia="Arial" w:hAnsi="Arial"/>
          <w:sz w:val="21"/>
          <w:szCs w:val="21"/>
          <w:color w:val="auto"/>
        </w:rPr>
        <w:t xml:space="preserve"> is a complete and correct list, as of the Original Effective Date, of each Lien securing Indebtedness of any Person outstanding on the Original Effective Date covering any property of the Borrower or any of the Subsidiary Guarantors, and the aggregate Indebtedness secured (or that may be secured) by each such Lien and the property covered by each such Lien is correctly described in </w:t>
      </w:r>
      <w:r>
        <w:rPr>
          <w:rFonts w:ascii="Arial" w:cs="Arial" w:eastAsia="Arial" w:hAnsi="Arial"/>
          <w:sz w:val="21"/>
          <w:szCs w:val="21"/>
          <w:u w:val="single" w:color="auto"/>
          <w:color w:val="auto"/>
        </w:rPr>
        <w:t>Part B</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Schedule 3.11</w:t>
      </w:r>
      <w:r>
        <w:rPr>
          <w:rFonts w:ascii="Arial" w:cs="Arial" w:eastAsia="Arial" w:hAnsi="Arial"/>
          <w:sz w:val="21"/>
          <w:szCs w:val="21"/>
          <w:color w:val="auto"/>
        </w:rPr>
        <w:t>.</w:t>
      </w:r>
    </w:p>
    <w:p>
      <w:pPr>
        <w:spacing w:after="0" w:line="174"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Subsidiaries and Investments</w:t>
      </w:r>
      <w:r>
        <w:rPr>
          <w:rFonts w:ascii="Arial" w:cs="Arial" w:eastAsia="Arial" w:hAnsi="Arial"/>
          <w:sz w:val="22"/>
          <w:szCs w:val="22"/>
          <w:color w:val="auto"/>
        </w:rPr>
        <w:t>.</w:t>
      </w:r>
    </w:p>
    <w:p>
      <w:pPr>
        <w:spacing w:after="0" w:line="206" w:lineRule="exact"/>
        <w:rPr>
          <w:sz w:val="20"/>
          <w:szCs w:val="20"/>
          <w:color w:val="auto"/>
        </w:rPr>
      </w:pPr>
    </w:p>
    <w:p>
      <w:pPr>
        <w:ind w:left="2660" w:hanging="897"/>
        <w:spacing w:after="0"/>
        <w:tabs>
          <w:tab w:leader="none" w:pos="2660"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Schedule 3.12(a)</w:t>
      </w:r>
      <w:r>
        <w:rPr>
          <w:rFonts w:ascii="Arial" w:cs="Arial" w:eastAsia="Arial" w:hAnsi="Arial"/>
          <w:sz w:val="19"/>
          <w:szCs w:val="19"/>
          <w:color w:val="auto"/>
        </w:rPr>
        <w:t xml:space="preserve"> is a list of the Borrower’s Subsidiaries as of the Original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Effective Date.</w:t>
      </w:r>
    </w:p>
    <w:p>
      <w:pPr>
        <w:spacing w:after="0" w:line="188" w:lineRule="exact"/>
        <w:rPr>
          <w:sz w:val="20"/>
          <w:szCs w:val="20"/>
          <w:color w:val="auto"/>
        </w:rPr>
      </w:pPr>
    </w:p>
    <w:p>
      <w:pPr>
        <w:jc w:val="both"/>
        <w:ind w:firstLine="1763"/>
        <w:spacing w:after="0" w:line="279" w:lineRule="auto"/>
        <w:tabs>
          <w:tab w:leader="none" w:pos="2655" w:val="left"/>
        </w:tabs>
        <w:numPr>
          <w:ilvl w:val="0"/>
          <w:numId w:val="210"/>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Schedule 3.12(b)</w:t>
      </w:r>
      <w:r>
        <w:rPr>
          <w:rFonts w:ascii="Arial" w:cs="Arial" w:eastAsia="Arial" w:hAnsi="Arial"/>
          <w:sz w:val="19"/>
          <w:szCs w:val="19"/>
          <w:color w:val="auto"/>
        </w:rPr>
        <w:t xml:space="preserve"> is a complete and correct list, as of the Original Effective Date, of all Investments (other than Investments of the types referred to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held by the Borrower or any of the Subsidiary Guarantors in any Person on the Original Effective Date and, for each such Investment, (x) the identity of the Person or Persons holding such Investment and (y) the nature of such Investment. Except as disclosed in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3.12</w:t>
      </w:r>
      <w:r>
        <w:rPr>
          <w:rFonts w:ascii="Arial" w:cs="Arial" w:eastAsia="Arial" w:hAnsi="Arial"/>
          <w:sz w:val="19"/>
          <w:szCs w:val="19"/>
          <w:color w:val="auto"/>
        </w:rPr>
        <w:t>, each of the Borrower and any of the Subsidiary Guarantors owned, free and clear of all Liens (other than Liens created pursuant to this Agreement or the Security Documents and Permitted Liens), all such Investments as of such date.</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3.13. </w:t>
      </w:r>
      <w:r>
        <w:rPr>
          <w:rFonts w:ascii="Arial" w:cs="Arial" w:eastAsia="Arial" w:hAnsi="Arial"/>
          <w:sz w:val="22"/>
          <w:szCs w:val="22"/>
          <w:u w:val="single" w:color="auto"/>
          <w:color w:val="auto"/>
        </w:rPr>
        <w:t>Properties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97" w:lineRule="auto"/>
        <w:tabs>
          <w:tab w:leader="none" w:pos="2643" w:val="left"/>
        </w:tabs>
        <w:numPr>
          <w:ilvl w:val="0"/>
          <w:numId w:val="211"/>
        </w:numPr>
        <w:rPr>
          <w:rFonts w:ascii="Arial" w:cs="Arial" w:eastAsia="Arial" w:hAnsi="Arial"/>
          <w:sz w:val="19"/>
          <w:szCs w:val="19"/>
          <w:color w:val="auto"/>
        </w:rPr>
      </w:pPr>
      <w:r>
        <w:rPr>
          <w:rFonts w:ascii="Arial" w:cs="Arial" w:eastAsia="Arial" w:hAnsi="Arial"/>
          <w:sz w:val="19"/>
          <w:szCs w:val="19"/>
          <w:u w:val="single" w:color="auto"/>
          <w:color w:val="auto"/>
        </w:rPr>
        <w:t>Title Generally</w:t>
      </w:r>
      <w:r>
        <w:rPr>
          <w:rFonts w:ascii="Arial" w:cs="Arial" w:eastAsia="Arial" w:hAnsi="Arial"/>
          <w:sz w:val="19"/>
          <w:szCs w:val="19"/>
          <w:color w:val="auto"/>
        </w:rPr>
        <w:t>. Each of the Borrower and the Subsidiary Guarantors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8" w:name="page249"/>
    <w:bookmarkEnd w:id="248"/>
    <w:p>
      <w:pPr>
        <w:jc w:val="both"/>
        <w:ind w:firstLine="1763"/>
        <w:spacing w:after="0" w:line="236" w:lineRule="auto"/>
        <w:tabs>
          <w:tab w:leader="none" w:pos="2655"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88"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Affiliate Agreements</w:t>
      </w:r>
      <w:r>
        <w:rPr>
          <w:rFonts w:ascii="Arial" w:cs="Arial" w:eastAsia="Arial" w:hAnsi="Arial"/>
          <w:sz w:val="22"/>
          <w:szCs w:val="22"/>
          <w:color w:val="auto"/>
        </w:rPr>
        <w:t>. As of the Original Effective Date, the Borrower has heretofore delivered to the Administrative Agent true and complete copies of each of the Affiliate Agreements (including and schedules and exhibits thereto, and any amendments, supplements or waivers executed and delivered thereunder). As of the Original Effective Date, each of the Affiliate Agreements was in full force and effect.</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3.15. </w:t>
      </w:r>
      <w:r>
        <w:rPr>
          <w:rFonts w:ascii="Arial" w:cs="Arial" w:eastAsia="Arial" w:hAnsi="Arial"/>
          <w:sz w:val="22"/>
          <w:szCs w:val="22"/>
          <w:u w:val="single" w:color="auto"/>
          <w:color w:val="auto"/>
        </w:rPr>
        <w:t>Sanctions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48" w:lineRule="auto"/>
        <w:tabs>
          <w:tab w:leader="none" w:pos="2643" w:val="left"/>
        </w:tabs>
        <w:numPr>
          <w:ilvl w:val="0"/>
          <w:numId w:val="213"/>
        </w:numPr>
        <w:rPr>
          <w:rFonts w:ascii="Arial" w:cs="Arial" w:eastAsia="Arial" w:hAnsi="Arial"/>
          <w:sz w:val="21"/>
          <w:szCs w:val="21"/>
          <w:color w:val="auto"/>
        </w:rPr>
      </w:pPr>
      <w:r>
        <w:rPr>
          <w:rFonts w:ascii="Arial" w:cs="Arial" w:eastAsia="Arial" w:hAnsi="Arial"/>
          <w:sz w:val="21"/>
          <w:szCs w:val="21"/>
          <w:color w:val="auto"/>
        </w:rPr>
        <w:t>None of the Borrower or any of its Subsidiaries, nor, to the knowledge of the Borrower, any of their respective directors, officers or authorized signors (i) is a person on the list of Specially Designated Nationals and Blocked Persons or subject to, or the subject or target of, the limitations or prohibitions (collectively “</w:t>
      </w:r>
      <w:r>
        <w:rPr>
          <w:rFonts w:ascii="Arial" w:cs="Arial" w:eastAsia="Arial" w:hAnsi="Arial"/>
          <w:sz w:val="21"/>
          <w:szCs w:val="21"/>
          <w:u w:val="single" w:color="auto"/>
          <w:color w:val="auto"/>
        </w:rPr>
        <w:t>Sanctions</w:t>
      </w:r>
      <w:r>
        <w:rPr>
          <w:rFonts w:ascii="Arial" w:cs="Arial" w:eastAsia="Arial" w:hAnsi="Arial"/>
          <w:sz w:val="21"/>
          <w:szCs w:val="21"/>
          <w:color w:val="auto"/>
        </w:rPr>
        <w:t>”) under (A) any U.S. Department of Treasury’s Office of Foreign Assets Control or U.S. Department of State regulation or executive order or (B) any international economic sanction administered or enforced by the United Nations Security Council, Her Majesty’s Treasury or the European Union or (ii) is located, organized or resident in a Sanctioned Country.</w:t>
      </w:r>
    </w:p>
    <w:p>
      <w:pPr>
        <w:spacing w:after="0" w:line="177" w:lineRule="exact"/>
        <w:rPr>
          <w:rFonts w:ascii="Arial" w:cs="Arial" w:eastAsia="Arial" w:hAnsi="Arial"/>
          <w:sz w:val="21"/>
          <w:szCs w:val="21"/>
          <w:color w:val="auto"/>
        </w:rPr>
      </w:pPr>
    </w:p>
    <w:p>
      <w:pPr>
        <w:jc w:val="both"/>
        <w:ind w:firstLine="1763"/>
        <w:spacing w:after="0"/>
        <w:tabs>
          <w:tab w:leader="none" w:pos="2655"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spacing w:after="0" w:line="186"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Patriot Act</w:t>
      </w:r>
      <w:r>
        <w:rPr>
          <w:rFonts w:ascii="Arial" w:cs="Arial" w:eastAsia="Arial" w:hAnsi="Arial"/>
          <w:sz w:val="19"/>
          <w:szCs w:val="19"/>
          <w:color w:val="auto"/>
        </w:rPr>
        <w:t>. Each of the Borrower and its Subsidiaries is in material compliance with (a) the Trading with the Enemy Act, as amended, and each of the foreign assets control regulations of the United States Treasury Department (31 CFR, Subtitle B, Chapter V, as amended) and any other enabling legislation or executive order relating thereto, and</w:t>
      </w:r>
    </w:p>
    <w:p>
      <w:pPr>
        <w:spacing w:after="0" w:line="2" w:lineRule="exact"/>
        <w:rPr>
          <w:sz w:val="20"/>
          <w:szCs w:val="20"/>
          <w:color w:val="auto"/>
        </w:rPr>
      </w:pPr>
    </w:p>
    <w:p>
      <w:pPr>
        <w:jc w:val="both"/>
        <w:ind w:firstLine="8"/>
        <w:spacing w:after="0" w:line="272" w:lineRule="auto"/>
        <w:tabs>
          <w:tab w:leader="none" w:pos="316"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the Uniting And Strengthening America By Providing Appropriate Tools Required To Intercept And Obstruct Terrorism (USA Patriot Act of 2001). No part of the proceeds of the Loans or Letters of 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Arial" w:cs="Arial" w:eastAsia="Arial" w:hAnsi="Arial"/>
          <w:sz w:val="19"/>
          <w:szCs w:val="19"/>
          <w:u w:val="single" w:color="auto"/>
          <w:color w:val="auto"/>
        </w:rPr>
        <w:t>Anti-Corruption Laws</w:t>
      </w:r>
      <w:r>
        <w:rPr>
          <w:rFonts w:ascii="Arial" w:cs="Arial" w:eastAsia="Arial" w:hAnsi="Arial"/>
          <w:sz w:val="19"/>
          <w:szCs w:val="19"/>
          <w:color w:val="auto"/>
        </w:rPr>
        <w:t>”) or (ii) for the purpose of financing the activities in or with any Sanctioned Country, or of any Person, at the time of such financing (A) subject to, or the subject of, any Sanctions or (B) located, organized or resident in a Sanctioned Country, in each case as would result in a violation of Sanctions.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9" w:name="page250"/>
    <w:bookmarkEnd w:id="249"/>
    <w:p>
      <w:pPr>
        <w:jc w:val="both"/>
        <w:ind w:firstLine="1755"/>
        <w:spacing w:after="0" w:line="236"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u w:val="single" w:color="auto"/>
          <w:color w:val="auto"/>
        </w:rPr>
        <w:t>Collateral Documents</w:t>
      </w:r>
      <w:r>
        <w:rPr>
          <w:rFonts w:ascii="Arial" w:cs="Arial" w:eastAsia="Arial" w:hAnsi="Arial"/>
          <w:sz w:val="22"/>
          <w:szCs w:val="22"/>
          <w:color w:val="auto"/>
        </w:rPr>
        <w:t xml:space="preserve">. The provisions of the Security Documents are effective to create in favor of the Collateral Agent a legal, valid and enforceable first priority Lien (subject to Liens permitted by </w:t>
      </w:r>
      <w:r>
        <w:rPr>
          <w:rFonts w:ascii="Arial" w:cs="Arial" w:eastAsia="Arial" w:hAnsi="Arial"/>
          <w:sz w:val="22"/>
          <w:szCs w:val="22"/>
          <w:u w:val="single" w:color="auto"/>
          <w:color w:val="auto"/>
        </w:rPr>
        <w:t>Section 6.02</w:t>
      </w:r>
      <w:r>
        <w:rPr>
          <w:rFonts w:ascii="Arial" w:cs="Arial" w:eastAsia="Arial" w:hAnsi="Arial"/>
          <w:sz w:val="22"/>
          <w:szCs w:val="22"/>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u w:val="single" w:color="auto"/>
          <w:color w:val="auto"/>
        </w:rPr>
        <w:t>EEA Financial Institutions</w:t>
      </w:r>
      <w:r>
        <w:rPr>
          <w:rFonts w:ascii="Arial" w:cs="Arial" w:eastAsia="Arial" w:hAnsi="Arial"/>
          <w:sz w:val="19"/>
          <w:szCs w:val="19"/>
          <w:color w:val="auto"/>
        </w:rPr>
        <w:t>.  Neither the Borrower nor any Subsidiary is an EEA Financial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Institution.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w:t>
      </w:r>
    </w:p>
    <w:p>
      <w:pPr>
        <w:spacing w:after="0" w:line="206" w:lineRule="exact"/>
        <w:rPr>
          <w:sz w:val="20"/>
          <w:szCs w:val="20"/>
          <w:color w:val="auto"/>
        </w:rPr>
      </w:pPr>
    </w:p>
    <w:p>
      <w:pPr>
        <w:jc w:val="both"/>
        <w:ind w:firstLine="1755"/>
        <w:spacing w:after="0" w:line="297"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The effectiveness of this Agreement and of the 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34" w:lineRule="exact"/>
        <w:rPr>
          <w:sz w:val="20"/>
          <w:szCs w:val="20"/>
          <w:color w:val="auto"/>
        </w:rPr>
      </w:pPr>
    </w:p>
    <w:p>
      <w:pPr>
        <w:ind w:firstLine="1763"/>
        <w:spacing w:after="0" w:line="328" w:lineRule="auto"/>
        <w:tabs>
          <w:tab w:leader="none" w:pos="2643" w:val="left"/>
        </w:tabs>
        <w:numPr>
          <w:ilvl w:val="2"/>
          <w:numId w:val="215"/>
        </w:numPr>
        <w:rPr>
          <w:rFonts w:ascii="Arial" w:cs="Arial" w:eastAsia="Arial" w:hAnsi="Arial"/>
          <w:sz w:val="19"/>
          <w:szCs w:val="19"/>
          <w:color w:val="auto"/>
        </w:rPr>
      </w:pPr>
      <w:r>
        <w:rPr>
          <w:rFonts w:ascii="Arial" w:cs="Arial" w:eastAsia="Arial" w:hAnsi="Arial"/>
          <w:sz w:val="19"/>
          <w:szCs w:val="19"/>
          <w:u w:val="single" w:color="auto"/>
          <w:color w:val="auto"/>
        </w:rPr>
        <w:t>Documents</w:t>
      </w:r>
      <w:r>
        <w:rPr>
          <w:rFonts w:ascii="Arial" w:cs="Arial" w:eastAsia="Arial" w:hAnsi="Arial"/>
          <w:sz w:val="19"/>
          <w:szCs w:val="19"/>
          <w:color w:val="auto"/>
        </w:rPr>
        <w:t>. Administrative Agent shall have received each of the following documents, each of which shall be satisfactory to the Administrative Agent (and to the extent specified below to each Lender) in form and substance:</w:t>
      </w:r>
    </w:p>
    <w:p>
      <w:pPr>
        <w:spacing w:after="0" w:line="105" w:lineRule="exact"/>
        <w:rPr>
          <w:rFonts w:ascii="Arial" w:cs="Arial" w:eastAsia="Arial" w:hAnsi="Arial"/>
          <w:sz w:val="19"/>
          <w:szCs w:val="19"/>
          <w:color w:val="auto"/>
        </w:rPr>
      </w:pPr>
    </w:p>
    <w:p>
      <w:pPr>
        <w:jc w:val="both"/>
        <w:ind w:left="880" w:firstLine="816"/>
        <w:spacing w:after="0" w:line="297" w:lineRule="auto"/>
        <w:tabs>
          <w:tab w:leader="none" w:pos="2542" w:val="left"/>
        </w:tabs>
        <w:numPr>
          <w:ilvl w:val="1"/>
          <w:numId w:val="216"/>
        </w:numPr>
        <w:rPr>
          <w:rFonts w:ascii="Arial" w:cs="Arial" w:eastAsia="Arial" w:hAnsi="Arial"/>
          <w:sz w:val="19"/>
          <w:szCs w:val="19"/>
          <w:color w:val="auto"/>
        </w:rPr>
      </w:pPr>
      <w:r>
        <w:rPr>
          <w:rFonts w:ascii="Arial" w:cs="Arial" w:eastAsia="Arial" w:hAnsi="Arial"/>
          <w:sz w:val="19"/>
          <w:szCs w:val="19"/>
          <w:u w:val="single" w:color="auto"/>
          <w:color w:val="auto"/>
        </w:rPr>
        <w:t>Executed Counterparts</w:t>
      </w:r>
      <w:r>
        <w:rPr>
          <w:rFonts w:ascii="Arial" w:cs="Arial" w:eastAsia="Arial" w:hAnsi="Arial"/>
          <w:sz w:val="19"/>
          <w:szCs w:val="19"/>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134" w:lineRule="exact"/>
        <w:rPr>
          <w:rFonts w:ascii="Arial" w:cs="Arial" w:eastAsia="Arial" w:hAnsi="Arial"/>
          <w:sz w:val="19"/>
          <w:szCs w:val="19"/>
          <w:color w:val="auto"/>
        </w:rPr>
      </w:pPr>
    </w:p>
    <w:p>
      <w:pPr>
        <w:jc w:val="both"/>
        <w:ind w:left="880" w:firstLine="816"/>
        <w:spacing w:after="0" w:line="235" w:lineRule="auto"/>
        <w:tabs>
          <w:tab w:leader="none" w:pos="2602" w:val="left"/>
        </w:tabs>
        <w:numPr>
          <w:ilvl w:val="1"/>
          <w:numId w:val="216"/>
        </w:numPr>
        <w:rPr>
          <w:rFonts w:ascii="Arial" w:cs="Arial" w:eastAsia="Arial" w:hAnsi="Arial"/>
          <w:sz w:val="22"/>
          <w:szCs w:val="22"/>
          <w:color w:val="auto"/>
        </w:rPr>
      </w:pPr>
      <w:r>
        <w:rPr>
          <w:rFonts w:ascii="Arial" w:cs="Arial" w:eastAsia="Arial" w:hAnsi="Arial"/>
          <w:sz w:val="22"/>
          <w:szCs w:val="22"/>
          <w:u w:val="single" w:color="auto"/>
          <w:color w:val="auto"/>
        </w:rPr>
        <w:t>Opinion of Counsel to the Borrower</w:t>
      </w:r>
      <w:r>
        <w:rPr>
          <w:rFonts w:ascii="Arial" w:cs="Arial" w:eastAsia="Arial" w:hAnsi="Arial"/>
          <w:sz w:val="22"/>
          <w:szCs w:val="22"/>
          <w:color w:val="auto"/>
        </w:rPr>
        <w:t>. A favorable written opinion (addressed to the Administrative Agent and the Lenders and dated the Effective Date) of (A) 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188" w:lineRule="exact"/>
        <w:rPr>
          <w:rFonts w:ascii="Arial" w:cs="Arial" w:eastAsia="Arial" w:hAnsi="Arial"/>
          <w:sz w:val="22"/>
          <w:szCs w:val="22"/>
          <w:color w:val="auto"/>
        </w:rPr>
      </w:pPr>
    </w:p>
    <w:p>
      <w:pPr>
        <w:jc w:val="both"/>
        <w:ind w:left="880" w:firstLine="816"/>
        <w:spacing w:after="0" w:line="238" w:lineRule="auto"/>
        <w:tabs>
          <w:tab w:leader="none" w:pos="2662" w:val="left"/>
        </w:tabs>
        <w:numPr>
          <w:ilvl w:val="1"/>
          <w:numId w:val="216"/>
        </w:numPr>
        <w:rPr>
          <w:rFonts w:ascii="Arial" w:cs="Arial" w:eastAsia="Arial" w:hAnsi="Arial"/>
          <w:sz w:val="22"/>
          <w:szCs w:val="22"/>
          <w:color w:val="auto"/>
        </w:rPr>
      </w:pPr>
      <w:r>
        <w:rPr>
          <w:rFonts w:ascii="Arial" w:cs="Arial" w:eastAsia="Arial" w:hAnsi="Arial"/>
          <w:sz w:val="22"/>
          <w:szCs w:val="22"/>
          <w:u w:val="single" w:color="auto"/>
          <w:color w:val="auto"/>
        </w:rPr>
        <w:t>Corporate Documents</w:t>
      </w:r>
      <w:r>
        <w:rPr>
          <w:rFonts w:ascii="Arial" w:cs="Arial" w:eastAsia="Arial" w:hAnsi="Arial"/>
          <w:sz w:val="22"/>
          <w:szCs w:val="22"/>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185" w:lineRule="exact"/>
        <w:rPr>
          <w:rFonts w:ascii="Arial" w:cs="Arial" w:eastAsia="Arial" w:hAnsi="Arial"/>
          <w:sz w:val="22"/>
          <w:szCs w:val="22"/>
          <w:color w:val="auto"/>
        </w:rPr>
      </w:pPr>
    </w:p>
    <w:p>
      <w:pPr>
        <w:ind w:left="880" w:right="20" w:firstLine="793"/>
        <w:spacing w:after="0"/>
        <w:tabs>
          <w:tab w:leader="none" w:pos="2628"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0" w:name="page251"/>
    <w:bookmarkEnd w:id="250"/>
    <w:p>
      <w:pPr>
        <w:jc w:val="both"/>
        <w:ind w:firstLine="1763"/>
        <w:spacing w:after="0"/>
        <w:tabs>
          <w:tab w:leader="none" w:pos="2655"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Fees and Expenses</w:t>
      </w:r>
      <w:r>
        <w:rPr>
          <w:rFonts w:ascii="Arial" w:cs="Arial" w:eastAsia="Arial" w:hAnsi="Arial"/>
          <w:sz w:val="22"/>
          <w:szCs w:val="22"/>
          <w:color w:val="auto"/>
        </w:rPr>
        <w:t>. Confirmation of receipt by the Administrative Agent, for the benefit of the Lenders, of the fees required to be paid by the Borrower pursuant to that certain fee letter, dated as of the date hereof, among the Borrower, the Administrative Agent and the other parties thereto.</w:t>
      </w:r>
    </w:p>
    <w:p>
      <w:pPr>
        <w:spacing w:after="0" w:line="186" w:lineRule="exact"/>
        <w:rPr>
          <w:sz w:val="20"/>
          <w:szCs w:val="20"/>
          <w:color w:val="auto"/>
        </w:rPr>
      </w:pPr>
    </w:p>
    <w:p>
      <w:pPr>
        <w:ind w:right="20" w:firstLine="1755"/>
        <w:spacing w:after="0" w:line="328"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Each Credit Event</w:t>
      </w:r>
      <w:r>
        <w:rPr>
          <w:rFonts w:ascii="Arial" w:cs="Arial" w:eastAsia="Arial" w:hAnsi="Arial"/>
          <w:sz w:val="19"/>
          <w:szCs w:val="19"/>
          <w:color w:val="auto"/>
        </w:rPr>
        <w:t>. The obligation of each Lender to make any Loan, and of each Issuing Bank to issue, amend, renew or extend any Letter of Credit, is additionally subject to the satisfaction of the following conditions:</w:t>
      </w:r>
    </w:p>
    <w:p>
      <w:pPr>
        <w:spacing w:after="0" w:line="105" w:lineRule="exact"/>
        <w:rPr>
          <w:sz w:val="20"/>
          <w:szCs w:val="20"/>
          <w:color w:val="auto"/>
        </w:rPr>
      </w:pPr>
    </w:p>
    <w:p>
      <w:pPr>
        <w:jc w:val="both"/>
        <w:ind w:firstLine="1763"/>
        <w:spacing w:after="0" w:line="236" w:lineRule="auto"/>
        <w:tabs>
          <w:tab w:leader="none" w:pos="2643" w:val="left"/>
        </w:tabs>
        <w:numPr>
          <w:ilvl w:val="1"/>
          <w:numId w:val="219"/>
        </w:numPr>
        <w:rPr>
          <w:rFonts w:ascii="Arial" w:cs="Arial" w:eastAsia="Arial" w:hAnsi="Arial"/>
          <w:sz w:val="22"/>
          <w:szCs w:val="22"/>
          <w:color w:val="auto"/>
        </w:rPr>
      </w:pPr>
      <w:r>
        <w:rPr>
          <w:rFonts w:ascii="Arial" w:cs="Arial" w:eastAsia="Arial" w:hAnsi="Arial"/>
          <w:sz w:val="22"/>
          <w:szCs w:val="22"/>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87" w:lineRule="exact"/>
        <w:rPr>
          <w:rFonts w:ascii="Arial" w:cs="Arial" w:eastAsia="Arial" w:hAnsi="Arial"/>
          <w:sz w:val="22"/>
          <w:szCs w:val="22"/>
          <w:color w:val="auto"/>
        </w:rPr>
      </w:pPr>
    </w:p>
    <w:p>
      <w:pPr>
        <w:ind w:firstLine="1763"/>
        <w:spacing w:after="0" w:line="274" w:lineRule="auto"/>
        <w:tabs>
          <w:tab w:leader="none" w:pos="2655" w:val="left"/>
        </w:tabs>
        <w:numPr>
          <w:ilvl w:val="1"/>
          <w:numId w:val="219"/>
        </w:numPr>
        <w:rPr>
          <w:rFonts w:ascii="Arial" w:cs="Arial" w:eastAsia="Arial" w:hAnsi="Arial"/>
          <w:sz w:val="21"/>
          <w:szCs w:val="21"/>
          <w:color w:val="auto"/>
        </w:rPr>
      </w:pPr>
      <w:r>
        <w:rPr>
          <w:rFonts w:ascii="Arial" w:cs="Arial" w:eastAsia="Arial" w:hAnsi="Arial"/>
          <w:sz w:val="21"/>
          <w:szCs w:val="21"/>
          <w:color w:val="auto"/>
        </w:rPr>
        <w:t>at the time of and immediately after giving effect to such Loan or the issuance, amendment, renewal or extension of such Letter of Credit, as applicable, no Default shall have occurred and be continuing; and</w:t>
      </w:r>
    </w:p>
    <w:p>
      <w:pPr>
        <w:spacing w:after="0" w:line="150" w:lineRule="exact"/>
        <w:rPr>
          <w:rFonts w:ascii="Arial" w:cs="Arial" w:eastAsia="Arial" w:hAnsi="Arial"/>
          <w:sz w:val="21"/>
          <w:szCs w:val="21"/>
          <w:color w:val="auto"/>
        </w:rPr>
      </w:pPr>
    </w:p>
    <w:p>
      <w:pPr>
        <w:jc w:val="both"/>
        <w:ind w:firstLine="1763"/>
        <w:spacing w:after="0" w:line="276" w:lineRule="auto"/>
        <w:tabs>
          <w:tab w:leader="none" w:pos="2643" w:val="left"/>
        </w:tabs>
        <w:numPr>
          <w:ilvl w:val="1"/>
          <w:numId w:val="219"/>
        </w:numPr>
        <w:rPr>
          <w:rFonts w:ascii="Arial" w:cs="Arial" w:eastAsia="Arial" w:hAnsi="Arial"/>
          <w:sz w:val="19"/>
          <w:szCs w:val="19"/>
          <w:color w:val="auto"/>
        </w:rPr>
      </w:pPr>
      <w:r>
        <w:rPr>
          <w:rFonts w:ascii="Arial" w:cs="Arial" w:eastAsia="Arial" w:hAnsi="Arial"/>
          <w:sz w:val="19"/>
          <w:szCs w:val="19"/>
          <w:color w:val="auto"/>
        </w:rPr>
        <w:t>either (i) the aggregate Covered Debt Amount (after giving effect to such extension of credit) shall not exceed the Borrowing Base reflected on the Borrowing Base Certificate most recently delivered to the Administrative Agent or</w:t>
      </w:r>
    </w:p>
    <w:p>
      <w:pPr>
        <w:spacing w:after="0" w:line="1" w:lineRule="exact"/>
        <w:rPr>
          <w:rFonts w:ascii="Arial" w:cs="Arial" w:eastAsia="Arial" w:hAnsi="Arial"/>
          <w:sz w:val="19"/>
          <w:szCs w:val="19"/>
          <w:color w:val="auto"/>
        </w:rPr>
      </w:pPr>
    </w:p>
    <w:p>
      <w:pPr>
        <w:jc w:val="both"/>
        <w:ind w:firstLine="8"/>
        <w:spacing w:after="0" w:line="233" w:lineRule="auto"/>
        <w:tabs>
          <w:tab w:leader="none" w:pos="33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spacing w:after="0" w:line="188" w:lineRule="exact"/>
        <w:rPr>
          <w:sz w:val="20"/>
          <w:szCs w:val="20"/>
          <w:color w:val="auto"/>
        </w:rPr>
      </w:pPr>
    </w:p>
    <w:p>
      <w:pPr>
        <w:jc w:val="both"/>
        <w:ind w:right="20" w:firstLine="1755"/>
        <w:spacing w:after="0" w:line="328" w:lineRule="auto"/>
        <w:rPr>
          <w:sz w:val="20"/>
          <w:szCs w:val="20"/>
          <w:color w:val="auto"/>
        </w:rPr>
      </w:pPr>
      <w:r>
        <w:rPr>
          <w:rFonts w:ascii="Arial" w:cs="Arial" w:eastAsia="Arial" w:hAnsi="Arial"/>
          <w:sz w:val="19"/>
          <w:szCs w:val="19"/>
          <w:color w:val="auto"/>
        </w:rPr>
        <w:t>Each Borrowing and each issuance, amendment, renewal or extension of a Letter of Credit shall be deemed to constitute a representation and warranty by the Borrower on the date thereof as to the matters specified in the preceding sentence.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AFFIRMATIVE COVENANTS</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85"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Financial Statements and Other Information</w:t>
      </w:r>
      <w:r>
        <w:rPr>
          <w:rFonts w:ascii="Arial" w:cs="Arial" w:eastAsia="Arial" w:hAnsi="Arial"/>
          <w:sz w:val="22"/>
          <w:szCs w:val="22"/>
          <w:color w:val="auto"/>
        </w:rPr>
        <w:t>. The Borrower will furnish to the Administrative Agent and each Lender: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1" w:name="page252"/>
    <w:bookmarkEnd w:id="251"/>
    <w:p>
      <w:pPr>
        <w:jc w:val="both"/>
        <w:ind w:firstLine="1763"/>
        <w:spacing w:after="0" w:line="246" w:lineRule="auto"/>
        <w:tabs>
          <w:tab w:leader="none" w:pos="2643" w:val="left"/>
        </w:tabs>
        <w:numPr>
          <w:ilvl w:val="0"/>
          <w:numId w:val="221"/>
        </w:numPr>
        <w:rPr>
          <w:rFonts w:ascii="Arial" w:cs="Arial" w:eastAsia="Arial" w:hAnsi="Arial"/>
          <w:sz w:val="21"/>
          <w:szCs w:val="21"/>
          <w:color w:val="auto"/>
        </w:rPr>
      </w:pPr>
      <w:r>
        <w:rPr>
          <w:rFonts w:ascii="Arial" w:cs="Arial" w:eastAsia="Arial" w:hAnsi="Arial"/>
          <w:sz w:val="21"/>
          <w:szCs w:val="21"/>
          <w:color w:val="auto"/>
        </w:rPr>
        <w:t xml:space="preserve">within 90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requirements set forth in this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may be fulfilled by providing to the Administrative Agent and the Lenders the report of the Borrower to the SEC on Form 10-K for the applicable fiscal year;</w:t>
      </w:r>
    </w:p>
    <w:p>
      <w:pPr>
        <w:spacing w:after="0" w:line="180" w:lineRule="exact"/>
        <w:rPr>
          <w:rFonts w:ascii="Arial" w:cs="Arial" w:eastAsia="Arial" w:hAnsi="Arial"/>
          <w:sz w:val="21"/>
          <w:szCs w:val="21"/>
          <w:color w:val="auto"/>
        </w:rPr>
      </w:pPr>
    </w:p>
    <w:p>
      <w:pPr>
        <w:jc w:val="both"/>
        <w:ind w:firstLine="1763"/>
        <w:spacing w:after="0" w:line="274" w:lineRule="auto"/>
        <w:tabs>
          <w:tab w:leader="none" w:pos="2655"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within 45 days after the end of each of the first three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requirements set forth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may be fulfilled by providing to the Lenders the report of the Borrower to the SEC on Form 10-Q for the applicable quarterly period;</w:t>
      </w:r>
    </w:p>
    <w:p>
      <w:pPr>
        <w:spacing w:after="0" w:line="158" w:lineRule="exact"/>
        <w:rPr>
          <w:rFonts w:ascii="Arial" w:cs="Arial" w:eastAsia="Arial" w:hAnsi="Arial"/>
          <w:sz w:val="19"/>
          <w:szCs w:val="19"/>
          <w:color w:val="auto"/>
        </w:rPr>
      </w:pPr>
    </w:p>
    <w:p>
      <w:pPr>
        <w:jc w:val="both"/>
        <w:ind w:firstLine="1763"/>
        <w:spacing w:after="0" w:line="246" w:lineRule="auto"/>
        <w:tabs>
          <w:tab w:leader="none" w:pos="2643" w:val="left"/>
        </w:tabs>
        <w:numPr>
          <w:ilvl w:val="0"/>
          <w:numId w:val="221"/>
        </w:numPr>
        <w:rPr>
          <w:rFonts w:ascii="Arial" w:cs="Arial" w:eastAsia="Arial" w:hAnsi="Arial"/>
          <w:sz w:val="21"/>
          <w:szCs w:val="21"/>
          <w:color w:val="auto"/>
        </w:rPr>
      </w:pPr>
      <w:r>
        <w:rPr>
          <w:rFonts w:ascii="Arial" w:cs="Arial" w:eastAsia="Arial" w:hAnsi="Arial"/>
          <w:sz w:val="21"/>
          <w:szCs w:val="21"/>
          <w:color w:val="auto"/>
        </w:rPr>
        <w:t xml:space="preserve">concurrently with any delivery of financial statements under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this Section, a certificate of a Financial Officer of the Borrower (i) 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Arial" w:cs="Arial" w:eastAsia="Arial" w:hAnsi="Arial"/>
          <w:sz w:val="21"/>
          <w:szCs w:val="21"/>
          <w:u w:val="single" w:color="auto"/>
          <w:color w:val="auto"/>
        </w:rPr>
        <w:t>Sections 6.01</w:t>
      </w:r>
      <w:r>
        <w:rPr>
          <w:rFonts w:ascii="Arial" w:cs="Arial" w:eastAsia="Arial" w:hAnsi="Arial"/>
          <w:sz w:val="21"/>
          <w:szCs w:val="21"/>
          <w:color w:val="auto"/>
        </w:rPr>
        <w:t xml:space="preserve">, </w:t>
      </w:r>
      <w:r>
        <w:rPr>
          <w:rFonts w:ascii="Arial" w:cs="Arial" w:eastAsia="Arial" w:hAnsi="Arial"/>
          <w:sz w:val="21"/>
          <w:szCs w:val="21"/>
          <w:u w:val="single" w:color="auto"/>
          <w:color w:val="auto"/>
        </w:rPr>
        <w:t>6.02</w:t>
      </w:r>
      <w:r>
        <w:rPr>
          <w:rFonts w:ascii="Arial" w:cs="Arial" w:eastAsia="Arial" w:hAnsi="Arial"/>
          <w:sz w:val="21"/>
          <w:szCs w:val="21"/>
          <w:color w:val="auto"/>
        </w:rPr>
        <w:t xml:space="preserve">, </w:t>
      </w:r>
      <w:r>
        <w:rPr>
          <w:rFonts w:ascii="Arial" w:cs="Arial" w:eastAsia="Arial" w:hAnsi="Arial"/>
          <w:sz w:val="21"/>
          <w:szCs w:val="21"/>
          <w:u w:val="single" w:color="auto"/>
          <w:color w:val="auto"/>
        </w:rPr>
        <w:t>6.04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6.07</w:t>
      </w:r>
      <w:r>
        <w:rPr>
          <w:rFonts w:ascii="Arial" w:cs="Arial" w:eastAsia="Arial" w:hAnsi="Arial"/>
          <w:sz w:val="21"/>
          <w:szCs w:val="21"/>
          <w:color w:val="auto"/>
        </w:rPr>
        <w:t xml:space="preserve"> and (iv)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180" w:lineRule="exact"/>
        <w:rPr>
          <w:rFonts w:ascii="Arial" w:cs="Arial" w:eastAsia="Arial" w:hAnsi="Arial"/>
          <w:sz w:val="21"/>
          <w:szCs w:val="21"/>
          <w:color w:val="auto"/>
        </w:rPr>
      </w:pPr>
    </w:p>
    <w:p>
      <w:pPr>
        <w:jc w:val="both"/>
        <w:ind w:firstLine="1763"/>
        <w:spacing w:after="0" w:line="238" w:lineRule="auto"/>
        <w:tabs>
          <w:tab w:leader="none" w:pos="2655" w:val="left"/>
        </w:tabs>
        <w:numPr>
          <w:ilvl w:val="0"/>
          <w:numId w:val="221"/>
        </w:numPr>
        <w:rPr>
          <w:rFonts w:ascii="Arial" w:cs="Arial" w:eastAsia="Arial" w:hAnsi="Arial"/>
          <w:sz w:val="22"/>
          <w:szCs w:val="22"/>
          <w:color w:val="auto"/>
        </w:rPr>
      </w:pPr>
      <w:r>
        <w:rPr>
          <w:rFonts w:ascii="Arial" w:cs="Arial" w:eastAsia="Arial" w:hAnsi="Arial"/>
          <w:sz w:val="22"/>
          <w:szCs w:val="22"/>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w:t>
      </w:r>
    </w:p>
    <w:p>
      <w:pPr>
        <w:spacing w:after="0" w:line="185" w:lineRule="exact"/>
        <w:rPr>
          <w:rFonts w:ascii="Arial" w:cs="Arial" w:eastAsia="Arial" w:hAnsi="Arial"/>
          <w:sz w:val="22"/>
          <w:szCs w:val="22"/>
          <w:color w:val="auto"/>
        </w:rPr>
      </w:pPr>
    </w:p>
    <w:p>
      <w:pPr>
        <w:jc w:val="both"/>
        <w:ind w:firstLine="1763"/>
        <w:spacing w:after="0" w:line="235" w:lineRule="auto"/>
        <w:tabs>
          <w:tab w:leader="none" w:pos="2643" w:val="left"/>
        </w:tabs>
        <w:numPr>
          <w:ilvl w:val="0"/>
          <w:numId w:val="221"/>
        </w:numPr>
        <w:rPr>
          <w:rFonts w:ascii="Arial" w:cs="Arial" w:eastAsia="Arial" w:hAnsi="Arial"/>
          <w:sz w:val="22"/>
          <w:szCs w:val="22"/>
          <w:color w:val="auto"/>
        </w:rPr>
      </w:pPr>
      <w:r>
        <w:rPr>
          <w:rFonts w:ascii="Arial" w:cs="Arial" w:eastAsia="Arial" w:hAnsi="Arial"/>
          <w:sz w:val="22"/>
          <w:szCs w:val="22"/>
          <w:color w:val="auto"/>
        </w:rPr>
        <w:t>promptly but no later than five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the Borrowing Base Deficiency as of the date not earlier than one Business Day prior to the date the Borrowing Base Certificate is delivered pursuant to this paragraph;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2" w:name="page253"/>
    <w:bookmarkEnd w:id="252"/>
    <w:p>
      <w:pPr>
        <w:jc w:val="both"/>
        <w:ind w:firstLine="1763"/>
        <w:spacing w:after="0" w:line="238" w:lineRule="auto"/>
        <w:tabs>
          <w:tab w:leader="none" w:pos="2619" w:val="left"/>
        </w:tabs>
        <w:numPr>
          <w:ilvl w:val="0"/>
          <w:numId w:val="222"/>
        </w:numPr>
        <w:rPr>
          <w:rFonts w:ascii="Arial" w:cs="Arial" w:eastAsia="Arial" w:hAnsi="Arial"/>
          <w:sz w:val="22"/>
          <w:szCs w:val="22"/>
          <w:color w:val="auto"/>
        </w:rPr>
      </w:pPr>
      <w:r>
        <w:rPr>
          <w:rFonts w:ascii="Arial" w:cs="Arial" w:eastAsia="Arial" w:hAnsi="Arial"/>
          <w:sz w:val="22"/>
          <w:szCs w:val="22"/>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85" w:lineRule="exact"/>
        <w:rPr>
          <w:rFonts w:ascii="Arial" w:cs="Arial" w:eastAsia="Arial" w:hAnsi="Arial"/>
          <w:sz w:val="22"/>
          <w:szCs w:val="22"/>
          <w:color w:val="auto"/>
        </w:rPr>
      </w:pPr>
    </w:p>
    <w:p>
      <w:pPr>
        <w:jc w:val="both"/>
        <w:ind w:firstLine="1763"/>
        <w:spacing w:after="0" w:line="238" w:lineRule="auto"/>
        <w:tabs>
          <w:tab w:leader="none" w:pos="2655" w:val="left"/>
        </w:tabs>
        <w:numPr>
          <w:ilvl w:val="0"/>
          <w:numId w:val="222"/>
        </w:numPr>
        <w:rPr>
          <w:rFonts w:ascii="Arial" w:cs="Arial" w:eastAsia="Arial" w:hAnsi="Arial"/>
          <w:sz w:val="22"/>
          <w:szCs w:val="22"/>
          <w:color w:val="auto"/>
        </w:rPr>
      </w:pPr>
      <w:r>
        <w:rPr>
          <w:rFonts w:ascii="Arial" w:cs="Arial" w:eastAsia="Arial" w:hAnsi="Arial"/>
          <w:sz w:val="22"/>
          <w:szCs w:val="22"/>
          <w:color w:val="auto"/>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85" w:lineRule="exact"/>
        <w:rPr>
          <w:rFonts w:ascii="Arial" w:cs="Arial" w:eastAsia="Arial" w:hAnsi="Arial"/>
          <w:sz w:val="22"/>
          <w:szCs w:val="22"/>
          <w:color w:val="auto"/>
        </w:rPr>
      </w:pPr>
    </w:p>
    <w:p>
      <w:pPr>
        <w:jc w:val="both"/>
        <w:ind w:firstLine="1763"/>
        <w:spacing w:after="0"/>
        <w:tabs>
          <w:tab w:leader="none" w:pos="2655" w:val="left"/>
        </w:tabs>
        <w:numPr>
          <w:ilvl w:val="0"/>
          <w:numId w:val="222"/>
        </w:numPr>
        <w:rPr>
          <w:rFonts w:ascii="Arial" w:cs="Arial" w:eastAsia="Arial" w:hAnsi="Arial"/>
          <w:sz w:val="22"/>
          <w:szCs w:val="22"/>
          <w:color w:val="auto"/>
        </w:rPr>
      </w:pPr>
      <w:r>
        <w:rPr>
          <w:rFonts w:ascii="Arial" w:cs="Arial" w:eastAsia="Arial" w:hAnsi="Arial"/>
          <w:sz w:val="22"/>
          <w:szCs w:val="22"/>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186" w:lineRule="exact"/>
        <w:rPr>
          <w:rFonts w:ascii="Arial" w:cs="Arial" w:eastAsia="Arial" w:hAnsi="Arial"/>
          <w:sz w:val="22"/>
          <w:szCs w:val="22"/>
          <w:color w:val="auto"/>
        </w:rPr>
      </w:pPr>
    </w:p>
    <w:p>
      <w:pPr>
        <w:jc w:val="both"/>
        <w:ind w:firstLine="1763"/>
        <w:spacing w:after="0" w:line="245" w:lineRule="auto"/>
        <w:tabs>
          <w:tab w:leader="none" w:pos="2607" w:val="left"/>
        </w:tabs>
        <w:numPr>
          <w:ilvl w:val="0"/>
          <w:numId w:val="222"/>
        </w:numPr>
        <w:rPr>
          <w:rFonts w:ascii="Arial" w:cs="Arial" w:eastAsia="Arial" w:hAnsi="Arial"/>
          <w:sz w:val="21"/>
          <w:szCs w:val="21"/>
          <w:color w:val="auto"/>
        </w:rPr>
      </w:pPr>
      <w:r>
        <w:rPr>
          <w:rFonts w:ascii="Arial" w:cs="Arial" w:eastAsia="Arial" w:hAnsi="Arial"/>
          <w:sz w:val="21"/>
          <w:szCs w:val="21"/>
          <w:color w:val="auto"/>
        </w:rPr>
        <w:t xml:space="preserve">Borrower and each Lender acknowledge that certain of the Lenders may be Public Lenders and, if documents or notices required to be delivered pursuant to this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or otherwise are being distributed through IntraLinks/IntraAgency, SyndTrak or another relevant website or other information platform (the “</w:t>
      </w:r>
      <w:r>
        <w:rPr>
          <w:rFonts w:ascii="Arial" w:cs="Arial" w:eastAsia="Arial" w:hAnsi="Arial"/>
          <w:sz w:val="21"/>
          <w:szCs w:val="21"/>
          <w:u w:val="single" w:color="auto"/>
          <w:color w:val="auto"/>
        </w:rPr>
        <w:t>Platform</w:t>
      </w:r>
      <w:r>
        <w:rPr>
          <w:rFonts w:ascii="Arial" w:cs="Arial" w:eastAsia="Arial" w:hAnsi="Arial"/>
          <w:sz w:val="21"/>
          <w:szCs w:val="21"/>
          <w:color w:val="auto"/>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21"/>
          <w:szCs w:val="21"/>
          <w:u w:val="single" w:color="auto"/>
          <w:color w:val="auto"/>
        </w:rPr>
        <w:t>Section 5.13</w:t>
      </w:r>
      <w:r>
        <w:rPr>
          <w:rFonts w:ascii="Arial" w:cs="Arial" w:eastAsia="Arial" w:hAnsi="Arial"/>
          <w:sz w:val="21"/>
          <w:szCs w:val="21"/>
          <w:color w:val="auto"/>
        </w:rPr>
        <w:t xml:space="preserve"> of this Agreement).</w:t>
      </w:r>
    </w:p>
    <w:p>
      <w:pPr>
        <w:spacing w:after="0" w:line="181" w:lineRule="exact"/>
        <w:rPr>
          <w:rFonts w:ascii="Arial" w:cs="Arial" w:eastAsia="Arial" w:hAnsi="Arial"/>
          <w:sz w:val="21"/>
          <w:szCs w:val="21"/>
          <w:color w:val="auto"/>
        </w:rPr>
      </w:pPr>
    </w:p>
    <w:p>
      <w:pPr>
        <w:jc w:val="both"/>
        <w:ind w:firstLine="1763"/>
        <w:spacing w:after="0" w:line="238" w:lineRule="auto"/>
        <w:tabs>
          <w:tab w:leader="none" w:pos="2607" w:val="left"/>
        </w:tabs>
        <w:numPr>
          <w:ilvl w:val="0"/>
          <w:numId w:val="222"/>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herein, the requirements to deliver documents set forth in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(g)</w:t>
      </w:r>
      <w:r>
        <w:rPr>
          <w:rFonts w:ascii="Arial" w:cs="Arial" w:eastAsia="Arial" w:hAnsi="Arial"/>
          <w:sz w:val="22"/>
          <w:szCs w:val="22"/>
          <w:color w:val="auto"/>
        </w:rPr>
        <w:t xml:space="preserve"> will be fulfilled by filing by the Borrower of the applicable documents for public availability on the SEC’s Electronic Data Gathering and Retrieval system; </w:t>
      </w:r>
      <w:r>
        <w:rPr>
          <w:rFonts w:ascii="Arial" w:cs="Arial" w:eastAsia="Arial" w:hAnsi="Arial"/>
          <w:sz w:val="22"/>
          <w:szCs w:val="22"/>
          <w:u w:val="single" w:color="auto"/>
          <w:color w:val="auto"/>
        </w:rPr>
        <w:t>provided</w:t>
      </w:r>
      <w:r>
        <w:rPr>
          <w:rFonts w:ascii="Arial" w:cs="Arial" w:eastAsia="Arial" w:hAnsi="Arial"/>
          <w:sz w:val="22"/>
          <w:szCs w:val="22"/>
          <w:color w:val="auto"/>
        </w:rPr>
        <w:t>, that the Borrower shall notify the Administrative Agent (by telecopier or electronic mail) of the posting of any such documents.</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Notices of Material Events</w:t>
      </w:r>
      <w:r>
        <w:rPr>
          <w:rFonts w:ascii="Arial" w:cs="Arial" w:eastAsia="Arial" w:hAnsi="Arial"/>
          <w:sz w:val="19"/>
          <w:szCs w:val="19"/>
          <w:color w:val="auto"/>
        </w:rPr>
        <w:t>. The Borrower will furnish to the Administrative Agent and each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Lender prompt written notice upon any Responsible Officer obtaining knowledge of the following:</w:t>
      </w:r>
    </w:p>
    <w:p>
      <w:pPr>
        <w:spacing w:after="0" w:line="188" w:lineRule="exact"/>
        <w:rPr>
          <w:sz w:val="20"/>
          <w:szCs w:val="20"/>
          <w:color w:val="auto"/>
        </w:rPr>
      </w:pPr>
    </w:p>
    <w:p>
      <w:pPr>
        <w:ind w:left="2660" w:hanging="897"/>
        <w:spacing w:after="0"/>
        <w:tabs>
          <w:tab w:leader="none" w:pos="266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occurrence of any Default;</w:t>
      </w:r>
    </w:p>
    <w:p>
      <w:pPr>
        <w:spacing w:after="0" w:line="206" w:lineRule="exact"/>
        <w:rPr>
          <w:rFonts w:ascii="Arial" w:cs="Arial" w:eastAsia="Arial" w:hAnsi="Arial"/>
          <w:sz w:val="22"/>
          <w:szCs w:val="22"/>
          <w:color w:val="auto"/>
        </w:rPr>
      </w:pPr>
    </w:p>
    <w:p>
      <w:pPr>
        <w:jc w:val="both"/>
        <w:ind w:firstLine="1763"/>
        <w:spacing w:after="0"/>
        <w:tabs>
          <w:tab w:leader="none" w:pos="2655"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3" w:name="page254"/>
    <w:bookmarkEnd w:id="253"/>
    <w:p>
      <w:pPr>
        <w:jc w:val="both"/>
        <w:ind w:right="20" w:firstLine="1763"/>
        <w:spacing w:after="0"/>
        <w:tabs>
          <w:tab w:leader="none" w:pos="2643" w:val="left"/>
        </w:tabs>
        <w:numPr>
          <w:ilvl w:val="0"/>
          <w:numId w:val="224"/>
        </w:numPr>
        <w:rPr>
          <w:rFonts w:ascii="Arial" w:cs="Arial" w:eastAsia="Arial" w:hAnsi="Arial"/>
          <w:sz w:val="22"/>
          <w:szCs w:val="22"/>
          <w:color w:val="auto"/>
        </w:rPr>
      </w:pPr>
      <w:r>
        <w:rPr>
          <w:rFonts w:ascii="Arial" w:cs="Arial" w:eastAsia="Arial" w:hAnsi="Arial"/>
          <w:sz w:val="22"/>
          <w:szCs w:val="22"/>
          <w:color w:val="auto"/>
        </w:rPr>
        <w:t>the occurrence of any ERISA Event that, alone or together with any other ERISA Events that have occurred, could reasonably be expected to result in liability of the Borrower and its Subsidiaries in an aggregate amount exceeding $25,000,000; and</w:t>
      </w:r>
    </w:p>
    <w:p>
      <w:pPr>
        <w:spacing w:after="0" w:line="186" w:lineRule="exact"/>
        <w:rPr>
          <w:rFonts w:ascii="Arial" w:cs="Arial" w:eastAsia="Arial" w:hAnsi="Arial"/>
          <w:sz w:val="22"/>
          <w:szCs w:val="22"/>
          <w:color w:val="auto"/>
        </w:rPr>
      </w:pPr>
    </w:p>
    <w:p>
      <w:pPr>
        <w:jc w:val="both"/>
        <w:ind w:firstLine="1763"/>
        <w:spacing w:after="0"/>
        <w:tabs>
          <w:tab w:leader="none" w:pos="2655" w:val="left"/>
        </w:tabs>
        <w:numPr>
          <w:ilvl w:val="0"/>
          <w:numId w:val="224"/>
        </w:numPr>
        <w:rPr>
          <w:rFonts w:ascii="Arial" w:cs="Arial" w:eastAsia="Arial" w:hAnsi="Arial"/>
          <w:sz w:val="22"/>
          <w:szCs w:val="22"/>
          <w:color w:val="auto"/>
        </w:rPr>
      </w:pPr>
      <w:r>
        <w:rPr>
          <w:rFonts w:ascii="Arial" w:cs="Arial" w:eastAsia="Arial" w:hAnsi="Arial"/>
          <w:sz w:val="22"/>
          <w:szCs w:val="22"/>
          <w:color w:val="auto"/>
        </w:rPr>
        <w:t>any other development (excluding matters of a general economic, financial or political nature to the extent that they could not reasonably be expected to have a disproportionate effect on the Borrower) that results in, or could reasonably be expected to result in, a Material Adverse Effect.</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6"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Existence: Conduct of Business</w:t>
      </w:r>
      <w:r>
        <w:rPr>
          <w:rFonts w:ascii="Arial" w:cs="Arial" w:eastAsia="Arial" w:hAnsi="Arial"/>
          <w:sz w:val="19"/>
          <w:szCs w:val="19"/>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any merger, consolidation, liquidation or dissolution permitted under </w:t>
      </w:r>
      <w:r>
        <w:rPr>
          <w:rFonts w:ascii="Arial" w:cs="Arial" w:eastAsia="Arial" w:hAnsi="Arial"/>
          <w:sz w:val="19"/>
          <w:szCs w:val="19"/>
          <w:u w:val="single" w:color="auto"/>
          <w:color w:val="auto"/>
        </w:rPr>
        <w:t>Section 6.03</w:t>
      </w:r>
      <w:r>
        <w:rPr>
          <w:rFonts w:ascii="Arial" w:cs="Arial" w:eastAsia="Arial" w:hAnsi="Arial"/>
          <w:sz w:val="19"/>
          <w:szCs w:val="19"/>
          <w:color w:val="auto"/>
        </w:rPr>
        <w:t>.</w:t>
      </w:r>
    </w:p>
    <w:p>
      <w:pPr>
        <w:spacing w:after="0" w:line="143"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w:t>
      </w:r>
    </w:p>
    <w:p>
      <w:pPr>
        <w:spacing w:after="0" w:line="2" w:lineRule="exact"/>
        <w:rPr>
          <w:sz w:val="20"/>
          <w:szCs w:val="20"/>
          <w:color w:val="auto"/>
        </w:rPr>
      </w:pPr>
    </w:p>
    <w:p>
      <w:pPr>
        <w:jc w:val="both"/>
        <w:ind w:firstLine="8"/>
        <w:spacing w:after="0" w:line="249" w:lineRule="auto"/>
        <w:tabs>
          <w:tab w:leader="none" w:pos="301" w:val="left"/>
        </w:tabs>
        <w:numPr>
          <w:ilvl w:val="0"/>
          <w:numId w:val="225"/>
        </w:numPr>
        <w:rPr>
          <w:rFonts w:ascii="Arial" w:cs="Arial" w:eastAsia="Arial" w:hAnsi="Arial"/>
          <w:sz w:val="21"/>
          <w:szCs w:val="21"/>
          <w:color w:val="auto"/>
        </w:rPr>
      </w:pPr>
      <w:r>
        <w:rPr>
          <w:rFonts w:ascii="Arial" w:cs="Arial" w:eastAsia="Arial" w:hAnsi="Arial"/>
          <w:sz w:val="21"/>
          <w:szCs w:val="21"/>
          <w:color w:val="auto"/>
        </w:rPr>
        <w:t>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7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Maintenance of Properties; Insurance</w:t>
      </w:r>
      <w:r>
        <w:rPr>
          <w:rFonts w:ascii="Arial" w:cs="Arial" w:eastAsia="Arial" w:hAnsi="Arial"/>
          <w:sz w:val="22"/>
          <w:szCs w:val="22"/>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88" w:lineRule="exact"/>
        <w:rPr>
          <w:sz w:val="20"/>
          <w:szCs w:val="20"/>
          <w:color w:val="auto"/>
        </w:rPr>
      </w:pPr>
    </w:p>
    <w:p>
      <w:pPr>
        <w:jc w:val="both"/>
        <w:ind w:firstLine="1755"/>
        <w:spacing w:after="0" w:line="275"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Books and Records; Inspection and Audit Rights</w:t>
      </w:r>
      <w:r>
        <w:rPr>
          <w:rFonts w:ascii="Arial" w:cs="Arial" w:eastAsia="Arial" w:hAnsi="Arial"/>
          <w:sz w:val="19"/>
          <w:szCs w:val="19"/>
          <w:color w:val="auto"/>
        </w:rPr>
        <w:t xml:space="preserve">. The Borrower will, and will cause each of its Subsidiaries to, keep books of record and account in accordance with GAAP. The Borrower will, and will cause each other Obligor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or such Obligor shall be entitled to have its representatives and advisors present during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4" w:name="page255"/>
    <w:bookmarkEnd w:id="254"/>
    <w:p>
      <w:pPr>
        <w:jc w:val="both"/>
        <w:spacing w:after="0"/>
        <w:rPr>
          <w:sz w:val="20"/>
          <w:szCs w:val="20"/>
          <w:color w:val="auto"/>
        </w:rPr>
      </w:pPr>
      <w:r>
        <w:rPr>
          <w:rFonts w:ascii="Arial" w:cs="Arial" w:eastAsia="Arial" w:hAnsi="Arial"/>
          <w:sz w:val="22"/>
          <w:szCs w:val="22"/>
          <w:color w:val="auto"/>
        </w:rPr>
        <w:t>any inspection of its books and records and (ii) 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spacing w:after="0" w:line="186"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Certain Obligations Respecting Subsidiaries; Further Assurances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79" w:lineRule="auto"/>
        <w:tabs>
          <w:tab w:leader="none" w:pos="2643" w:val="left"/>
        </w:tabs>
        <w:numPr>
          <w:ilvl w:val="0"/>
          <w:numId w:val="226"/>
        </w:numPr>
        <w:rPr>
          <w:rFonts w:ascii="Arial" w:cs="Arial" w:eastAsia="Arial" w:hAnsi="Arial"/>
          <w:sz w:val="19"/>
          <w:szCs w:val="19"/>
          <w:color w:val="auto"/>
        </w:rPr>
      </w:pPr>
      <w:r>
        <w:rPr>
          <w:rFonts w:ascii="Arial" w:cs="Arial" w:eastAsia="Arial" w:hAnsi="Arial"/>
          <w:sz w:val="19"/>
          <w:szCs w:val="19"/>
          <w:u w:val="single" w:color="auto"/>
          <w:color w:val="auto"/>
        </w:rPr>
        <w:t>Subsidiary Guarantors</w:t>
      </w:r>
      <w:r>
        <w:rPr>
          <w:rFonts w:ascii="Arial" w:cs="Arial" w:eastAsia="Arial" w:hAnsi="Arial"/>
          <w:sz w:val="19"/>
          <w:szCs w:val="19"/>
          <w:color w:val="auto"/>
        </w:rPr>
        <w:t xml:space="preserve">. In the event that the Borrower or any the Subsidiary Guarantors shall form or acquire any new Subsidiary (other than a Financing Subsidiary, a Foreign Subsidiary, an Immaterial Subsidiary or a Subsidiary of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upon the Effective Date or as the Administrative Agent shall have reasonably requested.</w:t>
      </w:r>
    </w:p>
    <w:p>
      <w:pPr>
        <w:spacing w:after="0" w:line="150" w:lineRule="exact"/>
        <w:rPr>
          <w:rFonts w:ascii="Arial" w:cs="Arial" w:eastAsia="Arial" w:hAnsi="Arial"/>
          <w:sz w:val="19"/>
          <w:szCs w:val="19"/>
          <w:color w:val="auto"/>
        </w:rPr>
      </w:pPr>
    </w:p>
    <w:p>
      <w:pPr>
        <w:ind w:right="20" w:firstLine="1763"/>
        <w:spacing w:after="0" w:line="274" w:lineRule="auto"/>
        <w:tabs>
          <w:tab w:leader="none" w:pos="2655" w:val="left"/>
        </w:tabs>
        <w:numPr>
          <w:ilvl w:val="0"/>
          <w:numId w:val="226"/>
        </w:numPr>
        <w:rPr>
          <w:rFonts w:ascii="Arial" w:cs="Arial" w:eastAsia="Arial" w:hAnsi="Arial"/>
          <w:sz w:val="21"/>
          <w:szCs w:val="21"/>
          <w:color w:val="auto"/>
        </w:rPr>
      </w:pPr>
      <w:r>
        <w:rPr>
          <w:rFonts w:ascii="Arial" w:cs="Arial" w:eastAsia="Arial" w:hAnsi="Arial"/>
          <w:sz w:val="21"/>
          <w:szCs w:val="21"/>
          <w:u w:val="single" w:color="auto"/>
          <w:color w:val="auto"/>
        </w:rPr>
        <w:t>Ownership of Subsidiaries</w:t>
      </w:r>
      <w:r>
        <w:rPr>
          <w:rFonts w:ascii="Arial" w:cs="Arial" w:eastAsia="Arial" w:hAnsi="Arial"/>
          <w:sz w:val="21"/>
          <w:szCs w:val="21"/>
          <w:color w:val="auto"/>
        </w:rPr>
        <w:t>. The Borrower will, and will cause each of its Subsidiaries to, take such action from time to time as shall be necessary to ensure that each of its Subsidiaries is a wholly owned Subsidiary.</w:t>
      </w:r>
    </w:p>
    <w:p>
      <w:pPr>
        <w:spacing w:after="0" w:line="150" w:lineRule="exact"/>
        <w:rPr>
          <w:rFonts w:ascii="Arial" w:cs="Arial" w:eastAsia="Arial" w:hAnsi="Arial"/>
          <w:sz w:val="21"/>
          <w:szCs w:val="21"/>
          <w:color w:val="auto"/>
        </w:rPr>
      </w:pPr>
    </w:p>
    <w:p>
      <w:pPr>
        <w:jc w:val="both"/>
        <w:ind w:firstLine="1763"/>
        <w:spacing w:after="0" w:line="271" w:lineRule="auto"/>
        <w:tabs>
          <w:tab w:leader="none" w:pos="2643" w:val="left"/>
        </w:tabs>
        <w:numPr>
          <w:ilvl w:val="0"/>
          <w:numId w:val="226"/>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security interest or Lien shall be subject to the relevant requirements of the Security Documents, (ii) in the case of any Portfolio Investment consisting of a Bank Loan (as defined in </w:t>
      </w:r>
      <w:r>
        <w:rPr>
          <w:rFonts w:ascii="Arial" w:cs="Arial" w:eastAsia="Arial" w:hAnsi="Arial"/>
          <w:sz w:val="19"/>
          <w:szCs w:val="19"/>
          <w:u w:val="single" w:color="auto"/>
          <w:color w:val="auto"/>
        </w:rPr>
        <w:t>Section 5.13</w:t>
      </w:r>
      <w:r>
        <w:rPr>
          <w:rFonts w:ascii="Arial" w:cs="Arial" w:eastAsia="Arial" w:hAnsi="Arial"/>
          <w:sz w:val="19"/>
          <w:szCs w:val="19"/>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5" w:name="page256"/>
    <w:bookmarkEnd w:id="255"/>
    <w:p>
      <w:pPr>
        <w:jc w:val="both"/>
        <w:spacing w:after="0" w:line="274" w:lineRule="auto"/>
        <w:rPr>
          <w:sz w:val="20"/>
          <w:szCs w:val="20"/>
          <w:color w:val="auto"/>
        </w:rPr>
      </w:pPr>
      <w:r>
        <w:rPr>
          <w:rFonts w:ascii="Arial" w:cs="Arial" w:eastAsia="Arial" w:hAnsi="Arial"/>
          <w:sz w:val="19"/>
          <w:szCs w:val="19"/>
          <w:color w:val="auto"/>
        </w:rPr>
        <w:t>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159"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 xml:space="preserve">SECTION 5.09. </w:t>
      </w:r>
      <w:r>
        <w:rPr>
          <w:rFonts w:ascii="Arial" w:cs="Arial" w:eastAsia="Arial" w:hAnsi="Arial"/>
          <w:sz w:val="21"/>
          <w:szCs w:val="21"/>
          <w:u w:val="single" w:color="auto"/>
          <w:color w:val="auto"/>
        </w:rPr>
        <w:t>Use of Proceeds</w:t>
      </w:r>
      <w:r>
        <w:rPr>
          <w:rFonts w:ascii="Arial" w:cs="Arial" w:eastAsia="Arial" w:hAnsi="Arial"/>
          <w:sz w:val="21"/>
          <w:szCs w:val="21"/>
          <w:color w:val="auto"/>
        </w:rPr>
        <w:t xml:space="preserve">. The Borrower will use the proceeds of the Loans 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neither the Administrative Agent nor any Lender shall have any responsibility as to the use of any of such proceeds. No part of the proceeds of any Loan will be used in violation of (a) applicable law or, directly or indirectly, for the purpose, whether immediate, incidental or ultimate, of buying or carrying any Margin Stock or (b)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3.16</w:t>
      </w:r>
      <w:r>
        <w:rPr>
          <w:rFonts w:ascii="Arial" w:cs="Arial" w:eastAsia="Arial" w:hAnsi="Arial"/>
          <w:sz w:val="21"/>
          <w:szCs w:val="21"/>
          <w:color w:val="auto"/>
        </w:rPr>
        <w:t>. Margin Stock shall be purchased by the Obligors only with the proceeds of Indebtedness not directly or indirectly secured by Margin Stock, or with the proceeds of equity capital of the Borrower.</w:t>
      </w:r>
    </w:p>
    <w:p>
      <w:pPr>
        <w:spacing w:after="0" w:line="181"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Status of RIC and BDC</w:t>
      </w:r>
      <w:r>
        <w:rPr>
          <w:rFonts w:ascii="Arial" w:cs="Arial" w:eastAsia="Arial" w:hAnsi="Arial"/>
          <w:sz w:val="22"/>
          <w:szCs w:val="22"/>
          <w:color w:val="auto"/>
        </w:rPr>
        <w:t>. The Borrower shall at all times, subject to applicable grace periods set forth in the Code, maintain its status as a RIC under the Code, and as a “business development company” under the Investment Company Act.</w:t>
      </w:r>
    </w:p>
    <w:p>
      <w:pPr>
        <w:spacing w:after="0" w:line="18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Investment Policies</w:t>
      </w:r>
      <w:r>
        <w:rPr>
          <w:rFonts w:ascii="Arial" w:cs="Arial" w:eastAsia="Arial" w:hAnsi="Arial"/>
          <w:sz w:val="22"/>
          <w:szCs w:val="22"/>
          <w:color w:val="auto"/>
        </w:rPr>
        <w:t>. The Borrower shall at all times be in compliance in all material respects with its Investment Policies (after giving effect to any Permitted Policy Amendments).</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Portfolio Valuation and Diversification Etc</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35" w:lineRule="auto"/>
        <w:tabs>
          <w:tab w:leader="none" w:pos="2643"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Industry Classification Groups</w:t>
      </w:r>
      <w:r>
        <w:rPr>
          <w:rFonts w:ascii="Arial" w:cs="Arial" w:eastAsia="Arial" w:hAnsi="Arial"/>
          <w:sz w:val="22"/>
          <w:szCs w:val="22"/>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6" w:name="page257"/>
    <w:bookmarkEnd w:id="256"/>
    <w:p>
      <w:pPr>
        <w:ind w:left="1460" w:hanging="897"/>
        <w:spacing w:after="0"/>
        <w:tabs>
          <w:tab w:leader="none" w:pos="1460" w:val="left"/>
        </w:tabs>
        <w:numPr>
          <w:ilvl w:val="1"/>
          <w:numId w:val="228"/>
        </w:numPr>
        <w:rPr>
          <w:rFonts w:ascii="Arial" w:cs="Arial" w:eastAsia="Arial" w:hAnsi="Arial"/>
          <w:sz w:val="22"/>
          <w:szCs w:val="22"/>
          <w:color w:val="auto"/>
        </w:rPr>
      </w:pPr>
      <w:r>
        <w:rPr>
          <w:rFonts w:ascii="Arial" w:cs="Arial" w:eastAsia="Arial" w:hAnsi="Arial"/>
          <w:sz w:val="22"/>
          <w:szCs w:val="22"/>
          <w:u w:val="single" w:color="auto"/>
          <w:color w:val="auto"/>
        </w:rPr>
        <w:t>Portfolio Valuation Etc</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320" w:firstLine="816"/>
        <w:spacing w:after="0" w:line="282" w:lineRule="auto"/>
        <w:tabs>
          <w:tab w:leader="none" w:pos="1342"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Settlement Date Basis</w:t>
      </w:r>
      <w:r>
        <w:rPr>
          <w:rFonts w:ascii="Arial" w:cs="Arial" w:eastAsia="Arial" w:hAnsi="Arial"/>
          <w:sz w:val="19"/>
          <w:szCs w:val="19"/>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investment shall be included as a Portfolio Investment to the extent it has not been paid for in full.</w:t>
      </w:r>
    </w:p>
    <w:p>
      <w:pPr>
        <w:spacing w:after="0" w:line="147" w:lineRule="exact"/>
        <w:rPr>
          <w:rFonts w:ascii="Arial" w:cs="Arial" w:eastAsia="Arial" w:hAnsi="Arial"/>
          <w:sz w:val="19"/>
          <w:szCs w:val="19"/>
          <w:color w:val="auto"/>
        </w:rPr>
      </w:pPr>
    </w:p>
    <w:p>
      <w:pPr>
        <w:ind w:left="-320" w:firstLine="816"/>
        <w:spacing w:after="0" w:line="251" w:lineRule="auto"/>
        <w:tabs>
          <w:tab w:leader="none" w:pos="1402" w:val="left"/>
        </w:tabs>
        <w:numPr>
          <w:ilvl w:val="0"/>
          <w:numId w:val="229"/>
        </w:numPr>
        <w:rPr>
          <w:rFonts w:ascii="Arial" w:cs="Arial" w:eastAsia="Arial" w:hAnsi="Arial"/>
          <w:sz w:val="22"/>
          <w:szCs w:val="22"/>
          <w:color w:val="auto"/>
        </w:rPr>
      </w:pPr>
      <w:r>
        <w:rPr>
          <w:rFonts w:ascii="Arial" w:cs="Arial" w:eastAsia="Arial" w:hAnsi="Arial"/>
          <w:sz w:val="22"/>
          <w:szCs w:val="22"/>
          <w:u w:val="single" w:color="auto"/>
          <w:color w:val="auto"/>
        </w:rPr>
        <w:t>Determination of Values</w:t>
      </w:r>
      <w:r>
        <w:rPr>
          <w:rFonts w:ascii="Arial" w:cs="Arial" w:eastAsia="Arial" w:hAnsi="Arial"/>
          <w:sz w:val="22"/>
          <w:szCs w:val="22"/>
          <w:color w:val="auto"/>
        </w:rPr>
        <w:t>. The Borrower will conduct reviews of the value to be assigned to each of its Portfolio Investments as follows:</w:t>
      </w:r>
    </w:p>
    <w:p>
      <w:pPr>
        <w:spacing w:after="0" w:line="173" w:lineRule="exact"/>
        <w:rPr>
          <w:rFonts w:ascii="Arial" w:cs="Arial" w:eastAsia="Arial" w:hAnsi="Arial"/>
          <w:sz w:val="22"/>
          <w:szCs w:val="22"/>
          <w:color w:val="auto"/>
        </w:rPr>
      </w:pPr>
    </w:p>
    <w:p>
      <w:pPr>
        <w:jc w:val="both"/>
        <w:ind w:left="560" w:firstLine="746"/>
        <w:spacing w:after="0" w:line="287" w:lineRule="auto"/>
        <w:tabs>
          <w:tab w:leader="none" w:pos="2251" w:val="left"/>
        </w:tabs>
        <w:numPr>
          <w:ilvl w:val="3"/>
          <w:numId w:val="229"/>
        </w:numPr>
        <w:rPr>
          <w:rFonts w:ascii="Arial" w:cs="Arial" w:eastAsia="Arial" w:hAnsi="Arial"/>
          <w:sz w:val="19"/>
          <w:szCs w:val="19"/>
          <w:color w:val="auto"/>
        </w:rPr>
      </w:pPr>
      <w:r>
        <w:rPr>
          <w:rFonts w:ascii="Arial" w:cs="Arial" w:eastAsia="Arial" w:hAnsi="Arial"/>
          <w:sz w:val="19"/>
          <w:szCs w:val="19"/>
          <w:u w:val="single" w:color="auto"/>
          <w:color w:val="auto"/>
        </w:rPr>
        <w:t>Quoted Investments - External Review</w:t>
      </w:r>
      <w:r>
        <w:rPr>
          <w:rFonts w:ascii="Arial" w:cs="Arial" w:eastAsia="Arial" w:hAnsi="Arial"/>
          <w:sz w:val="19"/>
          <w:szCs w:val="19"/>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143" w:lineRule="exact"/>
        <w:rPr>
          <w:rFonts w:ascii="Arial" w:cs="Arial" w:eastAsia="Arial" w:hAnsi="Arial"/>
          <w:sz w:val="19"/>
          <w:szCs w:val="19"/>
          <w:color w:val="auto"/>
        </w:rPr>
      </w:pPr>
    </w:p>
    <w:p>
      <w:pPr>
        <w:ind w:left="1420" w:right="160" w:hanging="804"/>
        <w:spacing w:after="0" w:line="251" w:lineRule="auto"/>
        <w:tabs>
          <w:tab w:leader="none" w:pos="2097" w:val="left"/>
        </w:tabs>
        <w:numPr>
          <w:ilvl w:val="2"/>
          <w:numId w:val="229"/>
        </w:numPr>
        <w:rPr>
          <w:rFonts w:ascii="Arial" w:cs="Arial" w:eastAsia="Arial" w:hAnsi="Arial"/>
          <w:sz w:val="22"/>
          <w:szCs w:val="22"/>
          <w:color w:val="auto"/>
        </w:rPr>
      </w:pPr>
      <w:r>
        <w:rPr>
          <w:rFonts w:ascii="Arial" w:cs="Arial" w:eastAsia="Arial" w:hAnsi="Arial"/>
          <w:sz w:val="22"/>
          <w:szCs w:val="22"/>
          <w:color w:val="auto"/>
        </w:rPr>
        <w:t>in the case of public and 144A securities, the average of the bid prices as determined by two Approved Dealers selected by the Borrower,</w:t>
      </w:r>
    </w:p>
    <w:p>
      <w:pPr>
        <w:spacing w:after="0" w:line="173" w:lineRule="exact"/>
        <w:rPr>
          <w:rFonts w:ascii="Arial" w:cs="Arial" w:eastAsia="Arial" w:hAnsi="Arial"/>
          <w:sz w:val="22"/>
          <w:szCs w:val="22"/>
          <w:color w:val="auto"/>
        </w:rPr>
      </w:pPr>
    </w:p>
    <w:p>
      <w:pPr>
        <w:ind w:left="1420" w:right="20" w:hanging="804"/>
        <w:spacing w:after="0" w:line="251" w:lineRule="auto"/>
        <w:tabs>
          <w:tab w:leader="none" w:pos="2097" w:val="left"/>
        </w:tabs>
        <w:numPr>
          <w:ilvl w:val="2"/>
          <w:numId w:val="229"/>
        </w:numPr>
        <w:rPr>
          <w:rFonts w:ascii="Arial" w:cs="Arial" w:eastAsia="Arial" w:hAnsi="Arial"/>
          <w:sz w:val="22"/>
          <w:szCs w:val="22"/>
          <w:color w:val="auto"/>
        </w:rPr>
      </w:pPr>
      <w:r>
        <w:rPr>
          <w:rFonts w:ascii="Arial" w:cs="Arial" w:eastAsia="Arial" w:hAnsi="Arial"/>
          <w:sz w:val="22"/>
          <w:szCs w:val="22"/>
          <w:color w:val="auto"/>
        </w:rPr>
        <w:t>in the case of bank loans, the bid price as determined by one Approved Dealer selected by the Borrower,</w:t>
      </w:r>
    </w:p>
    <w:p>
      <w:pPr>
        <w:spacing w:after="0" w:line="173" w:lineRule="exact"/>
        <w:rPr>
          <w:rFonts w:ascii="Arial" w:cs="Arial" w:eastAsia="Arial" w:hAnsi="Arial"/>
          <w:sz w:val="22"/>
          <w:szCs w:val="22"/>
          <w:color w:val="auto"/>
        </w:rPr>
      </w:pPr>
    </w:p>
    <w:p>
      <w:pPr>
        <w:ind w:left="1420" w:right="500" w:hanging="804"/>
        <w:spacing w:after="0" w:line="251" w:lineRule="auto"/>
        <w:tabs>
          <w:tab w:leader="none" w:pos="2097" w:val="left"/>
        </w:tabs>
        <w:numPr>
          <w:ilvl w:val="2"/>
          <w:numId w:val="229"/>
        </w:numPr>
        <w:rPr>
          <w:rFonts w:ascii="Arial" w:cs="Arial" w:eastAsia="Arial" w:hAnsi="Arial"/>
          <w:sz w:val="22"/>
          <w:szCs w:val="22"/>
          <w:color w:val="auto"/>
        </w:rPr>
      </w:pPr>
      <w:r>
        <w:rPr>
          <w:rFonts w:ascii="Arial" w:cs="Arial" w:eastAsia="Arial" w:hAnsi="Arial"/>
          <w:sz w:val="22"/>
          <w:szCs w:val="22"/>
          <w:color w:val="auto"/>
        </w:rPr>
        <w:t>in the case of any Portfolio Investment traded on an exchange, the closing price for such Portfolio Investment most recently posted on such exchange, and</w:t>
      </w:r>
    </w:p>
    <w:p>
      <w:pPr>
        <w:spacing w:after="0" w:line="173" w:lineRule="exact"/>
        <w:rPr>
          <w:rFonts w:ascii="Arial" w:cs="Arial" w:eastAsia="Arial" w:hAnsi="Arial"/>
          <w:sz w:val="22"/>
          <w:szCs w:val="22"/>
          <w:color w:val="auto"/>
        </w:rPr>
      </w:pPr>
    </w:p>
    <w:p>
      <w:pPr>
        <w:ind w:left="1420" w:right="180" w:hanging="804"/>
        <w:spacing w:after="0" w:line="251" w:lineRule="auto"/>
        <w:tabs>
          <w:tab w:leader="none" w:pos="2097" w:val="left"/>
        </w:tabs>
        <w:numPr>
          <w:ilvl w:val="2"/>
          <w:numId w:val="229"/>
        </w:numPr>
        <w:rPr>
          <w:rFonts w:ascii="Arial" w:cs="Arial" w:eastAsia="Arial" w:hAnsi="Arial"/>
          <w:sz w:val="22"/>
          <w:szCs w:val="22"/>
          <w:color w:val="auto"/>
        </w:rPr>
      </w:pPr>
      <w:r>
        <w:rPr>
          <w:rFonts w:ascii="Arial" w:cs="Arial" w:eastAsia="Arial" w:hAnsi="Arial"/>
          <w:sz w:val="22"/>
          <w:szCs w:val="22"/>
          <w:color w:val="auto"/>
        </w:rPr>
        <w:t>in the case of any other Portfolio Investment, the fair market value thereof as determined by an Approved Pricing Service selected by the Borrower; and</w:t>
      </w:r>
    </w:p>
    <w:p>
      <w:pPr>
        <w:spacing w:after="0" w:line="173" w:lineRule="exact"/>
        <w:rPr>
          <w:rFonts w:ascii="Arial" w:cs="Arial" w:eastAsia="Arial" w:hAnsi="Arial"/>
          <w:sz w:val="22"/>
          <w:szCs w:val="22"/>
          <w:color w:val="auto"/>
        </w:rPr>
      </w:pPr>
    </w:p>
    <w:p>
      <w:pPr>
        <w:jc w:val="both"/>
        <w:ind w:left="560" w:firstLine="746"/>
        <w:spacing w:after="0" w:line="248" w:lineRule="auto"/>
        <w:tabs>
          <w:tab w:leader="none" w:pos="2239" w:val="left"/>
        </w:tabs>
        <w:numPr>
          <w:ilvl w:val="3"/>
          <w:numId w:val="230"/>
        </w:numPr>
        <w:rPr>
          <w:rFonts w:ascii="Arial" w:cs="Arial" w:eastAsia="Arial" w:hAnsi="Arial"/>
          <w:sz w:val="21"/>
          <w:szCs w:val="21"/>
          <w:color w:val="auto"/>
        </w:rPr>
      </w:pPr>
      <w:r>
        <w:rPr>
          <w:rFonts w:ascii="Arial" w:cs="Arial" w:eastAsia="Arial" w:hAnsi="Arial"/>
          <w:sz w:val="21"/>
          <w:szCs w:val="21"/>
          <w:u w:val="single" w:color="auto"/>
          <w:color w:val="auto"/>
        </w:rPr>
        <w:t>Unquoted Investments- External Review</w:t>
      </w:r>
      <w:r>
        <w:rPr>
          <w:rFonts w:ascii="Arial" w:cs="Arial" w:eastAsia="Arial" w:hAnsi="Arial"/>
          <w:sz w:val="21"/>
          <w:szCs w:val="21"/>
          <w:color w:val="auto"/>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Arial" w:cs="Arial" w:eastAsia="Arial" w:hAnsi="Arial"/>
          <w:sz w:val="21"/>
          <w:szCs w:val="21"/>
          <w:u w:val="single" w:color="auto"/>
          <w:color w:val="auto"/>
        </w:rPr>
        <w:t>Testing Quarter</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77" w:lineRule="exact"/>
        <w:rPr>
          <w:sz w:val="20"/>
          <w:szCs w:val="20"/>
          <w:color w:val="auto"/>
        </w:rPr>
      </w:pPr>
    </w:p>
    <w:p>
      <w:pPr>
        <w:jc w:val="both"/>
        <w:ind w:left="1420" w:hanging="804"/>
        <w:spacing w:after="0" w:line="249" w:lineRule="auto"/>
        <w:tabs>
          <w:tab w:leader="none" w:pos="2097" w:val="left"/>
        </w:tabs>
        <w:numPr>
          <w:ilvl w:val="0"/>
          <w:numId w:val="231"/>
        </w:numPr>
        <w:rPr>
          <w:rFonts w:ascii="Arial" w:cs="Arial" w:eastAsia="Arial" w:hAnsi="Arial"/>
          <w:sz w:val="21"/>
          <w:szCs w:val="21"/>
          <w:color w:val="auto"/>
        </w:rPr>
      </w:pPr>
      <w:r>
        <w:rPr>
          <w:rFonts w:ascii="Arial" w:cs="Arial" w:eastAsia="Arial" w:hAnsi="Arial"/>
          <w:sz w:val="21"/>
          <w:szCs w:val="21"/>
          <w:color w:val="auto"/>
        </w:rPr>
        <w:t xml:space="preserve">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Arial" w:cs="Arial" w:eastAsia="Arial" w:hAnsi="Arial"/>
          <w:sz w:val="21"/>
          <w:szCs w:val="21"/>
          <w:u w:val="single" w:color="auto"/>
          <w:color w:val="auto"/>
        </w:rPr>
        <w:t>sub-clause (B)</w:t>
      </w:r>
      <w:r>
        <w:rPr>
          <w:rFonts w:ascii="Arial" w:cs="Arial" w:eastAsia="Arial" w:hAnsi="Arial"/>
          <w:sz w:val="21"/>
          <w:szCs w:val="21"/>
          <w:color w:val="auto"/>
        </w:rPr>
        <w:t xml:space="preserve"> as at the last day of the next succeeding Testing Quarter with respect to such Portfolio Investment;</w:t>
      </w:r>
    </w:p>
    <w:p>
      <w:pPr>
        <w:spacing w:after="0" w:line="39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57" w:name="page258"/>
    <w:bookmarkEnd w:id="257"/>
    <w:p>
      <w:pPr>
        <w:jc w:val="both"/>
        <w:ind w:left="1420" w:hanging="804"/>
        <w:spacing w:after="0" w:line="273" w:lineRule="auto"/>
        <w:tabs>
          <w:tab w:leader="none" w:pos="2097" w:val="left"/>
        </w:tabs>
        <w:numPr>
          <w:ilvl w:val="1"/>
          <w:numId w:val="232"/>
        </w:numPr>
        <w:rPr>
          <w:rFonts w:ascii="Arial" w:cs="Arial" w:eastAsia="Arial" w:hAnsi="Arial"/>
          <w:sz w:val="19"/>
          <w:szCs w:val="19"/>
          <w:color w:val="auto"/>
        </w:rPr>
      </w:pPr>
      <w:r>
        <w:rPr>
          <w:rFonts w:ascii="Arial" w:cs="Arial" w:eastAsia="Arial" w:hAnsi="Arial"/>
          <w:sz w:val="19"/>
          <w:szCs w:val="19"/>
          <w:color w:val="auto"/>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156" w:lineRule="exact"/>
        <w:rPr>
          <w:rFonts w:ascii="Arial" w:cs="Arial" w:eastAsia="Arial" w:hAnsi="Arial"/>
          <w:sz w:val="19"/>
          <w:szCs w:val="19"/>
          <w:color w:val="auto"/>
        </w:rPr>
      </w:pPr>
    </w:p>
    <w:p>
      <w:pPr>
        <w:jc w:val="both"/>
        <w:ind w:left="1420" w:hanging="804"/>
        <w:spacing w:after="0"/>
        <w:tabs>
          <w:tab w:leader="none" w:pos="2097" w:val="left"/>
        </w:tabs>
        <w:numPr>
          <w:ilvl w:val="1"/>
          <w:numId w:val="232"/>
        </w:numPr>
        <w:rPr>
          <w:rFonts w:ascii="Arial" w:cs="Arial" w:eastAsia="Arial" w:hAnsi="Arial"/>
          <w:sz w:val="22"/>
          <w:szCs w:val="22"/>
          <w:color w:val="auto"/>
        </w:rPr>
      </w:pPr>
      <w:r>
        <w:rPr>
          <w:rFonts w:ascii="Arial" w:cs="Arial" w:eastAsia="Arial" w:hAnsi="Arial"/>
          <w:sz w:val="22"/>
          <w:szCs w:val="22"/>
          <w:color w:val="auto"/>
        </w:rPr>
        <w:t>no Testing Quarter with respect to any Portfolio Investment for which market quotations are not readily available shall end more than six months following the end of the immediately preceding Testing Quarter for such Portfolio Investment.</w:t>
      </w:r>
    </w:p>
    <w:p>
      <w:pPr>
        <w:spacing w:after="0" w:line="186" w:lineRule="exact"/>
        <w:rPr>
          <w:rFonts w:ascii="Arial" w:cs="Arial" w:eastAsia="Arial" w:hAnsi="Arial"/>
          <w:sz w:val="22"/>
          <w:szCs w:val="22"/>
          <w:color w:val="auto"/>
        </w:rPr>
      </w:pPr>
    </w:p>
    <w:p>
      <w:pPr>
        <w:jc w:val="both"/>
        <w:ind w:left="560" w:firstLine="746"/>
        <w:spacing w:after="0" w:line="270" w:lineRule="auto"/>
        <w:tabs>
          <w:tab w:leader="none" w:pos="2239" w:val="left"/>
        </w:tabs>
        <w:numPr>
          <w:ilvl w:val="2"/>
          <w:numId w:val="232"/>
        </w:numPr>
        <w:rPr>
          <w:rFonts w:ascii="Arial" w:cs="Arial" w:eastAsia="Arial" w:hAnsi="Arial"/>
          <w:sz w:val="19"/>
          <w:szCs w:val="19"/>
          <w:color w:val="auto"/>
        </w:rPr>
      </w:pPr>
      <w:r>
        <w:rPr>
          <w:rFonts w:ascii="Arial" w:cs="Arial" w:eastAsia="Arial" w:hAnsi="Arial"/>
          <w:sz w:val="19"/>
          <w:szCs w:val="19"/>
          <w:u w:val="single" w:color="auto"/>
          <w:color w:val="auto"/>
        </w:rPr>
        <w:t>Internal Review</w:t>
      </w:r>
      <w:r>
        <w:rPr>
          <w:rFonts w:ascii="Arial" w:cs="Arial" w:eastAsia="Arial" w:hAnsi="Arial"/>
          <w:sz w:val="19"/>
          <w:szCs w:val="19"/>
          <w:color w:val="auto"/>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Arial" w:cs="Arial" w:eastAsia="Arial" w:hAnsi="Arial"/>
          <w:sz w:val="19"/>
          <w:szCs w:val="19"/>
          <w:u w:val="single" w:color="auto"/>
          <w:color w:val="auto"/>
        </w:rPr>
        <w:t>Section 5.12(b)(ii)(C)</w:t>
      </w:r>
      <w:r>
        <w:rPr>
          <w:rFonts w:ascii="Arial" w:cs="Arial" w:eastAsia="Arial" w:hAnsi="Arial"/>
          <w:sz w:val="19"/>
          <w:szCs w:val="19"/>
          <w:color w:val="auto"/>
        </w:rPr>
        <w:t xml:space="preserve"> is lower than the value of such Portfolio Investment as most recently determined pursuant to </w:t>
      </w:r>
      <w:r>
        <w:rPr>
          <w:rFonts w:ascii="Arial" w:cs="Arial" w:eastAsia="Arial" w:hAnsi="Arial"/>
          <w:sz w:val="19"/>
          <w:szCs w:val="19"/>
          <w:u w:val="single" w:color="auto"/>
          <w:color w:val="auto"/>
        </w:rPr>
        <w:t>Section 5.12(b)(ii)</w:t>
      </w:r>
    </w:p>
    <w:p>
      <w:pPr>
        <w:spacing w:after="0" w:line="4" w:lineRule="exact"/>
        <w:rPr>
          <w:rFonts w:ascii="Arial" w:cs="Arial" w:eastAsia="Arial" w:hAnsi="Arial"/>
          <w:sz w:val="19"/>
          <w:szCs w:val="19"/>
          <w:color w:val="auto"/>
        </w:rPr>
      </w:pPr>
    </w:p>
    <w:p>
      <w:pPr>
        <w:jc w:val="both"/>
        <w:ind w:left="560" w:firstLine="3"/>
        <w:spacing w:after="0" w:line="232" w:lineRule="auto"/>
        <w:tabs>
          <w:tab w:leader="none" w:pos="934" w:val="left"/>
        </w:tabs>
        <w:numPr>
          <w:ilvl w:val="0"/>
          <w:numId w:val="233"/>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such lower value shall be deemed to be the “Value” of such Portfolio Investment for purposes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188" w:lineRule="exact"/>
        <w:rPr>
          <w:rFonts w:ascii="Arial" w:cs="Arial" w:eastAsia="Arial" w:hAnsi="Arial"/>
          <w:sz w:val="22"/>
          <w:szCs w:val="22"/>
          <w:u w:val="single" w:color="auto"/>
          <w:color w:val="auto"/>
        </w:rPr>
      </w:pPr>
    </w:p>
    <w:p>
      <w:pPr>
        <w:jc w:val="both"/>
        <w:ind w:left="560" w:right="20" w:firstLine="746"/>
        <w:spacing w:after="0" w:line="258" w:lineRule="auto"/>
        <w:tabs>
          <w:tab w:leader="none" w:pos="2251" w:val="left"/>
        </w:tabs>
        <w:numPr>
          <w:ilvl w:val="2"/>
          <w:numId w:val="233"/>
        </w:numPr>
        <w:rPr>
          <w:rFonts w:ascii="Arial" w:cs="Arial" w:eastAsia="Arial" w:hAnsi="Arial"/>
          <w:sz w:val="21"/>
          <w:szCs w:val="21"/>
          <w:color w:val="auto"/>
        </w:rPr>
      </w:pPr>
      <w:r>
        <w:rPr>
          <w:rFonts w:ascii="Arial" w:cs="Arial" w:eastAsia="Arial" w:hAnsi="Arial"/>
          <w:sz w:val="21"/>
          <w:szCs w:val="21"/>
          <w:u w:val="single" w:color="auto"/>
          <w:color w:val="auto"/>
        </w:rPr>
        <w:t>Failure to Determine Values</w:t>
      </w:r>
      <w:r>
        <w:rPr>
          <w:rFonts w:ascii="Arial" w:cs="Arial" w:eastAsia="Arial" w:hAnsi="Arial"/>
          <w:sz w:val="21"/>
          <w:szCs w:val="21"/>
          <w:color w:val="auto"/>
        </w:rPr>
        <w:t xml:space="preserve">. If the Borrower shall fail to determine the value of any Portfolio Investment as at any date pursuant to the requirements of the foregoing </w:t>
      </w:r>
      <w:r>
        <w:rPr>
          <w:rFonts w:ascii="Arial" w:cs="Arial" w:eastAsia="Arial" w:hAnsi="Arial"/>
          <w:sz w:val="21"/>
          <w:szCs w:val="21"/>
          <w:u w:val="single" w:color="auto"/>
          <w:color w:val="auto"/>
        </w:rPr>
        <w:t>sub-clauses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then the “Value” of such Portfolio Investment as at such date shall be deemed to be zero.</w:t>
      </w:r>
    </w:p>
    <w:p>
      <w:pPr>
        <w:spacing w:after="0" w:line="166" w:lineRule="exact"/>
        <w:rPr>
          <w:rFonts w:ascii="Arial" w:cs="Arial" w:eastAsia="Arial" w:hAnsi="Arial"/>
          <w:sz w:val="21"/>
          <w:szCs w:val="21"/>
          <w:color w:val="auto"/>
        </w:rPr>
      </w:pPr>
    </w:p>
    <w:p>
      <w:pPr>
        <w:ind w:left="2220" w:hanging="914"/>
        <w:spacing w:after="0"/>
        <w:tabs>
          <w:tab w:leader="none" w:pos="2220" w:val="left"/>
        </w:tabs>
        <w:numPr>
          <w:ilvl w:val="2"/>
          <w:numId w:val="233"/>
        </w:numPr>
        <w:rPr>
          <w:rFonts w:ascii="Arial" w:cs="Arial" w:eastAsia="Arial" w:hAnsi="Arial"/>
          <w:sz w:val="22"/>
          <w:szCs w:val="22"/>
          <w:color w:val="auto"/>
        </w:rPr>
      </w:pPr>
      <w:r>
        <w:rPr>
          <w:rFonts w:ascii="Arial" w:cs="Arial" w:eastAsia="Arial" w:hAnsi="Arial"/>
          <w:sz w:val="22"/>
          <w:szCs w:val="22"/>
          <w:u w:val="single" w:color="auto"/>
          <w:color w:val="auto"/>
        </w:rPr>
        <w:t>Testing of Values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420" w:hanging="804"/>
        <w:spacing w:after="0" w:line="252" w:lineRule="auto"/>
        <w:tabs>
          <w:tab w:leader="none" w:pos="2097" w:val="left"/>
        </w:tabs>
        <w:numPr>
          <w:ilvl w:val="1"/>
          <w:numId w:val="233"/>
        </w:numPr>
        <w:rPr>
          <w:rFonts w:ascii="Arial" w:cs="Arial" w:eastAsia="Arial" w:hAnsi="Arial"/>
          <w:sz w:val="21"/>
          <w:szCs w:val="21"/>
          <w:color w:val="auto"/>
        </w:rPr>
      </w:pPr>
      <w:r>
        <w:rPr>
          <w:rFonts w:ascii="Arial" w:cs="Arial" w:eastAsia="Arial" w:hAnsi="Arial"/>
          <w:sz w:val="21"/>
          <w:szCs w:val="21"/>
          <w:color w:val="auto"/>
        </w:rPr>
        <w:t>For the second calendar month immediately following the end of each fiscal quarter (the last such fiscal quarter is referred to herein as, the “</w:t>
      </w:r>
      <w:r>
        <w:rPr>
          <w:rFonts w:ascii="Arial" w:cs="Arial" w:eastAsia="Arial" w:hAnsi="Arial"/>
          <w:sz w:val="21"/>
          <w:szCs w:val="21"/>
          <w:u w:val="single" w:color="auto"/>
          <w:color w:val="auto"/>
        </w:rPr>
        <w:t>Testing Period</w:t>
      </w:r>
      <w:r>
        <w:rPr>
          <w:rFonts w:ascii="Arial" w:cs="Arial" w:eastAsia="Arial" w:hAnsi="Arial"/>
          <w:sz w:val="21"/>
          <w:szCs w:val="21"/>
          <w:color w:val="auto"/>
        </w:rPr>
        <w:t>”), the Administrative Agent shall cause an Approved Third-Party Appraiser selected by the Administrative Agent to value such number of Unquoted Investments (selected by the Administrative Agent)</w:t>
      </w:r>
    </w:p>
    <w:p>
      <w:pPr>
        <w:spacing w:after="0" w:line="39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58" w:name="page259"/>
    <w:bookmarkEnd w:id="258"/>
    <w:p>
      <w:pPr>
        <w:jc w:val="both"/>
        <w:ind w:left="1420" w:firstLine="677"/>
        <w:spacing w:after="0" w:line="248" w:lineRule="auto"/>
        <w:rPr>
          <w:sz w:val="20"/>
          <w:szCs w:val="20"/>
          <w:color w:val="auto"/>
        </w:rPr>
      </w:pPr>
      <w:r>
        <w:rPr>
          <w:rFonts w:ascii="Arial" w:cs="Arial" w:eastAsia="Arial" w:hAnsi="Arial"/>
          <w:sz w:val="21"/>
          <w:szCs w:val="21"/>
          <w:color w:val="auto"/>
        </w:rPr>
        <w:t xml:space="preserve">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 such Unquoted Investment for Borrowing Base purposes shall be established as set forth in </w:t>
      </w:r>
      <w:r>
        <w:rPr>
          <w:rFonts w:ascii="Arial" w:cs="Arial" w:eastAsia="Arial" w:hAnsi="Arial"/>
          <w:sz w:val="21"/>
          <w:szCs w:val="21"/>
          <w:u w:val="single" w:color="auto"/>
          <w:color w:val="auto"/>
        </w:rPr>
        <w:t>sub-clause (F)</w:t>
      </w:r>
      <w:r>
        <w:rPr>
          <w:rFonts w:ascii="Arial" w:cs="Arial" w:eastAsia="Arial" w:hAnsi="Arial"/>
          <w:sz w:val="21"/>
          <w:szCs w:val="21"/>
          <w:color w:val="auto"/>
        </w:rPr>
        <w:t xml:space="preserve"> below.</w:t>
      </w:r>
    </w:p>
    <w:p>
      <w:pPr>
        <w:spacing w:after="0" w:line="177" w:lineRule="exact"/>
        <w:rPr>
          <w:sz w:val="20"/>
          <w:szCs w:val="20"/>
          <w:color w:val="auto"/>
        </w:rPr>
      </w:pPr>
    </w:p>
    <w:p>
      <w:pPr>
        <w:jc w:val="both"/>
        <w:ind w:left="1420" w:hanging="804"/>
        <w:spacing w:after="0" w:line="270" w:lineRule="auto"/>
        <w:tabs>
          <w:tab w:leader="none" w:pos="2097" w:val="left"/>
        </w:tabs>
        <w:numPr>
          <w:ilvl w:val="0"/>
          <w:numId w:val="234"/>
        </w:numPr>
        <w:rPr>
          <w:rFonts w:ascii="Arial" w:cs="Arial" w:eastAsia="Arial" w:hAnsi="Arial"/>
          <w:sz w:val="19"/>
          <w:szCs w:val="19"/>
          <w:color w:val="auto"/>
        </w:rPr>
      </w:pPr>
      <w:r>
        <w:rPr>
          <w:rFonts w:ascii="Arial" w:cs="Arial" w:eastAsia="Arial" w:hAnsi="Arial"/>
          <w:sz w:val="19"/>
          <w:szCs w:val="19"/>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Arial" w:cs="Arial" w:eastAsia="Arial" w:hAnsi="Arial"/>
          <w:sz w:val="19"/>
          <w:szCs w:val="19"/>
          <w:u w:val="single" w:color="auto"/>
          <w:color w:val="auto"/>
        </w:rPr>
        <w:t>Administrative Agent Appraisal Testing Period</w:t>
      </w:r>
      <w:r>
        <w:rPr>
          <w:rFonts w:ascii="Arial" w:cs="Arial" w:eastAsia="Arial" w:hAnsi="Arial"/>
          <w:sz w:val="19"/>
          <w:szCs w:val="19"/>
          <w:color w:val="auto"/>
        </w:rPr>
        <w:t>”) and would be reflected in the Borrowing Base Certificate for such month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Approved Third-Party Appraiser delivers such valuation at least seven (7) Business Days before the 20</w:t>
      </w:r>
      <w:r>
        <w:rPr>
          <w:rFonts w:ascii="Arial" w:cs="Arial" w:eastAsia="Arial" w:hAnsi="Arial"/>
          <w:sz w:val="16"/>
          <w:szCs w:val="16"/>
          <w:color w:val="auto"/>
        </w:rPr>
        <w:t>th</w:t>
      </w:r>
      <w:r>
        <w:rPr>
          <w:rFonts w:ascii="Arial" w:cs="Arial" w:eastAsia="Arial" w:hAnsi="Arial"/>
          <w:sz w:val="19"/>
          <w:szCs w:val="19"/>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spacing w:after="0" w:line="170" w:lineRule="exact"/>
        <w:rPr>
          <w:sz w:val="20"/>
          <w:szCs w:val="20"/>
          <w:color w:val="auto"/>
        </w:rPr>
      </w:pPr>
    </w:p>
    <w:p>
      <w:pPr>
        <w:ind w:left="1440"/>
        <w:spacing w:after="0" w:line="251" w:lineRule="auto"/>
        <w:rPr>
          <w:sz w:val="20"/>
          <w:szCs w:val="20"/>
          <w:color w:val="auto"/>
        </w:rPr>
      </w:pPr>
      <w:r>
        <w:rPr>
          <w:rFonts w:ascii="Arial" w:cs="Arial" w:eastAsia="Arial" w:hAnsi="Arial"/>
          <w:sz w:val="22"/>
          <w:szCs w:val="22"/>
          <w:color w:val="auto"/>
        </w:rPr>
        <w:t xml:space="preserve">For the avoidance of doubt, all calculations of value pursuant to this </w:t>
      </w:r>
      <w:r>
        <w:rPr>
          <w:rFonts w:ascii="Arial" w:cs="Arial" w:eastAsia="Arial" w:hAnsi="Arial"/>
          <w:sz w:val="22"/>
          <w:szCs w:val="22"/>
          <w:u w:val="single" w:color="auto"/>
          <w:color w:val="auto"/>
        </w:rPr>
        <w:t>Section 5.12(b)(ii)(E)</w:t>
      </w:r>
      <w:r>
        <w:rPr>
          <w:rFonts w:ascii="Arial" w:cs="Arial" w:eastAsia="Arial" w:hAnsi="Arial"/>
          <w:sz w:val="22"/>
          <w:szCs w:val="22"/>
          <w:color w:val="auto"/>
        </w:rPr>
        <w:t xml:space="preserve"> shall be determined without application of the Advance Rates.</w:t>
      </w:r>
    </w:p>
    <w:p>
      <w:pPr>
        <w:spacing w:after="0" w:line="173" w:lineRule="exact"/>
        <w:rPr>
          <w:sz w:val="20"/>
          <w:szCs w:val="20"/>
          <w:color w:val="auto"/>
        </w:rPr>
      </w:pPr>
    </w:p>
    <w:p>
      <w:pPr>
        <w:jc w:val="both"/>
        <w:ind w:left="560" w:firstLine="746"/>
        <w:spacing w:after="0" w:line="277" w:lineRule="auto"/>
        <w:tabs>
          <w:tab w:leader="none" w:pos="2215" w:val="left"/>
        </w:tabs>
        <w:numPr>
          <w:ilvl w:val="0"/>
          <w:numId w:val="235"/>
        </w:numPr>
        <w:rPr>
          <w:rFonts w:ascii="Arial" w:cs="Arial" w:eastAsia="Arial" w:hAnsi="Arial"/>
          <w:sz w:val="19"/>
          <w:szCs w:val="19"/>
          <w:color w:val="auto"/>
        </w:rPr>
      </w:pPr>
      <w:r>
        <w:rPr>
          <w:rFonts w:ascii="Arial" w:cs="Arial" w:eastAsia="Arial" w:hAnsi="Arial"/>
          <w:sz w:val="19"/>
          <w:szCs w:val="19"/>
          <w:u w:val="single" w:color="auto"/>
          <w:color w:val="auto"/>
        </w:rPr>
        <w:t>Valuation Dispute Resolution</w:t>
      </w:r>
      <w:r>
        <w:rPr>
          <w:rFonts w:ascii="Arial" w:cs="Arial" w:eastAsia="Arial" w:hAnsi="Arial"/>
          <w:sz w:val="19"/>
          <w:szCs w:val="19"/>
          <w:color w:val="auto"/>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Arial" w:cs="Arial" w:eastAsia="Arial" w:hAnsi="Arial"/>
          <w:sz w:val="19"/>
          <w:szCs w:val="19"/>
          <w:u w:val="single" w:color="auto"/>
          <w:color w:val="auto"/>
        </w:rPr>
        <w:t>Section 5.12(b)(ii)(B)</w:t>
      </w:r>
      <w:r>
        <w:rPr>
          <w:rFonts w:ascii="Arial" w:cs="Arial" w:eastAsia="Arial" w:hAnsi="Arial"/>
          <w:sz w:val="19"/>
          <w:szCs w:val="19"/>
          <w:color w:val="auto"/>
        </w:rPr>
        <w:t xml:space="preserve"> and the valuation of any Approved Third-Party Appraiser selected by the Administrative Agent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5.12(b)(ii)(E)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is (1) less than 5% of the value thereof, then the</w:t>
      </w:r>
    </w:p>
    <w:p>
      <w:pPr>
        <w:spacing w:after="0" w:line="15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59" w:name="page260"/>
    <w:bookmarkEnd w:id="259"/>
    <w:p>
      <w:pPr>
        <w:jc w:val="both"/>
        <w:ind w:left="1760"/>
        <w:spacing w:after="0" w:line="234" w:lineRule="auto"/>
        <w:rPr>
          <w:sz w:val="20"/>
          <w:szCs w:val="20"/>
          <w:color w:val="auto"/>
        </w:rPr>
      </w:pPr>
      <w:r>
        <w:rPr>
          <w:rFonts w:ascii="Arial" w:cs="Arial" w:eastAsia="Arial" w:hAnsi="Arial"/>
          <w:sz w:val="22"/>
          <w:szCs w:val="22"/>
          <w:color w:val="auto"/>
        </w:rPr>
        <w:t>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191" w:lineRule="exact"/>
        <w:rPr>
          <w:sz w:val="20"/>
          <w:szCs w:val="20"/>
          <w:color w:val="auto"/>
        </w:rPr>
      </w:pPr>
    </w:p>
    <w:p>
      <w:pPr>
        <w:jc w:val="both"/>
        <w:ind w:firstLine="1763"/>
        <w:spacing w:after="0" w:line="238" w:lineRule="auto"/>
        <w:tabs>
          <w:tab w:leader="none" w:pos="2643"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RIC Diversification Requirements</w:t>
      </w:r>
      <w:r>
        <w:rPr>
          <w:rFonts w:ascii="Arial" w:cs="Arial" w:eastAsia="Arial" w:hAnsi="Arial"/>
          <w:sz w:val="22"/>
          <w:szCs w:val="22"/>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85"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Calculation of Borrowing Base</w:t>
      </w:r>
      <w:r>
        <w:rPr>
          <w:rFonts w:ascii="Arial" w:cs="Arial" w:eastAsia="Arial" w:hAnsi="Arial"/>
          <w:sz w:val="22"/>
          <w:szCs w:val="22"/>
          <w:color w:val="auto"/>
        </w:rPr>
        <w:t>. For purposes of this Agreement, the “</w:t>
      </w:r>
      <w:r>
        <w:rPr>
          <w:rFonts w:ascii="Arial" w:cs="Arial" w:eastAsia="Arial" w:hAnsi="Arial"/>
          <w:sz w:val="22"/>
          <w:szCs w:val="22"/>
          <w:u w:val="single" w:color="auto"/>
          <w:color w:val="auto"/>
        </w:rPr>
        <w:t>Borrowing Base</w:t>
      </w:r>
      <w:r>
        <w:rPr>
          <w:rFonts w:ascii="Arial" w:cs="Arial" w:eastAsia="Arial" w:hAnsi="Arial"/>
          <w:sz w:val="22"/>
          <w:szCs w:val="22"/>
          <w:color w:val="auto"/>
        </w:rPr>
        <w:t xml:space="preserve">” shall be determined, as at any date of determination, as the sum of the Advance Rates of the Value of each Portfolio Investment (excluding any Cash Collateral held by the Administrative Agent pursuant to </w:t>
      </w:r>
      <w:r>
        <w:rPr>
          <w:rFonts w:ascii="Arial" w:cs="Arial" w:eastAsia="Arial" w:hAnsi="Arial"/>
          <w:sz w:val="22"/>
          <w:szCs w:val="22"/>
          <w:u w:val="single" w:color="auto"/>
          <w:color w:val="auto"/>
        </w:rPr>
        <w:t>Section 2.05(k)</w:t>
      </w:r>
      <w:r>
        <w:rPr>
          <w:rFonts w:ascii="Arial" w:cs="Arial" w:eastAsia="Arial" w:hAnsi="Arial"/>
          <w:sz w:val="22"/>
          <w:szCs w:val="22"/>
          <w:color w:val="auto"/>
        </w:rPr>
        <w:t xml:space="preserve"> or the last paragraph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2.09(a)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5" w:lineRule="exact"/>
        <w:rPr>
          <w:sz w:val="20"/>
          <w:szCs w:val="20"/>
          <w:color w:val="auto"/>
        </w:rPr>
      </w:pPr>
    </w:p>
    <w:p>
      <w:pPr>
        <w:jc w:val="both"/>
        <w:ind w:firstLine="1763"/>
        <w:spacing w:after="0" w:line="238" w:lineRule="auto"/>
        <w:tabs>
          <w:tab w:leader="none" w:pos="2643"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Advance Rate applicable to that portion of the aggregate Value of the Portfolio Investments of all issuers in a consolidated group of corporations or other entities (collectively, a “</w:t>
      </w:r>
      <w:r>
        <w:rPr>
          <w:rFonts w:ascii="Arial" w:cs="Arial" w:eastAsia="Arial" w:hAnsi="Arial"/>
          <w:sz w:val="22"/>
          <w:szCs w:val="22"/>
          <w:u w:val="single" w:color="auto"/>
          <w:color w:val="auto"/>
        </w:rPr>
        <w:t>Consolidated Group</w:t>
      </w:r>
      <w:r>
        <w:rPr>
          <w:rFonts w:ascii="Arial" w:cs="Arial" w:eastAsia="Arial" w:hAnsi="Arial"/>
          <w:sz w:val="22"/>
          <w:szCs w:val="22"/>
          <w:color w:val="auto"/>
        </w:rPr>
        <w:t>”), in accordance with GAAP, that exceeds 6% of the aggregate Value of all Portfolio Investments in the Collateral Pool as of the end of the most recent quarter shall be 50% of the Advance Rate otherwise applicable;</w:t>
      </w:r>
    </w:p>
    <w:p>
      <w:pPr>
        <w:spacing w:after="0" w:line="185" w:lineRule="exact"/>
        <w:rPr>
          <w:rFonts w:ascii="Arial" w:cs="Arial" w:eastAsia="Arial" w:hAnsi="Arial"/>
          <w:sz w:val="22"/>
          <w:szCs w:val="22"/>
          <w:color w:val="auto"/>
        </w:rPr>
      </w:pPr>
    </w:p>
    <w:p>
      <w:pPr>
        <w:jc w:val="both"/>
        <w:ind w:firstLine="1763"/>
        <w:spacing w:after="0"/>
        <w:tabs>
          <w:tab w:leader="none" w:pos="2655"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spacing w:after="0" w:line="186" w:lineRule="exact"/>
        <w:rPr>
          <w:rFonts w:ascii="Arial" w:cs="Arial" w:eastAsia="Arial" w:hAnsi="Arial"/>
          <w:sz w:val="22"/>
          <w:szCs w:val="22"/>
          <w:color w:val="auto"/>
        </w:rPr>
      </w:pPr>
    </w:p>
    <w:p>
      <w:pPr>
        <w:jc w:val="both"/>
        <w:ind w:firstLine="1763"/>
        <w:spacing w:after="0" w:line="247" w:lineRule="auto"/>
        <w:tabs>
          <w:tab w:leader="none" w:pos="2643" w:val="left"/>
        </w:tabs>
        <w:numPr>
          <w:ilvl w:val="0"/>
          <w:numId w:val="237"/>
        </w:numPr>
        <w:rPr>
          <w:rFonts w:ascii="Arial" w:cs="Arial" w:eastAsia="Arial" w:hAnsi="Arial"/>
          <w:sz w:val="21"/>
          <w:szCs w:val="21"/>
          <w:color w:val="auto"/>
        </w:rPr>
      </w:pPr>
      <w:r>
        <w:rPr>
          <w:rFonts w:ascii="Arial" w:cs="Arial" w:eastAsia="Arial" w:hAnsi="Arial"/>
          <w:sz w:val="21"/>
          <w:szCs w:val="21"/>
          <w:color w:val="auto"/>
        </w:rPr>
        <w:t xml:space="preserve">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w:t>
      </w:r>
    </w:p>
    <w:p>
      <w:pPr>
        <w:spacing w:after="0" w:line="178" w:lineRule="exact"/>
        <w:rPr>
          <w:rFonts w:ascii="Arial" w:cs="Arial" w:eastAsia="Arial" w:hAnsi="Arial"/>
          <w:sz w:val="21"/>
          <w:szCs w:val="21"/>
          <w:color w:val="auto"/>
        </w:rPr>
      </w:pPr>
    </w:p>
    <w:p>
      <w:pPr>
        <w:jc w:val="both"/>
        <w:ind w:firstLine="1763"/>
        <w:spacing w:after="0" w:line="238" w:lineRule="auto"/>
        <w:tabs>
          <w:tab w:leader="none" w:pos="2655" w:val="left"/>
        </w:tabs>
        <w:numPr>
          <w:ilvl w:val="0"/>
          <w:numId w:val="237"/>
        </w:numPr>
        <w:rPr>
          <w:rFonts w:ascii="Arial" w:cs="Arial" w:eastAsia="Arial" w:hAnsi="Arial"/>
          <w:sz w:val="22"/>
          <w:szCs w:val="22"/>
          <w:color w:val="auto"/>
        </w:rPr>
      </w:pPr>
      <w:r>
        <w:rPr>
          <w:rFonts w:ascii="Arial" w:cs="Arial" w:eastAsia="Arial" w:hAnsi="Arial"/>
          <w:sz w:val="22"/>
          <w:szCs w:val="22"/>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0" w:name="page261"/>
    <w:bookmarkEnd w:id="260"/>
    <w:p>
      <w:pPr>
        <w:jc w:val="both"/>
        <w:ind w:firstLine="1763"/>
        <w:spacing w:after="0"/>
        <w:tabs>
          <w:tab w:leader="none" w:pos="2643"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86" w:lineRule="exact"/>
        <w:rPr>
          <w:rFonts w:ascii="Arial" w:cs="Arial" w:eastAsia="Arial" w:hAnsi="Arial"/>
          <w:sz w:val="22"/>
          <w:szCs w:val="22"/>
          <w:color w:val="auto"/>
        </w:rPr>
      </w:pPr>
    </w:p>
    <w:p>
      <w:pPr>
        <w:ind w:firstLine="1763"/>
        <w:spacing w:after="0" w:line="251" w:lineRule="auto"/>
        <w:tabs>
          <w:tab w:leader="none" w:pos="2619"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the portion of the Borrowing Base attributable to Equity Interests shall not exceed 10% (it being understood that in no event shall Equity Interests of Financing Subsidiaries be included in the Borrowing Base);</w:t>
      </w:r>
    </w:p>
    <w:p>
      <w:pPr>
        <w:spacing w:after="0" w:line="173" w:lineRule="exact"/>
        <w:rPr>
          <w:rFonts w:ascii="Arial" w:cs="Arial" w:eastAsia="Arial" w:hAnsi="Arial"/>
          <w:sz w:val="22"/>
          <w:szCs w:val="22"/>
          <w:color w:val="auto"/>
        </w:rPr>
      </w:pPr>
    </w:p>
    <w:p>
      <w:pPr>
        <w:jc w:val="both"/>
        <w:ind w:firstLine="1763"/>
        <w:spacing w:after="0"/>
        <w:tabs>
          <w:tab w:leader="none" w:pos="2655"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p>
    <w:p>
      <w:pPr>
        <w:spacing w:after="0" w:line="186" w:lineRule="exact"/>
        <w:rPr>
          <w:rFonts w:ascii="Arial" w:cs="Arial" w:eastAsia="Arial" w:hAnsi="Arial"/>
          <w:sz w:val="22"/>
          <w:szCs w:val="22"/>
          <w:color w:val="auto"/>
        </w:rPr>
      </w:pPr>
    </w:p>
    <w:p>
      <w:pPr>
        <w:jc w:val="both"/>
        <w:ind w:firstLine="1763"/>
        <w:spacing w:after="0" w:line="238" w:lineRule="auto"/>
        <w:tabs>
          <w:tab w:leader="none" w:pos="2655"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185" w:lineRule="exact"/>
        <w:rPr>
          <w:rFonts w:ascii="Arial" w:cs="Arial" w:eastAsia="Arial" w:hAnsi="Arial"/>
          <w:sz w:val="22"/>
          <w:szCs w:val="22"/>
          <w:color w:val="auto"/>
        </w:rPr>
      </w:pPr>
    </w:p>
    <w:p>
      <w:pPr>
        <w:jc w:val="both"/>
        <w:ind w:firstLine="1763"/>
        <w:spacing w:after="0"/>
        <w:tabs>
          <w:tab w:leader="none" w:pos="2607" w:val="left"/>
        </w:tabs>
        <w:numPr>
          <w:ilvl w:val="0"/>
          <w:numId w:val="238"/>
        </w:numPr>
        <w:rPr>
          <w:rFonts w:ascii="Arial" w:cs="Arial" w:eastAsia="Arial" w:hAnsi="Arial"/>
          <w:sz w:val="22"/>
          <w:szCs w:val="22"/>
          <w:color w:val="auto"/>
        </w:rPr>
      </w:pPr>
      <w:r>
        <w:rPr>
          <w:rFonts w:ascii="Arial" w:cs="Arial" w:eastAsia="Arial" w:hAnsi="Arial"/>
          <w:sz w:val="22"/>
          <w:szCs w:val="22"/>
          <w:color w:val="auto"/>
        </w:rPr>
        <w:t>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 and</w:t>
      </w:r>
    </w:p>
    <w:p>
      <w:pPr>
        <w:spacing w:after="0" w:line="186" w:lineRule="exact"/>
        <w:rPr>
          <w:rFonts w:ascii="Arial" w:cs="Arial" w:eastAsia="Arial" w:hAnsi="Arial"/>
          <w:sz w:val="22"/>
          <w:szCs w:val="22"/>
          <w:color w:val="auto"/>
        </w:rPr>
      </w:pPr>
    </w:p>
    <w:p>
      <w:pPr>
        <w:jc w:val="both"/>
        <w:ind w:firstLine="1763"/>
        <w:spacing w:after="0"/>
        <w:tabs>
          <w:tab w:leader="none" w:pos="2607" w:val="left"/>
        </w:tabs>
        <w:numPr>
          <w:ilvl w:val="0"/>
          <w:numId w:val="238"/>
        </w:numPr>
        <w:rPr>
          <w:rFonts w:ascii="Arial" w:cs="Arial" w:eastAsia="Arial" w:hAnsi="Arial"/>
          <w:sz w:val="22"/>
          <w:szCs w:val="22"/>
          <w:color w:val="auto"/>
        </w:rPr>
      </w:pPr>
      <w:r>
        <w:rPr>
          <w:rFonts w:ascii="Arial" w:cs="Arial" w:eastAsia="Arial" w:hAnsi="Arial"/>
          <w:sz w:val="22"/>
          <w:szCs w:val="22"/>
          <w:color w:val="auto"/>
        </w:rPr>
        <w:t>at any time the Borrower Asset Coverage Ratio as of the end of the most recent fiscal quarter is greater than or equal to 2.25 to 1:00, the portion of the Borrowing Base attributable to Portfolio Investments other than Performing First Lien Bank Loans shall not exceed 67.5%.</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As used herein, the following terms have the following meanings: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53"/>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40" w:type="dxa"/>
            <w:vAlign w:val="bottom"/>
            <w:gridSpan w:val="11"/>
          </w:tcPr>
          <w:p>
            <w:pPr>
              <w:ind w:left="80"/>
              <w:spacing w:after="0"/>
              <w:rPr>
                <w:sz w:val="20"/>
                <w:szCs w:val="20"/>
                <w:color w:val="auto"/>
              </w:rPr>
            </w:pPr>
            <w:r>
              <w:rPr>
                <w:rFonts w:ascii="Arial" w:cs="Arial" w:eastAsia="Arial" w:hAnsi="Arial"/>
                <w:sz w:val="22"/>
                <w:szCs w:val="22"/>
                <w:color w:val="auto"/>
                <w:w w:val="95"/>
              </w:rPr>
              <w:t>“Advance  Rate”  means,  as  to  any  Portfolio  Investment  and</w:t>
            </w:r>
          </w:p>
        </w:tc>
        <w:tc>
          <w:tcPr>
            <w:tcW w:w="3700" w:type="dxa"/>
            <w:vAlign w:val="bottom"/>
            <w:gridSpan w:val="7"/>
          </w:tcPr>
          <w:p>
            <w:pPr>
              <w:jc w:val="right"/>
              <w:spacing w:after="0"/>
              <w:rPr>
                <w:sz w:val="20"/>
                <w:szCs w:val="20"/>
                <w:color w:val="auto"/>
              </w:rPr>
            </w:pPr>
            <w:r>
              <w:rPr>
                <w:rFonts w:ascii="Arial" w:cs="Arial" w:eastAsia="Arial" w:hAnsi="Arial"/>
                <w:sz w:val="22"/>
                <w:szCs w:val="22"/>
                <w:color w:val="auto"/>
                <w:w w:val="96"/>
              </w:rPr>
              <w:t>subject  to  adjustment  as  provided  in</w:t>
            </w:r>
          </w:p>
        </w:tc>
      </w:tr>
      <w:tr>
        <w:trPr>
          <w:trHeight w:val="20"/>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9480" w:type="dxa"/>
            <w:vAlign w:val="bottom"/>
            <w:gridSpan w:val="17"/>
          </w:tcPr>
          <w:p>
            <w:pPr>
              <w:spacing w:after="0" w:line="223" w:lineRule="exact"/>
              <w:rPr>
                <w:sz w:val="20"/>
                <w:szCs w:val="20"/>
                <w:color w:val="auto"/>
              </w:rPr>
            </w:pPr>
            <w:r>
              <w:rPr>
                <w:rFonts w:ascii="Arial" w:cs="Arial" w:eastAsia="Arial" w:hAnsi="Arial"/>
                <w:sz w:val="22"/>
                <w:szCs w:val="22"/>
                <w:color w:val="auto"/>
              </w:rPr>
              <w:t>Section 5.13(a), (b) and (c), the following percentages with respect to such Portfolio Investment:</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39"/>
        </w:trPr>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Arial" w:cs="Arial" w:eastAsia="Arial" w:hAnsi="Arial"/>
                <w:sz w:val="22"/>
                <w:szCs w:val="22"/>
                <w:color w:val="auto"/>
              </w:rPr>
              <w:t>Portfolio Investment</w:t>
            </w: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Quoted</w:t>
            </w:r>
          </w:p>
        </w:tc>
        <w:tc>
          <w:tcPr>
            <w:tcW w:w="3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22"/>
                <w:szCs w:val="22"/>
                <w:color w:val="auto"/>
                <w:w w:val="98"/>
              </w:rPr>
              <w:t>Unquoted</w:t>
            </w:r>
          </w:p>
        </w:tc>
        <w:tc>
          <w:tcPr>
            <w:tcW w:w="620" w:type="dxa"/>
            <w:vAlign w:val="bottom"/>
          </w:tcPr>
          <w:p>
            <w:pPr>
              <w:spacing w:after="0"/>
              <w:rPr>
                <w:sz w:val="24"/>
                <w:szCs w:val="24"/>
                <w:color w:val="auto"/>
              </w:rPr>
            </w:pPr>
          </w:p>
        </w:tc>
      </w:tr>
      <w:tr>
        <w:trPr>
          <w:trHeight w:val="20"/>
        </w:trPr>
        <w:tc>
          <w:tcPr>
            <w:tcW w:w="1860" w:type="dxa"/>
            <w:vAlign w:val="bottom"/>
            <w:gridSpan w:val="4"/>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42"/>
        </w:trPr>
        <w:tc>
          <w:tcPr>
            <w:tcW w:w="4300" w:type="dxa"/>
            <w:vAlign w:val="bottom"/>
            <w:gridSpan w:val="10"/>
          </w:tcPr>
          <w:p>
            <w:pPr>
              <w:ind w:left="1320"/>
              <w:spacing w:after="0" w:line="242" w:lineRule="exact"/>
              <w:rPr>
                <w:sz w:val="20"/>
                <w:szCs w:val="20"/>
                <w:color w:val="auto"/>
              </w:rPr>
            </w:pPr>
            <w:r>
              <w:rPr>
                <w:rFonts w:ascii="Arial" w:cs="Arial" w:eastAsia="Arial" w:hAnsi="Arial"/>
                <w:sz w:val="22"/>
                <w:szCs w:val="22"/>
                <w:color w:val="auto"/>
              </w:rPr>
              <w:t>Cash, Cash Equivalents and</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80" w:type="dxa"/>
            <w:vAlign w:val="bottom"/>
            <w:gridSpan w:val="10"/>
          </w:tcPr>
          <w:p>
            <w:pPr>
              <w:ind w:left="40"/>
              <w:spacing w:after="0" w:line="243" w:lineRule="exact"/>
              <w:rPr>
                <w:sz w:val="20"/>
                <w:szCs w:val="20"/>
                <w:color w:val="auto"/>
              </w:rPr>
            </w:pPr>
            <w:r>
              <w:rPr>
                <w:rFonts w:ascii="Arial" w:cs="Arial" w:eastAsia="Arial" w:hAnsi="Arial"/>
                <w:sz w:val="22"/>
                <w:szCs w:val="22"/>
                <w:color w:val="auto"/>
              </w:rPr>
              <w:t>Short-Term U.S. Government Securities</w:t>
            </w: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center"/>
              <w:ind w:left="172"/>
              <w:spacing w:after="0" w:line="243" w:lineRule="exact"/>
              <w:rPr>
                <w:sz w:val="20"/>
                <w:szCs w:val="20"/>
                <w:color w:val="auto"/>
              </w:rPr>
            </w:pPr>
            <w:r>
              <w:rPr>
                <w:rFonts w:ascii="Arial" w:cs="Arial" w:eastAsia="Arial" w:hAnsi="Arial"/>
                <w:sz w:val="22"/>
                <w:szCs w:val="22"/>
                <w:color w:val="auto"/>
                <w:w w:val="88"/>
              </w:rPr>
              <w:t>100%</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7"/>
              </w:rPr>
              <w:t>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5520" w:type="dxa"/>
            <w:vAlign w:val="bottom"/>
            <w:gridSpan w:val="12"/>
          </w:tcPr>
          <w:p>
            <w:pPr>
              <w:ind w:left="1320"/>
              <w:spacing w:after="0" w:line="243" w:lineRule="exact"/>
              <w:rPr>
                <w:sz w:val="20"/>
                <w:szCs w:val="20"/>
                <w:color w:val="auto"/>
              </w:rPr>
            </w:pPr>
            <w:r>
              <w:rPr>
                <w:rFonts w:ascii="Arial" w:cs="Arial" w:eastAsia="Arial" w:hAnsi="Arial"/>
                <w:sz w:val="22"/>
                <w:szCs w:val="22"/>
                <w:color w:val="auto"/>
              </w:rPr>
              <w:t>Long-Term U.S. Government Securities</w:t>
            </w: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90"/>
              </w:rPr>
              <w:t>95%</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7"/>
              </w:rPr>
              <w:t>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4300" w:type="dxa"/>
            <w:vAlign w:val="bottom"/>
            <w:gridSpan w:val="10"/>
          </w:tcPr>
          <w:p>
            <w:pPr>
              <w:ind w:left="1320"/>
              <w:spacing w:after="0" w:line="243" w:lineRule="exact"/>
              <w:rPr>
                <w:sz w:val="20"/>
                <w:szCs w:val="20"/>
                <w:color w:val="auto"/>
              </w:rPr>
            </w:pPr>
            <w:r>
              <w:rPr>
                <w:rFonts w:ascii="Arial" w:cs="Arial" w:eastAsia="Arial" w:hAnsi="Arial"/>
                <w:sz w:val="22"/>
                <w:szCs w:val="22"/>
                <w:color w:val="auto"/>
                <w:w w:val="90"/>
              </w:rPr>
              <w:t>Performing First Lien Bank Loans</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90"/>
              </w:rPr>
              <w:t>85%</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0"/>
              </w:rPr>
              <w:t>75%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4300" w:type="dxa"/>
            <w:vAlign w:val="bottom"/>
            <w:gridSpan w:val="10"/>
          </w:tcPr>
          <w:p>
            <w:pPr>
              <w:ind w:left="1320"/>
              <w:spacing w:after="0" w:line="243" w:lineRule="exact"/>
              <w:rPr>
                <w:sz w:val="20"/>
                <w:szCs w:val="20"/>
                <w:color w:val="auto"/>
              </w:rPr>
            </w:pPr>
            <w:r>
              <w:rPr>
                <w:rFonts w:ascii="Arial" w:cs="Arial" w:eastAsia="Arial" w:hAnsi="Arial"/>
                <w:sz w:val="22"/>
                <w:szCs w:val="22"/>
                <w:color w:val="auto"/>
              </w:rPr>
              <w:t>Performing Unitranche Loans</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90"/>
              </w:rPr>
              <w:t>80%</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0"/>
              </w:rPr>
              <w:t>70%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5520" w:type="dxa"/>
            <w:vAlign w:val="bottom"/>
            <w:gridSpan w:val="12"/>
          </w:tcPr>
          <w:p>
            <w:pPr>
              <w:ind w:left="1320"/>
              <w:spacing w:after="0" w:line="243" w:lineRule="exact"/>
              <w:rPr>
                <w:sz w:val="20"/>
                <w:szCs w:val="20"/>
                <w:color w:val="auto"/>
              </w:rPr>
            </w:pPr>
            <w:r>
              <w:rPr>
                <w:rFonts w:ascii="Arial" w:cs="Arial" w:eastAsia="Arial" w:hAnsi="Arial"/>
                <w:sz w:val="22"/>
                <w:szCs w:val="22"/>
                <w:color w:val="auto"/>
              </w:rPr>
              <w:t>Performing Second Lien Bank Loans</w:t>
            </w: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90"/>
              </w:rPr>
              <w:t>75%</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0"/>
              </w:rPr>
              <w:t>65%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5520" w:type="dxa"/>
            <w:vAlign w:val="bottom"/>
            <w:gridSpan w:val="12"/>
          </w:tcPr>
          <w:p>
            <w:pPr>
              <w:ind w:left="1320"/>
              <w:spacing w:after="0" w:line="243" w:lineRule="exact"/>
              <w:rPr>
                <w:sz w:val="20"/>
                <w:szCs w:val="20"/>
                <w:color w:val="auto"/>
              </w:rPr>
            </w:pPr>
            <w:r>
              <w:rPr>
                <w:rFonts w:ascii="Arial" w:cs="Arial" w:eastAsia="Arial" w:hAnsi="Arial"/>
                <w:sz w:val="22"/>
                <w:szCs w:val="22"/>
                <w:color w:val="auto"/>
                <w:w w:val="99"/>
              </w:rPr>
              <w:t>Performing Cash Pay High Yield Securities</w:t>
            </w: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90"/>
              </w:rPr>
              <w:t>70%</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0"/>
              </w:rPr>
              <w:t>60%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5520" w:type="dxa"/>
            <w:vAlign w:val="bottom"/>
            <w:gridSpan w:val="12"/>
          </w:tcPr>
          <w:p>
            <w:pPr>
              <w:ind w:left="1320"/>
              <w:spacing w:after="0" w:line="243" w:lineRule="exact"/>
              <w:rPr>
                <w:sz w:val="20"/>
                <w:szCs w:val="20"/>
                <w:color w:val="auto"/>
              </w:rPr>
            </w:pPr>
            <w:r>
              <w:rPr>
                <w:rFonts w:ascii="Arial" w:cs="Arial" w:eastAsia="Arial" w:hAnsi="Arial"/>
                <w:sz w:val="22"/>
                <w:szCs w:val="22"/>
                <w:color w:val="auto"/>
                <w:w w:val="93"/>
              </w:rPr>
              <w:t>Performing Cash Pay Mezzanine Investments</w:t>
            </w: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90"/>
              </w:rPr>
              <w:t>65%</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0"/>
              </w:rPr>
              <w:t>55%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5520" w:type="dxa"/>
            <w:vAlign w:val="bottom"/>
            <w:gridSpan w:val="12"/>
          </w:tcPr>
          <w:p>
            <w:pPr>
              <w:ind w:left="1320"/>
              <w:spacing w:after="0" w:line="243" w:lineRule="exact"/>
              <w:rPr>
                <w:sz w:val="20"/>
                <w:szCs w:val="20"/>
                <w:color w:val="auto"/>
              </w:rPr>
            </w:pPr>
            <w:r>
              <w:rPr>
                <w:rFonts w:ascii="Arial" w:cs="Arial" w:eastAsia="Arial" w:hAnsi="Arial"/>
                <w:sz w:val="22"/>
                <w:szCs w:val="22"/>
                <w:color w:val="auto"/>
                <w:w w:val="89"/>
              </w:rPr>
              <w:t>Performing Non-Cash Pay High Yield Securities</w:t>
            </w: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90"/>
              </w:rPr>
              <w:t>60%</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0"/>
              </w:rPr>
              <w:t>50%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6260" w:type="dxa"/>
            <w:vAlign w:val="bottom"/>
            <w:gridSpan w:val="13"/>
          </w:tcPr>
          <w:p>
            <w:pPr>
              <w:ind w:left="1320"/>
              <w:spacing w:after="0" w:line="243" w:lineRule="exact"/>
              <w:rPr>
                <w:sz w:val="20"/>
                <w:szCs w:val="20"/>
                <w:color w:val="auto"/>
              </w:rPr>
            </w:pPr>
            <w:r>
              <w:rPr>
                <w:rFonts w:ascii="Arial" w:cs="Arial" w:eastAsia="Arial" w:hAnsi="Arial"/>
                <w:sz w:val="22"/>
                <w:szCs w:val="22"/>
                <w:color w:val="auto"/>
                <w:w w:val="99"/>
              </w:rPr>
              <w:t>Performing Non-Cash Pay Mezzanine Investments</w:t>
            </w:r>
          </w:p>
        </w:tc>
        <w:tc>
          <w:tcPr>
            <w:tcW w:w="1460" w:type="dxa"/>
            <w:vAlign w:val="bottom"/>
          </w:tcPr>
          <w:p>
            <w:pPr>
              <w:spacing w:after="0"/>
              <w:rPr>
                <w:sz w:val="21"/>
                <w:szCs w:val="21"/>
                <w:color w:val="auto"/>
              </w:rPr>
            </w:pPr>
          </w:p>
        </w:tc>
        <w:tc>
          <w:tcPr>
            <w:tcW w:w="94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90"/>
              </w:rPr>
              <w:t>55%</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0"/>
              </w:rPr>
              <w:t>45%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5520" w:type="dxa"/>
            <w:vAlign w:val="bottom"/>
            <w:gridSpan w:val="12"/>
          </w:tcPr>
          <w:p>
            <w:pPr>
              <w:ind w:left="1320"/>
              <w:spacing w:after="0" w:line="243" w:lineRule="exact"/>
              <w:rPr>
                <w:sz w:val="20"/>
                <w:szCs w:val="20"/>
                <w:color w:val="auto"/>
              </w:rPr>
            </w:pPr>
            <w:r>
              <w:rPr>
                <w:rFonts w:ascii="Arial" w:cs="Arial" w:eastAsia="Arial" w:hAnsi="Arial"/>
                <w:sz w:val="22"/>
                <w:szCs w:val="22"/>
                <w:color w:val="auto"/>
              </w:rPr>
              <w:t>Non-Performing First Lien Bank Loans</w:t>
            </w: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90"/>
              </w:rPr>
              <w:t>45%</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0"/>
              </w:rPr>
              <w:t>45%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5520" w:type="dxa"/>
            <w:vAlign w:val="bottom"/>
            <w:gridSpan w:val="12"/>
          </w:tcPr>
          <w:p>
            <w:pPr>
              <w:ind w:left="1320"/>
              <w:spacing w:after="0" w:line="243" w:lineRule="exact"/>
              <w:rPr>
                <w:sz w:val="20"/>
                <w:szCs w:val="20"/>
                <w:color w:val="auto"/>
              </w:rPr>
            </w:pPr>
            <w:r>
              <w:rPr>
                <w:rFonts w:ascii="Arial" w:cs="Arial" w:eastAsia="Arial" w:hAnsi="Arial"/>
                <w:sz w:val="22"/>
                <w:szCs w:val="22"/>
                <w:color w:val="auto"/>
              </w:rPr>
              <w:t>Non-Performing Unitranche Loans</w:t>
            </w: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90"/>
              </w:rPr>
              <w:t>40%</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0"/>
              </w:rPr>
              <w:t>40%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5520" w:type="dxa"/>
            <w:vAlign w:val="bottom"/>
            <w:gridSpan w:val="12"/>
          </w:tcPr>
          <w:p>
            <w:pPr>
              <w:ind w:left="1320"/>
              <w:spacing w:after="0" w:line="243" w:lineRule="exact"/>
              <w:rPr>
                <w:sz w:val="20"/>
                <w:szCs w:val="20"/>
                <w:color w:val="auto"/>
              </w:rPr>
            </w:pPr>
            <w:r>
              <w:rPr>
                <w:rFonts w:ascii="Arial" w:cs="Arial" w:eastAsia="Arial" w:hAnsi="Arial"/>
                <w:sz w:val="22"/>
                <w:szCs w:val="22"/>
                <w:color w:val="auto"/>
              </w:rPr>
              <w:t>Non-Performing Second Lien Bank Loans</w:t>
            </w: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90"/>
              </w:rPr>
              <w:t>40%</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0"/>
              </w:rPr>
              <w:t>30%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5520" w:type="dxa"/>
            <w:vAlign w:val="bottom"/>
            <w:gridSpan w:val="12"/>
          </w:tcPr>
          <w:p>
            <w:pPr>
              <w:ind w:left="1320"/>
              <w:spacing w:after="0" w:line="243" w:lineRule="exact"/>
              <w:rPr>
                <w:sz w:val="20"/>
                <w:szCs w:val="20"/>
                <w:color w:val="auto"/>
              </w:rPr>
            </w:pPr>
            <w:r>
              <w:rPr>
                <w:rFonts w:ascii="Arial" w:cs="Arial" w:eastAsia="Arial" w:hAnsi="Arial"/>
                <w:sz w:val="22"/>
                <w:szCs w:val="22"/>
                <w:color w:val="auto"/>
              </w:rPr>
              <w:t>Non-Performing High Yield Securities</w:t>
            </w: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90"/>
              </w:rPr>
              <w:t>30%</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0"/>
              </w:rPr>
              <w:t>30%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6260" w:type="dxa"/>
            <w:vAlign w:val="bottom"/>
            <w:gridSpan w:val="13"/>
          </w:tcPr>
          <w:p>
            <w:pPr>
              <w:ind w:left="1320"/>
              <w:spacing w:after="0" w:line="243" w:lineRule="exact"/>
              <w:rPr>
                <w:sz w:val="20"/>
                <w:szCs w:val="20"/>
                <w:color w:val="auto"/>
              </w:rPr>
            </w:pPr>
            <w:r>
              <w:rPr>
                <w:rFonts w:ascii="Arial" w:cs="Arial" w:eastAsia="Arial" w:hAnsi="Arial"/>
                <w:sz w:val="22"/>
                <w:szCs w:val="22"/>
                <w:color w:val="auto"/>
                <w:w w:val="99"/>
              </w:rPr>
              <w:t>Non-Performing Cash Pay Mezzanine Investments</w:t>
            </w:r>
          </w:p>
        </w:tc>
        <w:tc>
          <w:tcPr>
            <w:tcW w:w="1460" w:type="dxa"/>
            <w:vAlign w:val="bottom"/>
          </w:tcPr>
          <w:p>
            <w:pPr>
              <w:spacing w:after="0"/>
              <w:rPr>
                <w:sz w:val="21"/>
                <w:szCs w:val="21"/>
                <w:color w:val="auto"/>
              </w:rPr>
            </w:pPr>
          </w:p>
        </w:tc>
        <w:tc>
          <w:tcPr>
            <w:tcW w:w="94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90"/>
              </w:rPr>
              <w:t>30%</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0"/>
              </w:rPr>
              <w:t>25%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5520" w:type="dxa"/>
            <w:vAlign w:val="bottom"/>
            <w:gridSpan w:val="12"/>
          </w:tcPr>
          <w:p>
            <w:pPr>
              <w:ind w:left="1320"/>
              <w:spacing w:after="0" w:line="243" w:lineRule="exact"/>
              <w:rPr>
                <w:sz w:val="20"/>
                <w:szCs w:val="20"/>
                <w:color w:val="auto"/>
              </w:rPr>
            </w:pPr>
            <w:r>
              <w:rPr>
                <w:rFonts w:ascii="Arial" w:cs="Arial" w:eastAsia="Arial" w:hAnsi="Arial"/>
                <w:sz w:val="22"/>
                <w:szCs w:val="22"/>
                <w:color w:val="auto"/>
                <w:w w:val="94"/>
              </w:rPr>
              <w:t>Performing Common Equity (and zero cost or</w:t>
            </w: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center"/>
              <w:ind w:left="192"/>
              <w:spacing w:after="0" w:line="243" w:lineRule="exact"/>
              <w:rPr>
                <w:sz w:val="20"/>
                <w:szCs w:val="20"/>
                <w:color w:val="auto"/>
              </w:rPr>
            </w:pPr>
            <w:r>
              <w:rPr>
                <w:rFonts w:ascii="Arial" w:cs="Arial" w:eastAsia="Arial" w:hAnsi="Arial"/>
                <w:sz w:val="22"/>
                <w:szCs w:val="22"/>
                <w:color w:val="auto"/>
                <w:w w:val="90"/>
              </w:rPr>
              <w:t>30%</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90"/>
              </w:rPr>
              <w:t>20%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80" w:type="dxa"/>
            <w:vAlign w:val="bottom"/>
            <w:gridSpan w:val="10"/>
          </w:tcPr>
          <w:p>
            <w:pPr>
              <w:ind w:left="40"/>
              <w:spacing w:after="0" w:line="243" w:lineRule="exact"/>
              <w:rPr>
                <w:sz w:val="20"/>
                <w:szCs w:val="20"/>
                <w:color w:val="auto"/>
              </w:rPr>
            </w:pPr>
            <w:r>
              <w:rPr>
                <w:rFonts w:ascii="Arial" w:cs="Arial" w:eastAsia="Arial" w:hAnsi="Arial"/>
                <w:sz w:val="22"/>
                <w:szCs w:val="22"/>
                <w:color w:val="auto"/>
              </w:rPr>
              <w:t>penny warrants with performing debt)</w:t>
            </w: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4300" w:type="dxa"/>
            <w:vAlign w:val="bottom"/>
            <w:gridSpan w:val="10"/>
          </w:tcPr>
          <w:p>
            <w:pPr>
              <w:ind w:left="1320"/>
              <w:spacing w:after="0" w:line="243" w:lineRule="exact"/>
              <w:rPr>
                <w:sz w:val="20"/>
                <w:szCs w:val="20"/>
                <w:color w:val="auto"/>
              </w:rPr>
            </w:pPr>
            <w:r>
              <w:rPr>
                <w:rFonts w:ascii="Arial" w:cs="Arial" w:eastAsia="Arial" w:hAnsi="Arial"/>
                <w:sz w:val="22"/>
                <w:szCs w:val="22"/>
                <w:color w:val="auto"/>
                <w:w w:val="93"/>
              </w:rPr>
              <w:t>Non-Performing Common Equity</w:t>
            </w: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gridSpan w:val="2"/>
          </w:tcPr>
          <w:p>
            <w:pPr>
              <w:jc w:val="center"/>
              <w:ind w:left="172"/>
              <w:spacing w:after="0" w:line="243" w:lineRule="exact"/>
              <w:rPr>
                <w:sz w:val="20"/>
                <w:szCs w:val="20"/>
                <w:color w:val="auto"/>
              </w:rPr>
            </w:pPr>
            <w:r>
              <w:rPr>
                <w:rFonts w:ascii="Arial" w:cs="Arial" w:eastAsia="Arial" w:hAnsi="Arial"/>
                <w:sz w:val="22"/>
                <w:szCs w:val="22"/>
                <w:color w:val="auto"/>
                <w:w w:val="94"/>
              </w:rPr>
              <w:t>0%</w:t>
            </w:r>
          </w:p>
        </w:tc>
        <w:tc>
          <w:tcPr>
            <w:tcW w:w="820" w:type="dxa"/>
            <w:vAlign w:val="bottom"/>
          </w:tcPr>
          <w:p>
            <w:pPr>
              <w:spacing w:after="0"/>
              <w:rPr>
                <w:sz w:val="21"/>
                <w:szCs w:val="21"/>
                <w:color w:val="auto"/>
              </w:rPr>
            </w:pPr>
          </w:p>
        </w:tc>
        <w:tc>
          <w:tcPr>
            <w:tcW w:w="1220" w:type="dxa"/>
            <w:vAlign w:val="bottom"/>
            <w:gridSpan w:val="2"/>
          </w:tcPr>
          <w:p>
            <w:pPr>
              <w:jc w:val="center"/>
              <w:ind w:left="232"/>
              <w:spacing w:after="0" w:line="243" w:lineRule="exact"/>
              <w:rPr>
                <w:sz w:val="20"/>
                <w:szCs w:val="20"/>
                <w:color w:val="auto"/>
              </w:rPr>
            </w:pPr>
            <w:r>
              <w:rPr>
                <w:rFonts w:ascii="Arial" w:cs="Arial" w:eastAsia="Arial" w:hAnsi="Arial"/>
                <w:sz w:val="22"/>
                <w:szCs w:val="22"/>
                <w:color w:val="auto"/>
                <w:w w:val="87"/>
              </w:rPr>
              <w:t>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5"/>
        </w:trPr>
        <w:tc>
          <w:tcPr>
            <w:tcW w:w="6260" w:type="dxa"/>
            <w:vAlign w:val="bottom"/>
            <w:gridSpan w:val="13"/>
          </w:tcPr>
          <w:p>
            <w:pPr>
              <w:ind w:left="1320"/>
              <w:spacing w:after="0"/>
              <w:rPr>
                <w:sz w:val="20"/>
                <w:szCs w:val="20"/>
                <w:color w:val="auto"/>
              </w:rPr>
            </w:pPr>
            <w:r>
              <w:rPr>
                <w:rFonts w:ascii="Arial" w:cs="Arial" w:eastAsia="Arial" w:hAnsi="Arial"/>
                <w:sz w:val="22"/>
                <w:szCs w:val="22"/>
                <w:color w:val="auto"/>
                <w:w w:val="97"/>
              </w:rPr>
              <w:t>Structured Finance Obligations and Finance Leases</w:t>
            </w:r>
          </w:p>
        </w:tc>
        <w:tc>
          <w:tcPr>
            <w:tcW w:w="1460" w:type="dxa"/>
            <w:vAlign w:val="bottom"/>
          </w:tcPr>
          <w:p>
            <w:pPr>
              <w:spacing w:after="0"/>
              <w:rPr>
                <w:sz w:val="23"/>
                <w:szCs w:val="23"/>
                <w:color w:val="auto"/>
              </w:rPr>
            </w:pPr>
          </w:p>
        </w:tc>
        <w:tc>
          <w:tcPr>
            <w:tcW w:w="940" w:type="dxa"/>
            <w:vAlign w:val="bottom"/>
            <w:gridSpan w:val="2"/>
          </w:tcPr>
          <w:p>
            <w:pPr>
              <w:jc w:val="center"/>
              <w:ind w:left="172"/>
              <w:spacing w:after="0"/>
              <w:rPr>
                <w:sz w:val="20"/>
                <w:szCs w:val="20"/>
                <w:color w:val="auto"/>
              </w:rPr>
            </w:pPr>
            <w:r>
              <w:rPr>
                <w:rFonts w:ascii="Arial" w:cs="Arial" w:eastAsia="Arial" w:hAnsi="Arial"/>
                <w:sz w:val="22"/>
                <w:szCs w:val="22"/>
                <w:color w:val="auto"/>
                <w:w w:val="94"/>
              </w:rPr>
              <w:t>0%</w:t>
            </w:r>
          </w:p>
        </w:tc>
        <w:tc>
          <w:tcPr>
            <w:tcW w:w="820" w:type="dxa"/>
            <w:vAlign w:val="bottom"/>
          </w:tcPr>
          <w:p>
            <w:pPr>
              <w:spacing w:after="0"/>
              <w:rPr>
                <w:sz w:val="23"/>
                <w:szCs w:val="23"/>
                <w:color w:val="auto"/>
              </w:rPr>
            </w:pPr>
          </w:p>
        </w:tc>
        <w:tc>
          <w:tcPr>
            <w:tcW w:w="1220" w:type="dxa"/>
            <w:vAlign w:val="bottom"/>
            <w:gridSpan w:val="2"/>
          </w:tcPr>
          <w:p>
            <w:pPr>
              <w:jc w:val="center"/>
              <w:ind w:left="232"/>
              <w:spacing w:after="0"/>
              <w:rPr>
                <w:sz w:val="20"/>
                <w:szCs w:val="20"/>
                <w:color w:val="auto"/>
              </w:rPr>
            </w:pPr>
            <w:r>
              <w:rPr>
                <w:rFonts w:ascii="Arial" w:cs="Arial" w:eastAsia="Arial" w:hAnsi="Arial"/>
                <w:sz w:val="22"/>
                <w:szCs w:val="22"/>
                <w:color w:val="auto"/>
                <w:w w:val="87"/>
              </w:rPr>
              <w:t>0%</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409"/>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3"/>
          </w:tcPr>
          <w:p>
            <w:pPr>
              <w:ind w:left="80"/>
              <w:spacing w:after="0"/>
              <w:rPr>
                <w:sz w:val="20"/>
                <w:szCs w:val="20"/>
                <w:color w:val="auto"/>
              </w:rPr>
            </w:pPr>
            <w:r>
              <w:rPr>
                <w:rFonts w:ascii="Arial" w:cs="Arial" w:eastAsia="Arial" w:hAnsi="Arial"/>
                <w:sz w:val="22"/>
                <w:szCs w:val="22"/>
                <w:color w:val="auto"/>
                <w:w w:val="97"/>
              </w:rPr>
              <w:t>“Bank</w:t>
            </w:r>
          </w:p>
        </w:tc>
        <w:tc>
          <w:tcPr>
            <w:tcW w:w="1960" w:type="dxa"/>
            <w:vAlign w:val="bottom"/>
            <w:gridSpan w:val="4"/>
          </w:tcPr>
          <w:p>
            <w:pPr>
              <w:ind w:left="660"/>
              <w:spacing w:after="0"/>
              <w:rPr>
                <w:sz w:val="20"/>
                <w:szCs w:val="20"/>
                <w:color w:val="auto"/>
              </w:rPr>
            </w:pPr>
            <w:r>
              <w:rPr>
                <w:rFonts w:ascii="Arial" w:cs="Arial" w:eastAsia="Arial" w:hAnsi="Arial"/>
                <w:sz w:val="22"/>
                <w:szCs w:val="22"/>
                <w:color w:val="auto"/>
              </w:rPr>
              <w:t>Loans”</w:t>
            </w:r>
          </w:p>
        </w:tc>
        <w:tc>
          <w:tcPr>
            <w:tcW w:w="1220" w:type="dxa"/>
            <w:vAlign w:val="bottom"/>
            <w:gridSpan w:val="2"/>
          </w:tcPr>
          <w:p>
            <w:pPr>
              <w:spacing w:after="0"/>
              <w:rPr>
                <w:sz w:val="20"/>
                <w:szCs w:val="20"/>
                <w:color w:val="auto"/>
              </w:rPr>
            </w:pPr>
            <w:r>
              <w:rPr>
                <w:rFonts w:ascii="Arial" w:cs="Arial" w:eastAsia="Arial" w:hAnsi="Arial"/>
                <w:sz w:val="22"/>
                <w:szCs w:val="22"/>
                <w:color w:val="auto"/>
              </w:rPr>
              <w:t>means</w:t>
            </w:r>
          </w:p>
        </w:tc>
        <w:tc>
          <w:tcPr>
            <w:tcW w:w="740" w:type="dxa"/>
            <w:vAlign w:val="bottom"/>
          </w:tcPr>
          <w:p>
            <w:pPr>
              <w:ind w:left="20"/>
              <w:spacing w:after="0"/>
              <w:rPr>
                <w:sz w:val="20"/>
                <w:szCs w:val="20"/>
                <w:color w:val="auto"/>
              </w:rPr>
            </w:pPr>
            <w:r>
              <w:rPr>
                <w:rFonts w:ascii="Arial" w:cs="Arial" w:eastAsia="Arial" w:hAnsi="Arial"/>
                <w:sz w:val="22"/>
                <w:szCs w:val="22"/>
                <w:color w:val="auto"/>
              </w:rPr>
              <w:t>debt</w:t>
            </w:r>
          </w:p>
        </w:tc>
        <w:tc>
          <w:tcPr>
            <w:tcW w:w="1460" w:type="dxa"/>
            <w:vAlign w:val="bottom"/>
          </w:tcPr>
          <w:p>
            <w:pPr>
              <w:ind w:left="340"/>
              <w:spacing w:after="0"/>
              <w:rPr>
                <w:sz w:val="20"/>
                <w:szCs w:val="20"/>
                <w:color w:val="auto"/>
              </w:rPr>
            </w:pPr>
            <w:r>
              <w:rPr>
                <w:rFonts w:ascii="Arial" w:cs="Arial" w:eastAsia="Arial" w:hAnsi="Arial"/>
                <w:sz w:val="22"/>
                <w:szCs w:val="22"/>
                <w:color w:val="auto"/>
              </w:rPr>
              <w:t>obligations</w:t>
            </w:r>
          </w:p>
        </w:tc>
        <w:tc>
          <w:tcPr>
            <w:tcW w:w="300" w:type="dxa"/>
            <w:vAlign w:val="bottom"/>
          </w:tcPr>
          <w:p>
            <w:pPr>
              <w:spacing w:after="0"/>
              <w:rPr>
                <w:sz w:val="24"/>
                <w:szCs w:val="24"/>
                <w:color w:val="auto"/>
              </w:rPr>
            </w:pPr>
          </w:p>
        </w:tc>
        <w:tc>
          <w:tcPr>
            <w:tcW w:w="1460" w:type="dxa"/>
            <w:vAlign w:val="bottom"/>
            <w:gridSpan w:val="2"/>
          </w:tcPr>
          <w:p>
            <w:pPr>
              <w:ind w:left="220"/>
              <w:spacing w:after="0"/>
              <w:rPr>
                <w:sz w:val="20"/>
                <w:szCs w:val="20"/>
                <w:color w:val="auto"/>
              </w:rPr>
            </w:pPr>
            <w:r>
              <w:rPr>
                <w:rFonts w:ascii="Arial" w:cs="Arial" w:eastAsia="Arial" w:hAnsi="Arial"/>
                <w:sz w:val="22"/>
                <w:szCs w:val="22"/>
                <w:color w:val="auto"/>
              </w:rPr>
              <w:t>(including</w:t>
            </w:r>
          </w:p>
        </w:tc>
        <w:tc>
          <w:tcPr>
            <w:tcW w:w="1320" w:type="dxa"/>
            <w:vAlign w:val="bottom"/>
            <w:gridSpan w:val="3"/>
          </w:tcPr>
          <w:p>
            <w:pPr>
              <w:ind w:left="340"/>
              <w:spacing w:after="0"/>
              <w:rPr>
                <w:sz w:val="20"/>
                <w:szCs w:val="20"/>
                <w:color w:val="auto"/>
              </w:rPr>
            </w:pPr>
            <w:r>
              <w:rPr>
                <w:rFonts w:ascii="Arial" w:cs="Arial" w:eastAsia="Arial" w:hAnsi="Arial"/>
                <w:sz w:val="22"/>
                <w:szCs w:val="22"/>
                <w:color w:val="auto"/>
              </w:rPr>
              <w:t>term</w:t>
            </w:r>
          </w:p>
        </w:tc>
        <w:tc>
          <w:tcPr>
            <w:tcW w:w="620" w:type="dxa"/>
            <w:vAlign w:val="bottom"/>
          </w:tcPr>
          <w:p>
            <w:pPr>
              <w:jc w:val="right"/>
              <w:spacing w:after="0"/>
              <w:rPr>
                <w:sz w:val="20"/>
                <w:szCs w:val="20"/>
                <w:color w:val="auto"/>
              </w:rPr>
            </w:pPr>
            <w:r>
              <w:rPr>
                <w:rFonts w:ascii="Arial" w:cs="Arial" w:eastAsia="Arial" w:hAnsi="Arial"/>
                <w:sz w:val="22"/>
                <w:szCs w:val="22"/>
                <w:color w:val="auto"/>
              </w:rPr>
              <w:t>loans,</w:t>
            </w:r>
          </w:p>
        </w:tc>
      </w:tr>
      <w:tr>
        <w:trPr>
          <w:trHeight w:val="260"/>
        </w:trPr>
        <w:tc>
          <w:tcPr>
            <w:tcW w:w="1860" w:type="dxa"/>
            <w:vAlign w:val="bottom"/>
            <w:gridSpan w:val="4"/>
          </w:tcPr>
          <w:p>
            <w:pPr>
              <w:spacing w:after="0"/>
              <w:rPr>
                <w:sz w:val="20"/>
                <w:szCs w:val="20"/>
                <w:color w:val="auto"/>
              </w:rPr>
            </w:pPr>
            <w:r>
              <w:rPr>
                <w:rFonts w:ascii="Arial" w:cs="Arial" w:eastAsia="Arial" w:hAnsi="Arial"/>
                <w:sz w:val="22"/>
                <w:szCs w:val="22"/>
                <w:color w:val="auto"/>
              </w:rPr>
              <w:t>notes,</w:t>
            </w:r>
          </w:p>
        </w:tc>
        <w:tc>
          <w:tcPr>
            <w:tcW w:w="480" w:type="dxa"/>
            <w:vAlign w:val="bottom"/>
            <w:tcBorders>
              <w:top w:val="single" w:sz="8" w:color="auto"/>
            </w:tcBorders>
            <w:gridSpan w:val="2"/>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0" w:type="dxa"/>
            <w:vAlign w:val="bottom"/>
            <w:gridSpan w:val="6"/>
          </w:tcPr>
          <w:p>
            <w:pPr>
              <w:jc w:val="right"/>
              <w:spacing w:after="0"/>
              <w:rPr>
                <w:sz w:val="20"/>
                <w:szCs w:val="20"/>
                <w:color w:val="auto"/>
              </w:rPr>
            </w:pPr>
            <w:r>
              <w:rPr>
                <w:rFonts w:ascii="Arial" w:cs="Arial" w:eastAsia="Arial" w:hAnsi="Arial"/>
                <w:sz w:val="22"/>
                <w:szCs w:val="22"/>
                <w:color w:val="auto"/>
                <w:w w:val="93"/>
              </w:rPr>
              <w:t>revolving loans, debtor-in-possession</w:t>
            </w:r>
          </w:p>
        </w:tc>
      </w:tr>
    </w:tbl>
    <w:p>
      <w:pPr>
        <w:jc w:val="both"/>
        <w:spacing w:after="0" w:line="234" w:lineRule="auto"/>
        <w:rPr>
          <w:sz w:val="20"/>
          <w:szCs w:val="20"/>
          <w:color w:val="auto"/>
        </w:rPr>
      </w:pPr>
      <w:r>
        <w:rPr>
          <w:rFonts w:ascii="Arial" w:cs="Arial" w:eastAsia="Arial" w:hAnsi="Arial"/>
          <w:sz w:val="22"/>
          <w:szCs w:val="22"/>
          <w:color w:val="auto"/>
        </w:rPr>
        <w:t>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87"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Equivalents</w:t>
      </w:r>
      <w:r>
        <w:rPr>
          <w:rFonts w:ascii="Arial" w:cs="Arial" w:eastAsia="Arial" w:hAnsi="Arial"/>
          <w:sz w:val="21"/>
          <w:szCs w:val="21"/>
          <w:color w:val="auto"/>
        </w:rPr>
        <w:t xml:space="preserve">” has the meaning assigned to such term in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of the Credit Agreement.</w:t>
      </w:r>
    </w:p>
    <w:p>
      <w:pPr>
        <w:spacing w:after="0" w:line="218" w:lineRule="exact"/>
        <w:rPr>
          <w:sz w:val="20"/>
          <w:szCs w:val="20"/>
          <w:color w:val="auto"/>
        </w:rPr>
      </w:pPr>
    </w:p>
    <w:p>
      <w:pPr>
        <w:jc w:val="both"/>
        <w:ind w:firstLine="1755"/>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Finance Lease</w:t>
      </w:r>
      <w:r>
        <w:rPr>
          <w:rFonts w:ascii="Arial" w:cs="Arial" w:eastAsia="Arial" w:hAnsi="Arial"/>
          <w:sz w:val="19"/>
          <w:szCs w:val="19"/>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62" w:name="page263"/>
    <w:bookmarkEnd w:id="262"/>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Bank Loan</w:t>
      </w:r>
      <w:r>
        <w:rPr>
          <w:rFonts w:ascii="Arial" w:cs="Arial" w:eastAsia="Arial" w:hAnsi="Arial"/>
          <w:sz w:val="22"/>
          <w:szCs w:val="22"/>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18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 Yield Securities</w:t>
      </w:r>
      <w:r>
        <w:rPr>
          <w:rFonts w:ascii="Arial" w:cs="Arial" w:eastAsia="Arial" w:hAnsi="Arial"/>
          <w:sz w:val="22"/>
          <w:szCs w:val="22"/>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85"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Long-Term U.S. Government Securities</w:t>
      </w:r>
      <w:r>
        <w:rPr>
          <w:rFonts w:ascii="Arial" w:cs="Arial" w:eastAsia="Arial" w:hAnsi="Arial"/>
          <w:sz w:val="22"/>
          <w:szCs w:val="22"/>
          <w:color w:val="auto"/>
        </w:rPr>
        <w:t>” means U.S. Government Securities maturing more than one year from the applicable date of determination.</w:t>
      </w:r>
    </w:p>
    <w:p>
      <w:pPr>
        <w:spacing w:after="0" w:line="173"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Mezzanine Investments</w:t>
      </w:r>
      <w:r>
        <w:rPr>
          <w:rFonts w:ascii="Arial" w:cs="Arial" w:eastAsia="Arial" w:hAnsi="Arial"/>
          <w:sz w:val="22"/>
          <w:szCs w:val="22"/>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88"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Non-Performing Common Equity</w:t>
      </w:r>
      <w:r>
        <w:rPr>
          <w:rFonts w:ascii="Arial" w:cs="Arial" w:eastAsia="Arial" w:hAnsi="Arial"/>
          <w:sz w:val="22"/>
          <w:szCs w:val="22"/>
          <w:color w:val="auto"/>
        </w:rPr>
        <w:t>” means Capital Stock (other than Preferred Stock) and warrants of an issuer having any debt outstanding that is non-Performing.</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Non-Performing First Lien Bank Loans</w:t>
      </w:r>
      <w:r>
        <w:rPr>
          <w:rFonts w:ascii="Arial" w:cs="Arial" w:eastAsia="Arial" w:hAnsi="Arial"/>
          <w:sz w:val="19"/>
          <w:szCs w:val="19"/>
          <w:color w:val="auto"/>
        </w:rPr>
        <w:t>” means First Lien Bank Loans other than Performing First Lien Bank</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Loans.</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Non-Performing High Yield Securities</w:t>
      </w:r>
      <w:r>
        <w:rPr>
          <w:rFonts w:ascii="Arial" w:cs="Arial" w:eastAsia="Arial" w:hAnsi="Arial"/>
          <w:sz w:val="21"/>
          <w:szCs w:val="21"/>
          <w:color w:val="auto"/>
        </w:rPr>
        <w:t>” means High Yield Securities other than Performing High Yield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Securities.</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Non-Performing Mezzanine Investments</w:t>
      </w:r>
      <w:r>
        <w:rPr>
          <w:rFonts w:ascii="Arial" w:cs="Arial" w:eastAsia="Arial" w:hAnsi="Arial"/>
          <w:sz w:val="19"/>
          <w:szCs w:val="19"/>
          <w:color w:val="auto"/>
        </w:rPr>
        <w:t>” means Mezzanine Investments other than Performing Mezzanine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Investments.</w:t>
      </w:r>
    </w:p>
    <w:p>
      <w:pPr>
        <w:spacing w:after="0" w:line="188"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Non-Performing Portfolio Investment</w:t>
      </w:r>
      <w:r>
        <w:rPr>
          <w:rFonts w:ascii="Arial" w:cs="Arial" w:eastAsia="Arial" w:hAnsi="Arial"/>
          <w:sz w:val="21"/>
          <w:szCs w:val="21"/>
          <w:color w:val="auto"/>
        </w:rPr>
        <w:t>” means Portfolio Investments for which the issuer is in default of any payment obligations of principal or interest in respect thereof after the expiration of any applicable grace period.</w:t>
      </w:r>
    </w:p>
    <w:p>
      <w:pPr>
        <w:spacing w:after="0" w:line="151"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Non-Performing Second Lien Bank Loans</w:t>
      </w:r>
      <w:r>
        <w:rPr>
          <w:rFonts w:ascii="Arial" w:cs="Arial" w:eastAsia="Arial" w:hAnsi="Arial"/>
          <w:sz w:val="19"/>
          <w:szCs w:val="19"/>
          <w:color w:val="auto"/>
        </w:rPr>
        <w:t>” means Second Lien Bank Loans other than Performing Second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Lien Bank Loans.</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Non-Performing Unitranche Loans</w:t>
      </w:r>
      <w:r>
        <w:rPr>
          <w:rFonts w:ascii="Arial" w:cs="Arial" w:eastAsia="Arial" w:hAnsi="Arial"/>
          <w:sz w:val="21"/>
          <w:szCs w:val="21"/>
          <w:color w:val="auto"/>
        </w:rPr>
        <w:t>” means Unitranche Loans other than Performing Unitranche Loans.</w:t>
      </w:r>
    </w:p>
    <w:p>
      <w:pPr>
        <w:spacing w:after="0" w:line="218"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Performing</w:t>
      </w:r>
      <w:r>
        <w:rPr>
          <w:rFonts w:ascii="Arial" w:cs="Arial" w:eastAsia="Arial" w:hAnsi="Arial"/>
          <w:sz w:val="19"/>
          <w:szCs w:val="19"/>
          <w:color w:val="auto"/>
        </w:rPr>
        <w:t>” means (a) with respect to any Portfolio Investment that is debt, the issuer of such Portfolio Investment is not in default of any payment obligations in respect thereof after the expiration of any applicable grace period and</w:t>
      </w:r>
    </w:p>
    <w:p>
      <w:pPr>
        <w:spacing w:after="0" w:line="2" w:lineRule="exact"/>
        <w:rPr>
          <w:sz w:val="20"/>
          <w:szCs w:val="20"/>
          <w:color w:val="auto"/>
        </w:rPr>
      </w:pPr>
    </w:p>
    <w:p>
      <w:pPr>
        <w:jc w:val="both"/>
        <w:ind w:firstLine="8"/>
        <w:spacing w:after="0" w:line="308" w:lineRule="auto"/>
        <w:tabs>
          <w:tab w:leader="none" w:pos="32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3" w:name="page264"/>
    <w:bookmarkEnd w:id="263"/>
    <w:p>
      <w:pPr>
        <w:jc w:val="both"/>
        <w:ind w:firstLine="1755"/>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Performing Cash Pay High Yield Securities</w:t>
      </w:r>
      <w:r>
        <w:rPr>
          <w:rFonts w:ascii="Arial" w:cs="Arial" w:eastAsia="Arial" w:hAnsi="Arial"/>
          <w:sz w:val="21"/>
          <w:szCs w:val="21"/>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67"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Performing Cash Pay Mezzanine Investments</w:t>
      </w:r>
      <w:r>
        <w:rPr>
          <w:rFonts w:ascii="Arial" w:cs="Arial" w:eastAsia="Arial" w:hAnsi="Arial"/>
          <w:sz w:val="21"/>
          <w:szCs w:val="21"/>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67"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Common Equity</w:t>
      </w:r>
      <w:r>
        <w:rPr>
          <w:rFonts w:ascii="Arial" w:cs="Arial" w:eastAsia="Arial" w:hAnsi="Arial"/>
          <w:sz w:val="22"/>
          <w:szCs w:val="22"/>
          <w:color w:val="auto"/>
        </w:rPr>
        <w:t>” means Capital Stock (other than Preferred Stock) and warrants of an issuer all of whose outstanding debt is Performing.</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First Lien Bank Loans</w:t>
      </w:r>
      <w:r>
        <w:rPr>
          <w:rFonts w:ascii="Arial" w:cs="Arial" w:eastAsia="Arial" w:hAnsi="Arial"/>
          <w:sz w:val="22"/>
          <w:szCs w:val="22"/>
          <w:color w:val="auto"/>
        </w:rPr>
        <w:t>” means First Lien Bank Loans which are Performing.</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Non-Cash Pay High Yield Securities</w:t>
      </w:r>
      <w:r>
        <w:rPr>
          <w:rFonts w:ascii="Arial" w:cs="Arial" w:eastAsia="Arial" w:hAnsi="Arial"/>
          <w:sz w:val="22"/>
          <w:szCs w:val="22"/>
          <w:color w:val="auto"/>
        </w:rPr>
        <w:t>” means Performing High Yield Securities other than Performing Cash Pay High Yield Securities.</w:t>
      </w:r>
    </w:p>
    <w:p>
      <w:pPr>
        <w:spacing w:after="0" w:line="173"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Non-Cash Pay Mezzanine Investments</w:t>
      </w:r>
      <w:r>
        <w:rPr>
          <w:rFonts w:ascii="Arial" w:cs="Arial" w:eastAsia="Arial" w:hAnsi="Arial"/>
          <w:sz w:val="22"/>
          <w:szCs w:val="22"/>
          <w:color w:val="auto"/>
        </w:rPr>
        <w:t>” means Performing Mezzanine Investments other than Performing Cash Pay Mezzanine Investments.</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Second Lien Bank Loans</w:t>
      </w:r>
      <w:r>
        <w:rPr>
          <w:rFonts w:ascii="Arial" w:cs="Arial" w:eastAsia="Arial" w:hAnsi="Arial"/>
          <w:sz w:val="22"/>
          <w:szCs w:val="22"/>
          <w:color w:val="auto"/>
        </w:rPr>
        <w:t>” means Second Lien Bank Loans which are Performing.</w:t>
      </w:r>
    </w:p>
    <w:p>
      <w:pPr>
        <w:spacing w:after="0" w:line="20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w:t>
      </w:r>
      <w:r>
        <w:rPr>
          <w:rFonts w:ascii="Arial" w:cs="Arial" w:eastAsia="Arial" w:hAnsi="Arial"/>
          <w:sz w:val="22"/>
          <w:szCs w:val="22"/>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8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Bank Loan</w:t>
      </w:r>
      <w:r>
        <w:rPr>
          <w:rFonts w:ascii="Arial" w:cs="Arial" w:eastAsia="Arial" w:hAnsi="Arial"/>
          <w:sz w:val="22"/>
          <w:szCs w:val="22"/>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86"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w:t>
      </w:r>
      <w:r>
        <w:rPr>
          <w:rFonts w:ascii="Arial" w:cs="Arial" w:eastAsia="Arial" w:hAnsi="Arial"/>
          <w:sz w:val="19"/>
          <w:szCs w:val="19"/>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4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United States Securities Act of 1933, as amended.</w:t>
      </w:r>
    </w:p>
    <w:p>
      <w:pPr>
        <w:spacing w:after="0" w:line="206"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Short-Term U.S. Government Securities</w:t>
      </w:r>
      <w:r>
        <w:rPr>
          <w:rFonts w:ascii="Arial" w:cs="Arial" w:eastAsia="Arial" w:hAnsi="Arial"/>
          <w:sz w:val="22"/>
          <w:szCs w:val="22"/>
          <w:color w:val="auto"/>
        </w:rPr>
        <w:t>” means U.S. Government Securities maturing within one year of the applicable date of determination.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4" w:name="page265"/>
    <w:bookmarkEnd w:id="264"/>
    <w:p>
      <w:pPr>
        <w:jc w:val="both"/>
        <w:ind w:firstLine="1755"/>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Structured Finance Obligation</w:t>
      </w:r>
      <w:r>
        <w:rPr>
          <w:rFonts w:ascii="Arial" w:cs="Arial" w:eastAsia="Arial" w:hAnsi="Arial"/>
          <w:sz w:val="22"/>
          <w:szCs w:val="22"/>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Government Securities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Unitranche Loan</w:t>
      </w:r>
      <w:r>
        <w:rPr>
          <w:rFonts w:ascii="Arial" w:cs="Arial" w:eastAsia="Arial" w:hAnsi="Arial"/>
          <w:sz w:val="22"/>
          <w:szCs w:val="22"/>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the Facility.</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w:t>
      </w:r>
      <w:r>
        <w:rPr>
          <w:rFonts w:ascii="Arial" w:cs="Arial" w:eastAsia="Arial" w:hAnsi="Arial"/>
          <w:sz w:val="22"/>
          <w:szCs w:val="22"/>
          <w:color w:val="auto"/>
        </w:rPr>
        <w:t>” means, with respect to any Portfolio Investment, the lower of:</w:t>
      </w:r>
    </w:p>
    <w:p>
      <w:pPr>
        <w:spacing w:after="0" w:line="206" w:lineRule="exact"/>
        <w:rPr>
          <w:sz w:val="20"/>
          <w:szCs w:val="20"/>
          <w:color w:val="auto"/>
        </w:rPr>
      </w:pPr>
    </w:p>
    <w:p>
      <w:pPr>
        <w:ind w:left="1960" w:hanging="264"/>
        <w:spacing w:after="0"/>
        <w:tabs>
          <w:tab w:leader="none" w:pos="196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 xml:space="preserve">the most recent internal market value as determined pursuant to </w:t>
      </w:r>
      <w:r>
        <w:rPr>
          <w:rFonts w:ascii="Arial" w:cs="Arial" w:eastAsia="Arial" w:hAnsi="Arial"/>
          <w:sz w:val="22"/>
          <w:szCs w:val="22"/>
          <w:u w:val="single" w:color="auto"/>
          <w:color w:val="auto"/>
        </w:rPr>
        <w:t>Section 5.12(b)(ii)(C)</w:t>
      </w:r>
      <w:r>
        <w:rPr>
          <w:rFonts w:ascii="Arial" w:cs="Arial" w:eastAsia="Arial" w:hAnsi="Arial"/>
          <w:sz w:val="22"/>
          <w:szCs w:val="22"/>
          <w:color w:val="auto"/>
        </w:rPr>
        <w:t xml:space="preserve"> and</w:t>
      </w:r>
    </w:p>
    <w:p>
      <w:pPr>
        <w:spacing w:after="0" w:line="206" w:lineRule="exact"/>
        <w:rPr>
          <w:rFonts w:ascii="Arial" w:cs="Arial" w:eastAsia="Arial" w:hAnsi="Arial"/>
          <w:sz w:val="22"/>
          <w:szCs w:val="22"/>
          <w:color w:val="auto"/>
        </w:rPr>
      </w:pPr>
    </w:p>
    <w:p>
      <w:pPr>
        <w:ind w:left="2020" w:hanging="324"/>
        <w:spacing w:after="0"/>
        <w:tabs>
          <w:tab w:leader="none" w:pos="202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 xml:space="preserve">the most recent external market value as determined pursuant to </w:t>
      </w:r>
      <w:r>
        <w:rPr>
          <w:rFonts w:ascii="Arial" w:cs="Arial" w:eastAsia="Arial" w:hAnsi="Arial"/>
          <w:sz w:val="22"/>
          <w:szCs w:val="22"/>
          <w:u w:val="single" w:color="auto"/>
          <w:color w:val="auto"/>
        </w:rPr>
        <w:t>Section 5.12(b)(ii)(A)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5120"/>
        <w:spacing w:after="0"/>
        <w:rPr>
          <w:rFonts w:ascii="Arial" w:cs="Arial" w:eastAsia="Arial" w:hAnsi="Arial"/>
          <w:sz w:val="22"/>
          <w:szCs w:val="22"/>
          <w:color w:val="auto"/>
        </w:rPr>
      </w:pPr>
      <w:r>
        <w:rPr>
          <w:rFonts w:ascii="Arial" w:cs="Arial" w:eastAsia="Arial" w:hAnsi="Arial"/>
          <w:sz w:val="22"/>
          <w:szCs w:val="22"/>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NEGATIVE COVENANTS</w:t>
      </w:r>
    </w:p>
    <w:p>
      <w:pPr>
        <w:spacing w:after="0" w:line="206" w:lineRule="exact"/>
        <w:rPr>
          <w:sz w:val="20"/>
          <w:szCs w:val="20"/>
          <w:color w:val="auto"/>
        </w:rPr>
      </w:pPr>
    </w:p>
    <w:p>
      <w:pPr>
        <w:jc w:val="both"/>
        <w:ind w:right="20" w:firstLine="1755"/>
        <w:spacing w:after="0" w:line="297" w:lineRule="auto"/>
        <w:rPr>
          <w:sz w:val="20"/>
          <w:szCs w:val="20"/>
          <w:color w:val="auto"/>
        </w:rPr>
      </w:pPr>
      <w:r>
        <w:rPr>
          <w:rFonts w:ascii="Arial" w:cs="Arial" w:eastAsia="Arial" w:hAnsi="Arial"/>
          <w:sz w:val="19"/>
          <w:szCs w:val="19"/>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34" w:lineRule="exact"/>
        <w:rPr>
          <w:sz w:val="20"/>
          <w:szCs w:val="20"/>
          <w:color w:val="auto"/>
        </w:rPr>
      </w:pPr>
    </w:p>
    <w:p>
      <w:pPr>
        <w:jc w:val="both"/>
        <w:ind w:right="20" w:firstLine="1755"/>
        <w:spacing w:after="0" w:line="274"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u w:val="single" w:color="auto"/>
          <w:color w:val="auto"/>
        </w:rPr>
        <w:t>Indebtedness</w:t>
      </w:r>
      <w:r>
        <w:rPr>
          <w:rFonts w:ascii="Arial" w:cs="Arial" w:eastAsia="Arial" w:hAnsi="Arial"/>
          <w:sz w:val="21"/>
          <w:szCs w:val="21"/>
          <w:color w:val="auto"/>
        </w:rPr>
        <w:t xml:space="preserve">. Subject to the last sentence of this </w:t>
      </w:r>
      <w:r>
        <w:rPr>
          <w:rFonts w:ascii="Arial" w:cs="Arial" w:eastAsia="Arial" w:hAnsi="Arial"/>
          <w:sz w:val="21"/>
          <w:szCs w:val="21"/>
          <w:u w:val="single" w:color="auto"/>
          <w:color w:val="auto"/>
        </w:rPr>
        <w:t>Section 6.01</w:t>
      </w:r>
      <w:r>
        <w:rPr>
          <w:rFonts w:ascii="Arial" w:cs="Arial" w:eastAsia="Arial" w:hAnsi="Arial"/>
          <w:sz w:val="21"/>
          <w:szCs w:val="21"/>
          <w:color w:val="auto"/>
        </w:rPr>
        <w:t>, the Borrower will not, nor will it permit any of the Subsidiary Guarantors to, create, incur, assume or permit to exist any Indebtedness, except:</w:t>
      </w:r>
    </w:p>
    <w:p>
      <w:pPr>
        <w:spacing w:after="0" w:line="151" w:lineRule="exact"/>
        <w:rPr>
          <w:sz w:val="20"/>
          <w:szCs w:val="20"/>
          <w:color w:val="auto"/>
        </w:rPr>
      </w:pPr>
    </w:p>
    <w:p>
      <w:pPr>
        <w:ind w:left="2660" w:hanging="897"/>
        <w:spacing w:after="0"/>
        <w:tabs>
          <w:tab w:leader="none" w:pos="266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Indebtedness created hereunder or under any other Loan Document;</w:t>
      </w:r>
    </w:p>
    <w:p>
      <w:pPr>
        <w:spacing w:after="0" w:line="206" w:lineRule="exact"/>
        <w:rPr>
          <w:rFonts w:ascii="Arial" w:cs="Arial" w:eastAsia="Arial" w:hAnsi="Arial"/>
          <w:sz w:val="22"/>
          <w:szCs w:val="22"/>
          <w:color w:val="auto"/>
        </w:rPr>
      </w:pPr>
    </w:p>
    <w:p>
      <w:pPr>
        <w:jc w:val="both"/>
        <w:ind w:firstLine="1763"/>
        <w:spacing w:after="0" w:line="235" w:lineRule="auto"/>
        <w:tabs>
          <w:tab w:leader="none" w:pos="2655" w:val="left"/>
        </w:tabs>
        <w:numPr>
          <w:ilvl w:val="0"/>
          <w:numId w:val="241"/>
        </w:numPr>
        <w:rPr>
          <w:rFonts w:ascii="Arial" w:cs="Arial" w:eastAsia="Arial" w:hAnsi="Arial"/>
          <w:sz w:val="22"/>
          <w:szCs w:val="22"/>
          <w:color w:val="auto"/>
        </w:rPr>
      </w:pPr>
      <w:r>
        <w:rPr>
          <w:rFonts w:ascii="Arial" w:cs="Arial" w:eastAsia="Arial" w:hAnsi="Arial"/>
          <w:sz w:val="22"/>
          <w:szCs w:val="22"/>
          <w:color w:val="auto"/>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Arial" w:cs="Arial" w:eastAsia="Arial" w:hAnsi="Arial"/>
          <w:sz w:val="22"/>
          <w:szCs w:val="22"/>
          <w:u w:val="single" w:color="auto"/>
          <w:color w:val="auto"/>
        </w:rPr>
        <w:t>Sections 6.07(c)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 and (iii) prior to and immediately after giving effect to the incurrence of any Secured Longer-Term Indebtedness, the Covered Debt Amount does not or would not exceed the Borrowing Base then in effect;</w:t>
      </w:r>
    </w:p>
    <w:p>
      <w:pPr>
        <w:spacing w:after="0" w:line="188" w:lineRule="exact"/>
        <w:rPr>
          <w:rFonts w:ascii="Arial" w:cs="Arial" w:eastAsia="Arial" w:hAnsi="Arial"/>
          <w:sz w:val="22"/>
          <w:szCs w:val="22"/>
          <w:color w:val="auto"/>
        </w:rPr>
      </w:pPr>
    </w:p>
    <w:p>
      <w:pPr>
        <w:ind w:left="2660" w:hanging="897"/>
        <w:spacing w:after="0"/>
        <w:tabs>
          <w:tab w:leader="none" w:pos="266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Other Permitted Indebtedness;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5" w:name="page266"/>
    <w:bookmarkEnd w:id="265"/>
    <w:p>
      <w:pPr>
        <w:ind w:left="2660" w:hanging="897"/>
        <w:spacing w:after="0"/>
        <w:tabs>
          <w:tab w:leader="none" w:pos="266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Guarantees of Indebtedness otherwise permitted hereunder;</w:t>
      </w:r>
    </w:p>
    <w:p>
      <w:pPr>
        <w:spacing w:after="0" w:line="206" w:lineRule="exact"/>
        <w:rPr>
          <w:rFonts w:ascii="Arial" w:cs="Arial" w:eastAsia="Arial" w:hAnsi="Arial"/>
          <w:sz w:val="22"/>
          <w:szCs w:val="22"/>
          <w:color w:val="auto"/>
        </w:rPr>
      </w:pPr>
    </w:p>
    <w:p>
      <w:pPr>
        <w:ind w:firstLine="1763"/>
        <w:spacing w:after="0" w:line="274" w:lineRule="auto"/>
        <w:tabs>
          <w:tab w:leader="none" w:pos="2643" w:val="left"/>
        </w:tabs>
        <w:numPr>
          <w:ilvl w:val="1"/>
          <w:numId w:val="242"/>
        </w:numPr>
        <w:rPr>
          <w:rFonts w:ascii="Arial" w:cs="Arial" w:eastAsia="Arial" w:hAnsi="Arial"/>
          <w:sz w:val="21"/>
          <w:szCs w:val="21"/>
          <w:color w:val="auto"/>
        </w:rPr>
      </w:pPr>
      <w:r>
        <w:rPr>
          <w:rFonts w:ascii="Arial" w:cs="Arial" w:eastAsia="Arial" w:hAnsi="Arial"/>
          <w:sz w:val="21"/>
          <w:szCs w:val="21"/>
          <w:color w:val="auto"/>
        </w:rPr>
        <w:t>Indebtedness of any Obligor owing to any other Obligor or, if such Indebtedness is subject to subordination terms and conditions that are satisfactory to the Administrative Agent, any other Subsidiary of the Borrower;</w:t>
      </w:r>
    </w:p>
    <w:p>
      <w:pPr>
        <w:spacing w:after="0" w:line="150" w:lineRule="exact"/>
        <w:rPr>
          <w:rFonts w:ascii="Arial" w:cs="Arial" w:eastAsia="Arial" w:hAnsi="Arial"/>
          <w:sz w:val="21"/>
          <w:szCs w:val="21"/>
          <w:color w:val="auto"/>
        </w:rPr>
      </w:pPr>
    </w:p>
    <w:p>
      <w:pPr>
        <w:ind w:left="2620" w:hanging="857"/>
        <w:spacing w:after="0"/>
        <w:tabs>
          <w:tab w:leader="none" w:pos="262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Indebtedness of Financing Subsidiaries;</w:t>
      </w:r>
    </w:p>
    <w:p>
      <w:pPr>
        <w:spacing w:after="0" w:line="206" w:lineRule="exact"/>
        <w:rPr>
          <w:rFonts w:ascii="Arial" w:cs="Arial" w:eastAsia="Arial" w:hAnsi="Arial"/>
          <w:sz w:val="22"/>
          <w:szCs w:val="22"/>
          <w:color w:val="auto"/>
        </w:rPr>
      </w:pPr>
    </w:p>
    <w:p>
      <w:pPr>
        <w:ind w:left="2660" w:hanging="897"/>
        <w:spacing w:after="0"/>
        <w:tabs>
          <w:tab w:leader="none" w:pos="2660" w:val="left"/>
        </w:tabs>
        <w:numPr>
          <w:ilvl w:val="1"/>
          <w:numId w:val="242"/>
        </w:numPr>
        <w:rPr>
          <w:rFonts w:ascii="Arial" w:cs="Arial" w:eastAsia="Arial" w:hAnsi="Arial"/>
          <w:sz w:val="19"/>
          <w:szCs w:val="19"/>
          <w:color w:val="auto"/>
        </w:rPr>
      </w:pPr>
      <w:r>
        <w:rPr>
          <w:rFonts w:ascii="Arial" w:cs="Arial" w:eastAsia="Arial" w:hAnsi="Arial"/>
          <w:sz w:val="19"/>
          <w:szCs w:val="19"/>
          <w:color w:val="auto"/>
        </w:rPr>
        <w:t>repurchase obligations arising in the ordinary course of business with respect to U.S. Government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Securities;</w:t>
      </w:r>
    </w:p>
    <w:p>
      <w:pPr>
        <w:spacing w:after="0" w:line="188" w:lineRule="exact"/>
        <w:rPr>
          <w:rFonts w:ascii="Arial" w:cs="Arial" w:eastAsia="Arial" w:hAnsi="Arial"/>
          <w:sz w:val="19"/>
          <w:szCs w:val="19"/>
          <w:color w:val="auto"/>
        </w:rPr>
      </w:pPr>
    </w:p>
    <w:p>
      <w:pPr>
        <w:ind w:firstLine="1763"/>
        <w:spacing w:after="0" w:line="251" w:lineRule="auto"/>
        <w:tabs>
          <w:tab w:leader="none" w:pos="2655" w:val="left"/>
        </w:tabs>
        <w:numPr>
          <w:ilvl w:val="1"/>
          <w:numId w:val="242"/>
        </w:numPr>
        <w:rPr>
          <w:rFonts w:ascii="Arial" w:cs="Arial" w:eastAsia="Arial" w:hAnsi="Arial"/>
          <w:sz w:val="22"/>
          <w:szCs w:val="22"/>
          <w:color w:val="auto"/>
        </w:rPr>
      </w:pPr>
      <w:r>
        <w:rPr>
          <w:rFonts w:ascii="Arial" w:cs="Arial" w:eastAsia="Arial" w:hAnsi="Arial"/>
          <w:sz w:val="22"/>
          <w:szCs w:val="22"/>
          <w:color w:val="auto"/>
        </w:rPr>
        <w:t>obligations payable to clearing agencies, brokers or dealers in connection with the purchase or sale of securities in the ordinary course of business;</w:t>
      </w:r>
    </w:p>
    <w:p>
      <w:pPr>
        <w:spacing w:after="0" w:line="173" w:lineRule="exact"/>
        <w:rPr>
          <w:rFonts w:ascii="Arial" w:cs="Arial" w:eastAsia="Arial" w:hAnsi="Arial"/>
          <w:sz w:val="22"/>
          <w:szCs w:val="22"/>
          <w:color w:val="auto"/>
        </w:rPr>
      </w:pPr>
    </w:p>
    <w:p>
      <w:pPr>
        <w:jc w:val="both"/>
        <w:ind w:firstLine="1763"/>
        <w:spacing w:after="0" w:line="279" w:lineRule="auto"/>
        <w:tabs>
          <w:tab w:leader="none" w:pos="2607" w:val="left"/>
        </w:tabs>
        <w:numPr>
          <w:ilvl w:val="1"/>
          <w:numId w:val="242"/>
        </w:numPr>
        <w:rPr>
          <w:rFonts w:ascii="Arial" w:cs="Arial" w:eastAsia="Arial" w:hAnsi="Arial"/>
          <w:sz w:val="19"/>
          <w:szCs w:val="19"/>
          <w:color w:val="auto"/>
        </w:rPr>
      </w:pPr>
      <w:r>
        <w:rPr>
          <w:rFonts w:ascii="Arial" w:cs="Arial" w:eastAsia="Arial" w:hAnsi="Arial"/>
          <w:sz w:val="19"/>
          <w:szCs w:val="19"/>
          <w:color w:val="auto"/>
        </w:rPr>
        <w:t xml:space="preserve">Secured Shorter-Term Indebtedness so long as (i) no Default exists at the time of the incurrence thereof, (ii) the aggregate amount (determined at the time of the incurrence of such Indebtedness) of such Indebtedness does not exceed the greater of (A) $20,000,000 and (B) 5% of Borrower Net Worth, (iii) the aggregate amount of such Indebtedness, taken together with other then-outstanding Indebtedness, does not exceed the amount required to comply with the provisions of </w:t>
      </w:r>
      <w:r>
        <w:rPr>
          <w:rFonts w:ascii="Arial" w:cs="Arial" w:eastAsia="Arial" w:hAnsi="Arial"/>
          <w:sz w:val="19"/>
          <w:szCs w:val="19"/>
          <w:u w:val="single" w:color="auto"/>
          <w:color w:val="auto"/>
        </w:rPr>
        <w:t>Sections 6.07(c)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and (iv) prior to and immediately after giving effect to the incurrence of any such Indebtedness, the Covered Debt Amount does not or would not exceed the Borrowing Base then in effect;</w:t>
      </w:r>
    </w:p>
    <w:p>
      <w:pPr>
        <w:spacing w:after="0" w:line="150" w:lineRule="exact"/>
        <w:rPr>
          <w:rFonts w:ascii="Arial" w:cs="Arial" w:eastAsia="Arial" w:hAnsi="Arial"/>
          <w:sz w:val="19"/>
          <w:szCs w:val="19"/>
          <w:color w:val="auto"/>
        </w:rPr>
      </w:pPr>
    </w:p>
    <w:p>
      <w:pPr>
        <w:ind w:left="2620" w:hanging="857"/>
        <w:spacing w:after="0"/>
        <w:tabs>
          <w:tab w:leader="none" w:pos="262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obligations (including Guarantees) in respect of Standard Securitization Undertakings;</w:t>
      </w:r>
    </w:p>
    <w:p>
      <w:pPr>
        <w:spacing w:after="0" w:line="206" w:lineRule="exact"/>
        <w:rPr>
          <w:rFonts w:ascii="Arial" w:cs="Arial" w:eastAsia="Arial" w:hAnsi="Arial"/>
          <w:sz w:val="22"/>
          <w:szCs w:val="22"/>
          <w:color w:val="auto"/>
        </w:rPr>
      </w:pPr>
    </w:p>
    <w:p>
      <w:pPr>
        <w:ind w:left="2660" w:hanging="897"/>
        <w:spacing w:after="0"/>
        <w:tabs>
          <w:tab w:leader="none" w:pos="266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Permitted SBIC Guarantees;</w:t>
      </w:r>
    </w:p>
    <w:p>
      <w:pPr>
        <w:spacing w:after="0" w:line="206" w:lineRule="exact"/>
        <w:rPr>
          <w:rFonts w:ascii="Arial" w:cs="Arial" w:eastAsia="Arial" w:hAnsi="Arial"/>
          <w:sz w:val="22"/>
          <w:szCs w:val="22"/>
          <w:color w:val="auto"/>
        </w:rPr>
      </w:pPr>
    </w:p>
    <w:p>
      <w:pPr>
        <w:ind w:left="2620" w:hanging="857"/>
        <w:spacing w:after="0"/>
        <w:tabs>
          <w:tab w:leader="none" w:pos="2620" w:val="left"/>
        </w:tabs>
        <w:numPr>
          <w:ilvl w:val="1"/>
          <w:numId w:val="242"/>
        </w:numPr>
        <w:rPr>
          <w:rFonts w:ascii="Arial" w:cs="Arial" w:eastAsia="Arial" w:hAnsi="Arial"/>
          <w:sz w:val="19"/>
          <w:szCs w:val="19"/>
          <w:color w:val="auto"/>
        </w:rPr>
      </w:pPr>
      <w:r>
        <w:rPr>
          <w:rFonts w:ascii="Arial" w:cs="Arial" w:eastAsia="Arial" w:hAnsi="Arial"/>
          <w:sz w:val="19"/>
          <w:szCs w:val="19"/>
          <w:color w:val="auto"/>
        </w:rPr>
        <w:t>Indebtedness incurred pursuant to the 2022 Convertible Notes, the 2023 Notes or the 2024 Notes;</w:t>
      </w:r>
    </w:p>
    <w:p>
      <w:pPr>
        <w:spacing w:after="0" w:line="240" w:lineRule="exact"/>
        <w:rPr>
          <w:rFonts w:ascii="Arial" w:cs="Arial" w:eastAsia="Arial" w:hAnsi="Arial"/>
          <w:sz w:val="19"/>
          <w:szCs w:val="19"/>
          <w:color w:val="auto"/>
        </w:rPr>
      </w:pPr>
    </w:p>
    <w:p>
      <w:pPr>
        <w:jc w:val="both"/>
        <w:ind w:firstLine="1763"/>
        <w:spacing w:after="0" w:line="245" w:lineRule="auto"/>
        <w:tabs>
          <w:tab w:leader="none" w:pos="2715" w:val="left"/>
        </w:tabs>
        <w:numPr>
          <w:ilvl w:val="1"/>
          <w:numId w:val="242"/>
        </w:numPr>
        <w:rPr>
          <w:rFonts w:ascii="Arial" w:cs="Arial" w:eastAsia="Arial" w:hAnsi="Arial"/>
          <w:sz w:val="21"/>
          <w:szCs w:val="21"/>
          <w:color w:val="auto"/>
        </w:rPr>
      </w:pPr>
      <w:r>
        <w:rPr>
          <w:rFonts w:ascii="Arial" w:cs="Arial" w:eastAsia="Arial" w:hAnsi="Arial"/>
          <w:sz w:val="21"/>
          <w:szCs w:val="21"/>
          <w:color w:val="auto"/>
        </w:rPr>
        <w:t xml:space="preserve">Unsecured Shorter-Term Indebtedness (other than Special Unsecured Indebtedness that would otherwise constitute Unsecured Shorter-Term Indebtedness) so long as (i) no Default exists at the time of the incurrence thereof, (ii) the aggregate amount (determined at the time of the incurrence of such Indebtedness) of such Indebtedness does not exceed $150,000,000, (iii) the aggregate amount (determined at the time of the incurrence of such Indebtedness) of such Indebtedness, taken together with then-outstanding Special Unsecured Indebtedness incurred pursuant to </w:t>
      </w:r>
      <w:r>
        <w:rPr>
          <w:rFonts w:ascii="Arial" w:cs="Arial" w:eastAsia="Arial" w:hAnsi="Arial"/>
          <w:sz w:val="21"/>
          <w:szCs w:val="21"/>
          <w:u w:val="single" w:color="auto"/>
          <w:color w:val="auto"/>
        </w:rPr>
        <w:t>Section 6.01(n)</w:t>
      </w:r>
      <w:r>
        <w:rPr>
          <w:rFonts w:ascii="Arial" w:cs="Arial" w:eastAsia="Arial" w:hAnsi="Arial"/>
          <w:sz w:val="21"/>
          <w:szCs w:val="21"/>
          <w:color w:val="auto"/>
        </w:rPr>
        <w:t xml:space="preserve">, does not exceed $500,000,000, (iv) the aggregate amount of such Indebtedness, taken together with other then-outstanding Indebtedness, does not exceed the amount required to comply with the provisions of </w:t>
      </w:r>
      <w:r>
        <w:rPr>
          <w:rFonts w:ascii="Arial" w:cs="Arial" w:eastAsia="Arial" w:hAnsi="Arial"/>
          <w:sz w:val="21"/>
          <w:szCs w:val="21"/>
          <w:u w:val="single" w:color="auto"/>
          <w:color w:val="auto"/>
        </w:rPr>
        <w:t>Sections 6.07(c)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(d)</w:t>
      </w:r>
      <w:r>
        <w:rPr>
          <w:rFonts w:ascii="Arial" w:cs="Arial" w:eastAsia="Arial" w:hAnsi="Arial"/>
          <w:sz w:val="21"/>
          <w:szCs w:val="21"/>
          <w:color w:val="auto"/>
        </w:rPr>
        <w:t>, and (v) prior to and immediately after giving effect to the incurrence of any such Indebtedness, the Covered Debt Amount does not or would not exceed the Borrowing Base then in effect;</w:t>
      </w:r>
    </w:p>
    <w:p>
      <w:pPr>
        <w:spacing w:after="0" w:line="185" w:lineRule="exact"/>
        <w:rPr>
          <w:rFonts w:ascii="Arial" w:cs="Arial" w:eastAsia="Arial" w:hAnsi="Arial"/>
          <w:sz w:val="21"/>
          <w:szCs w:val="21"/>
          <w:color w:val="auto"/>
        </w:rPr>
      </w:pPr>
    </w:p>
    <w:p>
      <w:pPr>
        <w:ind w:left="2660" w:hanging="897"/>
        <w:spacing w:after="0"/>
        <w:tabs>
          <w:tab w:leader="none" w:pos="2660" w:val="left"/>
        </w:tabs>
        <w:numPr>
          <w:ilvl w:val="1"/>
          <w:numId w:val="242"/>
        </w:numPr>
        <w:rPr>
          <w:rFonts w:ascii="Arial" w:cs="Arial" w:eastAsia="Arial" w:hAnsi="Arial"/>
          <w:sz w:val="19"/>
          <w:szCs w:val="19"/>
          <w:color w:val="auto"/>
        </w:rPr>
      </w:pPr>
      <w:r>
        <w:rPr>
          <w:rFonts w:ascii="Arial" w:cs="Arial" w:eastAsia="Arial" w:hAnsi="Arial"/>
          <w:sz w:val="19"/>
          <w:szCs w:val="19"/>
          <w:color w:val="auto"/>
        </w:rPr>
        <w:t>Special Unsecured Indebtedness so long as (i) no Default exists at the time of the incurrence thereof,</w:t>
      </w:r>
    </w:p>
    <w:p>
      <w:pPr>
        <w:spacing w:after="0" w:line="42" w:lineRule="exact"/>
        <w:rPr>
          <w:rFonts w:ascii="Arial" w:cs="Arial" w:eastAsia="Arial" w:hAnsi="Arial"/>
          <w:sz w:val="19"/>
          <w:szCs w:val="19"/>
          <w:color w:val="auto"/>
        </w:rPr>
      </w:pPr>
    </w:p>
    <w:p>
      <w:pPr>
        <w:jc w:val="both"/>
        <w:ind w:firstLine="8"/>
        <w:spacing w:after="0" w:line="249" w:lineRule="auto"/>
        <w:tabs>
          <w:tab w:leader="none" w:pos="339" w:val="left"/>
        </w:tabs>
        <w:numPr>
          <w:ilvl w:val="0"/>
          <w:numId w:val="243"/>
        </w:numPr>
        <w:rPr>
          <w:rFonts w:ascii="Arial" w:cs="Arial" w:eastAsia="Arial" w:hAnsi="Arial"/>
          <w:sz w:val="21"/>
          <w:szCs w:val="21"/>
          <w:color w:val="auto"/>
        </w:rPr>
      </w:pPr>
      <w:r>
        <w:rPr>
          <w:rFonts w:ascii="Arial" w:cs="Arial" w:eastAsia="Arial" w:hAnsi="Arial"/>
          <w:sz w:val="21"/>
          <w:szCs w:val="21"/>
          <w:color w:val="auto"/>
        </w:rPr>
        <w:t xml:space="preserve">the aggregate amount (determined at the time of the incurrence of such Indebtedness) of such Indebtedness does not exceed $400,000,000, (iii) the aggregate amount (determined at the time of the incurrence of such Indebtedness) of such Indebtedness, taken together with then-outstanding Unsecured Shorter-Term Indebtedness incurred pursuant to </w:t>
      </w:r>
      <w:r>
        <w:rPr>
          <w:rFonts w:ascii="Arial" w:cs="Arial" w:eastAsia="Arial" w:hAnsi="Arial"/>
          <w:sz w:val="21"/>
          <w:szCs w:val="21"/>
          <w:u w:val="single" w:color="auto"/>
          <w:color w:val="auto"/>
        </w:rPr>
        <w:t>Section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6" w:name="page267"/>
    <w:bookmarkEnd w:id="266"/>
    <w:p>
      <w:pPr>
        <w:jc w:val="both"/>
        <w:spacing w:after="0" w:line="238" w:lineRule="auto"/>
        <w:rPr>
          <w:sz w:val="20"/>
          <w:szCs w:val="20"/>
          <w:color w:val="auto"/>
        </w:rPr>
      </w:pPr>
      <w:r>
        <w:rPr>
          <w:rFonts w:ascii="Arial" w:cs="Arial" w:eastAsia="Arial" w:hAnsi="Arial"/>
          <w:sz w:val="22"/>
          <w:szCs w:val="22"/>
          <w:u w:val="single" w:color="auto"/>
          <w:color w:val="auto"/>
        </w:rPr>
        <w:t>6.01(m)</w:t>
      </w:r>
      <w:r>
        <w:rPr>
          <w:rFonts w:ascii="Arial" w:cs="Arial" w:eastAsia="Arial" w:hAnsi="Arial"/>
          <w:sz w:val="22"/>
          <w:szCs w:val="22"/>
          <w:color w:val="auto"/>
        </w:rPr>
        <w:t xml:space="preserve">, does not exceed $500,000,000, (iv) the aggregate amount of such Indebtedness, taken together with other then-outstanding Indebtedness, does not exceed the amount required to comply with the provisions of </w:t>
      </w:r>
      <w:r>
        <w:rPr>
          <w:rFonts w:ascii="Arial" w:cs="Arial" w:eastAsia="Arial" w:hAnsi="Arial"/>
          <w:sz w:val="22"/>
          <w:szCs w:val="22"/>
          <w:u w:val="single" w:color="auto"/>
          <w:color w:val="auto"/>
        </w:rPr>
        <w:t>Sections 6.07(c)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 and (v) prior to and immediately after giving effect to the incurrence of any such Indebtedness, the Covered Debt Amount does not or would not exceed the Borrowing Base then in effect; and</w:t>
      </w:r>
    </w:p>
    <w:p>
      <w:pPr>
        <w:spacing w:after="0" w:line="185" w:lineRule="exact"/>
        <w:rPr>
          <w:sz w:val="20"/>
          <w:szCs w:val="20"/>
          <w:color w:val="auto"/>
        </w:rPr>
      </w:pPr>
    </w:p>
    <w:p>
      <w:pPr>
        <w:ind w:left="2660" w:hanging="897"/>
        <w:spacing w:after="0"/>
        <w:tabs>
          <w:tab w:leader="none" w:pos="266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other Indebtedness not to exceed the greater of (i) $25,000,000 and (ii) 5% of Borrower Net Worth at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time outstanding.</w:t>
      </w:r>
    </w:p>
    <w:p>
      <w:pPr>
        <w:spacing w:after="0" w:line="18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Liens</w:t>
      </w:r>
      <w:r>
        <w:rPr>
          <w:rFonts w:ascii="Arial" w:cs="Arial" w:eastAsia="Arial" w:hAnsi="Arial"/>
          <w:sz w:val="22"/>
          <w:szCs w:val="22"/>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186" w:lineRule="exact"/>
        <w:rPr>
          <w:sz w:val="20"/>
          <w:szCs w:val="20"/>
          <w:color w:val="auto"/>
        </w:rPr>
      </w:pPr>
    </w:p>
    <w:p>
      <w:pPr>
        <w:jc w:val="both"/>
        <w:ind w:firstLine="1763"/>
        <w:spacing w:after="0" w:line="287" w:lineRule="auto"/>
        <w:tabs>
          <w:tab w:leader="none" w:pos="2643"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any Lien on any property or asset of the Borrower existing on the Original Effective Date and set forth in </w:t>
      </w:r>
      <w:r>
        <w:rPr>
          <w:rFonts w:ascii="Arial" w:cs="Arial" w:eastAsia="Arial" w:hAnsi="Arial"/>
          <w:sz w:val="19"/>
          <w:szCs w:val="19"/>
          <w:u w:val="single" w:color="auto"/>
          <w:color w:val="auto"/>
        </w:rPr>
        <w:t>Part 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3.11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such Lien shall extend to any other property or asset of the Borrower or any of the Subsidiary Guarantors, and (ii) any such Lien shall secure only those obligations which it secures on the Original Effective Date and extensions, renewals and replacements thereof that do not increase the outstanding principal amount thereof;</w:t>
      </w:r>
    </w:p>
    <w:p>
      <w:pPr>
        <w:spacing w:after="0" w:line="143" w:lineRule="exact"/>
        <w:rPr>
          <w:rFonts w:ascii="Arial" w:cs="Arial" w:eastAsia="Arial" w:hAnsi="Arial"/>
          <w:sz w:val="19"/>
          <w:szCs w:val="19"/>
          <w:color w:val="auto"/>
        </w:rPr>
      </w:pPr>
    </w:p>
    <w:p>
      <w:pPr>
        <w:ind w:firstLine="1763"/>
        <w:spacing w:after="0" w:line="328" w:lineRule="auto"/>
        <w:tabs>
          <w:tab w:leader="none" w:pos="2655"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Liens created pursuant to this Agreement (including </w:t>
      </w:r>
      <w:r>
        <w:rPr>
          <w:rFonts w:ascii="Arial" w:cs="Arial" w:eastAsia="Arial" w:hAnsi="Arial"/>
          <w:sz w:val="19"/>
          <w:szCs w:val="19"/>
          <w:u w:val="single" w:color="auto"/>
          <w:color w:val="auto"/>
        </w:rPr>
        <w:t>Section 2.19</w:t>
      </w:r>
      <w:r>
        <w:rPr>
          <w:rFonts w:ascii="Arial" w:cs="Arial" w:eastAsia="Arial" w:hAnsi="Arial"/>
          <w:sz w:val="19"/>
          <w:szCs w:val="19"/>
          <w:color w:val="auto"/>
        </w:rPr>
        <w:t>) or any of the Security Documents (including Liens in favor of the Designated Indebtedness Holders (as defined in the Guarantee and Security Agreement));</w:t>
      </w:r>
    </w:p>
    <w:p>
      <w:pPr>
        <w:spacing w:after="0" w:line="105" w:lineRule="exact"/>
        <w:rPr>
          <w:rFonts w:ascii="Arial" w:cs="Arial" w:eastAsia="Arial" w:hAnsi="Arial"/>
          <w:sz w:val="19"/>
          <w:szCs w:val="19"/>
          <w:color w:val="auto"/>
        </w:rPr>
      </w:pPr>
    </w:p>
    <w:p>
      <w:pPr>
        <w:ind w:left="2660" w:hanging="897"/>
        <w:spacing w:after="0"/>
        <w:tabs>
          <w:tab w:leader="none" w:pos="2660" w:val="left"/>
        </w:tabs>
        <w:numPr>
          <w:ilvl w:val="0"/>
          <w:numId w:val="245"/>
        </w:numPr>
        <w:rPr>
          <w:rFonts w:ascii="Arial" w:cs="Arial" w:eastAsia="Arial" w:hAnsi="Arial"/>
          <w:sz w:val="19"/>
          <w:szCs w:val="19"/>
          <w:color w:val="auto"/>
        </w:rPr>
      </w:pPr>
      <w:r>
        <w:rPr>
          <w:rFonts w:ascii="Arial" w:cs="Arial" w:eastAsia="Arial" w:hAnsi="Arial"/>
          <w:sz w:val="19"/>
          <w:szCs w:val="19"/>
          <w:color w:val="auto"/>
        </w:rPr>
        <w:t>Liens on the assets of a Financing Subsidiary securing obligations of such Financing Subsidiary;</w:t>
      </w:r>
    </w:p>
    <w:p>
      <w:pPr>
        <w:spacing w:after="0" w:line="240" w:lineRule="exact"/>
        <w:rPr>
          <w:rFonts w:ascii="Arial" w:cs="Arial" w:eastAsia="Arial" w:hAnsi="Arial"/>
          <w:sz w:val="19"/>
          <w:szCs w:val="19"/>
          <w:color w:val="auto"/>
        </w:rPr>
      </w:pPr>
    </w:p>
    <w:p>
      <w:pPr>
        <w:ind w:firstLine="1763"/>
        <w:spacing w:after="0" w:line="274" w:lineRule="auto"/>
        <w:tabs>
          <w:tab w:leader="none" w:pos="2655" w:val="left"/>
        </w:tabs>
        <w:numPr>
          <w:ilvl w:val="0"/>
          <w:numId w:val="245"/>
        </w:numPr>
        <w:rPr>
          <w:rFonts w:ascii="Arial" w:cs="Arial" w:eastAsia="Arial" w:hAnsi="Arial"/>
          <w:sz w:val="21"/>
          <w:szCs w:val="21"/>
          <w:color w:val="auto"/>
        </w:rPr>
      </w:pPr>
      <w:r>
        <w:rPr>
          <w:rFonts w:ascii="Arial" w:cs="Arial" w:eastAsia="Arial" w:hAnsi="Arial"/>
          <w:sz w:val="21"/>
          <w:szCs w:val="21"/>
          <w:color w:val="auto"/>
        </w:rPr>
        <w:t>Liens on Special Equity Interests included in the Portfolio Investments of the Borrower but only to the extent securing obligations in the manner provided in the definition of “</w:t>
      </w:r>
      <w:r>
        <w:rPr>
          <w:rFonts w:ascii="Arial" w:cs="Arial" w:eastAsia="Arial" w:hAnsi="Arial"/>
          <w:sz w:val="21"/>
          <w:szCs w:val="21"/>
          <w:u w:val="single" w:color="auto"/>
          <w:color w:val="auto"/>
        </w:rPr>
        <w:t>Special Equity Interests</w:t>
      </w:r>
      <w:r>
        <w:rPr>
          <w:rFonts w:ascii="Arial" w:cs="Arial" w:eastAsia="Arial" w:hAnsi="Arial"/>
          <w:sz w:val="21"/>
          <w:szCs w:val="21"/>
          <w:color w:val="auto"/>
        </w:rPr>
        <w:t xml:space="preserve">” in </w:t>
      </w:r>
      <w:r>
        <w:rPr>
          <w:rFonts w:ascii="Arial" w:cs="Arial" w:eastAsia="Arial" w:hAnsi="Arial"/>
          <w:sz w:val="21"/>
          <w:szCs w:val="21"/>
          <w:u w:val="single" w:color="auto"/>
          <w:color w:val="auto"/>
        </w:rPr>
        <w:t>Section 1.01</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jc w:val="both"/>
        <w:ind w:firstLine="1763"/>
        <w:spacing w:after="0" w:line="279" w:lineRule="auto"/>
        <w:tabs>
          <w:tab w:leader="none" w:pos="2643"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Liens securing Indebtedness or other obligations in an aggregate principal amount not exceeding the greater of (i) $25,000,000 and (ii) 5% of Borrower Net Worth at any one time outstanding (which may cover Portfolio Investments, but only to the extent released from the Lien in favor of the Collateral Agent pursuant to Section 10.03 of the Guarantee and Security Agreement), so long as at the time of incurrence of such Indebtedness or other obligations, the aggregate amount of Indebtedness permitted under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(m)</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(n)</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does not exceed the lesser of (i) the Borrowing Base and (ii) the amount required to comply with the provisions of </w:t>
      </w:r>
      <w:r>
        <w:rPr>
          <w:rFonts w:ascii="Arial" w:cs="Arial" w:eastAsia="Arial" w:hAnsi="Arial"/>
          <w:sz w:val="19"/>
          <w:szCs w:val="19"/>
          <w:u w:val="single" w:color="auto"/>
          <w:color w:val="auto"/>
        </w:rPr>
        <w:t>Sections 6.07(c)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left="2620" w:hanging="857"/>
        <w:spacing w:after="0"/>
        <w:tabs>
          <w:tab w:leader="none" w:pos="2620" w:val="left"/>
        </w:tabs>
        <w:numPr>
          <w:ilvl w:val="0"/>
          <w:numId w:val="245"/>
        </w:numPr>
        <w:rPr>
          <w:rFonts w:ascii="Arial" w:cs="Arial" w:eastAsia="Arial" w:hAnsi="Arial"/>
          <w:sz w:val="22"/>
          <w:szCs w:val="22"/>
          <w:color w:val="auto"/>
        </w:rPr>
      </w:pPr>
      <w:r>
        <w:rPr>
          <w:rFonts w:ascii="Arial" w:cs="Arial" w:eastAsia="Arial" w:hAnsi="Arial"/>
          <w:sz w:val="22"/>
          <w:szCs w:val="22"/>
          <w:color w:val="auto"/>
        </w:rPr>
        <w:t>Permitted Liens;</w:t>
      </w:r>
    </w:p>
    <w:p>
      <w:pPr>
        <w:spacing w:after="0" w:line="206" w:lineRule="exact"/>
        <w:rPr>
          <w:rFonts w:ascii="Arial" w:cs="Arial" w:eastAsia="Arial" w:hAnsi="Arial"/>
          <w:sz w:val="22"/>
          <w:szCs w:val="22"/>
          <w:color w:val="auto"/>
        </w:rPr>
      </w:pPr>
    </w:p>
    <w:p>
      <w:pPr>
        <w:ind w:left="2660" w:hanging="897"/>
        <w:spacing w:after="0"/>
        <w:tabs>
          <w:tab w:leader="none" w:pos="2660" w:val="left"/>
        </w:tabs>
        <w:numPr>
          <w:ilvl w:val="0"/>
          <w:numId w:val="245"/>
        </w:numPr>
        <w:rPr>
          <w:rFonts w:ascii="Arial" w:cs="Arial" w:eastAsia="Arial" w:hAnsi="Arial"/>
          <w:sz w:val="22"/>
          <w:szCs w:val="22"/>
          <w:color w:val="auto"/>
        </w:rPr>
      </w:pPr>
      <w:r>
        <w:rPr>
          <w:rFonts w:ascii="Arial" w:cs="Arial" w:eastAsia="Arial" w:hAnsi="Arial"/>
          <w:sz w:val="22"/>
          <w:szCs w:val="22"/>
          <w:color w:val="auto"/>
        </w:rPr>
        <w:t>Liens on Equity Interests in any SBIC Subsidiary created in favor of the SBA;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7" w:name="page268"/>
    <w:bookmarkEnd w:id="267"/>
    <w:p>
      <w:pPr>
        <w:ind w:left="2660" w:hanging="897"/>
        <w:spacing w:after="0"/>
        <w:tabs>
          <w:tab w:leader="none" w:pos="266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1763"/>
        <w:spacing w:after="0" w:line="244" w:lineRule="auto"/>
        <w:tabs>
          <w:tab w:leader="none" w:pos="2607" w:val="left"/>
        </w:tabs>
        <w:numPr>
          <w:ilvl w:val="0"/>
          <w:numId w:val="246"/>
        </w:numPr>
        <w:rPr>
          <w:rFonts w:ascii="Arial" w:cs="Arial" w:eastAsia="Arial" w:hAnsi="Arial"/>
          <w:sz w:val="21"/>
          <w:szCs w:val="21"/>
          <w:color w:val="auto"/>
        </w:rPr>
      </w:pPr>
      <w:r>
        <w:rPr>
          <w:rFonts w:ascii="Arial" w:cs="Arial" w:eastAsia="Arial" w:hAnsi="Arial"/>
          <w:sz w:val="21"/>
          <w:szCs w:val="21"/>
          <w:color w:val="auto"/>
        </w:rPr>
        <w:t xml:space="preserve">(x) Liens securing Hedging Agreements permitted under </w:t>
      </w:r>
      <w:r>
        <w:rPr>
          <w:rFonts w:ascii="Arial" w:cs="Arial" w:eastAsia="Arial" w:hAnsi="Arial"/>
          <w:sz w:val="21"/>
          <w:szCs w:val="21"/>
          <w:u w:val="single" w:color="auto"/>
          <w:color w:val="auto"/>
        </w:rPr>
        <w:t>Section 6.04(c)</w:t>
      </w:r>
      <w:r>
        <w:rPr>
          <w:rFonts w:ascii="Arial" w:cs="Arial" w:eastAsia="Arial" w:hAnsi="Arial"/>
          <w:sz w:val="21"/>
          <w:szCs w:val="21"/>
          <w:color w:val="auto"/>
        </w:rPr>
        <w:t xml:space="preserve"> and not otherwise permitted under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above in an 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Arial" w:cs="Arial" w:eastAsia="Arial" w:hAnsi="Arial"/>
          <w:sz w:val="21"/>
          <w:szCs w:val="21"/>
          <w:u w:val="single" w:color="auto"/>
          <w:color w:val="auto"/>
        </w:rPr>
        <w:t>sub-clause (y)</w:t>
      </w:r>
      <w:r>
        <w:rPr>
          <w:rFonts w:ascii="Arial" w:cs="Arial" w:eastAsia="Arial" w:hAnsi="Arial"/>
          <w:sz w:val="21"/>
          <w:szCs w:val="21"/>
          <w:color w:val="auto"/>
        </w:rPr>
        <w:t xml:space="preserve"> even if such Lender has assigned all of its Loans and other interests in the Credit Agreement and thus has ceased to be a Lender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any Obligor be permitted to create, incur or assume any Lien pursuant to this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or increase the aggregate amount of collateral securing any Liens previously permitted under this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spacing w:after="0" w:line="189" w:lineRule="exact"/>
        <w:rPr>
          <w:rFonts w:ascii="Arial" w:cs="Arial" w:eastAsia="Arial" w:hAnsi="Arial"/>
          <w:sz w:val="21"/>
          <w:szCs w:val="21"/>
          <w:color w:val="auto"/>
        </w:rPr>
      </w:pPr>
    </w:p>
    <w:p>
      <w:pPr>
        <w:ind w:left="2620" w:hanging="857"/>
        <w:spacing w:after="0"/>
        <w:tabs>
          <w:tab w:leader="none" w:pos="262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Liens securing repurchase obligations arising in the ordinary course of business with respect to U.S.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Government Securities.</w:t>
      </w:r>
    </w:p>
    <w:p>
      <w:pPr>
        <w:spacing w:after="0" w:line="188"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Fundamental Changes</w:t>
      </w:r>
      <w:r>
        <w:rPr>
          <w:rFonts w:ascii="Arial" w:cs="Arial" w:eastAsia="Arial" w:hAnsi="Arial"/>
          <w:sz w:val="19"/>
          <w:szCs w:val="19"/>
          <w:color w:val="auto"/>
        </w:rPr>
        <w:t xml:space="preserve">.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Arial" w:cs="Arial" w:eastAsia="Arial" w:hAnsi="Arial"/>
          <w:sz w:val="19"/>
          <w:szCs w:val="19"/>
          <w:u w:val="single" w:color="auto"/>
          <w:color w:val="auto"/>
        </w:rPr>
        <w:t>clauses (d)</w:t>
      </w:r>
      <w:r>
        <w:rPr>
          <w:rFonts w:ascii="Arial" w:cs="Arial" w:eastAsia="Arial" w:hAnsi="Arial"/>
          <w:sz w:val="19"/>
          <w:szCs w:val="19"/>
          <w:color w:val="auto"/>
        </w:rPr>
        <w:t xml:space="preserve"> and</w:t>
      </w:r>
    </w:p>
    <w:p>
      <w:pPr>
        <w:ind w:left="300" w:hanging="292"/>
        <w:spacing w:after="0"/>
        <w:tabs>
          <w:tab w:leader="none" w:pos="300" w:val="left"/>
        </w:tabs>
        <w:numPr>
          <w:ilvl w:val="0"/>
          <w:numId w:val="247"/>
        </w:numPr>
        <w:rPr>
          <w:rFonts w:ascii="Arial" w:cs="Arial" w:eastAsia="Arial" w:hAnsi="Arial"/>
          <w:sz w:val="22"/>
          <w:szCs w:val="22"/>
          <w:u w:val="single" w:color="auto"/>
          <w:color w:val="auto"/>
        </w:rPr>
      </w:pPr>
      <w:r>
        <w:rPr>
          <w:rFonts w:ascii="Arial" w:cs="Arial" w:eastAsia="Arial" w:hAnsi="Arial"/>
          <w:sz w:val="22"/>
          <w:szCs w:val="22"/>
          <w:color w:val="auto"/>
        </w:rPr>
        <w:t>below, Portfolio Investments.</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Notwithstanding the foregoing provisions of this Section:</w:t>
      </w:r>
    </w:p>
    <w:p>
      <w:pPr>
        <w:spacing w:after="0" w:line="206" w:lineRule="exact"/>
        <w:rPr>
          <w:sz w:val="20"/>
          <w:szCs w:val="20"/>
          <w:color w:val="auto"/>
        </w:rPr>
      </w:pPr>
    </w:p>
    <w:p>
      <w:pPr>
        <w:jc w:val="both"/>
        <w:ind w:firstLine="1763"/>
        <w:spacing w:after="0" w:line="297" w:lineRule="auto"/>
        <w:tabs>
          <w:tab w:leader="none" w:pos="2643" w:val="left"/>
        </w:tabs>
        <w:numPr>
          <w:ilvl w:val="0"/>
          <w:numId w:val="248"/>
        </w:numPr>
        <w:rPr>
          <w:rFonts w:ascii="Arial" w:cs="Arial" w:eastAsia="Arial" w:hAnsi="Arial"/>
          <w:sz w:val="19"/>
          <w:szCs w:val="19"/>
          <w:color w:val="auto"/>
        </w:rPr>
      </w:pPr>
      <w:r>
        <w:rPr>
          <w:rFonts w:ascii="Arial" w:cs="Arial" w:eastAsia="Arial" w:hAnsi="Arial"/>
          <w:sz w:val="19"/>
          <w:szCs w:val="19"/>
          <w:color w:val="auto"/>
        </w:rPr>
        <w:t xml:space="preserve">any Subsidiary Guarantor of the Borrower may be merged or consolidated with or into the Borrower or any other Subsidiary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transaction shall be between a Subsidiary Guarantor and a wholly owned Subsidiary Guarantor, the wholly owned Subsidiary Guarantor shall be the continuing or surviving corporation;</w:t>
      </w:r>
    </w:p>
    <w:p>
      <w:pPr>
        <w:spacing w:after="0" w:line="134" w:lineRule="exact"/>
        <w:rPr>
          <w:rFonts w:ascii="Arial" w:cs="Arial" w:eastAsia="Arial" w:hAnsi="Arial"/>
          <w:sz w:val="19"/>
          <w:szCs w:val="19"/>
          <w:color w:val="auto"/>
        </w:rPr>
      </w:pPr>
    </w:p>
    <w:p>
      <w:pPr>
        <w:jc w:val="both"/>
        <w:ind w:right="20" w:firstLine="1763"/>
        <w:spacing w:after="0" w:line="328" w:lineRule="auto"/>
        <w:tabs>
          <w:tab w:leader="none" w:pos="2655" w:val="left"/>
        </w:tabs>
        <w:numPr>
          <w:ilvl w:val="0"/>
          <w:numId w:val="248"/>
        </w:numPr>
        <w:rPr>
          <w:rFonts w:ascii="Arial" w:cs="Arial" w:eastAsia="Arial" w:hAnsi="Arial"/>
          <w:sz w:val="19"/>
          <w:szCs w:val="19"/>
          <w:color w:val="auto"/>
        </w:rPr>
      </w:pPr>
      <w:r>
        <w:rPr>
          <w:rFonts w:ascii="Arial" w:cs="Arial" w:eastAsia="Arial" w:hAnsi="Arial"/>
          <w:sz w:val="19"/>
          <w:szCs w:val="19"/>
          <w:color w:val="auto"/>
        </w:rPr>
        <w:t>any Subsidiary Guarantor of the Borrower may sell, lease, transfer or otherwise dispose of any or all of its assets (upon voluntary liquidation or otherwise) to the Borrower or any wholly owned Subsidiary Guarantor of the Borrower;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8" w:name="page269"/>
    <w:bookmarkEnd w:id="268"/>
    <w:p>
      <w:pPr>
        <w:ind w:right="20" w:firstLine="1763"/>
        <w:spacing w:after="0" w:line="251" w:lineRule="auto"/>
        <w:tabs>
          <w:tab w:leader="none" w:pos="2643" w:val="left"/>
        </w:tabs>
        <w:numPr>
          <w:ilvl w:val="0"/>
          <w:numId w:val="249"/>
        </w:numPr>
        <w:rPr>
          <w:rFonts w:ascii="Arial" w:cs="Arial" w:eastAsia="Arial" w:hAnsi="Arial"/>
          <w:sz w:val="22"/>
          <w:szCs w:val="22"/>
          <w:color w:val="auto"/>
        </w:rPr>
      </w:pPr>
      <w:r>
        <w:rPr>
          <w:rFonts w:ascii="Arial" w:cs="Arial" w:eastAsia="Arial" w:hAnsi="Arial"/>
          <w:sz w:val="22"/>
          <w:szCs w:val="22"/>
          <w:color w:val="auto"/>
        </w:rPr>
        <w:t>the capital stock of any Subsidiary of the Borrower may be sold, transferred or otherwise disposed of to the Borrower or any wholly owned Subsidiary Guarantor of the Borrower;</w:t>
      </w:r>
    </w:p>
    <w:p>
      <w:pPr>
        <w:spacing w:after="0" w:line="173" w:lineRule="exact"/>
        <w:rPr>
          <w:rFonts w:ascii="Arial" w:cs="Arial" w:eastAsia="Arial" w:hAnsi="Arial"/>
          <w:sz w:val="22"/>
          <w:szCs w:val="22"/>
          <w:color w:val="auto"/>
        </w:rPr>
      </w:pPr>
    </w:p>
    <w:p>
      <w:pPr>
        <w:jc w:val="both"/>
        <w:ind w:firstLine="1763"/>
        <w:spacing w:after="0" w:line="287" w:lineRule="auto"/>
        <w:tabs>
          <w:tab w:leader="none" w:pos="2655" w:val="left"/>
        </w:tabs>
        <w:numPr>
          <w:ilvl w:val="0"/>
          <w:numId w:val="249"/>
        </w:numPr>
        <w:rPr>
          <w:rFonts w:ascii="Arial" w:cs="Arial" w:eastAsia="Arial" w:hAnsi="Arial"/>
          <w:sz w:val="19"/>
          <w:szCs w:val="19"/>
          <w:color w:val="auto"/>
        </w:rPr>
      </w:pPr>
      <w:r>
        <w:rPr>
          <w:rFonts w:ascii="Arial" w:cs="Arial" w:eastAsia="Arial" w:hAnsi="Arial"/>
          <w:sz w:val="19"/>
          <w:szCs w:val="19"/>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spacing w:after="0" w:line="143" w:lineRule="exact"/>
        <w:rPr>
          <w:rFonts w:ascii="Arial" w:cs="Arial" w:eastAsia="Arial" w:hAnsi="Arial"/>
          <w:sz w:val="19"/>
          <w:szCs w:val="19"/>
          <w:color w:val="auto"/>
        </w:rPr>
      </w:pPr>
    </w:p>
    <w:p>
      <w:pPr>
        <w:jc w:val="both"/>
        <w:ind w:firstLine="1763"/>
        <w:spacing w:after="0" w:line="277" w:lineRule="auto"/>
        <w:tabs>
          <w:tab w:leader="none" w:pos="2643" w:val="left"/>
        </w:tabs>
        <w:numPr>
          <w:ilvl w:val="0"/>
          <w:numId w:val="249"/>
        </w:numPr>
        <w:rPr>
          <w:rFonts w:ascii="Arial" w:cs="Arial" w:eastAsia="Arial" w:hAnsi="Arial"/>
          <w:sz w:val="19"/>
          <w:szCs w:val="19"/>
          <w:color w:val="auto"/>
        </w:rPr>
      </w:pPr>
      <w:r>
        <w:rPr>
          <w:rFonts w:ascii="Arial" w:cs="Arial" w:eastAsia="Arial" w:hAnsi="Arial"/>
          <w:sz w:val="19"/>
          <w:szCs w:val="19"/>
          <w:color w:val="auto"/>
        </w:rPr>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52" w:lineRule="exact"/>
        <w:rPr>
          <w:rFonts w:ascii="Arial" w:cs="Arial" w:eastAsia="Arial" w:hAnsi="Arial"/>
          <w:sz w:val="19"/>
          <w:szCs w:val="19"/>
          <w:color w:val="auto"/>
        </w:rPr>
      </w:pPr>
    </w:p>
    <w:p>
      <w:pPr>
        <w:jc w:val="both"/>
        <w:ind w:firstLine="1763"/>
        <w:spacing w:after="0"/>
        <w:tabs>
          <w:tab w:leader="none" w:pos="2619" w:val="left"/>
        </w:tabs>
        <w:numPr>
          <w:ilvl w:val="0"/>
          <w:numId w:val="249"/>
        </w:numPr>
        <w:rPr>
          <w:rFonts w:ascii="Arial" w:cs="Arial" w:eastAsia="Arial" w:hAnsi="Arial"/>
          <w:sz w:val="22"/>
          <w:szCs w:val="22"/>
          <w:color w:val="auto"/>
        </w:rPr>
      </w:pPr>
      <w:r>
        <w:rPr>
          <w:rFonts w:ascii="Arial" w:cs="Arial" w:eastAsia="Arial" w:hAnsi="Arial"/>
          <w:sz w:val="22"/>
          <w:szCs w:val="22"/>
          <w:color w:val="auto"/>
        </w:rPr>
        <w:t>the Borrower may merge or consolidate with, or acquire all or substantially all of the assets of, any other Person so long as (i) the Borrower is the continuing or surviving entity in such transaction and (ii) at the time thereof and after giving effect thereto, no Default shall have occurred or be continuing; and</w:t>
      </w:r>
    </w:p>
    <w:p>
      <w:pPr>
        <w:spacing w:after="0" w:line="186" w:lineRule="exact"/>
        <w:rPr>
          <w:rFonts w:ascii="Arial" w:cs="Arial" w:eastAsia="Arial" w:hAnsi="Arial"/>
          <w:sz w:val="22"/>
          <w:szCs w:val="22"/>
          <w:color w:val="auto"/>
        </w:rPr>
      </w:pPr>
    </w:p>
    <w:p>
      <w:pPr>
        <w:jc w:val="both"/>
        <w:ind w:firstLine="1763"/>
        <w:spacing w:after="0"/>
        <w:tabs>
          <w:tab w:leader="none" w:pos="2655" w:val="left"/>
        </w:tabs>
        <w:numPr>
          <w:ilvl w:val="0"/>
          <w:numId w:val="249"/>
        </w:numPr>
        <w:rPr>
          <w:rFonts w:ascii="Arial" w:cs="Arial" w:eastAsia="Arial" w:hAnsi="Arial"/>
          <w:sz w:val="22"/>
          <w:szCs w:val="22"/>
          <w:color w:val="auto"/>
        </w:rPr>
      </w:pPr>
      <w:r>
        <w:rPr>
          <w:rFonts w:ascii="Arial" w:cs="Arial" w:eastAsia="Arial" w:hAnsi="Arial"/>
          <w:sz w:val="22"/>
          <w:szCs w:val="22"/>
          <w:color w:val="auto"/>
        </w:rPr>
        <w:t>the Borrower and each of the Subsidiary Guarantors may sell, lease, transfer or otherwise dispose of equipment or other property or assets that do not consist of Portfolio Investments so long as the aggregate amount of all such sales, leases, transfer and dispositions does not exceed $5,000,000 in any fiscal year.</w:t>
      </w:r>
    </w:p>
    <w:p>
      <w:pPr>
        <w:spacing w:after="0" w:line="186" w:lineRule="exact"/>
        <w:rPr>
          <w:sz w:val="20"/>
          <w:szCs w:val="20"/>
          <w:color w:val="auto"/>
        </w:rPr>
      </w:pPr>
    </w:p>
    <w:p>
      <w:pPr>
        <w:ind w:firstLine="1755"/>
        <w:spacing w:after="0" w:line="251"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Investments</w:t>
      </w:r>
      <w:r>
        <w:rPr>
          <w:rFonts w:ascii="Arial" w:cs="Arial" w:eastAsia="Arial" w:hAnsi="Arial"/>
          <w:sz w:val="22"/>
          <w:szCs w:val="22"/>
          <w:color w:val="auto"/>
        </w:rPr>
        <w:t>. The Borrower will not, nor will it permit any of the Subsidiary Guarantors to, acquire, make or enter into, or hold, any Investments except:</w:t>
      </w:r>
    </w:p>
    <w:p>
      <w:pPr>
        <w:spacing w:after="0" w:line="173" w:lineRule="exact"/>
        <w:rPr>
          <w:sz w:val="20"/>
          <w:szCs w:val="20"/>
          <w:color w:val="auto"/>
        </w:rPr>
      </w:pPr>
    </w:p>
    <w:p>
      <w:pPr>
        <w:ind w:left="2660" w:hanging="897"/>
        <w:spacing w:after="0"/>
        <w:tabs>
          <w:tab w:leader="none" w:pos="266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operating deposit accounts with banks;</w:t>
      </w:r>
    </w:p>
    <w:p>
      <w:pPr>
        <w:spacing w:after="0" w:line="206" w:lineRule="exact"/>
        <w:rPr>
          <w:rFonts w:ascii="Arial" w:cs="Arial" w:eastAsia="Arial" w:hAnsi="Arial"/>
          <w:sz w:val="22"/>
          <w:szCs w:val="22"/>
          <w:color w:val="auto"/>
        </w:rPr>
      </w:pPr>
    </w:p>
    <w:p>
      <w:pPr>
        <w:ind w:left="2660" w:hanging="897"/>
        <w:spacing w:after="0"/>
        <w:tabs>
          <w:tab w:leader="none" w:pos="266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Investments by the Borrower and the Subsidiary Guarantors in the Borrower and the Subsidiary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Guarantors;</w:t>
      </w:r>
    </w:p>
    <w:p>
      <w:pPr>
        <w:spacing w:after="0" w:line="188" w:lineRule="exact"/>
        <w:rPr>
          <w:sz w:val="20"/>
          <w:szCs w:val="20"/>
          <w:color w:val="auto"/>
        </w:rPr>
      </w:pPr>
    </w:p>
    <w:p>
      <w:pPr>
        <w:ind w:left="2660" w:hanging="897"/>
        <w:spacing w:after="0"/>
        <w:tabs>
          <w:tab w:leader="none" w:pos="266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Hedging Agreements entered into in the ordinary course of the Borrower’s financial planning and not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 speculative purposes;</w:t>
      </w:r>
    </w:p>
    <w:p>
      <w:pPr>
        <w:spacing w:after="0" w:line="188" w:lineRule="exact"/>
        <w:rPr>
          <w:rFonts w:ascii="Arial" w:cs="Arial" w:eastAsia="Arial" w:hAnsi="Arial"/>
          <w:sz w:val="19"/>
          <w:szCs w:val="19"/>
          <w:color w:val="auto"/>
        </w:rPr>
      </w:pPr>
    </w:p>
    <w:p>
      <w:pPr>
        <w:jc w:val="both"/>
        <w:ind w:firstLine="1763"/>
        <w:spacing w:after="0"/>
        <w:tabs>
          <w:tab w:leader="none" w:pos="2655" w:val="left"/>
        </w:tabs>
        <w:numPr>
          <w:ilvl w:val="0"/>
          <w:numId w:val="251"/>
        </w:numPr>
        <w:rPr>
          <w:rFonts w:ascii="Arial" w:cs="Arial" w:eastAsia="Arial" w:hAnsi="Arial"/>
          <w:sz w:val="22"/>
          <w:szCs w:val="22"/>
          <w:color w:val="auto"/>
        </w:rPr>
      </w:pPr>
      <w:r>
        <w:rPr>
          <w:rFonts w:ascii="Arial" w:cs="Arial" w:eastAsia="Arial" w:hAnsi="Arial"/>
          <w:sz w:val="22"/>
          <w:szCs w:val="22"/>
          <w:color w:val="auto"/>
        </w:rPr>
        <w:t>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86" w:lineRule="exact"/>
        <w:rPr>
          <w:rFonts w:ascii="Arial" w:cs="Arial" w:eastAsia="Arial" w:hAnsi="Arial"/>
          <w:sz w:val="22"/>
          <w:szCs w:val="22"/>
          <w:color w:val="auto"/>
        </w:rPr>
      </w:pPr>
    </w:p>
    <w:p>
      <w:pPr>
        <w:jc w:val="both"/>
        <w:ind w:firstLine="1763"/>
        <w:spacing w:after="0" w:line="252" w:lineRule="auto"/>
        <w:tabs>
          <w:tab w:leader="none" w:pos="2643" w:val="left"/>
        </w:tabs>
        <w:numPr>
          <w:ilvl w:val="0"/>
          <w:numId w:val="251"/>
        </w:numPr>
        <w:rPr>
          <w:rFonts w:ascii="Arial" w:cs="Arial" w:eastAsia="Arial" w:hAnsi="Arial"/>
          <w:sz w:val="21"/>
          <w:szCs w:val="21"/>
          <w:color w:val="auto"/>
        </w:rPr>
      </w:pPr>
      <w:r>
        <w:rPr>
          <w:rFonts w:ascii="Arial" w:cs="Arial" w:eastAsia="Arial" w:hAnsi="Arial"/>
          <w:sz w:val="21"/>
          <w:szCs w:val="21"/>
          <w:color w:val="auto"/>
        </w:rPr>
        <w:t xml:space="preserve">Investments in Financing Subsidiaries so long as, (i) after giving effect to such Investment, the Covered Debt Amount does not exceed the Borrowing Base and (ii) the sum of (x) all Investments under this </w:t>
      </w:r>
      <w:r>
        <w:rPr>
          <w:rFonts w:ascii="Arial" w:cs="Arial" w:eastAsia="Arial" w:hAnsi="Arial"/>
          <w:sz w:val="21"/>
          <w:szCs w:val="21"/>
          <w:u w:val="single" w:color="auto"/>
          <w:color w:val="auto"/>
        </w:rPr>
        <w:t>clause (e)</w:t>
      </w:r>
      <w:r>
        <w:rPr>
          <w:rFonts w:ascii="Arial" w:cs="Arial" w:eastAsia="Arial" w:hAnsi="Arial"/>
          <w:sz w:val="21"/>
          <w:szCs w:val="21"/>
          <w:color w:val="auto"/>
        </w:rPr>
        <w:t xml:space="preserve"> that occur after the Extended Commitment Termination Date and (y) all Investments under </w:t>
      </w:r>
      <w:r>
        <w:rPr>
          <w:rFonts w:ascii="Arial" w:cs="Arial" w:eastAsia="Arial" w:hAnsi="Arial"/>
          <w:sz w:val="21"/>
          <w:szCs w:val="21"/>
          <w:u w:val="single" w:color="auto"/>
          <w:color w:val="auto"/>
        </w:rPr>
        <w:t>clause (f)</w:t>
      </w:r>
      <w:r>
        <w:rPr>
          <w:rFonts w:ascii="Arial" w:cs="Arial" w:eastAsia="Arial" w:hAnsi="Arial"/>
          <w:sz w:val="21"/>
          <w:szCs w:val="21"/>
          <w:color w:val="auto"/>
        </w:rPr>
        <w:t xml:space="preserve"> below that occur after the Extended Commitment Termination Date, shall not exceed $10,000,000 in the aggregate;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9" w:name="page270"/>
    <w:bookmarkEnd w:id="269"/>
    <w:p>
      <w:pPr>
        <w:jc w:val="both"/>
        <w:ind w:firstLine="1763"/>
        <w:spacing w:after="0" w:line="297" w:lineRule="auto"/>
        <w:tabs>
          <w:tab w:leader="none" w:pos="2619" w:val="left"/>
        </w:tabs>
        <w:numPr>
          <w:ilvl w:val="0"/>
          <w:numId w:val="252"/>
        </w:numPr>
        <w:rPr>
          <w:rFonts w:ascii="Arial" w:cs="Arial" w:eastAsia="Arial" w:hAnsi="Arial"/>
          <w:sz w:val="19"/>
          <w:szCs w:val="19"/>
          <w:color w:val="auto"/>
        </w:rPr>
      </w:pPr>
      <w:r>
        <w:rPr>
          <w:rFonts w:ascii="Arial" w:cs="Arial" w:eastAsia="Arial" w:hAnsi="Arial"/>
          <w:sz w:val="19"/>
          <w:szCs w:val="19"/>
          <w:color w:val="auto"/>
        </w:rPr>
        <w:t xml:space="preserve">additional Investments up to but not exceeding $15,000,000 in the aggregate;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sum of (x) all Investments under this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that occur after the Extended Commitment Termination Date and (y) all Investments under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above that occur after the Extended Commitment Termination Date, shall not exceed $10,000,000 in the aggregate;</w:t>
      </w:r>
    </w:p>
    <w:p>
      <w:pPr>
        <w:spacing w:after="0" w:line="134" w:lineRule="exact"/>
        <w:rPr>
          <w:rFonts w:ascii="Arial" w:cs="Arial" w:eastAsia="Arial" w:hAnsi="Arial"/>
          <w:sz w:val="19"/>
          <w:szCs w:val="19"/>
          <w:color w:val="auto"/>
        </w:rPr>
      </w:pPr>
    </w:p>
    <w:p>
      <w:pPr>
        <w:ind w:left="2660" w:hanging="897"/>
        <w:spacing w:after="0"/>
        <w:tabs>
          <w:tab w:leader="none" w:pos="266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Investments in Cash and Cash Equivalents;</w:t>
      </w:r>
    </w:p>
    <w:p>
      <w:pPr>
        <w:spacing w:after="0" w:line="206" w:lineRule="exact"/>
        <w:rPr>
          <w:rFonts w:ascii="Arial" w:cs="Arial" w:eastAsia="Arial" w:hAnsi="Arial"/>
          <w:sz w:val="22"/>
          <w:szCs w:val="22"/>
          <w:color w:val="auto"/>
        </w:rPr>
      </w:pPr>
    </w:p>
    <w:p>
      <w:pPr>
        <w:ind w:left="2660" w:hanging="897"/>
        <w:spacing w:after="0"/>
        <w:tabs>
          <w:tab w:leader="none" w:pos="266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xml:space="preserve">Investments described on </w:t>
      </w:r>
      <w:r>
        <w:rPr>
          <w:rFonts w:ascii="Arial" w:cs="Arial" w:eastAsia="Arial" w:hAnsi="Arial"/>
          <w:sz w:val="22"/>
          <w:szCs w:val="22"/>
          <w:u w:val="single" w:color="auto"/>
          <w:color w:val="auto"/>
        </w:rPr>
        <w:t>Schedule 3.12(b)</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20" w:hanging="857"/>
        <w:spacing w:after="0"/>
        <w:tabs>
          <w:tab w:leader="none" w:pos="262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Investments by a Financing Subsidiary; and</w:t>
      </w:r>
    </w:p>
    <w:p>
      <w:pPr>
        <w:spacing w:after="0" w:line="206" w:lineRule="exact"/>
        <w:rPr>
          <w:rFonts w:ascii="Arial" w:cs="Arial" w:eastAsia="Arial" w:hAnsi="Arial"/>
          <w:sz w:val="22"/>
          <w:szCs w:val="22"/>
          <w:color w:val="auto"/>
        </w:rPr>
      </w:pPr>
    </w:p>
    <w:p>
      <w:pPr>
        <w:ind w:left="2620" w:hanging="857"/>
        <w:spacing w:after="0"/>
        <w:tabs>
          <w:tab w:leader="none" w:pos="262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xml:space="preserve">Investments in the form of Guarantees permitted pursuant to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206"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aggregate amount of dividends, distributions or other payments received in cash in respect of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53"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The Borrower will not, nor will it permit any of the Subsidiary Guarantors to, declare or make, or agree to pay or make, directly or indirectly, any Restricted Payment, except that the Borrower may declare and pay:</w:t>
      </w:r>
    </w:p>
    <w:p>
      <w:pPr>
        <w:spacing w:after="0" w:line="186" w:lineRule="exact"/>
        <w:rPr>
          <w:sz w:val="20"/>
          <w:szCs w:val="20"/>
          <w:color w:val="auto"/>
        </w:rPr>
      </w:pPr>
    </w:p>
    <w:p>
      <w:pPr>
        <w:ind w:left="2660" w:hanging="897"/>
        <w:spacing w:after="0"/>
        <w:tabs>
          <w:tab w:leader="none" w:pos="2660" w:val="left"/>
        </w:tabs>
        <w:numPr>
          <w:ilvl w:val="1"/>
          <w:numId w:val="253"/>
        </w:numPr>
        <w:rPr>
          <w:rFonts w:ascii="Arial" w:cs="Arial" w:eastAsia="Arial" w:hAnsi="Arial"/>
          <w:sz w:val="19"/>
          <w:szCs w:val="19"/>
          <w:color w:val="auto"/>
        </w:rPr>
      </w:pPr>
      <w:r>
        <w:rPr>
          <w:rFonts w:ascii="Arial" w:cs="Arial" w:eastAsia="Arial" w:hAnsi="Arial"/>
          <w:sz w:val="19"/>
          <w:szCs w:val="19"/>
          <w:color w:val="auto"/>
        </w:rPr>
        <w:t>dividends with respect to the capital stock of the Borrower payable solely in additional shares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Borrower’s common stock;</w:t>
      </w:r>
    </w:p>
    <w:p>
      <w:pPr>
        <w:spacing w:after="0" w:line="188" w:lineRule="exact"/>
        <w:rPr>
          <w:rFonts w:ascii="Arial" w:cs="Arial" w:eastAsia="Arial" w:hAnsi="Arial"/>
          <w:sz w:val="19"/>
          <w:szCs w:val="19"/>
          <w:color w:val="auto"/>
        </w:rPr>
      </w:pPr>
    </w:p>
    <w:p>
      <w:pPr>
        <w:jc w:val="both"/>
        <w:ind w:firstLine="1763"/>
        <w:spacing w:after="0" w:line="238" w:lineRule="auto"/>
        <w:tabs>
          <w:tab w:leader="none" w:pos="2655" w:val="left"/>
        </w:tabs>
        <w:numPr>
          <w:ilvl w:val="1"/>
          <w:numId w:val="253"/>
        </w:numPr>
        <w:rPr>
          <w:rFonts w:ascii="Arial" w:cs="Arial" w:eastAsia="Arial" w:hAnsi="Arial"/>
          <w:sz w:val="22"/>
          <w:szCs w:val="22"/>
          <w:color w:val="auto"/>
        </w:rPr>
      </w:pPr>
      <w:r>
        <w:rPr>
          <w:rFonts w:ascii="Arial" w:cs="Arial" w:eastAsia="Arial" w:hAnsi="Arial"/>
          <w:sz w:val="22"/>
          <w:szCs w:val="22"/>
          <w:color w:val="auto"/>
        </w:rPr>
        <w:t>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185" w:lineRule="exact"/>
        <w:rPr>
          <w:rFonts w:ascii="Arial" w:cs="Arial" w:eastAsia="Arial" w:hAnsi="Arial"/>
          <w:sz w:val="22"/>
          <w:szCs w:val="22"/>
          <w:color w:val="auto"/>
        </w:rPr>
      </w:pPr>
    </w:p>
    <w:p>
      <w:pPr>
        <w:jc w:val="both"/>
        <w:ind w:firstLine="1763"/>
        <w:spacing w:after="0"/>
        <w:tabs>
          <w:tab w:leader="none" w:pos="2643" w:val="left"/>
        </w:tabs>
        <w:numPr>
          <w:ilvl w:val="1"/>
          <w:numId w:val="253"/>
        </w:numPr>
        <w:rPr>
          <w:rFonts w:ascii="Arial" w:cs="Arial" w:eastAsia="Arial" w:hAnsi="Arial"/>
          <w:sz w:val="22"/>
          <w:szCs w:val="22"/>
          <w:color w:val="auto"/>
        </w:rPr>
      </w:pPr>
      <w:r>
        <w:rPr>
          <w:rFonts w:ascii="Arial" w:cs="Arial" w:eastAsia="Arial" w:hAnsi="Arial"/>
          <w:sz w:val="22"/>
          <w:szCs w:val="22"/>
          <w:color w:val="auto"/>
        </w:rPr>
        <w:t xml:space="preserve">dividends and distributions in each case in cash or other property (excluding for this purpose the Borrower’s common stock) in addition to the dividends and distributions permitted under the foregoing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so long as on the date of such Restricted Payment and after giving effect thereto:</w:t>
      </w:r>
    </w:p>
    <w:p>
      <w:pPr>
        <w:spacing w:after="0" w:line="186" w:lineRule="exact"/>
        <w:rPr>
          <w:rFonts w:ascii="Arial" w:cs="Arial" w:eastAsia="Arial" w:hAnsi="Arial"/>
          <w:sz w:val="22"/>
          <w:szCs w:val="22"/>
          <w:color w:val="auto"/>
        </w:rPr>
      </w:pPr>
    </w:p>
    <w:p>
      <w:pPr>
        <w:ind w:left="2540" w:hanging="844"/>
        <w:spacing w:after="0"/>
        <w:tabs>
          <w:tab w:leader="none" w:pos="254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no Default shall have occurred and be continuing or would result therefrom; and</w:t>
      </w:r>
    </w:p>
    <w:p>
      <w:pPr>
        <w:spacing w:after="0" w:line="206" w:lineRule="exact"/>
        <w:rPr>
          <w:rFonts w:ascii="Arial" w:cs="Arial" w:eastAsia="Arial" w:hAnsi="Arial"/>
          <w:sz w:val="22"/>
          <w:szCs w:val="22"/>
          <w:color w:val="auto"/>
        </w:rPr>
      </w:pPr>
    </w:p>
    <w:p>
      <w:pPr>
        <w:jc w:val="both"/>
        <w:ind w:left="880" w:firstLine="816"/>
        <w:spacing w:after="0" w:line="273" w:lineRule="auto"/>
        <w:tabs>
          <w:tab w:leader="none" w:pos="2602"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the aggregate amount of Restricted Payments made during any taxable year of the Borrower after the date hereof under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shall not exceed the difference of (x) an amount equal to 10% of the taxable income of the Borrower for such taxable year determined under section 852(b)(2) of the Code, but without regard to </w:t>
      </w:r>
      <w:r>
        <w:rPr>
          <w:rFonts w:ascii="Arial" w:cs="Arial" w:eastAsia="Arial" w:hAnsi="Arial"/>
          <w:sz w:val="19"/>
          <w:szCs w:val="19"/>
          <w:u w:val="single" w:color="auto"/>
          <w:color w:val="auto"/>
        </w:rPr>
        <w:t>subparagraphs</w:t>
      </w:r>
    </w:p>
    <w:p>
      <w:pPr>
        <w:spacing w:after="0" w:line="1"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u w:val="single" w:color="auto"/>
          <w:color w:val="auto"/>
        </w:rPr>
        <w:t>(A)</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0" w:name="page271"/>
    <w:bookmarkEnd w:id="270"/>
    <w:p>
      <w:pPr>
        <w:jc w:val="both"/>
        <w:ind w:left="880" w:firstLine="5"/>
        <w:spacing w:after="0" w:line="238" w:lineRule="auto"/>
        <w:tabs>
          <w:tab w:leader="none" w:pos="1242" w:val="left"/>
        </w:tabs>
        <w:numPr>
          <w:ilvl w:val="1"/>
          <w:numId w:val="255"/>
        </w:numPr>
        <w:rPr>
          <w:rFonts w:ascii="Arial" w:cs="Arial" w:eastAsia="Arial" w:hAnsi="Arial"/>
          <w:sz w:val="22"/>
          <w:szCs w:val="22"/>
          <w:u w:val="single" w:color="auto"/>
          <w:color w:val="auto"/>
        </w:rPr>
      </w:pPr>
      <w:r>
        <w:rPr>
          <w:rFonts w:ascii="Arial" w:cs="Arial" w:eastAsia="Arial" w:hAnsi="Arial"/>
          <w:sz w:val="22"/>
          <w:szCs w:val="22"/>
          <w:color w:val="auto"/>
        </w:rPr>
        <w:t xml:space="preserve">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thereof,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(y) the amount, if any, by which dividends and distributions made during such taxable year pursuant to the foregoing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(whether in respect of such taxable year or the previous taxable year) based upon the Borrower’s estimate of taxable income exceeded the actual amounts specified in </w:t>
      </w:r>
      <w:r>
        <w:rPr>
          <w:rFonts w:ascii="Arial" w:cs="Arial" w:eastAsia="Arial" w:hAnsi="Arial"/>
          <w:sz w:val="22"/>
          <w:szCs w:val="22"/>
          <w:u w:val="single" w:color="auto"/>
          <w:color w:val="auto"/>
        </w:rPr>
        <w:t>subclauses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of such foregoing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for such taxable year.</w:t>
      </w:r>
    </w:p>
    <w:p>
      <w:pPr>
        <w:spacing w:after="0" w:line="185" w:lineRule="exact"/>
        <w:rPr>
          <w:rFonts w:ascii="Arial" w:cs="Arial" w:eastAsia="Arial" w:hAnsi="Arial"/>
          <w:sz w:val="22"/>
          <w:szCs w:val="22"/>
          <w:u w:val="single" w:color="auto"/>
          <w:color w:val="auto"/>
        </w:rPr>
      </w:pPr>
    </w:p>
    <w:p>
      <w:pPr>
        <w:jc w:val="both"/>
        <w:ind w:firstLine="1763"/>
        <w:spacing w:after="0" w:line="271" w:lineRule="auto"/>
        <w:tabs>
          <w:tab w:leader="none" w:pos="2655" w:val="left"/>
        </w:tabs>
        <w:numPr>
          <w:ilvl w:val="2"/>
          <w:numId w:val="255"/>
        </w:numPr>
        <w:rPr>
          <w:rFonts w:ascii="Arial" w:cs="Arial" w:eastAsia="Arial" w:hAnsi="Arial"/>
          <w:sz w:val="19"/>
          <w:szCs w:val="19"/>
          <w:color w:val="auto"/>
        </w:rPr>
      </w:pPr>
      <w:r>
        <w:rPr>
          <w:rFonts w:ascii="Arial" w:cs="Arial" w:eastAsia="Arial" w:hAnsi="Arial"/>
          <w:sz w:val="19"/>
          <w:szCs w:val="19"/>
          <w:color w:val="auto"/>
        </w:rPr>
        <w:t xml:space="preserve">other Restricted Payments so long as (i) on the date of such other Restricted Payment and after giving effect thereto (x) the Covered Debt Amount does not exceed 90% of the Borrowing Base and (y) no Default shall have occurred and be continuing or would result therefrom and (ii) on the date of such other Restricted Payment the Borrower delivers to the Administrative Agent and each Lender a Borrowing Base Certificate as at such date demonstrating compliance with </w:t>
      </w:r>
      <w:r>
        <w:rPr>
          <w:rFonts w:ascii="Arial" w:cs="Arial" w:eastAsia="Arial" w:hAnsi="Arial"/>
          <w:sz w:val="19"/>
          <w:szCs w:val="19"/>
          <w:u w:val="single" w:color="auto"/>
          <w:color w:val="auto"/>
        </w:rPr>
        <w:t>subclause</w:t>
      </w:r>
    </w:p>
    <w:p>
      <w:pPr>
        <w:spacing w:after="0" w:line="3" w:lineRule="exact"/>
        <w:rPr>
          <w:rFonts w:ascii="Arial" w:cs="Arial" w:eastAsia="Arial" w:hAnsi="Arial"/>
          <w:sz w:val="19"/>
          <w:szCs w:val="19"/>
          <w:color w:val="auto"/>
        </w:rPr>
      </w:pPr>
    </w:p>
    <w:p>
      <w:pPr>
        <w:jc w:val="both"/>
        <w:ind w:firstLine="8"/>
        <w:spacing w:after="0" w:line="244" w:lineRule="auto"/>
        <w:tabs>
          <w:tab w:leader="none" w:pos="313" w:val="left"/>
        </w:tabs>
        <w:numPr>
          <w:ilvl w:val="0"/>
          <w:numId w:val="256"/>
        </w:numPr>
        <w:rPr>
          <w:rFonts w:ascii="Arial" w:cs="Arial" w:eastAsia="Arial" w:hAnsi="Arial"/>
          <w:sz w:val="21"/>
          <w:szCs w:val="21"/>
          <w:u w:val="single" w:color="auto"/>
          <w:color w:val="auto"/>
        </w:rPr>
      </w:pPr>
      <w:r>
        <w:rPr>
          <w:rFonts w:ascii="Arial" w:cs="Arial" w:eastAsia="Arial" w:hAnsi="Arial"/>
          <w:sz w:val="21"/>
          <w:szCs w:val="21"/>
          <w:color w:val="auto"/>
        </w:rPr>
        <w:t xml:space="preserve">after giving effect to such Restricted Payment. For purposes of preparing such Borrowing Base Certificate, (A) the fair market value of Portfolio Investments for which market quotations are readily available shall be the most recent quotation available for such Portfolio Investment and (B) the fair market value of Portfolio Investments for which market quotations are not readily available shall be the Value set forth in the Borrowing Base Certificate most recently delivered by the Borrower to the Administrative Agent and the Lenders pursuant to </w:t>
      </w:r>
      <w:r>
        <w:rPr>
          <w:rFonts w:ascii="Arial" w:cs="Arial" w:eastAsia="Arial" w:hAnsi="Arial"/>
          <w:sz w:val="21"/>
          <w:szCs w:val="21"/>
          <w:u w:val="single" w:color="auto"/>
          <w:color w:val="auto"/>
        </w:rPr>
        <w:t>Section 5.01(d)</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reduce the Value of any Portfolio Investment referred to in this </w:t>
      </w:r>
      <w:r>
        <w:rPr>
          <w:rFonts w:ascii="Arial" w:cs="Arial" w:eastAsia="Arial" w:hAnsi="Arial"/>
          <w:sz w:val="21"/>
          <w:szCs w:val="21"/>
          <w:u w:val="single" w:color="auto"/>
          <w:color w:val="auto"/>
        </w:rPr>
        <w:t>sub-clause (B)</w:t>
      </w:r>
      <w:r>
        <w:rPr>
          <w:rFonts w:ascii="Arial" w:cs="Arial" w:eastAsia="Arial" w:hAnsi="Arial"/>
          <w:sz w:val="21"/>
          <w:szCs w:val="21"/>
          <w:color w:val="auto"/>
        </w:rPr>
        <w:t xml:space="preserve"> to the extent necessary to take into account any events of which the Borrower has knowledge that adversely affect the value of such Portfolio Investment.</w:t>
      </w:r>
    </w:p>
    <w:p>
      <w:pPr>
        <w:spacing w:after="0" w:line="181" w:lineRule="exact"/>
        <w:rPr>
          <w:sz w:val="20"/>
          <w:szCs w:val="20"/>
          <w:color w:val="auto"/>
        </w:rPr>
      </w:pPr>
    </w:p>
    <w:p>
      <w:pPr>
        <w:jc w:val="both"/>
        <w:ind w:right="20" w:firstLine="1755"/>
        <w:spacing w:after="0" w:line="251" w:lineRule="auto"/>
        <w:rPr>
          <w:sz w:val="20"/>
          <w:szCs w:val="20"/>
          <w:color w:val="auto"/>
        </w:rPr>
      </w:pPr>
      <w:r>
        <w:rPr>
          <w:rFonts w:ascii="Arial" w:cs="Arial" w:eastAsia="Arial" w:hAnsi="Arial"/>
          <w:sz w:val="22"/>
          <w:szCs w:val="22"/>
          <w:color w:val="auto"/>
        </w:rPr>
        <w:t>Nothing herein shall be deemed to prohibit the payment of Restricted Payments by any Subsidiary of the Borrower to the Borrower or to any other Subsidiary Guarantor.</w:t>
      </w:r>
    </w:p>
    <w:p>
      <w:pPr>
        <w:spacing w:after="0" w:line="173"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Certain Restrictions on Subsidiaries</w:t>
      </w:r>
      <w:r>
        <w:rPr>
          <w:rFonts w:ascii="Arial" w:cs="Arial" w:eastAsia="Arial" w:hAnsi="Arial"/>
          <w:sz w:val="19"/>
          <w:szCs w:val="19"/>
          <w:color w:val="auto"/>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5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Certain Financial Covenants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38" w:lineRule="auto"/>
        <w:tabs>
          <w:tab w:leader="none" w:pos="2643" w:val="left"/>
        </w:tabs>
        <w:numPr>
          <w:ilvl w:val="0"/>
          <w:numId w:val="257"/>
        </w:numPr>
        <w:rPr>
          <w:rFonts w:ascii="Arial" w:cs="Arial" w:eastAsia="Arial" w:hAnsi="Arial"/>
          <w:sz w:val="22"/>
          <w:szCs w:val="22"/>
          <w:color w:val="auto"/>
        </w:rPr>
      </w:pPr>
      <w:r>
        <w:rPr>
          <w:rFonts w:ascii="Arial" w:cs="Arial" w:eastAsia="Arial" w:hAnsi="Arial"/>
          <w:sz w:val="22"/>
          <w:szCs w:val="22"/>
          <w:u w:val="single" w:color="auto"/>
          <w:color w:val="auto"/>
        </w:rPr>
        <w:t>Minimum Shareholders’ Equity</w:t>
      </w:r>
      <w:r>
        <w:rPr>
          <w:rFonts w:ascii="Arial" w:cs="Arial" w:eastAsia="Arial" w:hAnsi="Arial"/>
          <w:sz w:val="22"/>
          <w:szCs w:val="22"/>
          <w:color w:val="auto"/>
        </w:rPr>
        <w:t>. The Borrower will not permit Shareholders’ Equity at the last day of any fiscal quarter of the Borrower to be less than $500,000,000 plus 25% of the net proceeds of the sale of Equity Interests by the Borrower and its Subsidiaries after the Ninth Amendment Effective Date (other than proceeds of sales of Equity Interests by and among the Borrower and its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1" w:name="page272"/>
    <w:bookmarkEnd w:id="271"/>
    <w:p>
      <w:pPr>
        <w:ind w:firstLine="1763"/>
        <w:spacing w:after="0" w:line="251" w:lineRule="auto"/>
        <w:tabs>
          <w:tab w:leader="none" w:pos="2655"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Minimum Borrower Net Worth</w:t>
      </w:r>
      <w:r>
        <w:rPr>
          <w:rFonts w:ascii="Arial" w:cs="Arial" w:eastAsia="Arial" w:hAnsi="Arial"/>
          <w:sz w:val="22"/>
          <w:szCs w:val="22"/>
          <w:color w:val="auto"/>
        </w:rPr>
        <w:t>. The Borrower will not permit Borrower Net Worth at the last day of any fiscal quarter of the Borrower to be less than $350,000,000.</w:t>
      </w:r>
    </w:p>
    <w:p>
      <w:pPr>
        <w:spacing w:after="0" w:line="173" w:lineRule="exact"/>
        <w:rPr>
          <w:rFonts w:ascii="Arial" w:cs="Arial" w:eastAsia="Arial" w:hAnsi="Arial"/>
          <w:sz w:val="22"/>
          <w:szCs w:val="22"/>
          <w:color w:val="auto"/>
        </w:rPr>
      </w:pPr>
    </w:p>
    <w:p>
      <w:pPr>
        <w:ind w:firstLine="1763"/>
        <w:spacing w:after="0" w:line="251" w:lineRule="auto"/>
        <w:tabs>
          <w:tab w:leader="none" w:pos="2643"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Borrower Asset Coverage Ratio</w:t>
      </w:r>
      <w:r>
        <w:rPr>
          <w:rFonts w:ascii="Arial" w:cs="Arial" w:eastAsia="Arial" w:hAnsi="Arial"/>
          <w:sz w:val="22"/>
          <w:szCs w:val="22"/>
          <w:color w:val="auto"/>
        </w:rPr>
        <w:t>. The Borrower will not permit the Borrower Asset Coverage Ratio at the last day of any fiscal quarter of the Borrower to be less than 2.00 to 1 at any time.</w:t>
      </w:r>
    </w:p>
    <w:p>
      <w:pPr>
        <w:spacing w:after="0" w:line="173" w:lineRule="exact"/>
        <w:rPr>
          <w:rFonts w:ascii="Arial" w:cs="Arial" w:eastAsia="Arial" w:hAnsi="Arial"/>
          <w:sz w:val="22"/>
          <w:szCs w:val="22"/>
          <w:color w:val="auto"/>
        </w:rPr>
      </w:pPr>
    </w:p>
    <w:p>
      <w:pPr>
        <w:ind w:firstLine="1763"/>
        <w:spacing w:after="0" w:line="251" w:lineRule="auto"/>
        <w:tabs>
          <w:tab w:leader="none" w:pos="2655"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Consolidated Asset Coverage Ratio</w:t>
      </w:r>
      <w:r>
        <w:rPr>
          <w:rFonts w:ascii="Arial" w:cs="Arial" w:eastAsia="Arial" w:hAnsi="Arial"/>
          <w:sz w:val="22"/>
          <w:szCs w:val="22"/>
          <w:color w:val="auto"/>
        </w:rPr>
        <w:t>. The Borrower will not permit the Consolidated Asset Coverage Ratio at the last day of any fiscal quarter of the Borrower to be less than 1.50 to 1 at any time.</w:t>
      </w:r>
    </w:p>
    <w:p>
      <w:pPr>
        <w:spacing w:after="0" w:line="173" w:lineRule="exact"/>
        <w:rPr>
          <w:rFonts w:ascii="Arial" w:cs="Arial" w:eastAsia="Arial" w:hAnsi="Arial"/>
          <w:sz w:val="22"/>
          <w:szCs w:val="22"/>
          <w:color w:val="auto"/>
        </w:rPr>
      </w:pPr>
    </w:p>
    <w:p>
      <w:pPr>
        <w:jc w:val="both"/>
        <w:ind w:firstLine="1763"/>
        <w:spacing w:after="0" w:line="235" w:lineRule="auto"/>
        <w:tabs>
          <w:tab w:leader="none" w:pos="2643" w:val="left"/>
        </w:tabs>
        <w:numPr>
          <w:ilvl w:val="0"/>
          <w:numId w:val="258"/>
        </w:numPr>
        <w:rPr>
          <w:rFonts w:ascii="Arial" w:cs="Arial" w:eastAsia="Arial" w:hAnsi="Arial"/>
          <w:sz w:val="22"/>
          <w:szCs w:val="22"/>
          <w:color w:val="auto"/>
        </w:rPr>
      </w:pPr>
      <w:r>
        <w:rPr>
          <w:rFonts w:ascii="Arial" w:cs="Arial" w:eastAsia="Arial" w:hAnsi="Arial"/>
          <w:sz w:val="22"/>
          <w:szCs w:val="22"/>
          <w:u w:val="single" w:color="auto"/>
          <w:color w:val="auto"/>
        </w:rPr>
        <w:t>Liquidity Test</w:t>
      </w:r>
      <w:r>
        <w:rPr>
          <w:rFonts w:ascii="Arial" w:cs="Arial" w:eastAsia="Arial" w:hAnsi="Arial"/>
          <w:sz w:val="22"/>
          <w:szCs w:val="22"/>
          <w:color w:val="auto"/>
        </w:rPr>
        <w:t>. The Borrower will not permit (a) the sum of (i) the aggregate Value of the Portfolio Investments that are Cash (excluding Cash Collateral for outstanding Letters of Credit) or that can be converted to Cash in fewer than 10 Business Days without more than a 5% change in price, plus (ii) the aggregate amount of Relevant Available Funds that can be converted to Cash in fewer than 10 Business Days, to be less than (b) 10% of the Covered Debt Amount, for more than 30 consecutive Business Days during any period when the Adjusted Covered Debt Balance is greater than 90% of the Adjusted Borrowing Base.</w:t>
      </w:r>
    </w:p>
    <w:p>
      <w:pPr>
        <w:spacing w:after="0" w:line="188" w:lineRule="exact"/>
        <w:rPr>
          <w:sz w:val="20"/>
          <w:szCs w:val="20"/>
          <w:color w:val="auto"/>
        </w:rPr>
      </w:pPr>
    </w:p>
    <w:p>
      <w:pPr>
        <w:ind w:right="20" w:firstLine="1755"/>
        <w:spacing w:after="0" w:line="276" w:lineRule="auto"/>
        <w:rPr>
          <w:sz w:val="20"/>
          <w:szCs w:val="20"/>
          <w:color w:val="auto"/>
        </w:rPr>
      </w:pPr>
      <w:r>
        <w:rPr>
          <w:rFonts w:ascii="Arial" w:cs="Arial" w:eastAsia="Arial" w:hAnsi="Arial"/>
          <w:sz w:val="19"/>
          <w:szCs w:val="19"/>
          <w:color w:val="auto"/>
        </w:rPr>
        <w:t xml:space="preserve">SECTION 6.08.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The Borrower will not, and will not permit any of its Subsidiaries to enter into any transactions with any of its Affiliates, even if otherwise permitted under this Agreement, except</w:t>
      </w:r>
    </w:p>
    <w:p>
      <w:pPr>
        <w:spacing w:after="0" w:line="2" w:lineRule="exact"/>
        <w:rPr>
          <w:sz w:val="20"/>
          <w:szCs w:val="20"/>
          <w:color w:val="auto"/>
        </w:rPr>
      </w:pPr>
    </w:p>
    <w:p>
      <w:pPr>
        <w:jc w:val="both"/>
        <w:ind w:firstLine="8"/>
        <w:spacing w:after="0" w:line="267" w:lineRule="auto"/>
        <w:tabs>
          <w:tab w:leader="none" w:pos="301" w:val="left"/>
        </w:tabs>
        <w:numPr>
          <w:ilvl w:val="0"/>
          <w:numId w:val="259"/>
        </w:numPr>
        <w:rPr>
          <w:rFonts w:ascii="Arial" w:cs="Arial" w:eastAsia="Arial" w:hAnsi="Arial"/>
          <w:sz w:val="19"/>
          <w:szCs w:val="19"/>
          <w:color w:val="auto"/>
        </w:rPr>
      </w:pPr>
      <w:r>
        <w:rPr>
          <w:rFonts w:ascii="Arial" w:cs="Arial" w:eastAsia="Arial" w:hAnsi="Arial"/>
          <w:sz w:val="19"/>
          <w:szCs w:val="19"/>
          <w:color w:val="auto"/>
        </w:rPr>
        <w:t>transactions in the ordinary course of business at prices and on terms and conditions not less favorable to the Borrower or such Subsidiary (other than a SBIC Subsidiary) than could be obtained on an arm’s-length basis from unrelated third parties,</w:t>
      </w:r>
    </w:p>
    <w:p>
      <w:pPr>
        <w:jc w:val="both"/>
        <w:ind w:right="20" w:firstLine="8"/>
        <w:spacing w:after="0" w:line="267" w:lineRule="auto"/>
        <w:tabs>
          <w:tab w:leader="none" w:pos="332" w:val="left"/>
        </w:tabs>
        <w:numPr>
          <w:ilvl w:val="0"/>
          <w:numId w:val="259"/>
        </w:numPr>
        <w:rPr>
          <w:rFonts w:ascii="Arial" w:cs="Arial" w:eastAsia="Arial" w:hAnsi="Arial"/>
          <w:sz w:val="19"/>
          <w:szCs w:val="19"/>
          <w:color w:val="auto"/>
        </w:rPr>
      </w:pPr>
      <w:r>
        <w:rPr>
          <w:rFonts w:ascii="Arial" w:cs="Arial" w:eastAsia="Arial" w:hAnsi="Arial"/>
          <w:sz w:val="19"/>
          <w:szCs w:val="19"/>
          <w:color w:val="auto"/>
        </w:rPr>
        <w:t xml:space="preserve">transactions between or among the Borrower and its Subsidiaries not involving any other Affiliate, (c) Restricted Payments permitted by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(d) the transactions provided in the Affiliate Agreements, (e) transactions described on </w:t>
      </w:r>
      <w:r>
        <w:rPr>
          <w:rFonts w:ascii="Arial" w:cs="Arial" w:eastAsia="Arial" w:hAnsi="Arial"/>
          <w:sz w:val="19"/>
          <w:szCs w:val="19"/>
          <w:u w:val="single" w:color="auto"/>
          <w:color w:val="auto"/>
        </w:rPr>
        <w:t>Schedule 6.08</w:t>
      </w:r>
      <w:r>
        <w:rPr>
          <w:rFonts w:ascii="Arial" w:cs="Arial" w:eastAsia="Arial" w:hAnsi="Arial"/>
          <w:sz w:val="19"/>
          <w:szCs w:val="19"/>
          <w:color w:val="auto"/>
        </w:rPr>
        <w:t>,</w:t>
      </w:r>
    </w:p>
    <w:p>
      <w:pPr>
        <w:jc w:val="both"/>
        <w:ind w:firstLine="8"/>
        <w:spacing w:after="0" w:line="246" w:lineRule="auto"/>
        <w:tabs>
          <w:tab w:leader="none" w:pos="298" w:val="left"/>
        </w:tabs>
        <w:numPr>
          <w:ilvl w:val="0"/>
          <w:numId w:val="260"/>
        </w:numPr>
        <w:rPr>
          <w:rFonts w:ascii="Arial" w:cs="Arial" w:eastAsia="Arial" w:hAnsi="Arial"/>
          <w:sz w:val="21"/>
          <w:szCs w:val="21"/>
          <w:color w:val="auto"/>
        </w:rPr>
      </w:pPr>
      <w:r>
        <w:rPr>
          <w:rFonts w:ascii="Arial" w:cs="Arial" w:eastAsia="Arial" w:hAnsi="Arial"/>
          <w:sz w:val="21"/>
          <w:szCs w:val="21"/>
          <w:color w:val="auto"/>
        </w:rPr>
        <w:t>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could be obtained at the time on an arm’s-length basis from unrelated third parties.</w:t>
      </w:r>
    </w:p>
    <w:p>
      <w:pPr>
        <w:spacing w:after="0" w:line="180"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Lines of Business</w:t>
      </w:r>
      <w:r>
        <w:rPr>
          <w:rFonts w:ascii="Arial" w:cs="Arial" w:eastAsia="Arial" w:hAnsi="Arial"/>
          <w:sz w:val="22"/>
          <w:szCs w:val="22"/>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85" w:lineRule="exact"/>
        <w:rPr>
          <w:sz w:val="20"/>
          <w:szCs w:val="20"/>
          <w:color w:val="auto"/>
        </w:rPr>
      </w:pPr>
    </w:p>
    <w:p>
      <w:pPr>
        <w:jc w:val="both"/>
        <w:ind w:firstLine="1755"/>
        <w:spacing w:after="0" w:line="234"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No Further Negative Pledge</w:t>
      </w:r>
      <w:r>
        <w:rPr>
          <w:rFonts w:ascii="Arial" w:cs="Arial" w:eastAsia="Arial" w:hAnsi="Arial"/>
          <w:sz w:val="22"/>
          <w:szCs w:val="22"/>
          <w:color w:val="auto"/>
        </w:rPr>
        <w:t xml:space="preserve">. The Borrower will not, and will not permit any of the Subsidiary Guarantors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6.01(b), (i)</w:t>
      </w:r>
      <w:r>
        <w:rPr>
          <w:rFonts w:ascii="Arial" w:cs="Arial" w:eastAsia="Arial" w:hAnsi="Arial"/>
          <w:sz w:val="22"/>
          <w:szCs w:val="22"/>
          <w:color w:val="auto"/>
        </w:rPr>
        <w:t xml:space="preserve">, </w:t>
      </w:r>
      <w:r>
        <w:rPr>
          <w:rFonts w:ascii="Arial" w:cs="Arial" w:eastAsia="Arial" w:hAnsi="Arial"/>
          <w:sz w:val="22"/>
          <w:szCs w:val="22"/>
          <w:u w:val="single" w:color="auto"/>
          <w:color w:val="auto"/>
        </w:rPr>
        <w:t>(m)</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(n)</w:t>
      </w:r>
      <w:r>
        <w:rPr>
          <w:rFonts w:ascii="Arial" w:cs="Arial" w:eastAsia="Arial" w:hAnsi="Arial"/>
          <w:sz w:val="22"/>
          <w:szCs w:val="22"/>
          <w:color w:val="auto"/>
        </w:rPr>
        <w:t xml:space="preserve">; (b) covenants in documents creating Liens permitted by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(including covenants with respect to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2" w:name="page273"/>
    <w:bookmarkEnd w:id="272"/>
    <w:p>
      <w:pPr>
        <w:jc w:val="both"/>
        <w:spacing w:after="0" w:line="277" w:lineRule="auto"/>
        <w:rPr>
          <w:sz w:val="20"/>
          <w:szCs w:val="20"/>
          <w:color w:val="auto"/>
        </w:rPr>
      </w:pPr>
      <w:r>
        <w:rPr>
          <w:rFonts w:ascii="Arial" w:cs="Arial" w:eastAsia="Arial" w:hAnsi="Arial"/>
          <w:sz w:val="19"/>
          <w:szCs w:val="19"/>
          <w:color w:val="auto"/>
        </w:rPr>
        <w:t>Designated Indebtedness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53"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Modifications of Longer-Term Indebtedness Documents</w:t>
      </w:r>
      <w:r>
        <w:rPr>
          <w:rFonts w:ascii="Arial" w:cs="Arial" w:eastAsia="Arial" w:hAnsi="Arial"/>
          <w:sz w:val="22"/>
          <w:szCs w:val="22"/>
          <w:color w:val="auto"/>
        </w:rPr>
        <w:t>. The Borrower will not consent to any modification, supplement or waiver of:</w:t>
      </w:r>
    </w:p>
    <w:p>
      <w:pPr>
        <w:spacing w:after="0" w:line="173" w:lineRule="exact"/>
        <w:rPr>
          <w:sz w:val="20"/>
          <w:szCs w:val="20"/>
          <w:color w:val="auto"/>
        </w:rPr>
      </w:pPr>
    </w:p>
    <w:p>
      <w:pPr>
        <w:jc w:val="both"/>
        <w:ind w:firstLine="1763"/>
        <w:spacing w:after="0" w:line="273" w:lineRule="auto"/>
        <w:tabs>
          <w:tab w:leader="none" w:pos="2643" w:val="left"/>
        </w:tabs>
        <w:numPr>
          <w:ilvl w:val="0"/>
          <w:numId w:val="261"/>
        </w:numPr>
        <w:rPr>
          <w:rFonts w:ascii="Arial" w:cs="Arial" w:eastAsia="Arial" w:hAnsi="Arial"/>
          <w:sz w:val="19"/>
          <w:szCs w:val="19"/>
          <w:color w:val="auto"/>
        </w:rPr>
      </w:pPr>
      <w:r>
        <w:rPr>
          <w:rFonts w:ascii="Arial" w:cs="Arial" w:eastAsia="Arial" w:hAnsi="Arial"/>
          <w:sz w:val="19"/>
          <w:szCs w:val="19"/>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this Agreement, unless (i) in the case of Secured Longer 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56" w:lineRule="exact"/>
        <w:rPr>
          <w:rFonts w:ascii="Arial" w:cs="Arial" w:eastAsia="Arial" w:hAnsi="Arial"/>
          <w:sz w:val="19"/>
          <w:szCs w:val="19"/>
          <w:color w:val="auto"/>
        </w:rPr>
      </w:pPr>
    </w:p>
    <w:p>
      <w:pPr>
        <w:jc w:val="both"/>
        <w:ind w:firstLine="1763"/>
        <w:spacing w:after="0" w:line="258" w:lineRule="auto"/>
        <w:tabs>
          <w:tab w:leader="none" w:pos="2655" w:val="left"/>
        </w:tabs>
        <w:numPr>
          <w:ilvl w:val="0"/>
          <w:numId w:val="261"/>
        </w:numPr>
        <w:rPr>
          <w:rFonts w:ascii="Arial" w:cs="Arial" w:eastAsia="Arial" w:hAnsi="Arial"/>
          <w:sz w:val="21"/>
          <w:szCs w:val="21"/>
          <w:color w:val="auto"/>
        </w:rPr>
      </w:pPr>
      <w:r>
        <w:rPr>
          <w:rFonts w:ascii="Arial" w:cs="Arial" w:eastAsia="Arial" w:hAnsi="Arial"/>
          <w:sz w:val="21"/>
          <w:szCs w:val="21"/>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67"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Payments of Longer-Term Indebtedness, the 2022 Convertible Notes, the 2023 Notes and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2024 Notes</w:t>
      </w:r>
      <w:r>
        <w:rPr>
          <w:rFonts w:ascii="Arial" w:cs="Arial" w:eastAsia="Arial" w:hAnsi="Arial"/>
          <w:sz w:val="19"/>
          <w:szCs w:val="19"/>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Special Unsecured Indebtedness, the 2022 Convertible Notes, the 2023 Notes or the 2024 Notes (other than the refinancing of Secured Longer-Term Indebtedness, Unsecured Longer-Term Indebtedness, Special Unsecured Indebtedness, the 2022 Convertible Notes, the 2023 Notes or the 2024 Notes with Indebtedness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except for (a) regularly scheduled payments, prepayments or redemptions of principal and interest in respect thereof required pursuant to the instruments evidencing such Indebtedness (it being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73" w:name="page274"/>
    <w:bookmarkEnd w:id="273"/>
    <w:p>
      <w:pPr>
        <w:jc w:val="both"/>
        <w:spacing w:after="0" w:line="271" w:lineRule="auto"/>
        <w:rPr>
          <w:sz w:val="20"/>
          <w:szCs w:val="20"/>
          <w:color w:val="auto"/>
        </w:rPr>
      </w:pPr>
      <w:r>
        <w:rPr>
          <w:rFonts w:ascii="Arial" w:cs="Arial" w:eastAsia="Arial" w:hAnsi="Arial"/>
          <w:sz w:val="19"/>
          <w:szCs w:val="19"/>
          <w:color w:val="auto"/>
        </w:rPr>
        <w:t xml:space="preserve">understood that: (w) 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(b) so long as no Default shall exist or be continuing, any payment that, if treated as a Restricted Payment for purposes of </w:t>
      </w:r>
      <w:r>
        <w:rPr>
          <w:rFonts w:ascii="Arial" w:cs="Arial" w:eastAsia="Arial" w:hAnsi="Arial"/>
          <w:sz w:val="19"/>
          <w:szCs w:val="19"/>
          <w:u w:val="single" w:color="auto"/>
          <w:color w:val="auto"/>
        </w:rPr>
        <w:t>Section 6.05(d)</w:t>
      </w:r>
      <w:r>
        <w:rPr>
          <w:rFonts w:ascii="Arial" w:cs="Arial" w:eastAsia="Arial" w:hAnsi="Arial"/>
          <w:sz w:val="19"/>
          <w:szCs w:val="19"/>
          <w:color w:val="auto"/>
        </w:rPr>
        <w:t xml:space="preserve">, would be permitted to be made pursuant to the provisions set forth in </w:t>
      </w:r>
      <w:r>
        <w:rPr>
          <w:rFonts w:ascii="Arial" w:cs="Arial" w:eastAsia="Arial" w:hAnsi="Arial"/>
          <w:sz w:val="19"/>
          <w:szCs w:val="19"/>
          <w:u w:val="single" w:color="auto"/>
          <w:color w:val="auto"/>
        </w:rPr>
        <w:t>Section 6.05(d)</w:t>
      </w:r>
      <w:r>
        <w:rPr>
          <w:rFonts w:ascii="Arial" w:cs="Arial" w:eastAsia="Arial" w:hAnsi="Arial"/>
          <w:sz w:val="19"/>
          <w:szCs w:val="19"/>
          <w:color w:val="auto"/>
        </w:rPr>
        <w:t xml:space="preserve">; (c) voluntary payments or prepayments of Secured Longer-Term Indebtedness, so long as both before and after giving effect to such voluntary payment or prepayment (i) the Borrower is in pro forma compliance with the financial covenants set forth in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and (ii) no Default shall exist or be continuing; (d) mandatory payments, required prepayments or mandatory redemptions of the 2022 Convertible Notes, any other convertible notes constituting Unsecured Longer-Term Indebtedness or Special Unsecured Indebtedness in Cash (including any cash payment elected to be paid in connection with the settlement by the Borrower of any conversion at the option of any holder of such 2022 Convertible Notes or other convertible notes pursuant to the conversion features thereunder), the 2023 Notes and the 2024 Notes, so long as both before and after giving effect to such payment (i) no Event of Default shall exist or be continuing and (ii) the Covered Debt Amount does not exceed the Borrowing Base; and (e) payments or prepayments of Secured Longer-Term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spacing w:after="0" w:line="15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Accounting Changes</w:t>
      </w:r>
      <w:r>
        <w:rPr>
          <w:rFonts w:ascii="Arial" w:cs="Arial" w:eastAsia="Arial" w:hAnsi="Arial"/>
          <w:sz w:val="22"/>
          <w:szCs w:val="22"/>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SBIC Guarantee</w:t>
      </w:r>
      <w:r>
        <w:rPr>
          <w:rFonts w:ascii="Arial" w:cs="Arial" w:eastAsia="Arial" w:hAnsi="Arial"/>
          <w:sz w:val="22"/>
          <w:szCs w:val="22"/>
          <w:color w:val="auto"/>
        </w:rPr>
        <w:t>. The Borrower will not, nor will it permit any of its Subsidiaries to, cause or permit the occurrence of any event or condition that would result in any recourse to any Obligor under any Permitted SBIC Guarantee.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33" w:lineRule="exact"/>
        <w:rPr>
          <w:sz w:val="20"/>
          <w:szCs w:val="20"/>
          <w:color w:val="auto"/>
        </w:rPr>
      </w:pPr>
    </w:p>
    <w:p>
      <w:pPr>
        <w:ind w:left="4640"/>
        <w:spacing w:after="0"/>
        <w:rPr>
          <w:sz w:val="20"/>
          <w:szCs w:val="20"/>
          <w:color w:val="auto"/>
        </w:rPr>
      </w:pPr>
      <w:r>
        <w:rPr>
          <w:rFonts w:ascii="Arial" w:cs="Arial" w:eastAsia="Arial" w:hAnsi="Arial"/>
          <w:sz w:val="22"/>
          <w:szCs w:val="22"/>
          <w:u w:val="single" w:color="auto"/>
          <w:color w:val="auto"/>
        </w:rPr>
        <w:t>EVENTS OF DEFAULT</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If any of the following events (“</w:t>
      </w:r>
      <w:r>
        <w:rPr>
          <w:rFonts w:ascii="Arial" w:cs="Arial" w:eastAsia="Arial" w:hAnsi="Arial"/>
          <w:sz w:val="22"/>
          <w:szCs w:val="22"/>
          <w:u w:val="single" w:color="auto"/>
          <w:color w:val="auto"/>
        </w:rPr>
        <w:t>Events of Default</w:t>
      </w:r>
      <w:r>
        <w:rPr>
          <w:rFonts w:ascii="Arial" w:cs="Arial" w:eastAsia="Arial" w:hAnsi="Arial"/>
          <w:sz w:val="22"/>
          <w:szCs w:val="22"/>
          <w:color w:val="auto"/>
        </w:rPr>
        <w:t>”) shall occur and be continuing:</w:t>
      </w:r>
    </w:p>
    <w:p>
      <w:pPr>
        <w:spacing w:after="0" w:line="206" w:lineRule="exact"/>
        <w:rPr>
          <w:sz w:val="20"/>
          <w:szCs w:val="20"/>
          <w:color w:val="auto"/>
        </w:rPr>
      </w:pPr>
    </w:p>
    <w:p>
      <w:pPr>
        <w:jc w:val="both"/>
        <w:ind w:firstLine="1763"/>
        <w:spacing w:after="0" w:line="287" w:lineRule="auto"/>
        <w:tabs>
          <w:tab w:leader="none" w:pos="2643"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on the Extended Commitment Termination Date or as required by </w:t>
      </w:r>
      <w:r>
        <w:rPr>
          <w:rFonts w:ascii="Arial" w:cs="Arial" w:eastAsia="Arial" w:hAnsi="Arial"/>
          <w:sz w:val="19"/>
          <w:szCs w:val="19"/>
          <w:u w:val="single" w:color="auto"/>
          <w:color w:val="auto"/>
        </w:rPr>
        <w:t>Section 2.20(b)</w:t>
      </w:r>
      <w:r>
        <w:rPr>
          <w:rFonts w:ascii="Arial" w:cs="Arial" w:eastAsia="Arial" w:hAnsi="Arial"/>
          <w:sz w:val="19"/>
          <w:szCs w:val="19"/>
          <w:color w:val="auto"/>
        </w:rPr>
        <w:t xml:space="preserve"> on the date so required;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4" w:name="page275"/>
    <w:bookmarkEnd w:id="274"/>
    <w:p>
      <w:pPr>
        <w:jc w:val="both"/>
        <w:ind w:firstLine="1763"/>
        <w:spacing w:after="0" w:line="297" w:lineRule="auto"/>
        <w:tabs>
          <w:tab w:leader="none" w:pos="2655" w:val="left"/>
        </w:tabs>
        <w:numPr>
          <w:ilvl w:val="1"/>
          <w:numId w:val="263"/>
        </w:numPr>
        <w:rPr>
          <w:rFonts w:ascii="Arial" w:cs="Arial" w:eastAsia="Arial" w:hAnsi="Arial"/>
          <w:sz w:val="19"/>
          <w:szCs w:val="19"/>
          <w:color w:val="auto"/>
        </w:rPr>
      </w:pPr>
      <w:r>
        <w:rPr>
          <w:rFonts w:ascii="Arial" w:cs="Arial" w:eastAsia="Arial" w:hAnsi="Arial"/>
          <w:sz w:val="19"/>
          <w:szCs w:val="19"/>
          <w:color w:val="auto"/>
        </w:rPr>
        <w:t xml:space="preserve">the Borrower shall fail to pay any interest on any Loan or any fee or any other amount (other than an amount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134" w:lineRule="exact"/>
        <w:rPr>
          <w:rFonts w:ascii="Arial" w:cs="Arial" w:eastAsia="Arial" w:hAnsi="Arial"/>
          <w:sz w:val="19"/>
          <w:szCs w:val="19"/>
          <w:color w:val="auto"/>
        </w:rPr>
      </w:pPr>
    </w:p>
    <w:p>
      <w:pPr>
        <w:jc w:val="both"/>
        <w:ind w:firstLine="1763"/>
        <w:spacing w:after="0" w:line="249" w:lineRule="auto"/>
        <w:tabs>
          <w:tab w:leader="none" w:pos="2643" w:val="left"/>
        </w:tabs>
        <w:numPr>
          <w:ilvl w:val="1"/>
          <w:numId w:val="263"/>
        </w:numPr>
        <w:rPr>
          <w:rFonts w:ascii="Arial" w:cs="Arial" w:eastAsia="Arial" w:hAnsi="Arial"/>
          <w:sz w:val="21"/>
          <w:szCs w:val="21"/>
          <w:color w:val="auto"/>
        </w:rPr>
      </w:pPr>
      <w:r>
        <w:rPr>
          <w:rFonts w:ascii="Arial" w:cs="Arial" w:eastAsia="Arial" w:hAnsi="Arial"/>
          <w:sz w:val="21"/>
          <w:szCs w:val="21"/>
          <w:color w:val="auto"/>
        </w:rPr>
        <w:t>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78" w:lineRule="exact"/>
        <w:rPr>
          <w:rFonts w:ascii="Arial" w:cs="Arial" w:eastAsia="Arial" w:hAnsi="Arial"/>
          <w:sz w:val="21"/>
          <w:szCs w:val="21"/>
          <w:color w:val="auto"/>
        </w:rPr>
      </w:pPr>
    </w:p>
    <w:p>
      <w:pPr>
        <w:ind w:left="2660" w:hanging="897"/>
        <w:spacing w:after="0"/>
        <w:tabs>
          <w:tab w:leader="none" w:pos="2660" w:val="left"/>
        </w:tabs>
        <w:numPr>
          <w:ilvl w:val="1"/>
          <w:numId w:val="263"/>
        </w:numPr>
        <w:rPr>
          <w:rFonts w:ascii="Arial" w:cs="Arial" w:eastAsia="Arial" w:hAnsi="Arial"/>
          <w:sz w:val="19"/>
          <w:szCs w:val="19"/>
          <w:color w:val="auto"/>
        </w:rPr>
      </w:pPr>
      <w:r>
        <w:rPr>
          <w:rFonts w:ascii="Arial" w:cs="Arial" w:eastAsia="Arial" w:hAnsi="Arial"/>
          <w:sz w:val="19"/>
          <w:szCs w:val="19"/>
          <w:color w:val="auto"/>
        </w:rPr>
        <w:t>the Borrower shall fail to observe or perform any covenant, condition or agreement contained in</w:t>
      </w:r>
    </w:p>
    <w:p>
      <w:pPr>
        <w:spacing w:after="0" w:line="42" w:lineRule="exact"/>
        <w:rPr>
          <w:rFonts w:ascii="Arial" w:cs="Arial" w:eastAsia="Arial" w:hAnsi="Arial"/>
          <w:sz w:val="19"/>
          <w:szCs w:val="19"/>
          <w:color w:val="auto"/>
        </w:rPr>
      </w:pPr>
    </w:p>
    <w:p>
      <w:pPr>
        <w:jc w:val="both"/>
        <w:ind w:firstLine="8"/>
        <w:spacing w:after="0" w:line="267" w:lineRule="auto"/>
        <w:tabs>
          <w:tab w:leader="none" w:pos="258" w:val="left"/>
        </w:tabs>
        <w:numPr>
          <w:ilvl w:val="0"/>
          <w:numId w:val="264"/>
        </w:numPr>
        <w:rPr>
          <w:rFonts w:ascii="Arial" w:cs="Arial" w:eastAsia="Arial" w:hAnsi="Arial"/>
          <w:sz w:val="19"/>
          <w:szCs w:val="19"/>
          <w:color w:val="auto"/>
        </w:rPr>
      </w:pP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(with respect to the Borrower’s existence) or </w:t>
      </w:r>
      <w:r>
        <w:rPr>
          <w:rFonts w:ascii="Arial" w:cs="Arial" w:eastAsia="Arial" w:hAnsi="Arial"/>
          <w:sz w:val="19"/>
          <w:szCs w:val="19"/>
          <w:u w:val="single" w:color="auto"/>
          <w:color w:val="auto"/>
        </w:rPr>
        <w:t>Sections 5.08(a)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any Obligor shall default in the performance of any of its obligations contained in Sections 3 and 7 of the Guarantee and Security Agreement or</w:t>
      </w:r>
    </w:p>
    <w:p>
      <w:pPr>
        <w:ind w:firstLine="8"/>
        <w:spacing w:after="0" w:line="237" w:lineRule="auto"/>
        <w:tabs>
          <w:tab w:leader="none" w:pos="318" w:val="left"/>
        </w:tabs>
        <w:numPr>
          <w:ilvl w:val="0"/>
          <w:numId w:val="264"/>
        </w:numPr>
        <w:rPr>
          <w:rFonts w:ascii="Arial" w:cs="Arial" w:eastAsia="Arial" w:hAnsi="Arial"/>
          <w:sz w:val="22"/>
          <w:szCs w:val="22"/>
          <w:color w:val="auto"/>
        </w:rPr>
      </w:pPr>
      <w:r>
        <w:rPr>
          <w:rFonts w:ascii="Arial" w:cs="Arial" w:eastAsia="Arial" w:hAnsi="Arial"/>
          <w:sz w:val="22"/>
          <w:szCs w:val="22"/>
          <w:u w:val="single" w:color="auto"/>
          <w:color w:val="auto"/>
        </w:rPr>
        <w:t>Sections 5.01(e)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5.02</w:t>
      </w:r>
      <w:r>
        <w:rPr>
          <w:rFonts w:ascii="Arial" w:cs="Arial" w:eastAsia="Arial" w:hAnsi="Arial"/>
          <w:sz w:val="22"/>
          <w:szCs w:val="22"/>
          <w:color w:val="auto"/>
        </w:rPr>
        <w:t xml:space="preserve"> and such failure shall continue unremedied for a period of five or more days after notice thereof by the Administrative Agent (given at the request of any Lender) to the Borrower;</w:t>
      </w:r>
    </w:p>
    <w:p>
      <w:pPr>
        <w:spacing w:after="0" w:line="184" w:lineRule="exact"/>
        <w:rPr>
          <w:rFonts w:ascii="Arial" w:cs="Arial" w:eastAsia="Arial" w:hAnsi="Arial"/>
          <w:sz w:val="22"/>
          <w:szCs w:val="22"/>
          <w:color w:val="auto"/>
        </w:rPr>
      </w:pPr>
    </w:p>
    <w:p>
      <w:pPr>
        <w:jc w:val="both"/>
        <w:ind w:firstLine="1763"/>
        <w:spacing w:after="0" w:line="279" w:lineRule="auto"/>
        <w:tabs>
          <w:tab w:leader="none" w:pos="2643" w:val="left"/>
        </w:tabs>
        <w:numPr>
          <w:ilvl w:val="1"/>
          <w:numId w:val="264"/>
        </w:numPr>
        <w:rPr>
          <w:rFonts w:ascii="Arial" w:cs="Arial" w:eastAsia="Arial" w:hAnsi="Arial"/>
          <w:sz w:val="19"/>
          <w:szCs w:val="19"/>
          <w:color w:val="auto"/>
        </w:rPr>
      </w:pPr>
      <w:r>
        <w:rPr>
          <w:rFonts w:ascii="Arial" w:cs="Arial" w:eastAsia="Arial" w:hAnsi="Arial"/>
          <w:sz w:val="19"/>
          <w:szCs w:val="19"/>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Arial" w:cs="Arial" w:eastAsia="Arial" w:hAnsi="Arial"/>
          <w:sz w:val="19"/>
          <w:szCs w:val="19"/>
          <w:u w:val="single" w:color="auto"/>
          <w:color w:val="auto"/>
        </w:rPr>
        <w:t>Section 5.01(e)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shall not be an Event of Default hereunder if the Borrower shall present the Administrative Agent with a reasonably feasible plan acceptable to the Required Lenders in their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50" w:lineRule="exact"/>
        <w:rPr>
          <w:rFonts w:ascii="Arial" w:cs="Arial" w:eastAsia="Arial" w:hAnsi="Arial"/>
          <w:sz w:val="19"/>
          <w:szCs w:val="19"/>
          <w:color w:val="auto"/>
        </w:rPr>
      </w:pPr>
    </w:p>
    <w:p>
      <w:pPr>
        <w:jc w:val="both"/>
        <w:ind w:firstLine="1763"/>
        <w:spacing w:after="0" w:line="238" w:lineRule="auto"/>
        <w:tabs>
          <w:tab w:leader="none" w:pos="2619" w:val="left"/>
        </w:tabs>
        <w:numPr>
          <w:ilvl w:val="1"/>
          <w:numId w:val="264"/>
        </w:numPr>
        <w:rPr>
          <w:rFonts w:ascii="Arial" w:cs="Arial" w:eastAsia="Arial" w:hAnsi="Arial"/>
          <w:sz w:val="22"/>
          <w:szCs w:val="22"/>
          <w:color w:val="auto"/>
        </w:rPr>
      </w:pPr>
      <w:r>
        <w:rPr>
          <w:rFonts w:ascii="Arial" w:cs="Arial" w:eastAsia="Arial" w:hAnsi="Arial"/>
          <w:sz w:val="22"/>
          <w:szCs w:val="22"/>
          <w:color w:val="auto"/>
        </w:rPr>
        <w:t xml:space="preserve">the Borrower or any Obligor, as applicable, shall fail to observe or perform any covenant, condition or agreement contained in this Agreement (other than those specified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w:t>
      </w:r>
      <w:r>
        <w:rPr>
          <w:rFonts w:ascii="Arial" w:cs="Arial" w:eastAsia="Arial" w:hAnsi="Arial"/>
          <w:sz w:val="22"/>
          <w:szCs w:val="22"/>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85" w:lineRule="exact"/>
        <w:rPr>
          <w:rFonts w:ascii="Arial" w:cs="Arial" w:eastAsia="Arial" w:hAnsi="Arial"/>
          <w:sz w:val="22"/>
          <w:szCs w:val="22"/>
          <w:color w:val="auto"/>
        </w:rPr>
      </w:pPr>
    </w:p>
    <w:p>
      <w:pPr>
        <w:jc w:val="both"/>
        <w:ind w:firstLine="1763"/>
        <w:spacing w:after="0"/>
        <w:tabs>
          <w:tab w:leader="none" w:pos="2655" w:val="left"/>
        </w:tabs>
        <w:numPr>
          <w:ilvl w:val="1"/>
          <w:numId w:val="264"/>
        </w:numPr>
        <w:rPr>
          <w:rFonts w:ascii="Arial" w:cs="Arial" w:eastAsia="Arial" w:hAnsi="Arial"/>
          <w:sz w:val="22"/>
          <w:szCs w:val="22"/>
          <w:color w:val="auto"/>
        </w:rPr>
      </w:pPr>
      <w:r>
        <w:rPr>
          <w:rFonts w:ascii="Arial" w:cs="Arial" w:eastAsia="Arial" w:hAnsi="Arial"/>
          <w:sz w:val="22"/>
          <w:szCs w:val="22"/>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86" w:lineRule="exact"/>
        <w:rPr>
          <w:rFonts w:ascii="Arial" w:cs="Arial" w:eastAsia="Arial" w:hAnsi="Arial"/>
          <w:sz w:val="22"/>
          <w:szCs w:val="22"/>
          <w:color w:val="auto"/>
        </w:rPr>
      </w:pPr>
    </w:p>
    <w:p>
      <w:pPr>
        <w:jc w:val="both"/>
        <w:ind w:firstLine="1763"/>
        <w:spacing w:after="0" w:line="235" w:lineRule="auto"/>
        <w:tabs>
          <w:tab w:leader="none" w:pos="2655" w:val="left"/>
        </w:tabs>
        <w:numPr>
          <w:ilvl w:val="1"/>
          <w:numId w:val="264"/>
        </w:numPr>
        <w:rPr>
          <w:rFonts w:ascii="Arial" w:cs="Arial" w:eastAsia="Arial" w:hAnsi="Arial"/>
          <w:sz w:val="22"/>
          <w:szCs w:val="22"/>
          <w:color w:val="auto"/>
        </w:rPr>
      </w:pPr>
      <w:r>
        <w:rPr>
          <w:rFonts w:ascii="Arial" w:cs="Arial" w:eastAsia="Arial" w:hAnsi="Arial"/>
          <w:sz w:val="22"/>
          <w:szCs w:val="22"/>
          <w:color w:val="auto"/>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Arial" w:cs="Arial" w:eastAsia="Arial" w:hAnsi="Arial"/>
          <w:sz w:val="22"/>
          <w:szCs w:val="22"/>
          <w:u w:val="single" w:color="auto"/>
          <w:color w:val="auto"/>
        </w:rPr>
        <w:t>Section 6.12</w:t>
      </w:r>
      <w:r>
        <w:rPr>
          <w:rFonts w:ascii="Arial" w:cs="Arial" w:eastAsia="Arial" w:hAnsi="Arial"/>
          <w:sz w:val="22"/>
          <w:szCs w:val="22"/>
          <w:color w:val="auto"/>
        </w:rPr>
        <w:t xml:space="preserve"> and that is not a result of a breach, default or other violation or failure in respect of such Material Indebtedness by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5" w:name="page276"/>
    <w:bookmarkEnd w:id="275"/>
    <w:p>
      <w:pPr>
        <w:jc w:val="both"/>
        <w:spacing w:after="0" w:line="287" w:lineRule="auto"/>
        <w:rPr>
          <w:sz w:val="20"/>
          <w:szCs w:val="20"/>
          <w:color w:val="auto"/>
        </w:rPr>
      </w:pPr>
      <w:r>
        <w:rPr>
          <w:rFonts w:ascii="Arial" w:cs="Arial" w:eastAsia="Arial" w:hAnsi="Arial"/>
          <w:sz w:val="19"/>
          <w:szCs w:val="19"/>
          <w:color w:val="auto"/>
        </w:rPr>
        <w:t xml:space="preserve">the Borrower or any of its Subsidiaries after giving effect to any applicable grace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43" w:lineRule="exact"/>
        <w:rPr>
          <w:sz w:val="20"/>
          <w:szCs w:val="20"/>
          <w:color w:val="auto"/>
        </w:rPr>
      </w:pPr>
    </w:p>
    <w:p>
      <w:pPr>
        <w:ind w:left="2620" w:hanging="857"/>
        <w:spacing w:after="0"/>
        <w:tabs>
          <w:tab w:leader="none" w:pos="2620" w:val="left"/>
        </w:tabs>
        <w:numPr>
          <w:ilvl w:val="1"/>
          <w:numId w:val="265"/>
        </w:numPr>
        <w:rPr>
          <w:rFonts w:ascii="Arial" w:cs="Arial" w:eastAsia="Arial" w:hAnsi="Arial"/>
          <w:sz w:val="21"/>
          <w:szCs w:val="21"/>
          <w:color w:val="auto"/>
        </w:rPr>
      </w:pPr>
      <w:r>
        <w:rPr>
          <w:rFonts w:ascii="Arial" w:cs="Arial" w:eastAsia="Arial" w:hAnsi="Arial"/>
          <w:sz w:val="21"/>
          <w:szCs w:val="21"/>
          <w:color w:val="auto"/>
        </w:rPr>
        <w:t>an involuntary proceeding shall be commenced or an involuntary petition shall be filed seeking</w:t>
      </w:r>
    </w:p>
    <w:p>
      <w:pPr>
        <w:spacing w:after="0" w:line="19" w:lineRule="exact"/>
        <w:rPr>
          <w:rFonts w:ascii="Arial" w:cs="Arial" w:eastAsia="Arial" w:hAnsi="Arial"/>
          <w:sz w:val="21"/>
          <w:szCs w:val="21"/>
          <w:color w:val="auto"/>
        </w:rPr>
      </w:pPr>
    </w:p>
    <w:p>
      <w:pPr>
        <w:jc w:val="both"/>
        <w:ind w:firstLine="8"/>
        <w:spacing w:after="0" w:line="244" w:lineRule="auto"/>
        <w:tabs>
          <w:tab w:leader="none" w:pos="319" w:val="left"/>
        </w:tabs>
        <w:numPr>
          <w:ilvl w:val="0"/>
          <w:numId w:val="266"/>
        </w:numPr>
        <w:rPr>
          <w:rFonts w:ascii="Arial" w:cs="Arial" w:eastAsia="Arial" w:hAnsi="Arial"/>
          <w:sz w:val="21"/>
          <w:szCs w:val="21"/>
          <w:color w:val="auto"/>
        </w:rPr>
      </w:pPr>
      <w:r>
        <w:rPr>
          <w:rFonts w:ascii="Arial" w:cs="Arial" w:eastAsia="Arial" w:hAnsi="Arial"/>
          <w:sz w:val="21"/>
          <w:szCs w:val="21"/>
          <w:color w:val="auto"/>
        </w:rPr>
        <w:t>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83" w:lineRule="exact"/>
        <w:rPr>
          <w:rFonts w:ascii="Arial" w:cs="Arial" w:eastAsia="Arial" w:hAnsi="Arial"/>
          <w:sz w:val="21"/>
          <w:szCs w:val="21"/>
          <w:color w:val="auto"/>
        </w:rPr>
      </w:pPr>
    </w:p>
    <w:p>
      <w:pPr>
        <w:jc w:val="both"/>
        <w:ind w:firstLine="1763"/>
        <w:spacing w:after="0" w:line="246" w:lineRule="auto"/>
        <w:tabs>
          <w:tab w:leader="none" w:pos="2607" w:val="left"/>
        </w:tabs>
        <w:numPr>
          <w:ilvl w:val="1"/>
          <w:numId w:val="266"/>
        </w:numPr>
        <w:rPr>
          <w:rFonts w:ascii="Arial" w:cs="Arial" w:eastAsia="Arial" w:hAnsi="Arial"/>
          <w:sz w:val="21"/>
          <w:szCs w:val="21"/>
          <w:color w:val="auto"/>
        </w:rPr>
      </w:pPr>
      <w:r>
        <w:rPr>
          <w:rFonts w:ascii="Arial" w:cs="Arial" w:eastAsia="Arial" w:hAnsi="Arial"/>
          <w:sz w:val="21"/>
          <w:szCs w:val="21"/>
          <w:color w:val="auto"/>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0" w:lineRule="exact"/>
        <w:rPr>
          <w:rFonts w:ascii="Arial" w:cs="Arial" w:eastAsia="Arial" w:hAnsi="Arial"/>
          <w:sz w:val="21"/>
          <w:szCs w:val="21"/>
          <w:color w:val="auto"/>
        </w:rPr>
      </w:pPr>
    </w:p>
    <w:p>
      <w:pPr>
        <w:ind w:firstLine="1763"/>
        <w:spacing w:after="0" w:line="251" w:lineRule="auto"/>
        <w:tabs>
          <w:tab w:leader="none" w:pos="2655" w:val="left"/>
        </w:tabs>
        <w:numPr>
          <w:ilvl w:val="1"/>
          <w:numId w:val="266"/>
        </w:numPr>
        <w:rPr>
          <w:rFonts w:ascii="Arial" w:cs="Arial" w:eastAsia="Arial" w:hAnsi="Arial"/>
          <w:sz w:val="22"/>
          <w:szCs w:val="22"/>
          <w:color w:val="auto"/>
        </w:rPr>
      </w:pPr>
      <w:r>
        <w:rPr>
          <w:rFonts w:ascii="Arial" w:cs="Arial" w:eastAsia="Arial" w:hAnsi="Arial"/>
          <w:sz w:val="22"/>
          <w:szCs w:val="22"/>
          <w:color w:val="auto"/>
        </w:rPr>
        <w:t>the Borrower or any of its Subsidiaries (other than Immaterial Subsidiaries) shall become unable, admit in writing its inability or fail generally to pay its debts as they become due;</w:t>
      </w:r>
    </w:p>
    <w:p>
      <w:pPr>
        <w:spacing w:after="0" w:line="173" w:lineRule="exact"/>
        <w:rPr>
          <w:rFonts w:ascii="Arial" w:cs="Arial" w:eastAsia="Arial" w:hAnsi="Arial"/>
          <w:sz w:val="22"/>
          <w:szCs w:val="22"/>
          <w:color w:val="auto"/>
        </w:rPr>
      </w:pPr>
    </w:p>
    <w:p>
      <w:pPr>
        <w:jc w:val="both"/>
        <w:ind w:firstLine="1763"/>
        <w:spacing w:after="0" w:line="236" w:lineRule="auto"/>
        <w:tabs>
          <w:tab w:leader="none" w:pos="2607" w:val="left"/>
        </w:tabs>
        <w:numPr>
          <w:ilvl w:val="1"/>
          <w:numId w:val="266"/>
        </w:numPr>
        <w:rPr>
          <w:rFonts w:ascii="Arial" w:cs="Arial" w:eastAsia="Arial" w:hAnsi="Arial"/>
          <w:sz w:val="22"/>
          <w:szCs w:val="22"/>
          <w:color w:val="auto"/>
        </w:rPr>
      </w:pPr>
      <w:r>
        <w:rPr>
          <w:rFonts w:ascii="Arial" w:cs="Arial" w:eastAsia="Arial" w:hAnsi="Arial"/>
          <w:sz w:val="22"/>
          <w:szCs w:val="22"/>
          <w:color w:val="auto"/>
        </w:rPr>
        <w:t>one or more judgments for the payment of money in an aggregate amount in excess of $25,000,000 shall be rendered against the Borrower or any of its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87" w:lineRule="exact"/>
        <w:rPr>
          <w:rFonts w:ascii="Arial" w:cs="Arial" w:eastAsia="Arial" w:hAnsi="Arial"/>
          <w:sz w:val="22"/>
          <w:szCs w:val="22"/>
          <w:color w:val="auto"/>
        </w:rPr>
      </w:pPr>
    </w:p>
    <w:p>
      <w:pPr>
        <w:ind w:firstLine="1763"/>
        <w:spacing w:after="0" w:line="328" w:lineRule="auto"/>
        <w:tabs>
          <w:tab w:leader="none" w:pos="2715" w:val="left"/>
        </w:tabs>
        <w:numPr>
          <w:ilvl w:val="1"/>
          <w:numId w:val="266"/>
        </w:numPr>
        <w:rPr>
          <w:rFonts w:ascii="Arial" w:cs="Arial" w:eastAsia="Arial" w:hAnsi="Arial"/>
          <w:sz w:val="19"/>
          <w:szCs w:val="19"/>
          <w:color w:val="auto"/>
        </w:rPr>
      </w:pPr>
      <w:r>
        <w:rPr>
          <w:rFonts w:ascii="Arial" w:cs="Arial" w:eastAsia="Arial" w:hAnsi="Arial"/>
          <w:sz w:val="19"/>
          <w:szCs w:val="19"/>
          <w:color w:val="auto"/>
        </w:rPr>
        <w:t>an ERISA Event shall have occurred that, in the opinion of the Required Lenders, when taken together with all other ERISA Events that have occurred, could reasonably be expected to result in a Material Adverse Effect;</w:t>
      </w:r>
    </w:p>
    <w:p>
      <w:pPr>
        <w:spacing w:after="0" w:line="105" w:lineRule="exact"/>
        <w:rPr>
          <w:rFonts w:ascii="Arial" w:cs="Arial" w:eastAsia="Arial" w:hAnsi="Arial"/>
          <w:sz w:val="19"/>
          <w:szCs w:val="19"/>
          <w:color w:val="auto"/>
        </w:rPr>
      </w:pPr>
    </w:p>
    <w:p>
      <w:pPr>
        <w:ind w:left="2660" w:hanging="897"/>
        <w:spacing w:after="0"/>
        <w:tabs>
          <w:tab w:leader="none" w:pos="2660" w:val="left"/>
        </w:tabs>
        <w:numPr>
          <w:ilvl w:val="1"/>
          <w:numId w:val="266"/>
        </w:numPr>
        <w:rPr>
          <w:rFonts w:ascii="Arial" w:cs="Arial" w:eastAsia="Arial" w:hAnsi="Arial"/>
          <w:sz w:val="22"/>
          <w:szCs w:val="22"/>
          <w:color w:val="auto"/>
        </w:rPr>
      </w:pPr>
      <w:r>
        <w:rPr>
          <w:rFonts w:ascii="Arial" w:cs="Arial" w:eastAsia="Arial" w:hAnsi="Arial"/>
          <w:sz w:val="22"/>
          <w:szCs w:val="22"/>
          <w:color w:val="auto"/>
        </w:rPr>
        <w:t>a Change in Control shall occur;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6" w:name="page277"/>
    <w:bookmarkEnd w:id="276"/>
    <w:p>
      <w:pPr>
        <w:ind w:left="2660" w:hanging="897"/>
        <w:spacing w:after="0"/>
        <w:tabs>
          <w:tab w:leader="none" w:pos="266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Borrower shall cease to be managed by the External Manager or an Affiliate thereof;</w:t>
      </w:r>
    </w:p>
    <w:p>
      <w:pPr>
        <w:spacing w:after="0" w:line="206" w:lineRule="exact"/>
        <w:rPr>
          <w:rFonts w:ascii="Arial" w:cs="Arial" w:eastAsia="Arial" w:hAnsi="Arial"/>
          <w:sz w:val="22"/>
          <w:szCs w:val="22"/>
          <w:color w:val="auto"/>
        </w:rPr>
      </w:pPr>
    </w:p>
    <w:p>
      <w:pPr>
        <w:jc w:val="both"/>
        <w:ind w:firstLine="1763"/>
        <w:spacing w:after="0" w:line="235" w:lineRule="auto"/>
        <w:tabs>
          <w:tab w:leader="none" w:pos="2655" w:val="left"/>
        </w:tabs>
        <w:numPr>
          <w:ilvl w:val="0"/>
          <w:numId w:val="267"/>
        </w:numPr>
        <w:rPr>
          <w:rFonts w:ascii="Arial" w:cs="Arial" w:eastAsia="Arial" w:hAnsi="Arial"/>
          <w:sz w:val="22"/>
          <w:szCs w:val="22"/>
          <w:color w:val="auto"/>
        </w:rPr>
      </w:pPr>
      <w:r>
        <w:rPr>
          <w:rFonts w:ascii="Arial" w:cs="Arial" w:eastAsia="Arial" w:hAnsi="Arial"/>
          <w:sz w:val="22"/>
          <w:szCs w:val="22"/>
          <w:color w:val="auto"/>
        </w:rPr>
        <w:t>if, prior to the Extended Final Maturity Date, both of the principals of the External Manager (who initially will be Alan Waxman and Joshua Easterly) fail to remain actively involved in the investment activities of the Borrower and the other investment vehicles managed by TSSP Management Holdings, L.P.;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188" w:lineRule="exact"/>
        <w:rPr>
          <w:rFonts w:ascii="Arial" w:cs="Arial" w:eastAsia="Arial" w:hAnsi="Arial"/>
          <w:sz w:val="22"/>
          <w:szCs w:val="22"/>
          <w:color w:val="auto"/>
        </w:rPr>
      </w:pPr>
    </w:p>
    <w:p>
      <w:pPr>
        <w:jc w:val="both"/>
        <w:ind w:firstLine="1763"/>
        <w:spacing w:after="0" w:line="279" w:lineRule="auto"/>
        <w:tabs>
          <w:tab w:leader="none" w:pos="2655"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50" w:lineRule="exact"/>
        <w:rPr>
          <w:rFonts w:ascii="Arial" w:cs="Arial" w:eastAsia="Arial" w:hAnsi="Arial"/>
          <w:sz w:val="19"/>
          <w:szCs w:val="19"/>
          <w:color w:val="auto"/>
        </w:rPr>
      </w:pPr>
    </w:p>
    <w:p>
      <w:pPr>
        <w:jc w:val="both"/>
        <w:ind w:firstLine="1763"/>
        <w:spacing w:after="0"/>
        <w:tabs>
          <w:tab w:leader="none" w:pos="2619" w:val="left"/>
        </w:tabs>
        <w:numPr>
          <w:ilvl w:val="0"/>
          <w:numId w:val="267"/>
        </w:numPr>
        <w:rPr>
          <w:rFonts w:ascii="Arial" w:cs="Arial" w:eastAsia="Arial" w:hAnsi="Arial"/>
          <w:sz w:val="22"/>
          <w:szCs w:val="22"/>
          <w:color w:val="auto"/>
        </w:rPr>
      </w:pPr>
      <w:r>
        <w:rPr>
          <w:rFonts w:ascii="Arial" w:cs="Arial" w:eastAsia="Arial" w:hAnsi="Arial"/>
          <w:sz w:val="22"/>
          <w:szCs w:val="22"/>
          <w:color w:val="auto"/>
        </w:rPr>
        <w:t>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186" w:lineRule="exact"/>
        <w:rPr>
          <w:rFonts w:ascii="Arial" w:cs="Arial" w:eastAsia="Arial" w:hAnsi="Arial"/>
          <w:sz w:val="22"/>
          <w:szCs w:val="22"/>
          <w:color w:val="auto"/>
        </w:rPr>
      </w:pPr>
    </w:p>
    <w:p>
      <w:pPr>
        <w:jc w:val="both"/>
        <w:ind w:firstLine="1763"/>
        <w:spacing w:after="0" w:line="238" w:lineRule="auto"/>
        <w:tabs>
          <w:tab w:leader="none" w:pos="2631" w:val="left"/>
        </w:tabs>
        <w:numPr>
          <w:ilvl w:val="0"/>
          <w:numId w:val="267"/>
        </w:numPr>
        <w:rPr>
          <w:rFonts w:ascii="Arial" w:cs="Arial" w:eastAsia="Arial" w:hAnsi="Arial"/>
          <w:sz w:val="22"/>
          <w:szCs w:val="22"/>
          <w:color w:val="auto"/>
        </w:rPr>
      </w:pPr>
      <w:r>
        <w:rPr>
          <w:rFonts w:ascii="Arial" w:cs="Arial" w:eastAsia="Arial" w:hAnsi="Arial"/>
          <w:sz w:val="22"/>
          <w:szCs w:val="22"/>
          <w:color w:val="auto"/>
        </w:rPr>
        <w:t xml:space="preserve">the Obligors shall at any time, without the consent of the Required Lenders fail to comply with the covenant contained in </w:t>
      </w:r>
      <w:r>
        <w:rPr>
          <w:rFonts w:ascii="Arial" w:cs="Arial" w:eastAsia="Arial" w:hAnsi="Arial"/>
          <w:sz w:val="22"/>
          <w:szCs w:val="22"/>
          <w:u w:val="single" w:color="auto"/>
          <w:color w:val="auto"/>
        </w:rPr>
        <w:t>Section 5.11</w:t>
      </w:r>
      <w:r>
        <w:rPr>
          <w:rFonts w:ascii="Arial" w:cs="Arial" w:eastAsia="Arial" w:hAnsi="Arial"/>
          <w:sz w:val="22"/>
          <w:szCs w:val="22"/>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85" w:lineRule="exact"/>
        <w:rPr>
          <w:rFonts w:ascii="Arial" w:cs="Arial" w:eastAsia="Arial" w:hAnsi="Arial"/>
          <w:sz w:val="22"/>
          <w:szCs w:val="22"/>
          <w:color w:val="auto"/>
        </w:rPr>
      </w:pPr>
    </w:p>
    <w:p>
      <w:pPr>
        <w:ind w:firstLine="1763"/>
        <w:spacing w:after="0" w:line="251" w:lineRule="auto"/>
        <w:tabs>
          <w:tab w:leader="none" w:pos="2607"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Borrower or any of its Subsidiaries shall cause or permit the occurrence of any condition or event that would result in any recourse to any Obligor under any Permitted SBIC Guarantee;</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then, and in every such event (other than an event with respect to the Borrower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this Article,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7" w:name="page278"/>
    <w:bookmarkEnd w:id="277"/>
    <w:p>
      <w:pPr>
        <w:jc w:val="both"/>
        <w:spacing w:after="0" w:line="238" w:lineRule="auto"/>
        <w:rPr>
          <w:sz w:val="20"/>
          <w:szCs w:val="20"/>
          <w:color w:val="auto"/>
        </w:rPr>
      </w:pPr>
      <w:r>
        <w:rPr>
          <w:rFonts w:ascii="Arial" w:cs="Arial" w:eastAsia="Arial" w:hAnsi="Arial"/>
          <w:sz w:val="22"/>
          <w:szCs w:val="22"/>
          <w:color w:val="auto"/>
        </w:rPr>
        <w:t>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85"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accrued and unpaid interest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this Article.</w:t>
      </w:r>
    </w:p>
    <w:p>
      <w:pPr>
        <w:spacing w:after="0" w:line="153"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Arial" w:cs="Arial" w:eastAsia="Arial" w:hAnsi="Arial"/>
          <w:sz w:val="19"/>
          <w:szCs w:val="19"/>
          <w:u w:val="single" w:color="auto"/>
          <w:color w:val="auto"/>
        </w:rPr>
        <w:t>clause</w:t>
      </w:r>
    </w:p>
    <w:p>
      <w:pPr>
        <w:spacing w:after="0" w:line="4" w:lineRule="exact"/>
        <w:rPr>
          <w:sz w:val="20"/>
          <w:szCs w:val="20"/>
          <w:color w:val="auto"/>
        </w:rPr>
      </w:pPr>
    </w:p>
    <w:p>
      <w:pPr>
        <w:jc w:val="both"/>
        <w:ind w:firstLine="8"/>
        <w:spacing w:after="0" w:line="270" w:lineRule="auto"/>
        <w:tabs>
          <w:tab w:leader="none" w:pos="319" w:val="left"/>
        </w:tabs>
        <w:numPr>
          <w:ilvl w:val="0"/>
          <w:numId w:val="268"/>
        </w:numPr>
        <w:rPr>
          <w:rFonts w:ascii="Arial" w:cs="Arial" w:eastAsia="Arial" w:hAnsi="Arial"/>
          <w:sz w:val="19"/>
          <w:szCs w:val="19"/>
          <w:u w:val="single" w:color="auto"/>
          <w:color w:val="auto"/>
        </w:rPr>
      </w:pPr>
      <w:r>
        <w:rPr>
          <w:rFonts w:ascii="Arial" w:cs="Arial" w:eastAsia="Arial" w:hAnsi="Arial"/>
          <w:sz w:val="19"/>
          <w:szCs w:val="19"/>
          <w:color w:val="auto"/>
        </w:rPr>
        <w:t xml:space="preserve">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22"/>
          <w:szCs w:val="22"/>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ADMINISTRATIVE AGENT</w:t>
      </w:r>
    </w:p>
    <w:p>
      <w:pPr>
        <w:spacing w:after="0" w:line="206"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u w:val="single" w:color="auto"/>
          <w:color w:val="auto"/>
        </w:rPr>
        <w:t>Appointment of the Administrative Agent</w:t>
      </w:r>
      <w:r>
        <w:rPr>
          <w:rFonts w:ascii="Arial" w:cs="Arial" w:eastAsia="Arial" w:hAnsi="Arial"/>
          <w:sz w:val="19"/>
          <w:szCs w:val="19"/>
          <w:color w:val="auto"/>
        </w:rPr>
        <w:t>. 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53"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Capacity as Lender</w:t>
      </w:r>
      <w:r>
        <w:rPr>
          <w:rFonts w:ascii="Arial" w:cs="Arial" w:eastAsia="Arial" w:hAnsi="Arial"/>
          <w:sz w:val="19"/>
          <w:szCs w:val="19"/>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43"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Limitation of Duties; Exculpation</w:t>
      </w:r>
      <w:r>
        <w:rPr>
          <w:rFonts w:ascii="Arial" w:cs="Arial" w:eastAsia="Arial" w:hAnsi="Arial"/>
          <w:sz w:val="19"/>
          <w:szCs w:val="19"/>
          <w:color w:val="auto"/>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herein or therein, other than to confirm receipt of items expressly required to be delivered to the Administrative Agent.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9" w:name="page280"/>
    <w:bookmarkEnd w:id="279"/>
    <w:p>
      <w:pPr>
        <w:jc w:val="both"/>
        <w:ind w:firstLine="1755"/>
        <w:spacing w:after="0" w:line="277"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Reliance</w:t>
      </w:r>
      <w:r>
        <w:rPr>
          <w:rFonts w:ascii="Arial" w:cs="Arial" w:eastAsia="Arial" w:hAnsi="Arial"/>
          <w:sz w:val="19"/>
          <w:szCs w:val="19"/>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3"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color w:val="auto"/>
        </w:rPr>
        <w:t xml:space="preserve">SECTION 8.05. </w:t>
      </w:r>
      <w:r>
        <w:rPr>
          <w:rFonts w:ascii="Arial" w:cs="Arial" w:eastAsia="Arial" w:hAnsi="Arial"/>
          <w:sz w:val="21"/>
          <w:szCs w:val="21"/>
          <w:u w:val="single" w:color="auto"/>
          <w:color w:val="auto"/>
        </w:rPr>
        <w:t>Sub-Agents</w:t>
      </w:r>
      <w:r>
        <w:rPr>
          <w:rFonts w:ascii="Arial" w:cs="Arial" w:eastAsia="Arial" w:hAnsi="Arial"/>
          <w:sz w:val="21"/>
          <w:szCs w:val="21"/>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fraud, gross negligence or willful misconduct in the selection of such sub-agents.</w:t>
      </w:r>
    </w:p>
    <w:p>
      <w:pPr>
        <w:spacing w:after="0" w:line="185"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u w:val="single" w:color="auto"/>
          <w:color w:val="auto"/>
        </w:rPr>
        <w:t>Resignation; Successor Administrative Agent</w:t>
      </w:r>
      <w:r>
        <w:rPr>
          <w:rFonts w:ascii="Arial" w:cs="Arial" w:eastAsia="Arial" w:hAnsi="Arial"/>
          <w:sz w:val="19"/>
          <w:szCs w:val="19"/>
          <w:color w:val="auto"/>
        </w:rPr>
        <w:t xml:space="preserve">. The Administrative Agent may resign at any time by notifying the Lenders, the Issuing Banks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shall continue in effect for its benefit in respect of any actions taken or omitted to be taken by it while it was acting as Administrative Agent.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0" w:name="page281"/>
    <w:bookmarkEnd w:id="280"/>
    <w:p>
      <w:pPr>
        <w:jc w:val="both"/>
        <w:ind w:firstLine="877"/>
        <w:spacing w:after="0" w:line="277" w:lineRule="auto"/>
        <w:rPr>
          <w:sz w:val="20"/>
          <w:szCs w:val="20"/>
          <w:color w:val="auto"/>
        </w:rPr>
      </w:pPr>
      <w:r>
        <w:rPr>
          <w:rFonts w:ascii="Arial" w:cs="Arial" w:eastAsia="Arial" w:hAnsi="Arial"/>
          <w:sz w:val="19"/>
          <w:szCs w:val="19"/>
          <w:color w:val="auto"/>
        </w:rPr>
        <w:t>Any resignation by Truist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53"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u w:val="single" w:color="auto"/>
          <w:color w:val="auto"/>
        </w:rPr>
        <w:t>Reliance by Lenders</w:t>
      </w:r>
      <w:r>
        <w:rPr>
          <w:rFonts w:ascii="Arial" w:cs="Arial" w:eastAsia="Arial" w:hAnsi="Arial"/>
          <w:sz w:val="21"/>
          <w:szCs w:val="21"/>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90"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67"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SECTION 8.08. </w:t>
      </w:r>
      <w:r>
        <w:rPr>
          <w:rFonts w:ascii="Arial" w:cs="Arial" w:eastAsia="Arial" w:hAnsi="Arial"/>
          <w:sz w:val="19"/>
          <w:szCs w:val="19"/>
          <w:u w:val="single" w:color="auto"/>
          <w:color w:val="auto"/>
        </w:rPr>
        <w:t>Modifications to Loan Documents</w:t>
      </w:r>
      <w:r>
        <w:rPr>
          <w:rFonts w:ascii="Arial" w:cs="Arial" w:eastAsia="Arial" w:hAnsi="Arial"/>
          <w:sz w:val="19"/>
          <w:szCs w:val="19"/>
          <w:color w:val="auto"/>
        </w:rPr>
        <w:t xml:space="preserve">. Except as otherwise provided in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to release any Lien covering property that is the subject of either a disposition of property permitted hereunder or a disposition to which the Required Lenders have consented.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22"/>
          <w:szCs w:val="22"/>
          <w:color w:val="auto"/>
        </w:rPr>
        <w:t>ARTICLE IX</w:t>
      </w:r>
    </w:p>
    <w:p>
      <w:pPr>
        <w:spacing w:after="0" w:line="233" w:lineRule="exact"/>
        <w:rPr>
          <w:sz w:val="20"/>
          <w:szCs w:val="20"/>
          <w:color w:val="auto"/>
        </w:rPr>
      </w:pPr>
    </w:p>
    <w:p>
      <w:pPr>
        <w:ind w:left="4800"/>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Notices; Electronic Communications</w:t>
      </w:r>
      <w:r>
        <w:rPr>
          <w:rFonts w:ascii="Arial" w:cs="Arial" w:eastAsia="Arial" w:hAnsi="Arial"/>
          <w:sz w:val="22"/>
          <w:szCs w:val="22"/>
          <w:color w:val="auto"/>
        </w:rPr>
        <w:t>.</w:t>
      </w:r>
    </w:p>
    <w:p>
      <w:pPr>
        <w:spacing w:after="0" w:line="206" w:lineRule="exact"/>
        <w:rPr>
          <w:sz w:val="20"/>
          <w:szCs w:val="20"/>
          <w:color w:val="auto"/>
        </w:rPr>
      </w:pPr>
    </w:p>
    <w:p>
      <w:pPr>
        <w:jc w:val="both"/>
        <w:ind w:left="-20" w:firstLine="1763"/>
        <w:spacing w:after="0" w:line="258" w:lineRule="auto"/>
        <w:tabs>
          <w:tab w:leader="none" w:pos="2623" w:val="left"/>
        </w:tabs>
        <w:numPr>
          <w:ilvl w:val="1"/>
          <w:numId w:val="269"/>
        </w:numPr>
        <w:rPr>
          <w:rFonts w:ascii="Arial" w:cs="Arial" w:eastAsia="Arial" w:hAnsi="Arial"/>
          <w:sz w:val="21"/>
          <w:szCs w:val="21"/>
          <w:color w:val="auto"/>
        </w:rPr>
      </w:pPr>
      <w:r>
        <w:rPr>
          <w:rFonts w:ascii="Arial" w:cs="Arial" w:eastAsia="Arial" w:hAnsi="Arial"/>
          <w:sz w:val="21"/>
          <w:szCs w:val="21"/>
          <w:u w:val="single" w:color="auto"/>
          <w:color w:val="auto"/>
        </w:rPr>
        <w:t>Notices Generally</w:t>
      </w:r>
      <w:r>
        <w:rPr>
          <w:rFonts w:ascii="Arial" w:cs="Arial" w:eastAsia="Arial" w:hAnsi="Arial"/>
          <w:sz w:val="21"/>
          <w:szCs w:val="21"/>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66" w:lineRule="exact"/>
        <w:rPr>
          <w:rFonts w:ascii="Arial" w:cs="Arial" w:eastAsia="Arial" w:hAnsi="Arial"/>
          <w:sz w:val="21"/>
          <w:szCs w:val="21"/>
          <w:color w:val="auto"/>
        </w:rPr>
      </w:pPr>
    </w:p>
    <w:p>
      <w:pPr>
        <w:ind w:left="2520" w:hanging="844"/>
        <w:spacing w:after="0"/>
        <w:tabs>
          <w:tab w:leader="none" w:pos="252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if to the Borrower, to it at:</w:t>
      </w:r>
    </w:p>
    <w:p>
      <w:pPr>
        <w:spacing w:after="0" w:line="20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TPG Specialty Lending, Inc.</w:t>
      </w:r>
    </w:p>
    <w:p>
      <w:pPr>
        <w:ind w:left="3500"/>
        <w:spacing w:after="0" w:line="238" w:lineRule="auto"/>
        <w:rPr>
          <w:sz w:val="20"/>
          <w:szCs w:val="20"/>
          <w:color w:val="auto"/>
        </w:rPr>
      </w:pPr>
      <w:r>
        <w:rPr>
          <w:rFonts w:ascii="Arial" w:cs="Arial" w:eastAsia="Arial" w:hAnsi="Arial"/>
          <w:sz w:val="22"/>
          <w:szCs w:val="22"/>
          <w:color w:val="auto"/>
        </w:rPr>
        <w:t>888 Seventh Avenue, 35</w:t>
      </w:r>
      <w:r>
        <w:rPr>
          <w:rFonts w:ascii="Arial" w:cs="Arial" w:eastAsia="Arial" w:hAnsi="Arial"/>
          <w:sz w:val="18"/>
          <w:szCs w:val="18"/>
          <w:color w:val="auto"/>
        </w:rPr>
        <w:t>th</w:t>
      </w:r>
      <w:r>
        <w:rPr>
          <w:rFonts w:ascii="Arial" w:cs="Arial" w:eastAsia="Arial" w:hAnsi="Arial"/>
          <w:sz w:val="22"/>
          <w:szCs w:val="22"/>
          <w:color w:val="auto"/>
        </w:rPr>
        <w:t xml:space="preserve"> Floor</w:t>
      </w:r>
    </w:p>
    <w:p>
      <w:pPr>
        <w:ind w:left="3500"/>
        <w:spacing w:after="0" w:line="230" w:lineRule="auto"/>
        <w:rPr>
          <w:sz w:val="20"/>
          <w:szCs w:val="20"/>
          <w:color w:val="auto"/>
        </w:rPr>
      </w:pPr>
      <w:r>
        <w:rPr>
          <w:rFonts w:ascii="Arial" w:cs="Arial" w:eastAsia="Arial" w:hAnsi="Arial"/>
          <w:sz w:val="22"/>
          <w:szCs w:val="22"/>
          <w:color w:val="auto"/>
        </w:rPr>
        <w:t>New York, New York 10019</w:t>
      </w:r>
    </w:p>
    <w:p>
      <w:pPr>
        <w:ind w:left="3500"/>
        <w:spacing w:after="0" w:line="231" w:lineRule="auto"/>
        <w:rPr>
          <w:sz w:val="20"/>
          <w:szCs w:val="20"/>
          <w:color w:val="auto"/>
        </w:rPr>
      </w:pPr>
      <w:r>
        <w:rPr>
          <w:rFonts w:ascii="Arial" w:cs="Arial" w:eastAsia="Arial" w:hAnsi="Arial"/>
          <w:sz w:val="22"/>
          <w:szCs w:val="22"/>
          <w:color w:val="auto"/>
        </w:rPr>
        <w:t>Attention: Ian Simmonds</w:t>
      </w:r>
    </w:p>
    <w:p>
      <w:pPr>
        <w:ind w:left="3500"/>
        <w:spacing w:after="0" w:line="231" w:lineRule="auto"/>
        <w:rPr>
          <w:sz w:val="20"/>
          <w:szCs w:val="20"/>
          <w:color w:val="auto"/>
        </w:rPr>
      </w:pPr>
      <w:r>
        <w:rPr>
          <w:rFonts w:ascii="Arial" w:cs="Arial" w:eastAsia="Arial" w:hAnsi="Arial"/>
          <w:sz w:val="22"/>
          <w:szCs w:val="22"/>
          <w:color w:val="auto"/>
        </w:rPr>
        <w:t>Telecopy Number: (212) 430-4639</w:t>
      </w:r>
    </w:p>
    <w:p>
      <w:pPr>
        <w:ind w:left="3500"/>
        <w:spacing w:after="0"/>
        <w:rPr>
          <w:sz w:val="20"/>
          <w:szCs w:val="20"/>
          <w:color w:val="auto"/>
        </w:rPr>
      </w:pPr>
      <w:r>
        <w:rPr>
          <w:rFonts w:ascii="Arial" w:cs="Arial" w:eastAsia="Arial" w:hAnsi="Arial"/>
          <w:sz w:val="22"/>
          <w:szCs w:val="22"/>
          <w:color w:val="auto"/>
        </w:rPr>
        <w:t>Telephone: (212) 601-4739</w:t>
      </w:r>
    </w:p>
    <w:p>
      <w:pPr>
        <w:spacing w:after="0" w:line="188" w:lineRule="exact"/>
        <w:rPr>
          <w:sz w:val="20"/>
          <w:szCs w:val="20"/>
          <w:color w:val="auto"/>
        </w:rPr>
      </w:pPr>
    </w:p>
    <w:p>
      <w:pPr>
        <w:ind w:left="2580" w:hanging="904"/>
        <w:spacing w:after="0"/>
        <w:tabs>
          <w:tab w:leader="none" w:pos="2580" w:val="left"/>
        </w:tabs>
        <w:numPr>
          <w:ilvl w:val="0"/>
          <w:numId w:val="271"/>
        </w:numPr>
        <w:rPr>
          <w:rFonts w:ascii="Arial" w:cs="Arial" w:eastAsia="Arial" w:hAnsi="Arial"/>
          <w:sz w:val="22"/>
          <w:szCs w:val="22"/>
          <w:color w:val="auto"/>
        </w:rPr>
      </w:pPr>
      <w:r>
        <w:rPr>
          <w:rFonts w:ascii="Arial" w:cs="Arial" w:eastAsia="Arial" w:hAnsi="Arial"/>
          <w:sz w:val="22"/>
          <w:szCs w:val="22"/>
          <w:color w:val="auto"/>
        </w:rPr>
        <w:t>if to the Administrative Agent or Truist, in its capacity as a Swingline Lender, to it at:</w:t>
      </w:r>
    </w:p>
    <w:p>
      <w:pPr>
        <w:spacing w:after="0" w:line="20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Truist Bank</w:t>
      </w:r>
    </w:p>
    <w:p>
      <w:pPr>
        <w:ind w:left="3500"/>
        <w:spacing w:after="0" w:line="238" w:lineRule="auto"/>
        <w:rPr>
          <w:sz w:val="20"/>
          <w:szCs w:val="20"/>
          <w:color w:val="auto"/>
        </w:rPr>
      </w:pPr>
      <w:r>
        <w:rPr>
          <w:rFonts w:ascii="Arial" w:cs="Arial" w:eastAsia="Arial" w:hAnsi="Arial"/>
          <w:sz w:val="22"/>
          <w:szCs w:val="22"/>
          <w:color w:val="auto"/>
        </w:rPr>
        <w:t>3333 Peachtree Road, 7th Floor</w:t>
      </w:r>
    </w:p>
    <w:p>
      <w:pPr>
        <w:ind w:left="3500"/>
        <w:spacing w:after="0" w:line="230" w:lineRule="auto"/>
        <w:rPr>
          <w:sz w:val="20"/>
          <w:szCs w:val="20"/>
          <w:color w:val="auto"/>
        </w:rPr>
      </w:pPr>
      <w:r>
        <w:rPr>
          <w:rFonts w:ascii="Arial" w:cs="Arial" w:eastAsia="Arial" w:hAnsi="Arial"/>
          <w:sz w:val="22"/>
          <w:szCs w:val="22"/>
          <w:color w:val="auto"/>
        </w:rPr>
        <w:t>Atlanta, Georgia 30326</w:t>
      </w:r>
    </w:p>
    <w:p>
      <w:pPr>
        <w:ind w:left="3500"/>
        <w:spacing w:after="0" w:line="231" w:lineRule="auto"/>
        <w:rPr>
          <w:sz w:val="20"/>
          <w:szCs w:val="20"/>
          <w:color w:val="auto"/>
        </w:rPr>
      </w:pPr>
      <w:r>
        <w:rPr>
          <w:rFonts w:ascii="Arial" w:cs="Arial" w:eastAsia="Arial" w:hAnsi="Arial"/>
          <w:sz w:val="22"/>
          <w:szCs w:val="22"/>
          <w:color w:val="auto"/>
        </w:rPr>
        <w:t>Attention: Hays Wood</w:t>
      </w:r>
    </w:p>
    <w:p>
      <w:pPr>
        <w:spacing w:after="0" w:line="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Telecopy Number: (404) 836-5879</w:t>
      </w:r>
    </w:p>
    <w:p>
      <w:pPr>
        <w:spacing w:after="0" w:line="18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Truist Bank</w:t>
      </w:r>
    </w:p>
    <w:p>
      <w:pPr>
        <w:ind w:left="3500"/>
        <w:spacing w:after="0" w:line="238" w:lineRule="auto"/>
        <w:rPr>
          <w:sz w:val="20"/>
          <w:szCs w:val="20"/>
          <w:color w:val="auto"/>
        </w:rPr>
      </w:pPr>
      <w:r>
        <w:rPr>
          <w:rFonts w:ascii="Arial" w:cs="Arial" w:eastAsia="Arial" w:hAnsi="Arial"/>
          <w:sz w:val="22"/>
          <w:szCs w:val="22"/>
          <w:color w:val="auto"/>
        </w:rPr>
        <w:t>Agency Services</w:t>
      </w:r>
    </w:p>
    <w:p>
      <w:pPr>
        <w:ind w:left="3500"/>
        <w:spacing w:after="0" w:line="230" w:lineRule="auto"/>
        <w:rPr>
          <w:sz w:val="20"/>
          <w:szCs w:val="20"/>
          <w:color w:val="auto"/>
        </w:rPr>
      </w:pPr>
      <w:r>
        <w:rPr>
          <w:rFonts w:ascii="Arial" w:cs="Arial" w:eastAsia="Arial" w:hAnsi="Arial"/>
          <w:sz w:val="22"/>
          <w:szCs w:val="22"/>
          <w:color w:val="auto"/>
        </w:rPr>
        <w:t>303 Peachtree Street, N. E./ 25th Floor</w:t>
      </w:r>
    </w:p>
    <w:p>
      <w:pPr>
        <w:ind w:left="3500"/>
        <w:spacing w:after="0" w:line="231" w:lineRule="auto"/>
        <w:rPr>
          <w:sz w:val="20"/>
          <w:szCs w:val="20"/>
          <w:color w:val="auto"/>
        </w:rPr>
      </w:pPr>
      <w:r>
        <w:rPr>
          <w:rFonts w:ascii="Arial" w:cs="Arial" w:eastAsia="Arial" w:hAnsi="Arial"/>
          <w:sz w:val="22"/>
          <w:szCs w:val="22"/>
          <w:color w:val="auto"/>
        </w:rPr>
        <w:t>Atlanta, Georgia 30308</w:t>
      </w:r>
    </w:p>
    <w:p>
      <w:pPr>
        <w:ind w:left="3500"/>
        <w:spacing w:after="0" w:line="231" w:lineRule="auto"/>
        <w:rPr>
          <w:sz w:val="20"/>
          <w:szCs w:val="20"/>
          <w:color w:val="auto"/>
        </w:rPr>
      </w:pPr>
      <w:r>
        <w:rPr>
          <w:rFonts w:ascii="Arial" w:cs="Arial" w:eastAsia="Arial" w:hAnsi="Arial"/>
          <w:sz w:val="22"/>
          <w:szCs w:val="22"/>
          <w:color w:val="auto"/>
        </w:rPr>
        <w:t>Attention: Wanda Gregory</w:t>
      </w:r>
    </w:p>
    <w:p>
      <w:pPr>
        <w:ind w:left="3500"/>
        <w:spacing w:after="0"/>
        <w:rPr>
          <w:sz w:val="20"/>
          <w:szCs w:val="20"/>
          <w:color w:val="auto"/>
        </w:rPr>
      </w:pPr>
      <w:r>
        <w:rPr>
          <w:rFonts w:ascii="Arial" w:cs="Arial" w:eastAsia="Arial" w:hAnsi="Arial"/>
          <w:sz w:val="22"/>
          <w:szCs w:val="22"/>
          <w:color w:val="auto"/>
        </w:rPr>
        <w:t>Telecopy Number: (404) 658-4906</w:t>
      </w:r>
    </w:p>
    <w:p>
      <w:pPr>
        <w:spacing w:after="0" w:line="188" w:lineRule="exact"/>
        <w:rPr>
          <w:sz w:val="20"/>
          <w:szCs w:val="20"/>
          <w:color w:val="auto"/>
        </w:rPr>
      </w:pPr>
    </w:p>
    <w:p>
      <w:pPr>
        <w:ind w:left="2640" w:hanging="964"/>
        <w:spacing w:after="0"/>
        <w:tabs>
          <w:tab w:leader="none" w:pos="264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if to Truist, in its capacity as Issuing Bank, to it at:</w:t>
      </w:r>
    </w:p>
    <w:p>
      <w:pPr>
        <w:spacing w:after="0" w:line="20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Truist Bank</w:t>
      </w:r>
    </w:p>
    <w:p>
      <w:pPr>
        <w:ind w:left="3500"/>
        <w:spacing w:after="0" w:line="238" w:lineRule="auto"/>
        <w:rPr>
          <w:sz w:val="20"/>
          <w:szCs w:val="20"/>
          <w:color w:val="auto"/>
        </w:rPr>
      </w:pPr>
      <w:r>
        <w:rPr>
          <w:rFonts w:ascii="Arial" w:cs="Arial" w:eastAsia="Arial" w:hAnsi="Arial"/>
          <w:sz w:val="22"/>
          <w:szCs w:val="22"/>
          <w:color w:val="auto"/>
        </w:rPr>
        <w:t>303 Peachtree Street, N. E./ 25th Floor</w:t>
      </w:r>
    </w:p>
    <w:p>
      <w:pPr>
        <w:ind w:left="3500"/>
        <w:spacing w:after="0" w:line="230" w:lineRule="auto"/>
        <w:rPr>
          <w:sz w:val="20"/>
          <w:szCs w:val="20"/>
          <w:color w:val="auto"/>
        </w:rPr>
      </w:pPr>
      <w:r>
        <w:rPr>
          <w:rFonts w:ascii="Arial" w:cs="Arial" w:eastAsia="Arial" w:hAnsi="Arial"/>
          <w:sz w:val="22"/>
          <w:szCs w:val="22"/>
          <w:color w:val="auto"/>
        </w:rPr>
        <w:t>Atlanta, Georgia 30308</w:t>
      </w:r>
    </w:p>
    <w:p>
      <w:pPr>
        <w:ind w:left="3500"/>
        <w:spacing w:after="0" w:line="231" w:lineRule="auto"/>
        <w:rPr>
          <w:sz w:val="20"/>
          <w:szCs w:val="20"/>
          <w:color w:val="auto"/>
        </w:rPr>
      </w:pPr>
      <w:r>
        <w:rPr>
          <w:rFonts w:ascii="Arial" w:cs="Arial" w:eastAsia="Arial" w:hAnsi="Arial"/>
          <w:sz w:val="22"/>
          <w:szCs w:val="22"/>
          <w:color w:val="auto"/>
        </w:rPr>
        <w:t>Attention: Wanda Gregory</w:t>
      </w:r>
    </w:p>
    <w:p>
      <w:pPr>
        <w:spacing w:after="0" w:line="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Telecopy Number: (404) 658-4906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61" w:right="239" w:bottom="1440" w:gutter="0" w:footer="0" w:header="0"/>
        </w:sectPr>
      </w:pPr>
    </w:p>
    <w:bookmarkStart w:id="282" w:name="page283"/>
    <w:bookmarkEnd w:id="282"/>
    <w:p>
      <w:pPr>
        <w:ind w:left="2660" w:hanging="964"/>
        <w:spacing w:after="0"/>
        <w:tabs>
          <w:tab w:leader="none" w:pos="2660" w:val="left"/>
        </w:tabs>
        <w:numPr>
          <w:ilvl w:val="0"/>
          <w:numId w:val="273"/>
        </w:numPr>
        <w:rPr>
          <w:rFonts w:ascii="Arial" w:cs="Arial" w:eastAsia="Arial" w:hAnsi="Arial"/>
          <w:sz w:val="21"/>
          <w:szCs w:val="21"/>
          <w:color w:val="auto"/>
        </w:rPr>
      </w:pPr>
      <w:r>
        <w:rPr>
          <w:rFonts w:ascii="Arial" w:cs="Arial" w:eastAsia="Arial" w:hAnsi="Arial"/>
          <w:sz w:val="21"/>
          <w:szCs w:val="21"/>
          <w:color w:val="auto"/>
        </w:rPr>
        <w:t>if to JPMorgan Chase Bank, N.A., in its capacity as a Swingline Lender and an Issuing Bank:</w:t>
      </w:r>
    </w:p>
    <w:p>
      <w:pPr>
        <w:spacing w:after="0" w:line="21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JPMorgan Chase Bank, N.A.</w:t>
      </w:r>
    </w:p>
    <w:p>
      <w:pPr>
        <w:ind w:left="3520"/>
        <w:spacing w:after="0" w:line="238" w:lineRule="auto"/>
        <w:rPr>
          <w:sz w:val="20"/>
          <w:szCs w:val="20"/>
          <w:color w:val="auto"/>
        </w:rPr>
      </w:pPr>
      <w:r>
        <w:rPr>
          <w:rFonts w:ascii="Arial" w:cs="Arial" w:eastAsia="Arial" w:hAnsi="Arial"/>
          <w:sz w:val="22"/>
          <w:szCs w:val="22"/>
          <w:color w:val="auto"/>
        </w:rPr>
        <w:t>Ground floor, 1st to 6th floors, Platina 3, Kodbis, Floor 03</w:t>
      </w:r>
    </w:p>
    <w:p>
      <w:pPr>
        <w:ind w:left="3520"/>
        <w:spacing w:after="0" w:line="230" w:lineRule="auto"/>
        <w:rPr>
          <w:sz w:val="20"/>
          <w:szCs w:val="20"/>
          <w:color w:val="auto"/>
        </w:rPr>
      </w:pPr>
      <w:r>
        <w:rPr>
          <w:rFonts w:ascii="Arial" w:cs="Arial" w:eastAsia="Arial" w:hAnsi="Arial"/>
          <w:sz w:val="22"/>
          <w:szCs w:val="22"/>
          <w:color w:val="auto"/>
        </w:rPr>
        <w:t>Bengaluru, 560 103, India</w:t>
      </w:r>
    </w:p>
    <w:p>
      <w:pPr>
        <w:ind w:left="3520"/>
        <w:spacing w:after="0" w:line="231" w:lineRule="auto"/>
        <w:rPr>
          <w:sz w:val="20"/>
          <w:szCs w:val="20"/>
          <w:color w:val="auto"/>
        </w:rPr>
      </w:pPr>
      <w:r>
        <w:rPr>
          <w:rFonts w:ascii="Arial" w:cs="Arial" w:eastAsia="Arial" w:hAnsi="Arial"/>
          <w:sz w:val="22"/>
          <w:szCs w:val="22"/>
          <w:color w:val="auto"/>
        </w:rPr>
        <w:t>Attention: Sneha Machani</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Telecopy Number: (201) 244-3885</w:t>
      </w:r>
    </w:p>
    <w:p>
      <w:pPr>
        <w:spacing w:after="0" w:line="188" w:lineRule="exact"/>
        <w:rPr>
          <w:sz w:val="20"/>
          <w:szCs w:val="20"/>
          <w:color w:val="auto"/>
        </w:rPr>
      </w:pPr>
    </w:p>
    <w:p>
      <w:pPr>
        <w:ind w:left="2600" w:hanging="904"/>
        <w:spacing w:after="0"/>
        <w:tabs>
          <w:tab w:leader="none" w:pos="2600" w:val="left"/>
        </w:tabs>
        <w:numPr>
          <w:ilvl w:val="0"/>
          <w:numId w:val="274"/>
        </w:numPr>
        <w:rPr>
          <w:rFonts w:ascii="Arial" w:cs="Arial" w:eastAsia="Arial" w:hAnsi="Arial"/>
          <w:sz w:val="21"/>
          <w:szCs w:val="21"/>
          <w:color w:val="auto"/>
        </w:rPr>
      </w:pPr>
      <w:r>
        <w:rPr>
          <w:rFonts w:ascii="Arial" w:cs="Arial" w:eastAsia="Arial" w:hAnsi="Arial"/>
          <w:sz w:val="21"/>
          <w:szCs w:val="21"/>
          <w:color w:val="auto"/>
        </w:rPr>
        <w:t>if to any other Lender, to it at its address (or telecopy number) set forth in its Administrative</w:t>
      </w:r>
    </w:p>
    <w:p>
      <w:pPr>
        <w:spacing w:after="0" w:line="1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2"/>
          <w:szCs w:val="22"/>
          <w:color w:val="auto"/>
        </w:rPr>
        <w:t>Questionnaire.</w:t>
      </w:r>
    </w:p>
    <w:p>
      <w:pPr>
        <w:spacing w:after="0" w:line="188"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below, shall be effective as provided in said </w:t>
      </w:r>
      <w:r>
        <w:rPr>
          <w:rFonts w:ascii="Arial" w:cs="Arial" w:eastAsia="Arial" w:hAnsi="Arial"/>
          <w:sz w:val="19"/>
          <w:szCs w:val="19"/>
          <w:u w:val="single" w:color="auto"/>
          <w:color w:val="auto"/>
        </w:rPr>
        <w:t>paragraph (b)</w:t>
      </w:r>
      <w:r>
        <w:rPr>
          <w:rFonts w:ascii="Arial" w:cs="Arial" w:eastAsia="Arial" w:hAnsi="Arial"/>
          <w:sz w:val="19"/>
          <w:szCs w:val="19"/>
          <w:color w:val="auto"/>
        </w:rPr>
        <w:t>.</w:t>
      </w:r>
    </w:p>
    <w:p>
      <w:pPr>
        <w:spacing w:after="0" w:line="143" w:lineRule="exact"/>
        <w:rPr>
          <w:sz w:val="20"/>
          <w:szCs w:val="20"/>
          <w:color w:val="auto"/>
        </w:rPr>
      </w:pPr>
    </w:p>
    <w:p>
      <w:pPr>
        <w:jc w:val="both"/>
        <w:ind w:firstLine="1763"/>
        <w:spacing w:after="0" w:line="234" w:lineRule="auto"/>
        <w:tabs>
          <w:tab w:leader="none" w:pos="2655"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Electronic Communications</w:t>
      </w:r>
      <w:r>
        <w:rPr>
          <w:rFonts w:ascii="Arial" w:cs="Arial" w:eastAsia="Arial" w:hAnsi="Arial"/>
          <w:sz w:val="22"/>
          <w:szCs w:val="22"/>
          <w:color w:val="auto"/>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notices to any Lender or any Issuing Bank pursuant to </w:t>
      </w:r>
      <w:r>
        <w:rPr>
          <w:rFonts w:ascii="Arial" w:cs="Arial" w:eastAsia="Arial" w:hAnsi="Arial"/>
          <w:sz w:val="22"/>
          <w:szCs w:val="22"/>
          <w:u w:val="single" w:color="auto"/>
          <w:color w:val="auto"/>
        </w:rPr>
        <w:t>Section 2.06</w:t>
      </w:r>
      <w:r>
        <w:rPr>
          <w:rFonts w:ascii="Arial" w:cs="Arial" w:eastAsia="Arial" w:hAnsi="Arial"/>
          <w:sz w:val="22"/>
          <w:szCs w:val="22"/>
          <w:color w:val="auto"/>
        </w:rPr>
        <w:t xml:space="preserve">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approval of such procedures may be limited to particular notices or communications.</w:t>
      </w:r>
    </w:p>
    <w:p>
      <w:pPr>
        <w:spacing w:after="0" w:line="188" w:lineRule="exact"/>
        <w:rPr>
          <w:sz w:val="20"/>
          <w:szCs w:val="20"/>
          <w:color w:val="auto"/>
        </w:rPr>
      </w:pPr>
    </w:p>
    <w:p>
      <w:pPr>
        <w:jc w:val="both"/>
        <w:ind w:firstLine="1763"/>
        <w:spacing w:after="0" w:line="277" w:lineRule="auto"/>
        <w:tabs>
          <w:tab w:leader="none" w:pos="2038" w:val="left"/>
        </w:tabs>
        <w:numPr>
          <w:ilvl w:val="0"/>
          <w:numId w:val="276"/>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notification that such notice or communication is available and identifying the website address therefor.</w:t>
      </w:r>
    </w:p>
    <w:p>
      <w:pPr>
        <w:spacing w:after="0" w:line="153"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3" w:name="page284"/>
    <w:bookmarkEnd w:id="283"/>
    <w:p>
      <w:pPr>
        <w:jc w:val="both"/>
        <w:spacing w:after="0" w:line="235" w:lineRule="auto"/>
        <w:rPr>
          <w:sz w:val="20"/>
          <w:szCs w:val="20"/>
          <w:color w:val="auto"/>
        </w:rPr>
      </w:pPr>
      <w:r>
        <w:rPr>
          <w:rFonts w:ascii="Arial" w:cs="Arial" w:eastAsia="Arial" w:hAnsi="Arial"/>
          <w:sz w:val="22"/>
          <w:szCs w:val="22"/>
          <w:color w:val="auto"/>
        </w:rPr>
        <w:t>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88" w:lineRule="exact"/>
        <w:rPr>
          <w:sz w:val="20"/>
          <w:szCs w:val="20"/>
          <w:color w:val="auto"/>
        </w:rPr>
      </w:pPr>
    </w:p>
    <w:p>
      <w:pPr>
        <w:jc w:val="both"/>
        <w:ind w:firstLine="1763"/>
        <w:spacing w:after="0" w:line="273" w:lineRule="auto"/>
        <w:tabs>
          <w:tab w:leader="none" w:pos="2643"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Private Side Information Contacts</w:t>
      </w:r>
      <w:r>
        <w:rPr>
          <w:rFonts w:ascii="Arial" w:cs="Arial" w:eastAsia="Arial" w:hAnsi="Arial"/>
          <w:sz w:val="19"/>
          <w:szCs w:val="19"/>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61" w:lineRule="exact"/>
        <w:rPr>
          <w:rFonts w:ascii="Arial" w:cs="Arial" w:eastAsia="Arial" w:hAnsi="Arial"/>
          <w:sz w:val="19"/>
          <w:szCs w:val="19"/>
          <w:color w:val="auto"/>
        </w:rPr>
      </w:pPr>
    </w:p>
    <w:p>
      <w:pPr>
        <w:jc w:val="both"/>
        <w:ind w:firstLine="1763"/>
        <w:spacing w:after="0" w:line="248" w:lineRule="auto"/>
        <w:tabs>
          <w:tab w:leader="none" w:pos="2655" w:val="left"/>
        </w:tabs>
        <w:numPr>
          <w:ilvl w:val="0"/>
          <w:numId w:val="277"/>
        </w:numPr>
        <w:rPr>
          <w:rFonts w:ascii="Arial" w:cs="Arial" w:eastAsia="Arial" w:hAnsi="Arial"/>
          <w:sz w:val="21"/>
          <w:szCs w:val="21"/>
          <w:color w:val="auto"/>
        </w:rPr>
      </w:pPr>
      <w:r>
        <w:rPr>
          <w:rFonts w:ascii="Arial" w:cs="Arial" w:eastAsia="Arial" w:hAnsi="Arial"/>
          <w:sz w:val="21"/>
          <w:szCs w:val="21"/>
          <w:u w:val="single" w:color="auto"/>
          <w:color w:val="auto"/>
        </w:rPr>
        <w:t>Documents to be Delivered under Sections 5.01 and 5.12(a)</w:t>
      </w:r>
      <w:r>
        <w:rPr>
          <w:rFonts w:ascii="Arial" w:cs="Arial" w:eastAsia="Arial" w:hAnsi="Arial"/>
          <w:sz w:val="21"/>
          <w:szCs w:val="21"/>
          <w:color w:val="auto"/>
        </w:rPr>
        <w:t xml:space="preserve">. For so long as an Intralinks™ or equivalent website is available to each of the Lenders hereunder, the Borrower may satisfy its obligation to deliver documents to the Administrative Agent or the Lenders under </w:t>
      </w:r>
      <w:r>
        <w:rPr>
          <w:rFonts w:ascii="Arial" w:cs="Arial" w:eastAsia="Arial" w:hAnsi="Arial"/>
          <w:sz w:val="21"/>
          <w:szCs w:val="21"/>
          <w:u w:val="single" w:color="auto"/>
          <w:color w:val="auto"/>
        </w:rPr>
        <w:t>Sections 5.01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5.12(a)</w:t>
      </w:r>
      <w:r>
        <w:rPr>
          <w:rFonts w:ascii="Arial" w:cs="Arial" w:eastAsia="Arial" w:hAnsi="Arial"/>
          <w:sz w:val="21"/>
          <w:szCs w:val="21"/>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shall have no responsibility to maintain access to Intralinks™ or an equivalent website.</w:t>
      </w:r>
    </w:p>
    <w:p>
      <w:pPr>
        <w:spacing w:after="0" w:line="177"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u w:val="single" w:color="auto"/>
          <w:color w:val="auto"/>
        </w:rPr>
        <w:t>Waivers; Amendments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73" w:lineRule="auto"/>
        <w:tabs>
          <w:tab w:leader="none" w:pos="2643"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No Deemed Waivers Remedies Cumulative</w:t>
      </w:r>
      <w:r>
        <w:rPr>
          <w:rFonts w:ascii="Arial" w:cs="Arial" w:eastAsia="Arial" w:hAnsi="Arial"/>
          <w:sz w:val="19"/>
          <w:szCs w:val="19"/>
          <w:color w:val="auto"/>
        </w:rPr>
        <w:t xml:space="preserve">. No failure or delay by the 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4" w:name="page285"/>
    <w:bookmarkEnd w:id="284"/>
    <w:p>
      <w:pPr>
        <w:jc w:val="both"/>
        <w:ind w:firstLine="1763"/>
        <w:spacing w:after="0" w:line="238" w:lineRule="auto"/>
        <w:tabs>
          <w:tab w:leader="none" w:pos="2655" w:val="left"/>
        </w:tabs>
        <w:numPr>
          <w:ilvl w:val="1"/>
          <w:numId w:val="279"/>
        </w:numPr>
        <w:rPr>
          <w:rFonts w:ascii="Arial" w:cs="Arial" w:eastAsia="Arial" w:hAnsi="Arial"/>
          <w:sz w:val="22"/>
          <w:szCs w:val="22"/>
          <w:color w:val="auto"/>
        </w:rPr>
      </w:pPr>
      <w:r>
        <w:rPr>
          <w:rFonts w:ascii="Arial" w:cs="Arial" w:eastAsia="Arial" w:hAnsi="Arial"/>
          <w:sz w:val="22"/>
          <w:szCs w:val="22"/>
          <w:u w:val="single" w:color="auto"/>
          <w:color w:val="auto"/>
        </w:rPr>
        <w:t>Amendments to this Agreement</w:t>
      </w:r>
      <w:r>
        <w:rPr>
          <w:rFonts w:ascii="Arial" w:cs="Arial" w:eastAsia="Arial" w:hAnsi="Arial"/>
          <w:sz w:val="22"/>
          <w:szCs w:val="22"/>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agreement shall:</w:t>
      </w:r>
    </w:p>
    <w:p>
      <w:pPr>
        <w:spacing w:after="0" w:line="185" w:lineRule="exact"/>
        <w:rPr>
          <w:rFonts w:ascii="Arial" w:cs="Arial" w:eastAsia="Arial" w:hAnsi="Arial"/>
          <w:sz w:val="22"/>
          <w:szCs w:val="22"/>
          <w:color w:val="auto"/>
        </w:rPr>
      </w:pPr>
    </w:p>
    <w:p>
      <w:pPr>
        <w:ind w:left="2540" w:hanging="844"/>
        <w:spacing w:after="0"/>
        <w:tabs>
          <w:tab w:leader="none" w:pos="254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increase the Commitment of any Lender without the written consent of such Lender,</w:t>
      </w:r>
    </w:p>
    <w:p>
      <w:pPr>
        <w:spacing w:after="0" w:line="206" w:lineRule="exact"/>
        <w:rPr>
          <w:rFonts w:ascii="Arial" w:cs="Arial" w:eastAsia="Arial" w:hAnsi="Arial"/>
          <w:sz w:val="22"/>
          <w:szCs w:val="22"/>
          <w:color w:val="auto"/>
        </w:rPr>
      </w:pPr>
    </w:p>
    <w:p>
      <w:pPr>
        <w:ind w:left="880" w:firstLine="816"/>
        <w:spacing w:after="0" w:line="274" w:lineRule="auto"/>
        <w:tabs>
          <w:tab w:leader="none" w:pos="2602" w:val="left"/>
        </w:tabs>
        <w:numPr>
          <w:ilvl w:val="0"/>
          <w:numId w:val="280"/>
        </w:numPr>
        <w:rPr>
          <w:rFonts w:ascii="Arial" w:cs="Arial" w:eastAsia="Arial" w:hAnsi="Arial"/>
          <w:sz w:val="21"/>
          <w:szCs w:val="21"/>
          <w:color w:val="auto"/>
        </w:rPr>
      </w:pPr>
      <w:r>
        <w:rPr>
          <w:rFonts w:ascii="Arial" w:cs="Arial" w:eastAsia="Arial" w:hAnsi="Arial"/>
          <w:sz w:val="21"/>
          <w:szCs w:val="21"/>
          <w:color w:val="auto"/>
        </w:rPr>
        <w:t>reduce the principal amount of any Loan or LC Disbursement or reduce the rate of interest thereon, or reduce any fees payable hereunder, without the written consent of each Lender affected thereby,</w:t>
      </w:r>
    </w:p>
    <w:p>
      <w:pPr>
        <w:spacing w:after="0" w:line="150" w:lineRule="exact"/>
        <w:rPr>
          <w:rFonts w:ascii="Arial" w:cs="Arial" w:eastAsia="Arial" w:hAnsi="Arial"/>
          <w:sz w:val="21"/>
          <w:szCs w:val="21"/>
          <w:color w:val="auto"/>
        </w:rPr>
      </w:pPr>
    </w:p>
    <w:p>
      <w:pPr>
        <w:jc w:val="both"/>
        <w:ind w:left="880" w:firstLine="816"/>
        <w:spacing w:after="0" w:line="238" w:lineRule="auto"/>
        <w:tabs>
          <w:tab w:leader="none" w:pos="2662" w:val="left"/>
        </w:tabs>
        <w:numPr>
          <w:ilvl w:val="0"/>
          <w:numId w:val="280"/>
        </w:numPr>
        <w:rPr>
          <w:rFonts w:ascii="Arial" w:cs="Arial" w:eastAsia="Arial" w:hAnsi="Arial"/>
          <w:sz w:val="22"/>
          <w:szCs w:val="22"/>
          <w:color w:val="auto"/>
        </w:rPr>
      </w:pPr>
      <w:r>
        <w:rPr>
          <w:rFonts w:ascii="Arial" w:cs="Arial" w:eastAsia="Arial" w:hAnsi="Arial"/>
          <w:sz w:val="22"/>
          <w:szCs w:val="22"/>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185" w:lineRule="exact"/>
        <w:rPr>
          <w:rFonts w:ascii="Arial" w:cs="Arial" w:eastAsia="Arial" w:hAnsi="Arial"/>
          <w:sz w:val="22"/>
          <w:szCs w:val="22"/>
          <w:color w:val="auto"/>
        </w:rPr>
      </w:pPr>
    </w:p>
    <w:p>
      <w:pPr>
        <w:ind w:left="880" w:firstLine="816"/>
        <w:spacing w:after="0" w:line="251" w:lineRule="auto"/>
        <w:tabs>
          <w:tab w:leader="none" w:pos="265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 xml:space="preserve">change </w:t>
      </w:r>
      <w:r>
        <w:rPr>
          <w:rFonts w:ascii="Arial" w:cs="Arial" w:eastAsia="Arial" w:hAnsi="Arial"/>
          <w:sz w:val="22"/>
          <w:szCs w:val="22"/>
          <w:u w:val="single" w:color="auto"/>
          <w:color w:val="auto"/>
        </w:rPr>
        <w:t>Section 2.17(b)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in a manner that would alter the pro rata sharing of payments required thereby without the written consent of each Lender affected thereby, or</w:t>
      </w:r>
    </w:p>
    <w:p>
      <w:pPr>
        <w:spacing w:after="0" w:line="173" w:lineRule="exact"/>
        <w:rPr>
          <w:rFonts w:ascii="Arial" w:cs="Arial" w:eastAsia="Arial" w:hAnsi="Arial"/>
          <w:sz w:val="22"/>
          <w:szCs w:val="22"/>
          <w:color w:val="auto"/>
        </w:rPr>
      </w:pPr>
    </w:p>
    <w:p>
      <w:pPr>
        <w:jc w:val="both"/>
        <w:ind w:left="880" w:firstLine="816"/>
        <w:spacing w:after="0" w:line="238" w:lineRule="auto"/>
        <w:tabs>
          <w:tab w:leader="none" w:pos="259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(x)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and (y) the consent of Lenders holding not less than two-thirds of the Revolving Credit Exposure and unused Commitments will be required (A) for any adverse change affecting the provisions of this Agreement relating to the determination of the Borrowing Base (excluding changes to the provisions of </w:t>
      </w:r>
      <w:r>
        <w:rPr>
          <w:rFonts w:ascii="Arial" w:cs="Arial" w:eastAsia="Arial" w:hAnsi="Arial"/>
          <w:sz w:val="19"/>
          <w:szCs w:val="19"/>
          <w:u w:val="single" w:color="auto"/>
          <w:color w:val="auto"/>
        </w:rPr>
        <w:t>Section 5.12(b)(ii)(E)</w:t>
      </w:r>
      <w:r>
        <w:rPr>
          <w:rFonts w:ascii="Arial" w:cs="Arial" w:eastAsia="Arial" w:hAnsi="Arial"/>
          <w:sz w:val="19"/>
          <w:szCs w:val="19"/>
          <w:color w:val="auto"/>
        </w:rPr>
        <w:t xml:space="preserve"> and</w:t>
      </w:r>
    </w:p>
    <w:p>
      <w:pPr>
        <w:spacing w:after="0" w:line="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u w:val="single" w:color="auto"/>
          <w:color w:val="auto"/>
        </w:rPr>
        <w:t>(F)</w:t>
      </w:r>
      <w:r>
        <w:rPr>
          <w:rFonts w:ascii="Arial" w:cs="Arial" w:eastAsia="Arial" w:hAnsi="Arial"/>
          <w:sz w:val="22"/>
          <w:szCs w:val="22"/>
          <w:color w:val="auto"/>
        </w:rPr>
        <w:t xml:space="preserve">, but including changes to the provisions of </w:t>
      </w:r>
      <w:r>
        <w:rPr>
          <w:rFonts w:ascii="Arial" w:cs="Arial" w:eastAsia="Arial" w:hAnsi="Arial"/>
          <w:sz w:val="22"/>
          <w:szCs w:val="22"/>
          <w:u w:val="single" w:color="auto"/>
          <w:color w:val="auto"/>
        </w:rPr>
        <w:t>Section 5.12(c)(ii)</w:t>
      </w:r>
      <w:r>
        <w:rPr>
          <w:rFonts w:ascii="Arial" w:cs="Arial" w:eastAsia="Arial" w:hAnsi="Arial"/>
          <w:sz w:val="22"/>
          <w:szCs w:val="22"/>
          <w:color w:val="auto"/>
        </w:rPr>
        <w:t xml:space="preserve"> and the definitions set forth in </w:t>
      </w:r>
      <w:r>
        <w:rPr>
          <w:rFonts w:ascii="Arial" w:cs="Arial" w:eastAsia="Arial" w:hAnsi="Arial"/>
          <w:sz w:val="22"/>
          <w:szCs w:val="22"/>
          <w:u w:val="single" w:color="auto"/>
          <w:color w:val="auto"/>
        </w:rPr>
        <w:t>Section 5.13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for any release of any material portion of the Collateral other than for fair value or as otherwise permitted hereunder or under the other Loan Documents.</w:t>
      </w:r>
    </w:p>
    <w:p>
      <w:pPr>
        <w:spacing w:after="0" w:line="187"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5" w:name="page286"/>
    <w:bookmarkEnd w:id="285"/>
    <w:p>
      <w:pPr>
        <w:jc w:val="both"/>
        <w:ind w:firstLine="1763"/>
        <w:spacing w:after="0" w:line="270" w:lineRule="auto"/>
        <w:tabs>
          <w:tab w:leader="none" w:pos="2643" w:val="left"/>
        </w:tabs>
        <w:numPr>
          <w:ilvl w:val="1"/>
          <w:numId w:val="281"/>
        </w:numPr>
        <w:rPr>
          <w:rFonts w:ascii="Arial" w:cs="Arial" w:eastAsia="Arial" w:hAnsi="Arial"/>
          <w:sz w:val="19"/>
          <w:szCs w:val="19"/>
          <w:color w:val="auto"/>
        </w:rPr>
      </w:pPr>
      <w:r>
        <w:rPr>
          <w:rFonts w:ascii="Arial" w:cs="Arial" w:eastAsia="Arial" w:hAnsi="Arial"/>
          <w:sz w:val="19"/>
          <w:szCs w:val="19"/>
          <w:u w:val="single" w:color="auto"/>
          <w:color w:val="auto"/>
        </w:rPr>
        <w:t>Amendments to Security Documents</w:t>
      </w:r>
      <w:r>
        <w:rPr>
          <w:rFonts w:ascii="Arial" w:cs="Arial" w:eastAsia="Arial" w:hAnsi="Arial"/>
          <w:sz w:val="19"/>
          <w:szCs w:val="19"/>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9"/>
          <w:szCs w:val="19"/>
          <w:u w:val="single" w:color="auto"/>
          <w:color w:val="auto"/>
        </w:rPr>
        <w:t>Section 2.08(e)</w:t>
      </w:r>
      <w:r>
        <w:rPr>
          <w:rFonts w:ascii="Arial" w:cs="Arial" w:eastAsia="Arial" w:hAnsi="Arial"/>
          <w:sz w:val="19"/>
          <w:szCs w:val="19"/>
          <w:color w:val="auto"/>
        </w:rPr>
        <w:t xml:space="preserve"> to an amount not greater than $1,750,000,000) except pursuant to an agreement or agreements in writing entered into by the Borrower, and by the Collateral Agent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without the written consent of each Lender, no such agreement shall release all or substantially all of the Obligors from their respective obligations under the Security Documents and</w:t>
      </w:r>
    </w:p>
    <w:p>
      <w:pPr>
        <w:spacing w:after="0" w:line="1" w:lineRule="exact"/>
        <w:rPr>
          <w:rFonts w:ascii="Arial" w:cs="Arial" w:eastAsia="Arial" w:hAnsi="Arial"/>
          <w:sz w:val="19"/>
          <w:szCs w:val="19"/>
          <w:color w:val="auto"/>
        </w:rPr>
      </w:pPr>
    </w:p>
    <w:p>
      <w:pPr>
        <w:jc w:val="both"/>
        <w:ind w:firstLine="8"/>
        <w:spacing w:after="0" w:line="271" w:lineRule="auto"/>
        <w:tabs>
          <w:tab w:leader="none" w:pos="33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 (z) to release (and to acknowledge the release of) all Liens and guarantees of Obligors upon the termination of this Agreement (including in connection with a complete refinancing).</w:t>
      </w:r>
    </w:p>
    <w:p>
      <w:pPr>
        <w:spacing w:after="0" w:line="158" w:lineRule="exact"/>
        <w:rPr>
          <w:rFonts w:ascii="Arial" w:cs="Arial" w:eastAsia="Arial" w:hAnsi="Arial"/>
          <w:sz w:val="19"/>
          <w:szCs w:val="19"/>
          <w:color w:val="auto"/>
        </w:rPr>
      </w:pPr>
    </w:p>
    <w:p>
      <w:pPr>
        <w:jc w:val="both"/>
        <w:ind w:firstLine="1763"/>
        <w:spacing w:after="0" w:line="277" w:lineRule="auto"/>
        <w:tabs>
          <w:tab w:leader="none" w:pos="2655" w:val="left"/>
        </w:tabs>
        <w:numPr>
          <w:ilvl w:val="1"/>
          <w:numId w:val="282"/>
        </w:numPr>
        <w:rPr>
          <w:rFonts w:ascii="Arial" w:cs="Arial" w:eastAsia="Arial" w:hAnsi="Arial"/>
          <w:sz w:val="19"/>
          <w:szCs w:val="19"/>
          <w:color w:val="auto"/>
        </w:rPr>
      </w:pPr>
      <w:r>
        <w:rPr>
          <w:rFonts w:ascii="Arial" w:cs="Arial" w:eastAsia="Arial" w:hAnsi="Arial"/>
          <w:sz w:val="19"/>
          <w:szCs w:val="19"/>
          <w:u w:val="single" w:color="auto"/>
          <w:color w:val="auto"/>
        </w:rPr>
        <w:t>Replacement of Non-Consenting Lender</w:t>
      </w:r>
      <w:r>
        <w:rPr>
          <w:rFonts w:ascii="Arial" w:cs="Arial" w:eastAsia="Arial" w:hAnsi="Arial"/>
          <w:sz w:val="19"/>
          <w:szCs w:val="19"/>
          <w:color w:val="auto"/>
        </w:rPr>
        <w:t xml:space="preserve">. If, in connection with any proposed change, waiver, discharge or termination to any of the provisions of this Agreement as contemplated by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so long as at the time of such replacement, each such replacement Lender consents to the proposed change, waiver, discharge or termination.</w:t>
      </w:r>
    </w:p>
    <w:p>
      <w:pPr>
        <w:spacing w:after="0" w:line="15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Expenses; Indemnity; Damage Waiver</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45" w:lineRule="auto"/>
        <w:tabs>
          <w:tab w:leader="none" w:pos="2643" w:val="left"/>
        </w:tabs>
        <w:numPr>
          <w:ilvl w:val="0"/>
          <w:numId w:val="283"/>
        </w:numPr>
        <w:rPr>
          <w:rFonts w:ascii="Arial" w:cs="Arial" w:eastAsia="Arial" w:hAnsi="Arial"/>
          <w:sz w:val="21"/>
          <w:szCs w:val="21"/>
          <w:color w:val="auto"/>
        </w:rPr>
      </w:pPr>
      <w:r>
        <w:rPr>
          <w:rFonts w:ascii="Arial" w:cs="Arial" w:eastAsia="Arial" w:hAnsi="Arial"/>
          <w:sz w:val="21"/>
          <w:szCs w:val="21"/>
          <w:u w:val="single" w:color="auto"/>
          <w:color w:val="auto"/>
        </w:rPr>
        <w:t>Costs and Expenses</w:t>
      </w:r>
      <w:r>
        <w:rPr>
          <w:rFonts w:ascii="Arial" w:cs="Arial" w:eastAsia="Arial" w:hAnsi="Arial"/>
          <w:sz w:val="21"/>
          <w:szCs w:val="21"/>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6" w:name="page287"/>
    <w:bookmarkEnd w:id="286"/>
    <w:p>
      <w:pPr>
        <w:jc w:val="both"/>
        <w:spacing w:after="0" w:line="246" w:lineRule="auto"/>
        <w:rPr>
          <w:sz w:val="20"/>
          <w:szCs w:val="20"/>
          <w:color w:val="auto"/>
        </w:rPr>
      </w:pPr>
      <w:r>
        <w:rPr>
          <w:rFonts w:ascii="Arial" w:cs="Arial" w:eastAsia="Arial" w:hAnsi="Arial"/>
          <w:sz w:val="21"/>
          <w:szCs w:val="21"/>
          <w:color w:val="auto"/>
        </w:rPr>
        <w:t>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81" w:lineRule="exact"/>
        <w:rPr>
          <w:sz w:val="20"/>
          <w:szCs w:val="20"/>
          <w:color w:val="auto"/>
        </w:rPr>
      </w:pPr>
    </w:p>
    <w:p>
      <w:pPr>
        <w:jc w:val="both"/>
        <w:ind w:firstLine="1763"/>
        <w:spacing w:after="0" w:line="269" w:lineRule="auto"/>
        <w:tabs>
          <w:tab w:leader="none" w:pos="2655" w:val="left"/>
        </w:tabs>
        <w:numPr>
          <w:ilvl w:val="0"/>
          <w:numId w:val="284"/>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xml:space="preserve">. The Borrower shall indemnify the Administrative Agent, each Issuing Bank, each Swingline Lender and each Lender, and each Related Party of any of the foregoing Persons (each such Person being called an “Indemnitee”)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fraud, willful misconduct or gross negligence of such Indemnitee. Notwithstanding the foregoing, it is understood and agreed that indemnification for Taxes is subject to the provisions of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87" w:name="page288"/>
    <w:bookmarkEnd w:id="287"/>
    <w:p>
      <w:pPr>
        <w:jc w:val="both"/>
        <w:ind w:firstLine="1755"/>
        <w:spacing w:after="0" w:line="238" w:lineRule="auto"/>
        <w:rPr>
          <w:sz w:val="20"/>
          <w:szCs w:val="20"/>
          <w:color w:val="auto"/>
        </w:rPr>
      </w:pPr>
      <w:r>
        <w:rPr>
          <w:rFonts w:ascii="Arial" w:cs="Arial" w:eastAsia="Arial" w:hAnsi="Arial"/>
          <w:sz w:val="22"/>
          <w:szCs w:val="22"/>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limitation shall not be deemed to impair or affect the Obligations of the Borrower under the preceding provisions of this subsection.</w:t>
      </w:r>
    </w:p>
    <w:p>
      <w:pPr>
        <w:spacing w:after="0" w:line="185" w:lineRule="exact"/>
        <w:rPr>
          <w:sz w:val="20"/>
          <w:szCs w:val="20"/>
          <w:color w:val="auto"/>
        </w:rPr>
      </w:pPr>
    </w:p>
    <w:p>
      <w:pPr>
        <w:jc w:val="both"/>
        <w:ind w:firstLine="1763"/>
        <w:spacing w:after="0" w:line="247" w:lineRule="auto"/>
        <w:tabs>
          <w:tab w:leader="none" w:pos="2643" w:val="left"/>
        </w:tabs>
        <w:numPr>
          <w:ilvl w:val="0"/>
          <w:numId w:val="285"/>
        </w:numPr>
        <w:rPr>
          <w:rFonts w:ascii="Arial" w:cs="Arial" w:eastAsia="Arial" w:hAnsi="Arial"/>
          <w:sz w:val="21"/>
          <w:szCs w:val="21"/>
          <w:color w:val="auto"/>
        </w:rPr>
      </w:pPr>
      <w:r>
        <w:rPr>
          <w:rFonts w:ascii="Arial" w:cs="Arial" w:eastAsia="Arial" w:hAnsi="Arial"/>
          <w:sz w:val="21"/>
          <w:szCs w:val="21"/>
          <w:u w:val="single" w:color="auto"/>
          <w:color w:val="auto"/>
        </w:rPr>
        <w:t>Reimbursement by Lenders</w:t>
      </w:r>
      <w:r>
        <w:rPr>
          <w:rFonts w:ascii="Arial" w:cs="Arial" w:eastAsia="Arial" w:hAnsi="Arial"/>
          <w:sz w:val="21"/>
          <w:szCs w:val="21"/>
          <w:color w:val="auto"/>
        </w:rPr>
        <w:t xml:space="preserve">. To the extent that the Borrower fails to pay any amount required to be paid by it to the Administrative Agent, any Issuing Bank or any Swingline Lender under </w:t>
      </w:r>
      <w:r>
        <w:rPr>
          <w:rFonts w:ascii="Arial" w:cs="Arial" w:eastAsia="Arial" w:hAnsi="Arial"/>
          <w:sz w:val="21"/>
          <w:szCs w:val="21"/>
          <w:u w:val="single" w:color="auto"/>
          <w:color w:val="auto"/>
        </w:rPr>
        <w:t>paragraph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this Section, each Lender severally agrees to pay to the Administrative Agent, the applicable Issuing Bank or the applicable Swingline Lender, as the case may be, such Lender’s Applicable Percentage (determined as of the time that the applicable unreimbursed expense or indemnity payment is sought) of such unpaid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unreimbursed expense or indemnified loss, claim, damage, liability or related expense, as the case may be, was incurred by or asserted against the Administrative Agent, the applicable Issuing Bank or the applicable Swingline Lender in its capacity as such.</w:t>
      </w:r>
    </w:p>
    <w:p>
      <w:pPr>
        <w:spacing w:after="0" w:line="178" w:lineRule="exact"/>
        <w:rPr>
          <w:rFonts w:ascii="Arial" w:cs="Arial" w:eastAsia="Arial" w:hAnsi="Arial"/>
          <w:sz w:val="21"/>
          <w:szCs w:val="21"/>
          <w:color w:val="auto"/>
        </w:rPr>
      </w:pPr>
    </w:p>
    <w:p>
      <w:pPr>
        <w:jc w:val="both"/>
        <w:ind w:firstLine="1763"/>
        <w:spacing w:after="0" w:line="245" w:lineRule="auto"/>
        <w:tabs>
          <w:tab w:leader="none" w:pos="2655" w:val="left"/>
        </w:tabs>
        <w:numPr>
          <w:ilvl w:val="0"/>
          <w:numId w:val="285"/>
        </w:numPr>
        <w:rPr>
          <w:rFonts w:ascii="Arial" w:cs="Arial" w:eastAsia="Arial" w:hAnsi="Arial"/>
          <w:sz w:val="21"/>
          <w:szCs w:val="21"/>
          <w:color w:val="auto"/>
        </w:rPr>
      </w:pPr>
      <w:r>
        <w:rPr>
          <w:rFonts w:ascii="Arial" w:cs="Arial" w:eastAsia="Arial" w:hAnsi="Arial"/>
          <w:sz w:val="21"/>
          <w:szCs w:val="21"/>
          <w:u w:val="single" w:color="auto"/>
          <w:color w:val="auto"/>
        </w:rPr>
        <w:t>Waiver of Consequential Damages, Etc</w:t>
      </w:r>
      <w:r>
        <w:rPr>
          <w:rFonts w:ascii="Arial" w:cs="Arial" w:eastAsia="Arial" w:hAnsi="Arial"/>
          <w:sz w:val="21"/>
          <w:szCs w:val="21"/>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85" w:lineRule="exact"/>
        <w:rPr>
          <w:rFonts w:ascii="Arial" w:cs="Arial" w:eastAsia="Arial" w:hAnsi="Arial"/>
          <w:sz w:val="21"/>
          <w:szCs w:val="21"/>
          <w:color w:val="auto"/>
        </w:rPr>
      </w:pPr>
    </w:p>
    <w:p>
      <w:pPr>
        <w:ind w:left="2660" w:hanging="897"/>
        <w:spacing w:after="0"/>
        <w:tabs>
          <w:tab w:leader="none" w:pos="2660" w:val="left"/>
        </w:tabs>
        <w:numPr>
          <w:ilvl w:val="0"/>
          <w:numId w:val="285"/>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amounts due under this Section shall be payable promptly after written demand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therefor.</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45" w:lineRule="auto"/>
        <w:tabs>
          <w:tab w:leader="none" w:pos="2643" w:val="left"/>
        </w:tabs>
        <w:numPr>
          <w:ilvl w:val="0"/>
          <w:numId w:val="286"/>
        </w:numPr>
        <w:rPr>
          <w:rFonts w:ascii="Arial" w:cs="Arial" w:eastAsia="Arial" w:hAnsi="Arial"/>
          <w:sz w:val="21"/>
          <w:szCs w:val="21"/>
          <w:color w:val="auto"/>
        </w:rPr>
      </w:pPr>
      <w:r>
        <w:rPr>
          <w:rFonts w:ascii="Arial" w:cs="Arial" w:eastAsia="Arial" w:hAnsi="Arial"/>
          <w:sz w:val="21"/>
          <w:szCs w:val="21"/>
          <w:u w:val="single" w:color="auto"/>
          <w:color w:val="auto"/>
        </w:rPr>
        <w:t>Assignments Generally</w:t>
      </w:r>
      <w:r>
        <w:rPr>
          <w:rFonts w:ascii="Arial" w:cs="Arial" w:eastAsia="Arial" w:hAnsi="Arial"/>
          <w:sz w:val="21"/>
          <w:szCs w:val="21"/>
          <w:color w:val="auto"/>
        </w:rPr>
        <w:t>.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8" w:name="page289"/>
    <w:bookmarkEnd w:id="288"/>
    <w:p>
      <w:pPr>
        <w:ind w:left="1780" w:hanging="897"/>
        <w:spacing w:after="0"/>
        <w:tabs>
          <w:tab w:leader="none" w:pos="1780" w:val="left"/>
        </w:tabs>
        <w:numPr>
          <w:ilvl w:val="1"/>
          <w:numId w:val="287"/>
        </w:numPr>
        <w:rPr>
          <w:rFonts w:ascii="Arial" w:cs="Arial" w:eastAsia="Arial" w:hAnsi="Arial"/>
          <w:sz w:val="22"/>
          <w:szCs w:val="22"/>
          <w:color w:val="auto"/>
        </w:rPr>
      </w:pPr>
      <w:r>
        <w:rPr>
          <w:rFonts w:ascii="Arial" w:cs="Arial" w:eastAsia="Arial" w:hAnsi="Arial"/>
          <w:sz w:val="22"/>
          <w:szCs w:val="22"/>
          <w:u w:val="single" w:color="auto"/>
          <w:color w:val="auto"/>
        </w:rPr>
        <w:t>Assignments by Lenders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16"/>
        <w:spacing w:after="0" w:line="235" w:lineRule="auto"/>
        <w:tabs>
          <w:tab w:leader="none" w:pos="1662" w:val="left"/>
        </w:tabs>
        <w:numPr>
          <w:ilvl w:val="0"/>
          <w:numId w:val="288"/>
        </w:numPr>
        <w:rPr>
          <w:rFonts w:ascii="Arial" w:cs="Arial" w:eastAsia="Arial" w:hAnsi="Arial"/>
          <w:sz w:val="22"/>
          <w:szCs w:val="22"/>
          <w:color w:val="auto"/>
        </w:rPr>
      </w:pPr>
      <w:r>
        <w:rPr>
          <w:rFonts w:ascii="Arial" w:cs="Arial" w:eastAsia="Arial" w:hAnsi="Arial"/>
          <w:sz w:val="22"/>
          <w:szCs w:val="22"/>
          <w:u w:val="single" w:color="auto"/>
          <w:color w:val="auto"/>
        </w:rPr>
        <w:t>Assignments Generally</w:t>
      </w:r>
      <w:r>
        <w:rPr>
          <w:rFonts w:ascii="Arial" w:cs="Arial" w:eastAsia="Arial" w:hAnsi="Arial"/>
          <w:sz w:val="22"/>
          <w:szCs w:val="22"/>
          <w:color w:val="auto"/>
        </w:rPr>
        <w:t xml:space="preserve">. Subject to the conditions set forth in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below, any Lender may assign to one or more assignees (other than natural persons (or a holding company, investments vehicle, investment vehicle or trust for, or owned and operated by or for the primary benefit of a natural Person)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188" w:lineRule="exact"/>
        <w:rPr>
          <w:rFonts w:ascii="Arial" w:cs="Arial" w:eastAsia="Arial" w:hAnsi="Arial"/>
          <w:sz w:val="22"/>
          <w:szCs w:val="22"/>
          <w:color w:val="auto"/>
        </w:rPr>
      </w:pPr>
    </w:p>
    <w:p>
      <w:pPr>
        <w:jc w:val="both"/>
        <w:ind w:left="880" w:firstLine="746"/>
        <w:spacing w:after="0" w:line="236" w:lineRule="auto"/>
        <w:tabs>
          <w:tab w:leader="none" w:pos="2571" w:val="left"/>
        </w:tabs>
        <w:numPr>
          <w:ilvl w:val="2"/>
          <w:numId w:val="288"/>
        </w:numPr>
        <w:rPr>
          <w:rFonts w:ascii="Arial" w:cs="Arial" w:eastAsia="Arial" w:hAnsi="Arial"/>
          <w:sz w:val="22"/>
          <w:szCs w:val="22"/>
          <w:color w:val="auto"/>
        </w:rPr>
      </w:pPr>
      <w:r>
        <w:rPr>
          <w:rFonts w:ascii="Arial" w:cs="Arial" w:eastAsia="Arial" w:hAnsi="Arial"/>
          <w:sz w:val="22"/>
          <w:szCs w:val="22"/>
          <w:color w:val="auto"/>
        </w:rPr>
        <w:t xml:space="preserve">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Borrower shall be required for an assignment to a Lender, an Affiliate of a Lender, or, if an Event of Default has occurred and is continuing, any other assignee;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the Borrower shall be deemed to have consented to any such assignment unless it shall have objected thereto by written notice to the Administrative Agent within ten Business Days after having received notice thereof; and</w:t>
      </w:r>
    </w:p>
    <w:p>
      <w:pPr>
        <w:spacing w:after="0" w:line="187" w:lineRule="exact"/>
        <w:rPr>
          <w:rFonts w:ascii="Arial" w:cs="Arial" w:eastAsia="Arial" w:hAnsi="Arial"/>
          <w:sz w:val="22"/>
          <w:szCs w:val="22"/>
          <w:color w:val="auto"/>
        </w:rPr>
      </w:pPr>
    </w:p>
    <w:p>
      <w:pPr>
        <w:jc w:val="both"/>
        <w:ind w:left="880" w:firstLine="746"/>
        <w:spacing w:after="0"/>
        <w:tabs>
          <w:tab w:leader="none" w:pos="2559" w:val="left"/>
        </w:tabs>
        <w:numPr>
          <w:ilvl w:val="2"/>
          <w:numId w:val="288"/>
        </w:numPr>
        <w:rPr>
          <w:rFonts w:ascii="Arial" w:cs="Arial" w:eastAsia="Arial" w:hAnsi="Arial"/>
          <w:sz w:val="22"/>
          <w:szCs w:val="22"/>
          <w:color w:val="auto"/>
        </w:rPr>
      </w:pPr>
      <w:r>
        <w:rPr>
          <w:rFonts w:ascii="Arial" w:cs="Arial" w:eastAsia="Arial" w:hAnsi="Arial"/>
          <w:sz w:val="22"/>
          <w:szCs w:val="22"/>
          <w:color w:val="auto"/>
        </w:rPr>
        <w:t xml:space="preserve">the Administrative Agent and each Issuing Bank: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or the Issuing Banks shall be required for an assignment by a Lender to an Affiliate of such Lender.</w:t>
      </w:r>
    </w:p>
    <w:p>
      <w:pPr>
        <w:spacing w:after="0" w:line="186" w:lineRule="exact"/>
        <w:rPr>
          <w:rFonts w:ascii="Arial" w:cs="Arial" w:eastAsia="Arial" w:hAnsi="Arial"/>
          <w:sz w:val="22"/>
          <w:szCs w:val="22"/>
          <w:color w:val="auto"/>
        </w:rPr>
      </w:pPr>
    </w:p>
    <w:p>
      <w:pPr>
        <w:ind w:left="1720" w:hanging="904"/>
        <w:spacing w:after="0"/>
        <w:tabs>
          <w:tab w:leader="none" w:pos="1720" w:val="left"/>
        </w:tabs>
        <w:numPr>
          <w:ilvl w:val="0"/>
          <w:numId w:val="288"/>
        </w:numPr>
        <w:rPr>
          <w:rFonts w:ascii="Arial" w:cs="Arial" w:eastAsia="Arial" w:hAnsi="Arial"/>
          <w:sz w:val="21"/>
          <w:szCs w:val="21"/>
          <w:color w:val="auto"/>
        </w:rPr>
      </w:pPr>
      <w:r>
        <w:rPr>
          <w:rFonts w:ascii="Arial" w:cs="Arial" w:eastAsia="Arial" w:hAnsi="Arial"/>
          <w:sz w:val="21"/>
          <w:szCs w:val="21"/>
          <w:u w:val="single" w:color="auto"/>
          <w:color w:val="auto"/>
        </w:rPr>
        <w:t>Certain Conditions to Assignments</w:t>
      </w:r>
      <w:r>
        <w:rPr>
          <w:rFonts w:ascii="Arial" w:cs="Arial" w:eastAsia="Arial" w:hAnsi="Arial"/>
          <w:sz w:val="21"/>
          <w:szCs w:val="21"/>
          <w:color w:val="auto"/>
        </w:rPr>
        <w:t>.  Assignments shall be subject to the following additional</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conditions:</w:t>
      </w:r>
    </w:p>
    <w:p>
      <w:pPr>
        <w:spacing w:after="0" w:line="188" w:lineRule="exact"/>
        <w:rPr>
          <w:rFonts w:ascii="Arial" w:cs="Arial" w:eastAsia="Arial" w:hAnsi="Arial"/>
          <w:sz w:val="21"/>
          <w:szCs w:val="21"/>
          <w:color w:val="auto"/>
        </w:rPr>
      </w:pPr>
    </w:p>
    <w:p>
      <w:pPr>
        <w:jc w:val="both"/>
        <w:ind w:left="880" w:firstLine="746"/>
        <w:spacing w:after="0" w:line="277" w:lineRule="auto"/>
        <w:tabs>
          <w:tab w:leader="none" w:pos="2571" w:val="left"/>
        </w:tabs>
        <w:numPr>
          <w:ilvl w:val="2"/>
          <w:numId w:val="288"/>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 shall be required if an Event of Default has occurred and is continuing;</w:t>
      </w:r>
    </w:p>
    <w:p>
      <w:pPr>
        <w:spacing w:after="0" w:line="152" w:lineRule="exact"/>
        <w:rPr>
          <w:rFonts w:ascii="Arial" w:cs="Arial" w:eastAsia="Arial" w:hAnsi="Arial"/>
          <w:sz w:val="19"/>
          <w:szCs w:val="19"/>
          <w:color w:val="auto"/>
        </w:rPr>
      </w:pPr>
    </w:p>
    <w:p>
      <w:pPr>
        <w:jc w:val="both"/>
        <w:ind w:left="880" w:firstLine="746"/>
        <w:spacing w:after="0" w:line="258" w:lineRule="auto"/>
        <w:tabs>
          <w:tab w:leader="none" w:pos="2559" w:val="left"/>
        </w:tabs>
        <w:numPr>
          <w:ilvl w:val="2"/>
          <w:numId w:val="288"/>
        </w:numPr>
        <w:rPr>
          <w:rFonts w:ascii="Arial" w:cs="Arial" w:eastAsia="Arial" w:hAnsi="Arial"/>
          <w:sz w:val="21"/>
          <w:szCs w:val="21"/>
          <w:color w:val="auto"/>
        </w:rPr>
      </w:pPr>
      <w:r>
        <w:rPr>
          <w:rFonts w:ascii="Arial" w:cs="Arial" w:eastAsia="Arial" w:hAnsi="Arial"/>
          <w:sz w:val="21"/>
          <w:szCs w:val="21"/>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66" w:lineRule="exact"/>
        <w:rPr>
          <w:rFonts w:ascii="Arial" w:cs="Arial" w:eastAsia="Arial" w:hAnsi="Arial"/>
          <w:sz w:val="21"/>
          <w:szCs w:val="21"/>
          <w:color w:val="auto"/>
        </w:rPr>
      </w:pPr>
    </w:p>
    <w:p>
      <w:pPr>
        <w:jc w:val="both"/>
        <w:ind w:left="880" w:firstLine="746"/>
        <w:spacing w:after="0" w:line="287" w:lineRule="auto"/>
        <w:tabs>
          <w:tab w:leader="none" w:pos="2559" w:val="left"/>
        </w:tabs>
        <w:numPr>
          <w:ilvl w:val="2"/>
          <w:numId w:val="288"/>
        </w:numPr>
        <w:rPr>
          <w:rFonts w:ascii="Arial" w:cs="Arial" w:eastAsia="Arial" w:hAnsi="Arial"/>
          <w:sz w:val="19"/>
          <w:szCs w:val="19"/>
          <w:color w:val="auto"/>
        </w:rPr>
      </w:pPr>
      <w:r>
        <w:rPr>
          <w:rFonts w:ascii="Arial" w:cs="Arial" w:eastAsia="Arial" w:hAnsi="Arial"/>
          <w:sz w:val="19"/>
          <w:szCs w:val="19"/>
          <w:color w:val="auto"/>
        </w:rPr>
        <w:t xml:space="preserve">the parties to each assignment shall execute and deliver to the Administrative Agent an Assignment and Assumption in substantially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together with a processing and recordation fee of U.S. $3,500 (which fee shall not be payable in connection with an assignment to a Lender or to an Affiliate of a Lender), for which the Borrower and the Guarantors shall not be obligated;</w:t>
      </w:r>
    </w:p>
    <w:p>
      <w:pPr>
        <w:spacing w:after="0" w:line="14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61" w:right="239" w:bottom="1440" w:gutter="0" w:footer="0" w:header="0"/>
        </w:sectPr>
      </w:pPr>
    </w:p>
    <w:bookmarkStart w:id="289" w:name="page290"/>
    <w:bookmarkEnd w:id="289"/>
    <w:p>
      <w:pPr>
        <w:ind w:left="1760" w:firstLine="746"/>
        <w:spacing w:after="0" w:line="251" w:lineRule="auto"/>
        <w:tabs>
          <w:tab w:leader="none" w:pos="3451" w:val="left"/>
        </w:tabs>
        <w:numPr>
          <w:ilvl w:val="2"/>
          <w:numId w:val="289"/>
        </w:numPr>
        <w:rPr>
          <w:rFonts w:ascii="Arial" w:cs="Arial" w:eastAsia="Arial" w:hAnsi="Arial"/>
          <w:sz w:val="22"/>
          <w:szCs w:val="22"/>
          <w:color w:val="auto"/>
        </w:rPr>
      </w:pPr>
      <w:r>
        <w:rPr>
          <w:rFonts w:ascii="Arial" w:cs="Arial" w:eastAsia="Arial" w:hAnsi="Arial"/>
          <w:sz w:val="22"/>
          <w:szCs w:val="22"/>
          <w:color w:val="auto"/>
        </w:rPr>
        <w:t>the assignee, if it shall not already be a Lender of the applicable Class, shall deliver to the Administrative Agent an Administrative Questionnaire; and</w:t>
      </w:r>
    </w:p>
    <w:p>
      <w:pPr>
        <w:spacing w:after="0" w:line="173" w:lineRule="exact"/>
        <w:rPr>
          <w:rFonts w:ascii="Arial" w:cs="Arial" w:eastAsia="Arial" w:hAnsi="Arial"/>
          <w:sz w:val="22"/>
          <w:szCs w:val="22"/>
          <w:color w:val="auto"/>
        </w:rPr>
      </w:pPr>
    </w:p>
    <w:p>
      <w:pPr>
        <w:ind w:left="1760" w:firstLine="746"/>
        <w:spacing w:after="0" w:line="251" w:lineRule="auto"/>
        <w:tabs>
          <w:tab w:leader="none" w:pos="3427" w:val="left"/>
        </w:tabs>
        <w:numPr>
          <w:ilvl w:val="2"/>
          <w:numId w:val="289"/>
        </w:numPr>
        <w:rPr>
          <w:rFonts w:ascii="Arial" w:cs="Arial" w:eastAsia="Arial" w:hAnsi="Arial"/>
          <w:sz w:val="22"/>
          <w:szCs w:val="22"/>
          <w:color w:val="auto"/>
        </w:rPr>
      </w:pPr>
      <w:r>
        <w:rPr>
          <w:rFonts w:ascii="Arial" w:cs="Arial" w:eastAsia="Arial" w:hAnsi="Arial"/>
          <w:sz w:val="22"/>
          <w:szCs w:val="22"/>
          <w:color w:val="auto"/>
        </w:rPr>
        <w:t>the assignee shall deliver to the Borrower and the Administrative Agent those documents specified in Section 2.16(f).</w:t>
      </w:r>
    </w:p>
    <w:p>
      <w:pPr>
        <w:spacing w:after="0" w:line="173" w:lineRule="exact"/>
        <w:rPr>
          <w:rFonts w:ascii="Arial" w:cs="Arial" w:eastAsia="Arial" w:hAnsi="Arial"/>
          <w:sz w:val="22"/>
          <w:szCs w:val="22"/>
          <w:color w:val="auto"/>
        </w:rPr>
      </w:pPr>
    </w:p>
    <w:p>
      <w:pPr>
        <w:ind w:left="2660" w:hanging="964"/>
        <w:spacing w:after="0"/>
        <w:tabs>
          <w:tab w:leader="none" w:pos="2660" w:val="left"/>
        </w:tabs>
        <w:numPr>
          <w:ilvl w:val="1"/>
          <w:numId w:val="290"/>
        </w:numPr>
        <w:rPr>
          <w:rFonts w:ascii="Arial" w:cs="Arial" w:eastAsia="Arial" w:hAnsi="Arial"/>
          <w:sz w:val="19"/>
          <w:szCs w:val="19"/>
          <w:color w:val="auto"/>
        </w:rPr>
      </w:pPr>
      <w:r>
        <w:rPr>
          <w:rFonts w:ascii="Arial" w:cs="Arial" w:eastAsia="Arial" w:hAnsi="Arial"/>
          <w:sz w:val="19"/>
          <w:szCs w:val="19"/>
          <w:u w:val="single" w:color="auto"/>
          <w:color w:val="auto"/>
        </w:rPr>
        <w:t>Effectiveness of Assignments</w:t>
      </w:r>
      <w:r>
        <w:rPr>
          <w:rFonts w:ascii="Arial" w:cs="Arial" w:eastAsia="Arial" w:hAnsi="Arial"/>
          <w:sz w:val="19"/>
          <w:szCs w:val="19"/>
          <w:color w:val="auto"/>
        </w:rPr>
        <w:t xml:space="preserve">.  Subject to acceptance and recording thereof pursuant to </w:t>
      </w:r>
      <w:r>
        <w:rPr>
          <w:rFonts w:ascii="Arial" w:cs="Arial" w:eastAsia="Arial" w:hAnsi="Arial"/>
          <w:sz w:val="19"/>
          <w:szCs w:val="19"/>
          <w:u w:val="single" w:color="auto"/>
          <w:color w:val="auto"/>
        </w:rPr>
        <w:t>paragraph</w:t>
      </w:r>
    </w:p>
    <w:p>
      <w:pPr>
        <w:spacing w:after="0" w:line="42" w:lineRule="exact"/>
        <w:rPr>
          <w:rFonts w:ascii="Arial" w:cs="Arial" w:eastAsia="Arial" w:hAnsi="Arial"/>
          <w:sz w:val="19"/>
          <w:szCs w:val="19"/>
          <w:color w:val="auto"/>
        </w:rPr>
      </w:pPr>
    </w:p>
    <w:p>
      <w:pPr>
        <w:jc w:val="both"/>
        <w:ind w:left="880" w:firstLine="5"/>
        <w:spacing w:after="0" w:line="268" w:lineRule="auto"/>
        <w:tabs>
          <w:tab w:leader="none" w:pos="1229" w:val="left"/>
        </w:tabs>
        <w:numPr>
          <w:ilvl w:val="0"/>
          <w:numId w:val="291"/>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Arial" w:cs="Arial" w:eastAsia="Arial" w:hAnsi="Arial"/>
          <w:sz w:val="19"/>
          <w:szCs w:val="19"/>
          <w:u w:val="single" w:color="auto"/>
          <w:color w:val="auto"/>
        </w:rPr>
        <w:t>Section 9.04(b)(ii)</w:t>
      </w:r>
      <w:r>
        <w:rPr>
          <w:rFonts w:ascii="Arial" w:cs="Arial" w:eastAsia="Arial" w:hAnsi="Arial"/>
          <w:sz w:val="19"/>
          <w:szCs w:val="19"/>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22" w:lineRule="exact"/>
        <w:rPr>
          <w:sz w:val="20"/>
          <w:szCs w:val="20"/>
          <w:color w:val="auto"/>
        </w:rPr>
      </w:pPr>
    </w:p>
    <w:p>
      <w:pPr>
        <w:jc w:val="both"/>
        <w:ind w:firstLine="1763"/>
        <w:spacing w:after="0" w:line="235" w:lineRule="auto"/>
        <w:tabs>
          <w:tab w:leader="none" w:pos="2643" w:val="left"/>
        </w:tabs>
        <w:numPr>
          <w:ilvl w:val="0"/>
          <w:numId w:val="292"/>
        </w:numPr>
        <w:rPr>
          <w:rFonts w:ascii="Arial" w:cs="Arial" w:eastAsia="Arial" w:hAnsi="Arial"/>
          <w:sz w:val="22"/>
          <w:szCs w:val="22"/>
          <w:color w:val="auto"/>
        </w:rPr>
      </w:pPr>
      <w:r>
        <w:rPr>
          <w:rFonts w:ascii="Arial" w:cs="Arial" w:eastAsia="Arial" w:hAnsi="Arial"/>
          <w:sz w:val="22"/>
          <w:szCs w:val="22"/>
          <w:u w:val="single" w:color="auto"/>
          <w:color w:val="auto"/>
        </w:rPr>
        <w:t>Maintenance of Registers by Administrative Agent</w:t>
      </w:r>
      <w:r>
        <w:rPr>
          <w:rFonts w:ascii="Arial" w:cs="Arial" w:eastAsia="Arial" w:hAnsi="Arial"/>
          <w:sz w:val="22"/>
          <w:szCs w:val="22"/>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22"/>
          <w:szCs w:val="22"/>
          <w:u w:val="single" w:color="auto"/>
          <w:color w:val="auto"/>
        </w:rPr>
        <w:t>Registers</w:t>
      </w:r>
      <w:r>
        <w:rPr>
          <w:rFonts w:ascii="Arial" w:cs="Arial" w:eastAsia="Arial" w:hAnsi="Arial"/>
          <w:sz w:val="22"/>
          <w:szCs w:val="22"/>
          <w:color w:val="auto"/>
        </w:rPr>
        <w:t>” and each individually, a “</w:t>
      </w:r>
      <w:r>
        <w:rPr>
          <w:rFonts w:ascii="Arial" w:cs="Arial" w:eastAsia="Arial" w:hAnsi="Arial"/>
          <w:sz w:val="22"/>
          <w:szCs w:val="22"/>
          <w:u w:val="single" w:color="auto"/>
          <w:color w:val="auto"/>
        </w:rPr>
        <w:t>Register</w:t>
      </w:r>
      <w:r>
        <w:rPr>
          <w:rFonts w:ascii="Arial" w:cs="Arial" w:eastAsia="Arial" w:hAnsi="Arial"/>
          <w:sz w:val="22"/>
          <w:szCs w:val="22"/>
          <w:color w:val="auto"/>
        </w:rPr>
        <w:t>”). The entries in the Registers shall be conclusive absent manifest error, and the Borrower,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90" w:name="page291"/>
    <w:bookmarkEnd w:id="290"/>
    <w:p>
      <w:pPr>
        <w:jc w:val="both"/>
        <w:spacing w:after="0" w:line="238" w:lineRule="auto"/>
        <w:rPr>
          <w:sz w:val="20"/>
          <w:szCs w:val="20"/>
          <w:color w:val="auto"/>
        </w:rPr>
      </w:pPr>
      <w:r>
        <w:rPr>
          <w:rFonts w:ascii="Arial" w:cs="Arial" w:eastAsia="Arial" w:hAnsi="Arial"/>
          <w:sz w:val="22"/>
          <w:szCs w:val="22"/>
          <w:color w:val="auto"/>
        </w:rPr>
        <w:t>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spacing w:after="0" w:line="185" w:lineRule="exact"/>
        <w:rPr>
          <w:sz w:val="20"/>
          <w:szCs w:val="20"/>
          <w:color w:val="auto"/>
        </w:rPr>
      </w:pPr>
    </w:p>
    <w:p>
      <w:pPr>
        <w:jc w:val="both"/>
        <w:ind w:firstLine="1763"/>
        <w:spacing w:after="0" w:line="273" w:lineRule="auto"/>
        <w:tabs>
          <w:tab w:leader="none" w:pos="2655" w:val="left"/>
        </w:tabs>
        <w:numPr>
          <w:ilvl w:val="1"/>
          <w:numId w:val="293"/>
        </w:numPr>
        <w:rPr>
          <w:rFonts w:ascii="Arial" w:cs="Arial" w:eastAsia="Arial" w:hAnsi="Arial"/>
          <w:sz w:val="19"/>
          <w:szCs w:val="19"/>
          <w:color w:val="auto"/>
        </w:rPr>
      </w:pPr>
      <w:r>
        <w:rPr>
          <w:rFonts w:ascii="Arial" w:cs="Arial" w:eastAsia="Arial" w:hAnsi="Arial"/>
          <w:sz w:val="19"/>
          <w:szCs w:val="19"/>
          <w:u w:val="single" w:color="auto"/>
          <w:color w:val="auto"/>
        </w:rPr>
        <w:t>Acceptance of Assignments by Administrative Agent</w:t>
      </w:r>
      <w:r>
        <w:rPr>
          <w:rFonts w:ascii="Arial" w:cs="Arial" w:eastAsia="Arial" w:hAnsi="Arial"/>
          <w:sz w:val="19"/>
          <w:szCs w:val="19"/>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9"/>
          <w:szCs w:val="19"/>
          <w:u w:val="single" w:color="auto"/>
          <w:color w:val="auto"/>
        </w:rPr>
        <w:t>paragraph</w:t>
      </w:r>
    </w:p>
    <w:p>
      <w:pPr>
        <w:spacing w:after="0" w:line="1" w:lineRule="exact"/>
        <w:rPr>
          <w:rFonts w:ascii="Arial" w:cs="Arial" w:eastAsia="Arial" w:hAnsi="Arial"/>
          <w:sz w:val="19"/>
          <w:szCs w:val="19"/>
          <w:color w:val="auto"/>
        </w:rPr>
      </w:pPr>
    </w:p>
    <w:p>
      <w:pPr>
        <w:jc w:val="both"/>
        <w:ind w:firstLine="8"/>
        <w:spacing w:after="0" w:line="287" w:lineRule="auto"/>
        <w:tabs>
          <w:tab w:leader="none" w:pos="314" w:val="left"/>
        </w:tabs>
        <w:numPr>
          <w:ilvl w:val="0"/>
          <w:numId w:val="294"/>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Section and any written consent to such assignment required by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43" w:lineRule="exact"/>
        <w:rPr>
          <w:rFonts w:ascii="Arial" w:cs="Arial" w:eastAsia="Arial" w:hAnsi="Arial"/>
          <w:sz w:val="19"/>
          <w:szCs w:val="19"/>
          <w:u w:val="single" w:color="auto"/>
          <w:color w:val="auto"/>
        </w:rPr>
      </w:pPr>
    </w:p>
    <w:p>
      <w:pPr>
        <w:jc w:val="both"/>
        <w:ind w:firstLine="1763"/>
        <w:spacing w:after="0" w:line="271" w:lineRule="auto"/>
        <w:tabs>
          <w:tab w:leader="none" w:pos="2643" w:val="left"/>
        </w:tabs>
        <w:numPr>
          <w:ilvl w:val="1"/>
          <w:numId w:val="294"/>
        </w:numPr>
        <w:rPr>
          <w:rFonts w:ascii="Arial" w:cs="Arial" w:eastAsia="Arial" w:hAnsi="Arial"/>
          <w:sz w:val="19"/>
          <w:szCs w:val="19"/>
          <w:color w:val="auto"/>
        </w:rPr>
      </w:pPr>
      <w:r>
        <w:rPr>
          <w:rFonts w:ascii="Arial" w:cs="Arial" w:eastAsia="Arial" w:hAnsi="Arial"/>
          <w:sz w:val="19"/>
          <w:szCs w:val="19"/>
          <w:u w:val="single" w:color="auto"/>
          <w:color w:val="auto"/>
        </w:rPr>
        <w:t>Special Purposes Vehicles</w:t>
      </w:r>
      <w:r>
        <w:rPr>
          <w:rFonts w:ascii="Arial" w:cs="Arial" w:eastAsia="Arial" w:hAnsi="Arial"/>
          <w:sz w:val="19"/>
          <w:szCs w:val="19"/>
          <w:color w:val="auto"/>
        </w:rPr>
        <w:t>. Notwithstanding anything to the contrary contained herein, any Lender (a “</w:t>
      </w:r>
      <w:r>
        <w:rPr>
          <w:rFonts w:ascii="Arial" w:cs="Arial" w:eastAsia="Arial" w:hAnsi="Arial"/>
          <w:sz w:val="19"/>
          <w:szCs w:val="19"/>
          <w:u w:val="single" w:color="auto"/>
          <w:color w:val="auto"/>
        </w:rPr>
        <w:t>Granting Lender</w:t>
      </w:r>
      <w:r>
        <w:rPr>
          <w:rFonts w:ascii="Arial" w:cs="Arial" w:eastAsia="Arial" w:hAnsi="Arial"/>
          <w:sz w:val="19"/>
          <w:szCs w:val="19"/>
          <w:color w:val="auto"/>
        </w:rPr>
        <w:t>”) may grant to a special purpose funding vehicle (an “</w:t>
      </w:r>
      <w:r>
        <w:rPr>
          <w:rFonts w:ascii="Arial" w:cs="Arial" w:eastAsia="Arial" w:hAnsi="Arial"/>
          <w:sz w:val="19"/>
          <w:szCs w:val="19"/>
          <w:u w:val="single" w:color="auto"/>
          <w:color w:val="auto"/>
        </w:rPr>
        <w:t>SPC</w:t>
      </w:r>
      <w:r>
        <w:rPr>
          <w:rFonts w:ascii="Arial" w:cs="Arial" w:eastAsia="Arial" w:hAnsi="Arial"/>
          <w:sz w:val="19"/>
          <w:szCs w:val="19"/>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65"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91" w:name="page292"/>
    <w:bookmarkEnd w:id="291"/>
    <w:p>
      <w:pPr>
        <w:jc w:val="both"/>
        <w:spacing w:after="0" w:line="235" w:lineRule="auto"/>
        <w:rPr>
          <w:sz w:val="20"/>
          <w:szCs w:val="20"/>
          <w:color w:val="auto"/>
        </w:rPr>
      </w:pPr>
      <w:r>
        <w:rPr>
          <w:rFonts w:ascii="Arial" w:cs="Arial" w:eastAsia="Arial" w:hAnsi="Arial"/>
          <w:sz w:val="22"/>
          <w:szCs w:val="22"/>
          <w:color w:val="auto"/>
        </w:rPr>
        <w:t xml:space="preserve">any) issued by such SPC to fund such Loans (but nothing contained herein shall be construed in derogation of the obligation of the Granting Lender to make Loans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22"/>
          <w:szCs w:val="22"/>
          <w:u w:val="single" w:color="auto"/>
          <w:color w:val="auto"/>
        </w:rPr>
        <w:t>paragraph (f)</w:t>
      </w:r>
      <w:r>
        <w:rPr>
          <w:rFonts w:ascii="Arial" w:cs="Arial" w:eastAsia="Arial" w:hAnsi="Arial"/>
          <w:sz w:val="22"/>
          <w:szCs w:val="22"/>
          <w:color w:val="auto"/>
        </w:rPr>
        <w:t xml:space="preserve"> below, and (ii) disclose on a confidential basis (in the same manner described in </w:t>
      </w:r>
      <w:r>
        <w:rPr>
          <w:rFonts w:ascii="Arial" w:cs="Arial" w:eastAsia="Arial" w:hAnsi="Arial"/>
          <w:sz w:val="22"/>
          <w:szCs w:val="22"/>
          <w:u w:val="single" w:color="auto"/>
          <w:color w:val="auto"/>
        </w:rPr>
        <w:t>Section 9.13(b)</w:t>
      </w:r>
      <w:r>
        <w:rPr>
          <w:rFonts w:ascii="Arial" w:cs="Arial" w:eastAsia="Arial" w:hAnsi="Arial"/>
          <w:sz w:val="22"/>
          <w:szCs w:val="22"/>
          <w:color w:val="auto"/>
        </w:rPr>
        <w:t>) any non-public information relating to its Loans to any rating agency, commercial paper dealer or provider of a surety, guarantee or credit or liquidity enhancement to such SPC.</w:t>
      </w:r>
    </w:p>
    <w:p>
      <w:pPr>
        <w:spacing w:after="0" w:line="188" w:lineRule="exact"/>
        <w:rPr>
          <w:sz w:val="20"/>
          <w:szCs w:val="20"/>
          <w:color w:val="auto"/>
        </w:rPr>
      </w:pPr>
    </w:p>
    <w:p>
      <w:pPr>
        <w:jc w:val="both"/>
        <w:ind w:firstLine="1763"/>
        <w:spacing w:after="0" w:line="270" w:lineRule="auto"/>
        <w:tabs>
          <w:tab w:leader="none" w:pos="2619" w:val="left"/>
        </w:tabs>
        <w:numPr>
          <w:ilvl w:val="1"/>
          <w:numId w:val="295"/>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with the consent of the Borrower (such consent not to be unreasonably withheld or delayed), sell participations to one or more banks or other entities (other than natural persons (or a holding company, investments vehicle, investment vehicle or trust for, or owned and operated by or for the primary benefit of a natural Person))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4" w:lineRule="exact"/>
        <w:rPr>
          <w:rFonts w:ascii="Arial" w:cs="Arial" w:eastAsia="Arial" w:hAnsi="Arial"/>
          <w:sz w:val="19"/>
          <w:szCs w:val="19"/>
          <w:color w:val="auto"/>
        </w:rPr>
      </w:pPr>
    </w:p>
    <w:p>
      <w:pPr>
        <w:jc w:val="both"/>
        <w:ind w:firstLine="8"/>
        <w:spacing w:after="0" w:line="268" w:lineRule="auto"/>
        <w:tabs>
          <w:tab w:leader="none" w:pos="306" w:val="left"/>
        </w:tabs>
        <w:numPr>
          <w:ilvl w:val="0"/>
          <w:numId w:val="296"/>
        </w:numPr>
        <w:rPr>
          <w:rFonts w:ascii="Arial" w:cs="Arial" w:eastAsia="Arial" w:hAnsi="Arial"/>
          <w:sz w:val="19"/>
          <w:szCs w:val="19"/>
          <w:color w:val="auto"/>
        </w:rPr>
      </w:pPr>
      <w:r>
        <w:rPr>
          <w:rFonts w:ascii="Arial" w:cs="Arial" w:eastAsia="Arial" w:hAnsi="Arial"/>
          <w:sz w:val="19"/>
          <w:szCs w:val="19"/>
          <w:color w:val="auto"/>
        </w:rPr>
        <w:t xml:space="preserve">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Banks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that affects such Participant. Subject to </w:t>
      </w:r>
      <w:r>
        <w:rPr>
          <w:rFonts w:ascii="Arial" w:cs="Arial" w:eastAsia="Arial" w:hAnsi="Arial"/>
          <w:sz w:val="19"/>
          <w:szCs w:val="19"/>
          <w:u w:val="single" w:color="auto"/>
          <w:color w:val="auto"/>
        </w:rPr>
        <w:t>paragraph (g)</w:t>
      </w:r>
      <w:r>
        <w:rPr>
          <w:rFonts w:ascii="Arial" w:cs="Arial" w:eastAsia="Arial" w:hAnsi="Arial"/>
          <w:sz w:val="19"/>
          <w:szCs w:val="19"/>
          <w:color w:val="auto"/>
        </w:rPr>
        <w:t xml:space="preserve"> of this Section, the Borrower agrees that each Participant shall be entitled to the benefits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shall not be entitled to receive any greater payment under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Participant shall be entitled to the benefits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unless the Borrower is notified of the participation granted to such Participant and such Participant shall have complied with the requirements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as if such Participant is a Lender. To the extent permitted by law, each Participant also shall be entitled to the benefits of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as though it were a Lender; provided such Participant agrees to be subject to </w:t>
      </w:r>
      <w:r>
        <w:rPr>
          <w:rFonts w:ascii="Arial" w:cs="Arial" w:eastAsia="Arial" w:hAnsi="Arial"/>
          <w:sz w:val="19"/>
          <w:szCs w:val="19"/>
          <w:u w:val="single" w:color="auto"/>
          <w:color w:val="auto"/>
        </w:rPr>
        <w:t>Section 2.17(d)</w:t>
      </w:r>
      <w:r>
        <w:rPr>
          <w:rFonts w:ascii="Arial" w:cs="Arial" w:eastAsia="Arial" w:hAnsi="Arial"/>
          <w:sz w:val="19"/>
          <w:szCs w:val="19"/>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provided that no Lender shall have any obligation to disclose all or any portion of the Participant Register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92" w:name="page293"/>
    <w:bookmarkEnd w:id="292"/>
    <w:p>
      <w:pPr>
        <w:jc w:val="both"/>
        <w:spacing w:after="0" w:line="277" w:lineRule="auto"/>
        <w:rPr>
          <w:sz w:val="20"/>
          <w:szCs w:val="20"/>
          <w:color w:val="auto"/>
        </w:rPr>
      </w:pPr>
      <w:r>
        <w:rPr>
          <w:rFonts w:ascii="Arial" w:cs="Arial" w:eastAsia="Arial" w:hAnsi="Arial"/>
          <w:sz w:val="19"/>
          <w:szCs w:val="19"/>
          <w:color w:val="auto"/>
        </w:rPr>
        <w:t>(including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3" w:lineRule="exact"/>
        <w:rPr>
          <w:sz w:val="20"/>
          <w:szCs w:val="20"/>
          <w:color w:val="auto"/>
        </w:rPr>
      </w:pPr>
    </w:p>
    <w:p>
      <w:pPr>
        <w:jc w:val="both"/>
        <w:ind w:firstLine="1763"/>
        <w:spacing w:after="0" w:line="274" w:lineRule="auto"/>
        <w:tabs>
          <w:tab w:leader="none" w:pos="2655"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Limitations on Rights of Participants</w:t>
      </w:r>
      <w:r>
        <w:rPr>
          <w:rFonts w:ascii="Arial" w:cs="Arial" w:eastAsia="Arial" w:hAnsi="Arial"/>
          <w:sz w:val="19"/>
          <w:szCs w:val="19"/>
          <w:color w:val="auto"/>
        </w:rPr>
        <w:t xml:space="preserve">. A Participant shall not be entitled to receive any greater payment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unless the Borrower is notified of the participation sold to such Participant and such Participant agrees, for the benefit of the Borrower, to comply with </w:t>
      </w:r>
      <w:r>
        <w:rPr>
          <w:rFonts w:ascii="Arial" w:cs="Arial" w:eastAsia="Arial" w:hAnsi="Arial"/>
          <w:sz w:val="19"/>
          <w:szCs w:val="19"/>
          <w:u w:val="single" w:color="auto"/>
          <w:color w:val="auto"/>
        </w:rPr>
        <w:t>paragraphs (e)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58" w:lineRule="exact"/>
        <w:rPr>
          <w:rFonts w:ascii="Arial" w:cs="Arial" w:eastAsia="Arial" w:hAnsi="Arial"/>
          <w:sz w:val="19"/>
          <w:szCs w:val="19"/>
          <w:color w:val="auto"/>
        </w:rPr>
      </w:pPr>
    </w:p>
    <w:p>
      <w:pPr>
        <w:jc w:val="both"/>
        <w:ind w:firstLine="1763"/>
        <w:spacing w:after="0" w:line="282" w:lineRule="auto"/>
        <w:tabs>
          <w:tab w:leader="none" w:pos="2655"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of a security interest shall release a Lender from any of its obligations hereunder or substitute any such assignee for such Lender as a party hereto.</w:t>
      </w:r>
    </w:p>
    <w:p>
      <w:pPr>
        <w:spacing w:after="0" w:line="147" w:lineRule="exact"/>
        <w:rPr>
          <w:rFonts w:ascii="Arial" w:cs="Arial" w:eastAsia="Arial" w:hAnsi="Arial"/>
          <w:sz w:val="19"/>
          <w:szCs w:val="19"/>
          <w:color w:val="auto"/>
        </w:rPr>
      </w:pPr>
    </w:p>
    <w:p>
      <w:pPr>
        <w:jc w:val="both"/>
        <w:ind w:firstLine="1763"/>
        <w:spacing w:after="0"/>
        <w:tabs>
          <w:tab w:leader="none" w:pos="2607" w:val="left"/>
        </w:tabs>
        <w:numPr>
          <w:ilvl w:val="0"/>
          <w:numId w:val="297"/>
        </w:numPr>
        <w:rPr>
          <w:rFonts w:ascii="Arial" w:cs="Arial" w:eastAsia="Arial" w:hAnsi="Arial"/>
          <w:sz w:val="22"/>
          <w:szCs w:val="22"/>
          <w:color w:val="auto"/>
        </w:rPr>
      </w:pPr>
      <w:r>
        <w:rPr>
          <w:rFonts w:ascii="Arial" w:cs="Arial" w:eastAsia="Arial" w:hAnsi="Arial"/>
          <w:sz w:val="22"/>
          <w:szCs w:val="22"/>
          <w:u w:val="single" w:color="auto"/>
          <w:color w:val="auto"/>
        </w:rPr>
        <w:t>No Assignments to the Borrower or Affiliates</w:t>
      </w:r>
      <w:r>
        <w:rPr>
          <w:rFonts w:ascii="Arial" w:cs="Arial" w:eastAsia="Arial" w:hAnsi="Arial"/>
          <w:sz w:val="22"/>
          <w:szCs w:val="22"/>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86"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 xml:space="preserve">SECTION 9.05. </w:t>
      </w:r>
      <w:r>
        <w:rPr>
          <w:rFonts w:ascii="Arial" w:cs="Arial" w:eastAsia="Arial" w:hAnsi="Arial"/>
          <w:sz w:val="21"/>
          <w:szCs w:val="21"/>
          <w:u w:val="single" w:color="auto"/>
          <w:color w:val="auto"/>
        </w:rPr>
        <w:t>Survival</w:t>
      </w:r>
      <w:r>
        <w:rPr>
          <w:rFonts w:ascii="Arial" w:cs="Arial" w:eastAsia="Arial" w:hAnsi="Arial"/>
          <w:sz w:val="21"/>
          <w:szCs w:val="21"/>
          <w:color w:val="auto"/>
        </w:rPr>
        <w:t>.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93" w:name="page294"/>
    <w:bookmarkEnd w:id="293"/>
    <w:p>
      <w:pPr>
        <w:jc w:val="both"/>
        <w:spacing w:after="0" w:line="238" w:lineRule="auto"/>
        <w:rPr>
          <w:sz w:val="20"/>
          <w:szCs w:val="20"/>
          <w:color w:val="auto"/>
        </w:rPr>
      </w:pPr>
      <w:r>
        <w:rPr>
          <w:rFonts w:ascii="Arial" w:cs="Arial" w:eastAsia="Arial" w:hAnsi="Arial"/>
          <w:sz w:val="22"/>
          <w:szCs w:val="22"/>
          <w:color w:val="auto"/>
        </w:rPr>
        <w:t xml:space="preserve">so long as the Commitments have not expired or terminated. The provisions of </w:t>
      </w:r>
      <w:r>
        <w:rPr>
          <w:rFonts w:ascii="Arial" w:cs="Arial" w:eastAsia="Arial" w:hAnsi="Arial"/>
          <w:sz w:val="22"/>
          <w:szCs w:val="22"/>
          <w:u w:val="single" w:color="auto"/>
          <w:color w:val="auto"/>
        </w:rPr>
        <w:t>Sections 2.14</w:t>
      </w:r>
      <w:r>
        <w:rPr>
          <w:rFonts w:ascii="Arial" w:cs="Arial" w:eastAsia="Arial" w:hAnsi="Arial"/>
          <w:sz w:val="22"/>
          <w:szCs w:val="22"/>
          <w:color w:val="auto"/>
        </w:rPr>
        <w:t xml:space="preserve">, </w:t>
      </w:r>
      <w:r>
        <w:rPr>
          <w:rFonts w:ascii="Arial" w:cs="Arial" w:eastAsia="Arial" w:hAnsi="Arial"/>
          <w:sz w:val="22"/>
          <w:szCs w:val="22"/>
          <w:u w:val="single" w:color="auto"/>
          <w:color w:val="auto"/>
        </w:rPr>
        <w:t>2.15</w:t>
      </w:r>
      <w:r>
        <w:rPr>
          <w:rFonts w:ascii="Arial" w:cs="Arial" w:eastAsia="Arial" w:hAnsi="Arial"/>
          <w:sz w:val="22"/>
          <w:szCs w:val="22"/>
          <w:color w:val="auto"/>
        </w:rPr>
        <w:t xml:space="preserve">, </w:t>
      </w:r>
      <w:r>
        <w:rPr>
          <w:rFonts w:ascii="Arial" w:cs="Arial" w:eastAsia="Arial" w:hAnsi="Arial"/>
          <w:sz w:val="22"/>
          <w:szCs w:val="22"/>
          <w:u w:val="single" w:color="auto"/>
          <w:color w:val="auto"/>
        </w:rPr>
        <w:t>2.16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9.03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8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9.06. </w:t>
      </w:r>
      <w:r>
        <w:rPr>
          <w:rFonts w:ascii="Arial" w:cs="Arial" w:eastAsia="Arial" w:hAnsi="Arial"/>
          <w:sz w:val="22"/>
          <w:szCs w:val="22"/>
          <w:u w:val="single" w:color="auto"/>
          <w:color w:val="auto"/>
        </w:rPr>
        <w:t>Counterparts; Integration; Effectiveness; Electronic Execution</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73" w:lineRule="auto"/>
        <w:tabs>
          <w:tab w:leader="none" w:pos="2643" w:val="left"/>
        </w:tabs>
        <w:numPr>
          <w:ilvl w:val="0"/>
          <w:numId w:val="298"/>
        </w:numPr>
        <w:rPr>
          <w:rFonts w:ascii="Arial" w:cs="Arial" w:eastAsia="Arial" w:hAnsi="Arial"/>
          <w:sz w:val="19"/>
          <w:szCs w:val="19"/>
          <w:color w:val="auto"/>
        </w:rPr>
      </w:pP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61" w:lineRule="exact"/>
        <w:rPr>
          <w:rFonts w:ascii="Arial" w:cs="Arial" w:eastAsia="Arial" w:hAnsi="Arial"/>
          <w:sz w:val="19"/>
          <w:szCs w:val="19"/>
          <w:color w:val="auto"/>
        </w:rPr>
      </w:pPr>
    </w:p>
    <w:p>
      <w:pPr>
        <w:jc w:val="both"/>
        <w:ind w:firstLine="1763"/>
        <w:spacing w:after="0" w:line="248" w:lineRule="auto"/>
        <w:tabs>
          <w:tab w:leader="none" w:pos="2655" w:val="left"/>
        </w:tabs>
        <w:numPr>
          <w:ilvl w:val="0"/>
          <w:numId w:val="298"/>
        </w:numPr>
        <w:rPr>
          <w:rFonts w:ascii="Arial" w:cs="Arial" w:eastAsia="Arial" w:hAnsi="Arial"/>
          <w:sz w:val="21"/>
          <w:szCs w:val="21"/>
          <w:color w:val="auto"/>
        </w:rPr>
      </w:pPr>
      <w:r>
        <w:rPr>
          <w:rFonts w:ascii="Arial" w:cs="Arial" w:eastAsia="Arial" w:hAnsi="Arial"/>
          <w:sz w:val="21"/>
          <w:szCs w:val="21"/>
          <w:u w:val="single" w:color="auto"/>
          <w:color w:val="auto"/>
        </w:rPr>
        <w:t>Electronic Execution of Assignments</w:t>
      </w:r>
      <w:r>
        <w:rPr>
          <w:rFonts w:ascii="Arial" w:cs="Arial" w:eastAsia="Arial" w:hAnsi="Arial"/>
          <w:sz w:val="21"/>
          <w:szCs w:val="21"/>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7"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5" w:lineRule="exact"/>
        <w:rPr>
          <w:sz w:val="20"/>
          <w:szCs w:val="20"/>
          <w:color w:val="auto"/>
        </w:rPr>
      </w:pPr>
    </w:p>
    <w:p>
      <w:pPr>
        <w:jc w:val="both"/>
        <w:ind w:firstLine="1755"/>
        <w:spacing w:after="0" w:line="275"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(x) all amounts so set off shall be paid over immediately to Administrative Agent for further application in accordance with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94" w:name="page295"/>
    <w:bookmarkEnd w:id="294"/>
    <w:p>
      <w:pPr>
        <w:jc w:val="both"/>
        <w:spacing w:after="0" w:line="247" w:lineRule="auto"/>
        <w:rPr>
          <w:sz w:val="20"/>
          <w:szCs w:val="20"/>
          <w:color w:val="auto"/>
        </w:rPr>
      </w:pPr>
      <w:r>
        <w:rPr>
          <w:rFonts w:ascii="Arial" w:cs="Arial" w:eastAsia="Arial" w:hAnsi="Arial"/>
          <w:sz w:val="21"/>
          <w:szCs w:val="21"/>
          <w:color w:val="auto"/>
        </w:rPr>
        <w:t xml:space="preserve">provisions of </w:t>
      </w:r>
      <w:r>
        <w:rPr>
          <w:rFonts w:ascii="Arial" w:cs="Arial" w:eastAsia="Arial" w:hAnsi="Arial"/>
          <w:sz w:val="21"/>
          <w:szCs w:val="21"/>
          <w:u w:val="single" w:color="auto"/>
          <w:color w:val="auto"/>
        </w:rPr>
        <w:t>Sections 2.17(d)</w:t>
      </w:r>
      <w:r>
        <w:rPr>
          <w:rFonts w:ascii="Arial" w:cs="Arial" w:eastAsia="Arial" w:hAnsi="Arial"/>
          <w:sz w:val="21"/>
          <w:szCs w:val="21"/>
          <w:color w:val="auto"/>
        </w:rPr>
        <w:t xml:space="preserve"> and, pending such payment, shall be segregated by such Defaulting Lender from its other funds and deemed held in trust for the benefit of Administrative Agent, the Issuing Banks,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give such notice shall not affect the validity of such setoff and application.</w:t>
      </w:r>
    </w:p>
    <w:p>
      <w:pPr>
        <w:spacing w:after="0" w:line="17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9.09. </w:t>
      </w:r>
      <w:r>
        <w:rPr>
          <w:rFonts w:ascii="Arial" w:cs="Arial" w:eastAsia="Arial" w:hAnsi="Arial"/>
          <w:sz w:val="22"/>
          <w:szCs w:val="22"/>
          <w:u w:val="single" w:color="auto"/>
          <w:color w:val="auto"/>
        </w:rPr>
        <w:t>Governing Law; Jurisdiction; Etc</w:t>
      </w:r>
      <w:r>
        <w:rPr>
          <w:rFonts w:ascii="Arial" w:cs="Arial" w:eastAsia="Arial" w:hAnsi="Arial"/>
          <w:sz w:val="22"/>
          <w:szCs w:val="22"/>
          <w:color w:val="auto"/>
        </w:rPr>
        <w:t>.</w:t>
      </w:r>
    </w:p>
    <w:p>
      <w:pPr>
        <w:spacing w:after="0" w:line="206" w:lineRule="exact"/>
        <w:rPr>
          <w:sz w:val="20"/>
          <w:szCs w:val="20"/>
          <w:color w:val="auto"/>
        </w:rPr>
      </w:pPr>
    </w:p>
    <w:p>
      <w:pPr>
        <w:ind w:left="2660" w:hanging="897"/>
        <w:spacing w:after="0"/>
        <w:tabs>
          <w:tab w:leader="none" w:pos="2660"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construed in accordance with and governed by the law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State of New York.</w:t>
      </w:r>
    </w:p>
    <w:p>
      <w:pPr>
        <w:spacing w:after="0" w:line="188" w:lineRule="exact"/>
        <w:rPr>
          <w:rFonts w:ascii="Arial" w:cs="Arial" w:eastAsia="Arial" w:hAnsi="Arial"/>
          <w:sz w:val="19"/>
          <w:szCs w:val="19"/>
          <w:color w:val="auto"/>
        </w:rPr>
      </w:pPr>
    </w:p>
    <w:p>
      <w:pPr>
        <w:jc w:val="both"/>
        <w:ind w:firstLine="1763"/>
        <w:spacing w:after="0" w:line="273" w:lineRule="auto"/>
        <w:tabs>
          <w:tab w:leader="none" w:pos="2655"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spacing w:after="0" w:line="161" w:lineRule="exact"/>
        <w:rPr>
          <w:rFonts w:ascii="Arial" w:cs="Arial" w:eastAsia="Arial" w:hAnsi="Arial"/>
          <w:sz w:val="19"/>
          <w:szCs w:val="19"/>
          <w:color w:val="auto"/>
        </w:rPr>
      </w:pPr>
    </w:p>
    <w:p>
      <w:pPr>
        <w:jc w:val="both"/>
        <w:ind w:firstLine="1763"/>
        <w:spacing w:after="0" w:line="236" w:lineRule="auto"/>
        <w:tabs>
          <w:tab w:leader="none" w:pos="2643"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Waiver of Venue</w:t>
      </w:r>
      <w:r>
        <w:rPr>
          <w:rFonts w:ascii="Arial" w:cs="Arial" w:eastAsia="Arial" w:hAnsi="Arial"/>
          <w:sz w:val="22"/>
          <w:szCs w:val="22"/>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87" w:lineRule="exact"/>
        <w:rPr>
          <w:rFonts w:ascii="Arial" w:cs="Arial" w:eastAsia="Arial" w:hAnsi="Arial"/>
          <w:sz w:val="22"/>
          <w:szCs w:val="22"/>
          <w:color w:val="auto"/>
        </w:rPr>
      </w:pPr>
    </w:p>
    <w:p>
      <w:pPr>
        <w:jc w:val="both"/>
        <w:ind w:firstLine="1763"/>
        <w:spacing w:after="0" w:line="236" w:lineRule="auto"/>
        <w:tabs>
          <w:tab w:leader="none" w:pos="2655"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Service of Process</w:t>
      </w:r>
      <w:r>
        <w:rPr>
          <w:rFonts w:ascii="Arial" w:cs="Arial" w:eastAsia="Arial" w:hAnsi="Arial"/>
          <w:sz w:val="22"/>
          <w:szCs w:val="22"/>
          <w:color w:val="auto"/>
        </w:rPr>
        <w:t xml:space="preserve">. Each party to this Agreement (i) irrevocably consents to service of process in the manner provided for notices in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and (ii) agrees that service as provided in the manner provided for notices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9.01</w:t>
      </w:r>
      <w:r>
        <w:rPr>
          <w:rFonts w:ascii="Arial" w:cs="Arial" w:eastAsia="Arial" w:hAnsi="Arial"/>
          <w:sz w:val="22"/>
          <w:szCs w:val="22"/>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8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WAIVES, TO THE FULLEST EXTENT PERMITTED BY APPLICABLE LAW, ANY RIGHT IT MAY HAVE TO A TRIAL BY JURY IN ANY LEGAL PROCEEDING DIRECTLY OR INDIRECTLY ARISING OUT OF OR RELATING TO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95" w:name="page296"/>
    <w:bookmarkEnd w:id="295"/>
    <w:p>
      <w:pPr>
        <w:jc w:val="both"/>
        <w:spacing w:after="0" w:line="246" w:lineRule="auto"/>
        <w:rPr>
          <w:sz w:val="20"/>
          <w:szCs w:val="20"/>
          <w:color w:val="auto"/>
        </w:rPr>
      </w:pPr>
      <w:r>
        <w:rPr>
          <w:rFonts w:ascii="Arial" w:cs="Arial" w:eastAsia="Arial" w:hAnsi="Arial"/>
          <w:sz w:val="21"/>
          <w:szCs w:val="21"/>
          <w:color w:val="auto"/>
        </w:rPr>
        <w:t>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ind w:firstLine="8"/>
        <w:spacing w:after="0" w:line="256" w:lineRule="auto"/>
        <w:tabs>
          <w:tab w:leader="none" w:pos="355" w:val="left"/>
        </w:tabs>
        <w:numPr>
          <w:ilvl w:val="0"/>
          <w:numId w:val="300"/>
        </w:numPr>
        <w:rPr>
          <w:rFonts w:ascii="Arial" w:cs="Arial" w:eastAsia="Arial" w:hAnsi="Arial"/>
          <w:sz w:val="21"/>
          <w:szCs w:val="21"/>
          <w:color w:val="auto"/>
        </w:rPr>
      </w:pPr>
      <w:r>
        <w:rPr>
          <w:rFonts w:ascii="Arial" w:cs="Arial" w:eastAsia="Arial" w:hAnsi="Arial"/>
          <w:sz w:val="21"/>
          <w:szCs w:val="21"/>
          <w:color w:val="auto"/>
        </w:rPr>
        <w:t>ACKNOWLEDGES THAT IT AND THE OTHER PARTIES HERETO HAVE BEEN INDUCED TO ENTER INTO THIS AGREEMENT BY, AMONG OTHER THINGS. THE MUTUAL WAIVERS AND CERTIFICATIONS IN THIS SECTION.</w:t>
      </w:r>
    </w:p>
    <w:p>
      <w:pPr>
        <w:spacing w:after="0" w:line="169"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u w:val="single" w:color="auto"/>
          <w:color w:val="auto"/>
        </w:rPr>
        <w:t>Judgment Currency</w:t>
      </w:r>
      <w:r>
        <w:rPr>
          <w:rFonts w:ascii="Arial" w:cs="Arial" w:eastAsia="Arial" w:hAnsi="Arial"/>
          <w:sz w:val="19"/>
          <w:szCs w:val="19"/>
          <w:color w:val="auto"/>
        </w:rPr>
        <w:t>. This is an international loan transaction in which the specification of Dollars or any Foreign Currency, as the case may be (the “</w:t>
      </w:r>
      <w:r>
        <w:rPr>
          <w:rFonts w:ascii="Arial" w:cs="Arial" w:eastAsia="Arial" w:hAnsi="Arial"/>
          <w:sz w:val="19"/>
          <w:szCs w:val="19"/>
          <w:u w:val="single" w:color="auto"/>
          <w:color w:val="auto"/>
        </w:rPr>
        <w:t>Specified Currency</w:t>
      </w:r>
      <w:r>
        <w:rPr>
          <w:rFonts w:ascii="Arial" w:cs="Arial" w:eastAsia="Arial" w:hAnsi="Arial"/>
          <w:sz w:val="19"/>
          <w:szCs w:val="19"/>
          <w:color w:val="auto"/>
        </w:rPr>
        <w:t>”), and payment in New York City or the country of the Specified Currency, as the case may be (the “</w:t>
      </w:r>
      <w:r>
        <w:rPr>
          <w:rFonts w:ascii="Arial" w:cs="Arial" w:eastAsia="Arial" w:hAnsi="Arial"/>
          <w:sz w:val="19"/>
          <w:szCs w:val="19"/>
          <w:u w:val="single" w:color="auto"/>
          <w:color w:val="auto"/>
        </w:rPr>
        <w:t>Specified Place</w:t>
      </w:r>
      <w:r>
        <w:rPr>
          <w:rFonts w:ascii="Arial" w:cs="Arial" w:eastAsia="Arial" w:hAnsi="Arial"/>
          <w:sz w:val="19"/>
          <w:szCs w:val="19"/>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9"/>
          <w:szCs w:val="19"/>
          <w:u w:val="single" w:color="auto"/>
          <w:color w:val="auto"/>
        </w:rPr>
        <w:t>Second Currency</w:t>
      </w:r>
      <w:r>
        <w:rPr>
          <w:rFonts w:ascii="Arial" w:cs="Arial" w:eastAsia="Arial" w:hAnsi="Arial"/>
          <w:sz w:val="19"/>
          <w:szCs w:val="19"/>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Arial" w:cs="Arial" w:eastAsia="Arial" w:hAnsi="Arial"/>
          <w:sz w:val="19"/>
          <w:szCs w:val="19"/>
          <w:u w:val="single" w:color="auto"/>
          <w:color w:val="auto"/>
        </w:rPr>
        <w:t>Entitled Person</w:t>
      </w:r>
      <w:r>
        <w:rPr>
          <w:rFonts w:ascii="Arial" w:cs="Arial" w:eastAsia="Arial" w:hAnsi="Arial"/>
          <w:sz w:val="19"/>
          <w:szCs w:val="19"/>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65"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9.13. </w:t>
      </w:r>
      <w:r>
        <w:rPr>
          <w:rFonts w:ascii="Arial" w:cs="Arial" w:eastAsia="Arial" w:hAnsi="Arial"/>
          <w:sz w:val="22"/>
          <w:szCs w:val="22"/>
          <w:u w:val="single" w:color="auto"/>
          <w:color w:val="auto"/>
        </w:rPr>
        <w:t>Treatment of Certain Information; No Fiduciary Duty; Confidentiality</w:t>
      </w:r>
      <w:r>
        <w:rPr>
          <w:rFonts w:ascii="Arial" w:cs="Arial" w:eastAsia="Arial" w:hAnsi="Arial"/>
          <w:sz w:val="22"/>
          <w:szCs w:val="22"/>
          <w:color w:val="auto"/>
        </w:rPr>
        <w:t>.</w:t>
      </w:r>
    </w:p>
    <w:p>
      <w:pPr>
        <w:spacing w:after="0" w:line="206" w:lineRule="exact"/>
        <w:rPr>
          <w:sz w:val="20"/>
          <w:szCs w:val="20"/>
          <w:color w:val="auto"/>
        </w:rPr>
      </w:pPr>
    </w:p>
    <w:p>
      <w:pPr>
        <w:jc w:val="both"/>
        <w:ind w:right="20" w:firstLine="1763"/>
        <w:spacing w:after="0" w:line="297" w:lineRule="auto"/>
        <w:tabs>
          <w:tab w:leader="none" w:pos="2643" w:val="left"/>
        </w:tabs>
        <w:numPr>
          <w:ilvl w:val="0"/>
          <w:numId w:val="301"/>
        </w:numPr>
        <w:rPr>
          <w:rFonts w:ascii="Arial" w:cs="Arial" w:eastAsia="Arial" w:hAnsi="Arial"/>
          <w:sz w:val="19"/>
          <w:szCs w:val="19"/>
          <w:color w:val="auto"/>
        </w:rPr>
      </w:pPr>
      <w:r>
        <w:rPr>
          <w:rFonts w:ascii="Arial" w:cs="Arial" w:eastAsia="Arial" w:hAnsi="Arial"/>
          <w:sz w:val="19"/>
          <w:szCs w:val="19"/>
          <w:u w:val="single" w:color="auto"/>
          <w:color w:val="auto"/>
        </w:rPr>
        <w:t>Treatment of Certain Information; No Fiduciary Duty; No Conflicts</w:t>
      </w:r>
      <w:r>
        <w:rPr>
          <w:rFonts w:ascii="Arial" w:cs="Arial" w:eastAsia="Arial" w:hAnsi="Arial"/>
          <w:sz w:val="19"/>
          <w:szCs w:val="19"/>
          <w:color w:val="auto"/>
        </w:rPr>
        <w:t>. The Borrower acknowledges that from time to time financial advisory, investment banking and other services may be offered or provided to the Borrower or one or more of its Subsidiaries (in connection with this Agreement or otherwise) by any Lender or by one or more subsidiaries 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96" w:name="page297"/>
    <w:bookmarkEnd w:id="296"/>
    <w:p>
      <w:pPr>
        <w:jc w:val="both"/>
        <w:spacing w:after="0" w:line="269" w:lineRule="auto"/>
        <w:rPr>
          <w:sz w:val="20"/>
          <w:szCs w:val="20"/>
          <w:color w:val="auto"/>
        </w:rPr>
      </w:pPr>
      <w:r>
        <w:rPr>
          <w:rFonts w:ascii="Arial" w:cs="Arial" w:eastAsia="Arial" w:hAnsi="Arial"/>
          <w:sz w:val="19"/>
          <w:szCs w:val="19"/>
          <w:color w:val="auto"/>
        </w:rPr>
        <w:t xml:space="preserve">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200" w:lineRule="exact"/>
        <w:rPr>
          <w:sz w:val="20"/>
          <w:szCs w:val="20"/>
          <w:color w:val="auto"/>
        </w:rPr>
      </w:pPr>
    </w:p>
    <w:p>
      <w:pPr>
        <w:spacing w:after="0" w:line="213" w:lineRule="exact"/>
        <w:rPr>
          <w:sz w:val="20"/>
          <w:szCs w:val="20"/>
          <w:color w:val="auto"/>
        </w:rPr>
      </w:pPr>
    </w:p>
    <w:p>
      <w:pPr>
        <w:jc w:val="both"/>
        <w:ind w:firstLine="1763"/>
        <w:spacing w:after="0" w:line="245" w:lineRule="auto"/>
        <w:tabs>
          <w:tab w:leader="none" w:pos="2655" w:val="left"/>
        </w:tabs>
        <w:numPr>
          <w:ilvl w:val="0"/>
          <w:numId w:val="302"/>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97" w:name="page298"/>
    <w:bookmarkEnd w:id="297"/>
    <w:p>
      <w:pPr>
        <w:jc w:val="both"/>
        <w:spacing w:after="0" w:line="274" w:lineRule="auto"/>
        <w:rPr>
          <w:sz w:val="20"/>
          <w:szCs w:val="20"/>
          <w:color w:val="auto"/>
        </w:rPr>
      </w:pPr>
      <w:r>
        <w:rPr>
          <w:rFonts w:ascii="Arial" w:cs="Arial" w:eastAsia="Arial" w:hAnsi="Arial"/>
          <w:sz w:val="19"/>
          <w:szCs w:val="19"/>
          <w:color w:val="auto"/>
        </w:rPr>
        <w:t>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w:t>
      </w:r>
    </w:p>
    <w:p>
      <w:pPr>
        <w:spacing w:after="0" w:line="159"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1"/>
          <w:szCs w:val="21"/>
          <w:color w:val="auto"/>
        </w:rPr>
        <w:t>For purposes of this Section, “</w:t>
      </w:r>
      <w:r>
        <w:rPr>
          <w:rFonts w:ascii="Arial" w:cs="Arial" w:eastAsia="Arial" w:hAnsi="Arial"/>
          <w:sz w:val="21"/>
          <w:szCs w:val="21"/>
          <w:u w:val="single" w:color="auto"/>
          <w:color w:val="auto"/>
        </w:rPr>
        <w:t>Information</w:t>
      </w:r>
      <w:r>
        <w:rPr>
          <w:rFonts w:ascii="Arial" w:cs="Arial" w:eastAsia="Arial" w:hAnsi="Arial"/>
          <w:sz w:val="21"/>
          <w:szCs w:val="21"/>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any Issuing Bank on a nonconfidential basis prior to disclosure by the Borrower or any of its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1" w:lineRule="exact"/>
        <w:rPr>
          <w:sz w:val="20"/>
          <w:szCs w:val="20"/>
          <w:color w:val="auto"/>
        </w:rPr>
      </w:pPr>
    </w:p>
    <w:p>
      <w:pPr>
        <w:jc w:val="both"/>
        <w:ind w:firstLine="1755"/>
        <w:spacing w:after="0" w:line="248" w:lineRule="exact"/>
        <w:rPr>
          <w:sz w:val="20"/>
          <w:szCs w:val="20"/>
          <w:color w:val="auto"/>
        </w:rPr>
      </w:pPr>
      <w:r>
        <w:rPr>
          <w:rFonts w:ascii="Arial" w:cs="Arial" w:eastAsia="Arial" w:hAnsi="Arial"/>
          <w:sz w:val="22"/>
          <w:szCs w:val="22"/>
          <w:color w:val="auto"/>
        </w:rPr>
        <w:t xml:space="preserve">SECTION 9.14. </w:t>
      </w:r>
      <w:r>
        <w:rPr>
          <w:rFonts w:ascii="Arial" w:cs="Arial" w:eastAsia="Arial" w:hAnsi="Arial"/>
          <w:sz w:val="22"/>
          <w:szCs w:val="22"/>
          <w:u w:val="single" w:color="auto"/>
          <w:color w:val="auto"/>
        </w:rPr>
        <w:t>USA PATRIOT Act</w:t>
      </w:r>
      <w:r>
        <w:rPr>
          <w:rFonts w:ascii="Arial" w:cs="Arial" w:eastAsia="Arial" w:hAnsi="Arial"/>
          <w:sz w:val="22"/>
          <w:szCs w:val="22"/>
          <w:color w:val="auto"/>
        </w:rPr>
        <w:t>. Each Lender hereby notifies the Borrower that pursuant to the requirements of the USA PATRIOT Act (Title III of Pub. L. 107</w:t>
      </w:r>
      <w:r>
        <w:rPr>
          <w:rFonts w:ascii="MS PGothic" w:cs="MS PGothic" w:eastAsia="MS PGothic" w:hAnsi="MS PGothic"/>
          <w:sz w:val="22"/>
          <w:szCs w:val="22"/>
          <w:color w:val="auto"/>
        </w:rPr>
        <w:t>‑</w:t>
      </w:r>
      <w:r>
        <w:rPr>
          <w:rFonts w:ascii="Arial" w:cs="Arial" w:eastAsia="Arial" w:hAnsi="Arial"/>
          <w:sz w:val="22"/>
          <w:szCs w:val="22"/>
          <w:color w:val="auto"/>
        </w:rPr>
        <w:t>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spacing w:after="0" w:line="188"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Effect of Amendment and Restatement of the Existing Credit Agreement</w:t>
      </w:r>
      <w:r>
        <w:rPr>
          <w:rFonts w:ascii="Arial" w:cs="Arial" w:eastAsia="Arial" w:hAnsi="Arial"/>
          <w:sz w:val="19"/>
          <w:szCs w:val="19"/>
          <w:color w:val="auto"/>
        </w:rPr>
        <w:t>. On the Effective Date, the Existing Credit Agreement shall be amended and restated in its entirety. The parties hereto acknowledge and agree that</w:t>
      </w:r>
    </w:p>
    <w:p>
      <w:pPr>
        <w:spacing w:after="0" w:line="2" w:lineRule="exact"/>
        <w:rPr>
          <w:sz w:val="20"/>
          <w:szCs w:val="20"/>
          <w:color w:val="auto"/>
        </w:rPr>
      </w:pPr>
    </w:p>
    <w:p>
      <w:pPr>
        <w:jc w:val="both"/>
        <w:ind w:firstLine="8"/>
        <w:spacing w:after="0" w:line="244" w:lineRule="auto"/>
        <w:tabs>
          <w:tab w:leader="none" w:pos="316" w:val="left"/>
        </w:tabs>
        <w:numPr>
          <w:ilvl w:val="0"/>
          <w:numId w:val="303"/>
        </w:numPr>
        <w:rPr>
          <w:rFonts w:ascii="Arial" w:cs="Arial" w:eastAsia="Arial" w:hAnsi="Arial"/>
          <w:sz w:val="21"/>
          <w:szCs w:val="21"/>
          <w:color w:val="auto"/>
        </w:rPr>
      </w:pPr>
      <w:r>
        <w:rPr>
          <w:rFonts w:ascii="Arial" w:cs="Arial" w:eastAsia="Arial" w:hAnsi="Arial"/>
          <w:sz w:val="21"/>
          <w:szCs w:val="21"/>
          <w:color w:val="auto"/>
        </w:rPr>
        <w:t>this Agreement and the other 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98" w:name="page299"/>
    <w:bookmarkEnd w:id="298"/>
    <w:p>
      <w:pPr>
        <w:jc w:val="both"/>
        <w:ind w:firstLine="1755"/>
        <w:spacing w:after="0" w:line="297" w:lineRule="auto"/>
        <w:rPr>
          <w:sz w:val="20"/>
          <w:szCs w:val="20"/>
          <w:color w:val="auto"/>
        </w:rPr>
      </w:pPr>
      <w:r>
        <w:rPr>
          <w:rFonts w:ascii="Arial" w:cs="Arial" w:eastAsia="Arial" w:hAnsi="Arial"/>
          <w:sz w:val="19"/>
          <w:szCs w:val="19"/>
          <w:color w:val="auto"/>
        </w:rPr>
        <w:t xml:space="preserve">SECTION 9.16. </w:t>
      </w:r>
      <w:r>
        <w:rPr>
          <w:rFonts w:ascii="Arial" w:cs="Arial" w:eastAsia="Arial" w:hAnsi="Arial"/>
          <w:sz w:val="19"/>
          <w:szCs w:val="19"/>
          <w:u w:val="single" w:color="auto"/>
          <w:color w:val="auto"/>
        </w:rPr>
        <w:t>Reaffirmation of Guarantee and Security Agreement</w:t>
      </w:r>
      <w:r>
        <w:rPr>
          <w:rFonts w:ascii="Arial" w:cs="Arial" w:eastAsia="Arial" w:hAnsi="Arial"/>
          <w:sz w:val="19"/>
          <w:szCs w:val="19"/>
          <w:color w:val="auto"/>
        </w:rPr>
        <w:t>. TC Lending, LLC hereby consents to the terms of this Agreement, confirms that its Guarantee under the Guarantee and Security Agreement remains unaltered and in full force and effect and hereby reaffirms, ratifies and confirms the terms and conditions of the Guarantee and Security Agreement.</w:t>
      </w:r>
    </w:p>
    <w:p>
      <w:pPr>
        <w:spacing w:after="0" w:line="134"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 xml:space="preserve">SECTION 9.17. </w:t>
      </w:r>
      <w:r>
        <w:rPr>
          <w:rFonts w:ascii="Arial" w:cs="Arial" w:eastAsia="Arial" w:hAnsi="Arial"/>
          <w:sz w:val="21"/>
          <w:szCs w:val="21"/>
          <w:u w:val="single" w:color="auto"/>
          <w:color w:val="auto"/>
        </w:rPr>
        <w:t>Acknowledgement and Consent to Bail-In of EEA Financial Institutions</w:t>
      </w:r>
      <w:r>
        <w:rPr>
          <w:rFonts w:ascii="Arial" w:cs="Arial" w:eastAsia="Arial" w:hAnsi="Arial"/>
          <w:sz w:val="21"/>
          <w:szCs w:val="21"/>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9" w:lineRule="exact"/>
        <w:rPr>
          <w:sz w:val="20"/>
          <w:szCs w:val="20"/>
          <w:color w:val="auto"/>
        </w:rPr>
      </w:pPr>
    </w:p>
    <w:p>
      <w:pPr>
        <w:ind w:firstLine="1763"/>
        <w:spacing w:after="0" w:line="328" w:lineRule="auto"/>
        <w:tabs>
          <w:tab w:leader="none" w:pos="2643" w:val="left"/>
        </w:tabs>
        <w:numPr>
          <w:ilvl w:val="0"/>
          <w:numId w:val="304"/>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5" w:lineRule="exact"/>
        <w:rPr>
          <w:rFonts w:ascii="Arial" w:cs="Arial" w:eastAsia="Arial" w:hAnsi="Arial"/>
          <w:sz w:val="19"/>
          <w:szCs w:val="19"/>
          <w:color w:val="auto"/>
        </w:rPr>
      </w:pPr>
    </w:p>
    <w:p>
      <w:pPr>
        <w:ind w:left="2660" w:hanging="897"/>
        <w:spacing w:after="0"/>
        <w:tabs>
          <w:tab w:leader="none" w:pos="266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06" w:lineRule="exact"/>
        <w:rPr>
          <w:rFonts w:ascii="Arial" w:cs="Arial" w:eastAsia="Arial" w:hAnsi="Arial"/>
          <w:sz w:val="22"/>
          <w:szCs w:val="22"/>
          <w:color w:val="auto"/>
        </w:rPr>
      </w:pPr>
    </w:p>
    <w:p>
      <w:pPr>
        <w:ind w:left="3360" w:hanging="854"/>
        <w:spacing w:after="0"/>
        <w:tabs>
          <w:tab w:leader="none" w:pos="3360" w:val="left"/>
        </w:tabs>
        <w:numPr>
          <w:ilvl w:val="1"/>
          <w:numId w:val="304"/>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jc w:val="both"/>
        <w:ind w:left="1760" w:firstLine="746"/>
        <w:spacing w:after="0" w:line="287" w:lineRule="auto"/>
        <w:tabs>
          <w:tab w:leader="none" w:pos="3415" w:val="left"/>
        </w:tabs>
        <w:numPr>
          <w:ilvl w:val="1"/>
          <w:numId w:val="304"/>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3" w:lineRule="exact"/>
        <w:rPr>
          <w:rFonts w:ascii="Arial" w:cs="Arial" w:eastAsia="Arial" w:hAnsi="Arial"/>
          <w:sz w:val="19"/>
          <w:szCs w:val="19"/>
          <w:color w:val="auto"/>
        </w:rPr>
      </w:pPr>
    </w:p>
    <w:p>
      <w:pPr>
        <w:ind w:left="1760" w:firstLine="746"/>
        <w:spacing w:after="0" w:line="251" w:lineRule="auto"/>
        <w:tabs>
          <w:tab w:leader="none" w:pos="3475" w:val="left"/>
        </w:tabs>
        <w:numPr>
          <w:ilvl w:val="1"/>
          <w:numId w:val="304"/>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73"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 xml:space="preserve">SECTION 9.18. </w:t>
      </w:r>
      <w:r>
        <w:rPr>
          <w:rFonts w:ascii="Arial" w:cs="Arial" w:eastAsia="Arial" w:hAnsi="Arial"/>
          <w:sz w:val="22"/>
          <w:szCs w:val="22"/>
          <w:u w:val="single" w:color="auto"/>
          <w:color w:val="auto"/>
        </w:rPr>
        <w:t>Certain ERISA Matters</w:t>
      </w:r>
      <w:r>
        <w:rPr>
          <w:rFonts w:ascii="Arial" w:cs="Arial" w:eastAsia="Arial" w:hAnsi="Arial"/>
          <w:sz w:val="22"/>
          <w:szCs w:val="22"/>
          <w:color w:val="auto"/>
        </w:rPr>
        <w:t>.</w:t>
      </w:r>
    </w:p>
    <w:p>
      <w:pPr>
        <w:spacing w:after="0" w:line="206" w:lineRule="exact"/>
        <w:rPr>
          <w:sz w:val="20"/>
          <w:szCs w:val="20"/>
          <w:color w:val="auto"/>
        </w:rPr>
      </w:pPr>
    </w:p>
    <w:p>
      <w:pPr>
        <w:jc w:val="both"/>
        <w:ind w:firstLine="1763"/>
        <w:spacing w:after="0" w:line="236" w:lineRule="auto"/>
        <w:tabs>
          <w:tab w:leader="none" w:pos="2643" w:val="left"/>
        </w:tabs>
        <w:numPr>
          <w:ilvl w:val="1"/>
          <w:numId w:val="305"/>
        </w:numPr>
        <w:rPr>
          <w:rFonts w:ascii="Arial" w:cs="Arial" w:eastAsia="Arial" w:hAnsi="Arial"/>
          <w:sz w:val="22"/>
          <w:szCs w:val="22"/>
          <w:color w:val="auto"/>
        </w:rPr>
      </w:pPr>
      <w:r>
        <w:rPr>
          <w:rFonts w:ascii="Arial" w:cs="Arial" w:eastAsia="Arial" w:hAnsi="Arial"/>
          <w:sz w:val="22"/>
          <w:szCs w:val="22"/>
          <w:color w:val="auto"/>
        </w:rPr>
        <w:t>Each Lender (x) represents and warrants, as of the later of the date such Person became a Lender party hereto and the Ninth Amendment Effective Date, to, and (y) covenants, from such date to the date such Person ceases being a Lender party hereto, for the benefit of, the Administrative Agent, each Joint Lead Arranger, and their respective Affiliates, and not, for the avoidance of doubt, to or for the benefit of the Borrower or any other Obligor, that at least one of the following is and will be true:</w:t>
      </w:r>
    </w:p>
    <w:p>
      <w:pPr>
        <w:spacing w:after="0" w:line="187" w:lineRule="exact"/>
        <w:rPr>
          <w:rFonts w:ascii="Arial" w:cs="Arial" w:eastAsia="Arial" w:hAnsi="Arial"/>
          <w:sz w:val="22"/>
          <w:szCs w:val="22"/>
          <w:color w:val="auto"/>
        </w:rPr>
      </w:pPr>
    </w:p>
    <w:p>
      <w:pPr>
        <w:jc w:val="both"/>
        <w:ind w:left="880" w:firstLine="816"/>
        <w:spacing w:after="0"/>
        <w:tabs>
          <w:tab w:leader="none" w:pos="2542" w:val="left"/>
        </w:tabs>
        <w:numPr>
          <w:ilvl w:val="0"/>
          <w:numId w:val="306"/>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29 CFR § 2510.3-101, as modified by Section 3(42) of ERISA) of one or more Benefit Plans in connection with the Loans, the Letters of Credit or the Commitments,</w:t>
      </w:r>
    </w:p>
    <w:p>
      <w:pPr>
        <w:spacing w:after="0" w:line="186" w:lineRule="exact"/>
        <w:rPr>
          <w:rFonts w:ascii="Arial" w:cs="Arial" w:eastAsia="Arial" w:hAnsi="Arial"/>
          <w:sz w:val="22"/>
          <w:szCs w:val="22"/>
          <w:color w:val="auto"/>
        </w:rPr>
      </w:pPr>
    </w:p>
    <w:p>
      <w:pPr>
        <w:jc w:val="both"/>
        <w:ind w:left="880" w:firstLine="816"/>
        <w:spacing w:after="0" w:line="297" w:lineRule="auto"/>
        <w:tabs>
          <w:tab w:leader="none" w:pos="2602"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99" w:name="page300"/>
    <w:bookmarkEnd w:id="299"/>
    <w:p>
      <w:pPr>
        <w:jc w:val="both"/>
        <w:ind w:left="880"/>
        <w:spacing w:after="0" w:line="252" w:lineRule="auto"/>
        <w:rPr>
          <w:sz w:val="20"/>
          <w:szCs w:val="20"/>
          <w:color w:val="auto"/>
        </w:rPr>
      </w:pPr>
      <w:r>
        <w:rPr>
          <w:rFonts w:ascii="Arial" w:cs="Arial" w:eastAsia="Arial" w:hAnsi="Arial"/>
          <w:sz w:val="21"/>
          <w:szCs w:val="21"/>
          <w:color w:val="auto"/>
        </w:rPr>
        <w:t>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4" w:lineRule="exact"/>
        <w:rPr>
          <w:sz w:val="20"/>
          <w:szCs w:val="20"/>
          <w:color w:val="auto"/>
        </w:rPr>
      </w:pPr>
    </w:p>
    <w:p>
      <w:pPr>
        <w:jc w:val="both"/>
        <w:ind w:left="880" w:firstLine="816"/>
        <w:spacing w:after="0" w:line="270" w:lineRule="auto"/>
        <w:tabs>
          <w:tab w:leader="none" w:pos="2662" w:val="left"/>
        </w:tabs>
        <w:numPr>
          <w:ilvl w:val="1"/>
          <w:numId w:val="307"/>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spacing w:after="0" w:line="4" w:lineRule="exact"/>
        <w:rPr>
          <w:rFonts w:ascii="Arial" w:cs="Arial" w:eastAsia="Arial" w:hAnsi="Arial"/>
          <w:sz w:val="19"/>
          <w:szCs w:val="19"/>
          <w:color w:val="auto"/>
        </w:rPr>
      </w:pPr>
    </w:p>
    <w:p>
      <w:pPr>
        <w:jc w:val="both"/>
        <w:ind w:left="880" w:firstLine="5"/>
        <w:spacing w:after="0" w:line="249" w:lineRule="auto"/>
        <w:tabs>
          <w:tab w:leader="none" w:pos="1196" w:val="left"/>
        </w:tabs>
        <w:numPr>
          <w:ilvl w:val="0"/>
          <w:numId w:val="308"/>
        </w:numPr>
        <w:rPr>
          <w:rFonts w:ascii="Arial" w:cs="Arial" w:eastAsia="Arial" w:hAnsi="Arial"/>
          <w:sz w:val="21"/>
          <w:szCs w:val="21"/>
          <w:color w:val="auto"/>
        </w:rPr>
      </w:pPr>
      <w:r>
        <w:rPr>
          <w:rFonts w:ascii="Arial" w:cs="Arial" w:eastAsia="Arial" w:hAnsi="Arial"/>
          <w:sz w:val="21"/>
          <w:szCs w:val="21"/>
          <w:color w:val="auto"/>
        </w:rPr>
        <w:t>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6" w:lineRule="exact"/>
        <w:rPr>
          <w:sz w:val="20"/>
          <w:szCs w:val="20"/>
          <w:color w:val="auto"/>
        </w:rPr>
      </w:pPr>
    </w:p>
    <w:p>
      <w:pPr>
        <w:ind w:left="880" w:firstLine="816"/>
        <w:spacing w:after="0" w:line="251" w:lineRule="auto"/>
        <w:tabs>
          <w:tab w:leader="none" w:pos="265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 with respect to the Loan Documents.</w:t>
      </w:r>
    </w:p>
    <w:p>
      <w:pPr>
        <w:spacing w:after="0" w:line="173" w:lineRule="exact"/>
        <w:rPr>
          <w:rFonts w:ascii="Arial" w:cs="Arial" w:eastAsia="Arial" w:hAnsi="Arial"/>
          <w:sz w:val="22"/>
          <w:szCs w:val="22"/>
          <w:color w:val="auto"/>
        </w:rPr>
      </w:pPr>
    </w:p>
    <w:p>
      <w:pPr>
        <w:jc w:val="both"/>
        <w:ind w:firstLine="1763"/>
        <w:spacing w:after="0" w:line="279" w:lineRule="auto"/>
        <w:tabs>
          <w:tab w:leader="none" w:pos="2655" w:val="left"/>
        </w:tabs>
        <w:numPr>
          <w:ilvl w:val="1"/>
          <w:numId w:val="309"/>
        </w:numPr>
        <w:rPr>
          <w:rFonts w:ascii="Arial" w:cs="Arial" w:eastAsia="Arial" w:hAnsi="Arial"/>
          <w:sz w:val="19"/>
          <w:szCs w:val="19"/>
          <w:color w:val="auto"/>
        </w:rPr>
      </w:pPr>
      <w:r>
        <w:rPr>
          <w:rFonts w:ascii="Arial" w:cs="Arial" w:eastAsia="Arial" w:hAnsi="Arial"/>
          <w:sz w:val="19"/>
          <w:szCs w:val="19"/>
          <w:color w:val="auto"/>
        </w:rPr>
        <w:t xml:space="preserve">In addition, unless </w:t>
      </w:r>
      <w:r>
        <w:rPr>
          <w:rFonts w:ascii="Arial" w:cs="Arial" w:eastAsia="Arial" w:hAnsi="Arial"/>
          <w:sz w:val="19"/>
          <w:szCs w:val="19"/>
          <w:u w:val="single" w:color="auto"/>
          <w:color w:val="auto"/>
        </w:rPr>
        <w:t>sub-clause (i)</w:t>
      </w:r>
      <w:r>
        <w:rPr>
          <w:rFonts w:ascii="Arial" w:cs="Arial" w:eastAsia="Arial" w:hAnsi="Arial"/>
          <w:sz w:val="19"/>
          <w:szCs w:val="19"/>
          <w:color w:val="auto"/>
        </w:rPr>
        <w:t xml:space="preserve"> in the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is true with respect to a Lender or such Lender has not provided another representation, warranty and covenant as provided in </w:t>
      </w:r>
      <w:r>
        <w:rPr>
          <w:rFonts w:ascii="Arial" w:cs="Arial" w:eastAsia="Arial" w:hAnsi="Arial"/>
          <w:sz w:val="19"/>
          <w:szCs w:val="19"/>
          <w:u w:val="single" w:color="auto"/>
          <w:color w:val="auto"/>
        </w:rPr>
        <w:t>sub-clause (iv)</w:t>
      </w:r>
      <w:r>
        <w:rPr>
          <w:rFonts w:ascii="Arial" w:cs="Arial" w:eastAsia="Arial" w:hAnsi="Arial"/>
          <w:sz w:val="19"/>
          <w:szCs w:val="19"/>
          <w:color w:val="auto"/>
        </w:rPr>
        <w:t xml:space="preserve"> in the immediately preceding </w:t>
      </w:r>
      <w:r>
        <w:rPr>
          <w:rFonts w:ascii="Arial" w:cs="Arial" w:eastAsia="Arial" w:hAnsi="Arial"/>
          <w:sz w:val="19"/>
          <w:szCs w:val="19"/>
          <w:u w:val="single" w:color="auto"/>
          <w:color w:val="auto"/>
        </w:rPr>
        <w:t>clause (a)</w:t>
      </w:r>
      <w:r>
        <w:rPr>
          <w:rFonts w:ascii="Arial" w:cs="Arial" w:eastAsia="Arial" w:hAnsi="Arial"/>
          <w:sz w:val="19"/>
          <w:szCs w:val="19"/>
          <w:color w:val="auto"/>
        </w:rPr>
        <w:t>, such Lender further (x) represents and warrants, as of the later of the date such Person became a Lender party hereto and the Ninth Amendment Effective Date, to, and (y) covenants, from such date to the date such Person ceases being a Lender party hereto, for the benefit of, the Administrative Agent, each Joint Lead Arranger, and their respective Affiliates, and not, for the avoidance of doubt, to or for the benefit of the Borrower or any other Obligor, that:</w:t>
      </w:r>
    </w:p>
    <w:p>
      <w:pPr>
        <w:spacing w:after="0" w:line="151" w:lineRule="exact"/>
        <w:rPr>
          <w:sz w:val="20"/>
          <w:szCs w:val="20"/>
          <w:color w:val="auto"/>
        </w:rPr>
      </w:pPr>
    </w:p>
    <w:p>
      <w:pPr>
        <w:jc w:val="both"/>
        <w:ind w:left="880" w:firstLine="816"/>
        <w:spacing w:after="0" w:line="297" w:lineRule="auto"/>
        <w:tabs>
          <w:tab w:leader="none" w:pos="2542" w:val="left"/>
        </w:tabs>
        <w:numPr>
          <w:ilvl w:val="0"/>
          <w:numId w:val="310"/>
        </w:numPr>
        <w:rPr>
          <w:rFonts w:ascii="Arial" w:cs="Arial" w:eastAsia="Arial" w:hAnsi="Arial"/>
          <w:sz w:val="19"/>
          <w:szCs w:val="19"/>
          <w:color w:val="auto"/>
        </w:rPr>
      </w:pPr>
      <w:r>
        <w:rPr>
          <w:rFonts w:ascii="Arial" w:cs="Arial" w:eastAsia="Arial" w:hAnsi="Arial"/>
          <w:sz w:val="19"/>
          <w:szCs w:val="19"/>
          <w:color w:val="auto"/>
        </w:rPr>
        <w:t>none of the Administrative Agent, the Joint Lead Arrangers,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34" w:lineRule="exact"/>
        <w:rPr>
          <w:rFonts w:ascii="Arial" w:cs="Arial" w:eastAsia="Arial" w:hAnsi="Arial"/>
          <w:sz w:val="19"/>
          <w:szCs w:val="19"/>
          <w:color w:val="auto"/>
        </w:rPr>
      </w:pPr>
    </w:p>
    <w:p>
      <w:pPr>
        <w:jc w:val="both"/>
        <w:ind w:left="880" w:firstLine="816"/>
        <w:spacing w:after="0" w:line="249" w:lineRule="auto"/>
        <w:tabs>
          <w:tab w:leader="none" w:pos="2602" w:val="left"/>
        </w:tabs>
        <w:numPr>
          <w:ilvl w:val="0"/>
          <w:numId w:val="310"/>
        </w:numPr>
        <w:rPr>
          <w:rFonts w:ascii="Arial" w:cs="Arial" w:eastAsia="Arial" w:hAnsi="Arial"/>
          <w:sz w:val="21"/>
          <w:szCs w:val="21"/>
          <w:color w:val="auto"/>
        </w:rPr>
      </w:pPr>
      <w:r>
        <w:rPr>
          <w:rFonts w:ascii="Arial" w:cs="Arial" w:eastAsia="Arial" w:hAnsi="Arial"/>
          <w:sz w:val="21"/>
          <w:szCs w:val="21"/>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00" w:name="page301"/>
    <w:bookmarkEnd w:id="300"/>
    <w:p>
      <w:pPr>
        <w:jc w:val="both"/>
        <w:ind w:left="880" w:firstLine="816"/>
        <w:spacing w:after="0" w:line="236" w:lineRule="auto"/>
        <w:tabs>
          <w:tab w:leader="none" w:pos="2662" w:val="left"/>
        </w:tabs>
        <w:numPr>
          <w:ilvl w:val="1"/>
          <w:numId w:val="311"/>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Secured Obligations (as defined in the Guarantee and Security Agreement)),</w:t>
      </w:r>
    </w:p>
    <w:p>
      <w:pPr>
        <w:spacing w:after="0" w:line="187" w:lineRule="exact"/>
        <w:rPr>
          <w:rFonts w:ascii="Arial" w:cs="Arial" w:eastAsia="Arial" w:hAnsi="Arial"/>
          <w:sz w:val="22"/>
          <w:szCs w:val="22"/>
          <w:color w:val="auto"/>
        </w:rPr>
      </w:pPr>
    </w:p>
    <w:p>
      <w:pPr>
        <w:jc w:val="both"/>
        <w:ind w:left="880" w:firstLine="816"/>
        <w:spacing w:after="0" w:line="236" w:lineRule="auto"/>
        <w:tabs>
          <w:tab w:leader="none" w:pos="2650" w:val="left"/>
        </w:tabs>
        <w:numPr>
          <w:ilvl w:val="1"/>
          <w:numId w:val="311"/>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87" w:lineRule="exact"/>
        <w:rPr>
          <w:rFonts w:ascii="Arial" w:cs="Arial" w:eastAsia="Arial" w:hAnsi="Arial"/>
          <w:sz w:val="22"/>
          <w:szCs w:val="22"/>
          <w:color w:val="auto"/>
        </w:rPr>
      </w:pPr>
    </w:p>
    <w:p>
      <w:pPr>
        <w:jc w:val="both"/>
        <w:ind w:left="880" w:firstLine="816"/>
        <w:spacing w:after="0"/>
        <w:tabs>
          <w:tab w:leader="none" w:pos="2590" w:val="left"/>
        </w:tabs>
        <w:numPr>
          <w:ilvl w:val="1"/>
          <w:numId w:val="311"/>
        </w:numPr>
        <w:rPr>
          <w:rFonts w:ascii="Arial" w:cs="Arial" w:eastAsia="Arial" w:hAnsi="Arial"/>
          <w:sz w:val="22"/>
          <w:szCs w:val="22"/>
          <w:color w:val="auto"/>
        </w:rPr>
      </w:pPr>
      <w:r>
        <w:rPr>
          <w:rFonts w:ascii="Arial" w:cs="Arial" w:eastAsia="Arial" w:hAnsi="Arial"/>
          <w:sz w:val="22"/>
          <w:szCs w:val="22"/>
          <w:color w:val="auto"/>
        </w:rPr>
        <w:t>no fee or other compensation is being paid directly to the Administrative Agent, any Joint Lead Arranger or any their respective Affiliates for investment advice (as opposed to other services) in connection with the Loans, the Letters of Credit, the Commitments or this Agreement.</w:t>
      </w:r>
    </w:p>
    <w:p>
      <w:pPr>
        <w:spacing w:after="0" w:line="186" w:lineRule="exact"/>
        <w:rPr>
          <w:rFonts w:ascii="Arial" w:cs="Arial" w:eastAsia="Arial" w:hAnsi="Arial"/>
          <w:sz w:val="22"/>
          <w:szCs w:val="22"/>
          <w:color w:val="auto"/>
        </w:rPr>
      </w:pPr>
    </w:p>
    <w:p>
      <w:pPr>
        <w:jc w:val="both"/>
        <w:ind w:firstLine="1763"/>
        <w:spacing w:after="0" w:line="270" w:lineRule="auto"/>
        <w:tabs>
          <w:tab w:leader="none" w:pos="2643" w:val="left"/>
        </w:tabs>
        <w:numPr>
          <w:ilvl w:val="2"/>
          <w:numId w:val="311"/>
        </w:numPr>
        <w:rPr>
          <w:rFonts w:ascii="Arial" w:cs="Arial" w:eastAsia="Arial" w:hAnsi="Arial"/>
          <w:sz w:val="19"/>
          <w:szCs w:val="19"/>
          <w:color w:val="auto"/>
        </w:rPr>
      </w:pPr>
      <w:r>
        <w:rPr>
          <w:rFonts w:ascii="Arial" w:cs="Arial" w:eastAsia="Arial" w:hAnsi="Arial"/>
          <w:sz w:val="19"/>
          <w:szCs w:val="19"/>
          <w:color w:val="auto"/>
        </w:rPr>
        <w:t>The Administrative Agent and each Joint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w:t>
      </w:r>
    </w:p>
    <w:p>
      <w:pPr>
        <w:spacing w:after="0" w:line="1" w:lineRule="exact"/>
        <w:rPr>
          <w:rFonts w:ascii="Arial" w:cs="Arial" w:eastAsia="Arial" w:hAnsi="Arial"/>
          <w:sz w:val="19"/>
          <w:szCs w:val="19"/>
          <w:color w:val="auto"/>
        </w:rPr>
      </w:pPr>
    </w:p>
    <w:p>
      <w:pPr>
        <w:jc w:val="both"/>
        <w:ind w:firstLine="8"/>
        <w:spacing w:after="0" w:line="245" w:lineRule="auto"/>
        <w:tabs>
          <w:tab w:leader="none" w:pos="431" w:val="left"/>
        </w:tabs>
        <w:numPr>
          <w:ilvl w:val="0"/>
          <w:numId w:val="312"/>
        </w:numPr>
        <w:rPr>
          <w:rFonts w:ascii="Arial" w:cs="Arial" w:eastAsia="Arial" w:hAnsi="Arial"/>
          <w:sz w:val="21"/>
          <w:szCs w:val="21"/>
          <w:color w:val="auto"/>
        </w:rPr>
      </w:pPr>
      <w:r>
        <w:rPr>
          <w:rFonts w:ascii="Arial" w:cs="Arial" w:eastAsia="Arial" w:hAnsi="Arial"/>
          <w:sz w:val="21"/>
          <w:szCs w:val="21"/>
          <w:color w:val="auto"/>
        </w:rPr>
        <w:t>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01" w:name="page302"/>
    <w:bookmarkEnd w:id="301"/>
    <w:p>
      <w:pPr>
        <w:jc w:val="both"/>
        <w:ind w:firstLine="1755"/>
        <w:spacing w:after="0" w:line="275" w:lineRule="auto"/>
        <w:rPr>
          <w:sz w:val="20"/>
          <w:szCs w:val="20"/>
          <w:color w:val="auto"/>
        </w:rPr>
      </w:pPr>
      <w:r>
        <w:rPr>
          <w:rFonts w:ascii="Arial" w:cs="Arial" w:eastAsia="Arial" w:hAnsi="Arial"/>
          <w:sz w:val="19"/>
          <w:szCs w:val="19"/>
          <w:color w:val="auto"/>
        </w:rPr>
        <w:t xml:space="preserve">SECTION 9.19.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Hedging Agreements or any other agreement or instrument 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8" w:lineRule="exact"/>
        <w:rPr>
          <w:sz w:val="20"/>
          <w:szCs w:val="20"/>
          <w:color w:val="auto"/>
        </w:rPr>
      </w:pPr>
    </w:p>
    <w:p>
      <w:pPr>
        <w:jc w:val="both"/>
        <w:ind w:firstLine="1763"/>
        <w:spacing w:after="0" w:line="272" w:lineRule="auto"/>
        <w:tabs>
          <w:tab w:leader="none" w:pos="2643" w:val="left"/>
        </w:tabs>
        <w:numPr>
          <w:ilvl w:val="1"/>
          <w:numId w:val="313"/>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7" w:lineRule="exact"/>
        <w:rPr>
          <w:rFonts w:ascii="Arial" w:cs="Arial" w:eastAsia="Arial" w:hAnsi="Arial"/>
          <w:sz w:val="19"/>
          <w:szCs w:val="19"/>
          <w:color w:val="auto"/>
        </w:rPr>
      </w:pPr>
    </w:p>
    <w:p>
      <w:pPr>
        <w:ind w:left="2660" w:hanging="897"/>
        <w:spacing w:after="0"/>
        <w:tabs>
          <w:tab w:leader="none" w:pos="2660" w:val="left"/>
        </w:tabs>
        <w:numPr>
          <w:ilvl w:val="1"/>
          <w:numId w:val="313"/>
        </w:numPr>
        <w:rPr>
          <w:rFonts w:ascii="Arial" w:cs="Arial" w:eastAsia="Arial" w:hAnsi="Arial"/>
          <w:sz w:val="22"/>
          <w:szCs w:val="22"/>
          <w:color w:val="auto"/>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9.19</w:t>
      </w:r>
      <w:r>
        <w:rPr>
          <w:rFonts w:ascii="Arial" w:cs="Arial" w:eastAsia="Arial" w:hAnsi="Arial"/>
          <w:sz w:val="22"/>
          <w:szCs w:val="22"/>
          <w:color w:val="auto"/>
        </w:rPr>
        <w:t>, the following terms have the following meanings:</w:t>
      </w:r>
    </w:p>
    <w:p>
      <w:pPr>
        <w:spacing w:after="0" w:line="206" w:lineRule="exact"/>
        <w:rPr>
          <w:rFonts w:ascii="Arial" w:cs="Arial" w:eastAsia="Arial" w:hAnsi="Arial"/>
          <w:sz w:val="22"/>
          <w:szCs w:val="22"/>
          <w:color w:val="auto"/>
        </w:rPr>
      </w:pPr>
    </w:p>
    <w:p>
      <w:pPr>
        <w:ind w:left="880" w:firstLine="816"/>
        <w:spacing w:after="0" w:line="251" w:lineRule="auto"/>
        <w:tabs>
          <w:tab w:leader="none" w:pos="2596" w:val="left"/>
        </w:tabs>
        <w:numPr>
          <w:ilvl w:val="0"/>
          <w:numId w:val="3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73" w:lineRule="exact"/>
        <w:rPr>
          <w:rFonts w:ascii="Arial" w:cs="Arial" w:eastAsia="Arial" w:hAnsi="Arial"/>
          <w:sz w:val="22"/>
          <w:szCs w:val="22"/>
          <w:color w:val="auto"/>
        </w:rPr>
      </w:pPr>
    </w:p>
    <w:p>
      <w:pPr>
        <w:ind w:left="2680" w:hanging="917"/>
        <w:spacing w:after="0"/>
        <w:tabs>
          <w:tab w:leader="none" w:pos="2680" w:val="left"/>
        </w:tabs>
        <w:numPr>
          <w:ilvl w:val="1"/>
          <w:numId w:val="3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w:t>
      </w:r>
    </w:p>
    <w:p>
      <w:pPr>
        <w:spacing w:after="0" w:line="206" w:lineRule="exact"/>
        <w:rPr>
          <w:rFonts w:ascii="Arial" w:cs="Arial" w:eastAsia="Arial" w:hAnsi="Arial"/>
          <w:sz w:val="22"/>
          <w:szCs w:val="22"/>
          <w:color w:val="auto"/>
        </w:rPr>
      </w:pPr>
    </w:p>
    <w:p>
      <w:pPr>
        <w:ind w:left="3460" w:hanging="954"/>
        <w:spacing w:after="0"/>
        <w:tabs>
          <w:tab w:leader="none" w:pos="3460" w:val="left"/>
        </w:tabs>
        <w:numPr>
          <w:ilvl w:val="2"/>
          <w:numId w:val="314"/>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 C.F.R.</w:t>
      </w:r>
    </w:p>
    <w:p>
      <w:pPr>
        <w:spacing w:after="0" w:line="42" w:lineRule="exact"/>
        <w:rPr>
          <w:rFonts w:ascii="Arial" w:cs="Arial" w:eastAsia="Arial" w:hAnsi="Arial"/>
          <w:sz w:val="19"/>
          <w:szCs w:val="19"/>
          <w:color w:val="auto"/>
        </w:rPr>
      </w:pPr>
    </w:p>
    <w:p>
      <w:pPr>
        <w:ind w:left="1760"/>
        <w:spacing w:after="0"/>
        <w:rPr>
          <w:rFonts w:ascii="Arial" w:cs="Arial" w:eastAsia="Arial" w:hAnsi="Arial"/>
          <w:sz w:val="19"/>
          <w:szCs w:val="19"/>
          <w:color w:val="auto"/>
        </w:rPr>
      </w:pPr>
      <w:r>
        <w:rPr>
          <w:rFonts w:ascii="Arial" w:cs="Arial" w:eastAsia="Arial" w:hAnsi="Arial"/>
          <w:sz w:val="22"/>
          <w:szCs w:val="22"/>
          <w:color w:val="auto"/>
        </w:rPr>
        <w:t>§ 252.82(b);</w:t>
      </w:r>
    </w:p>
    <w:p>
      <w:pPr>
        <w:spacing w:after="0" w:line="188" w:lineRule="exact"/>
        <w:rPr>
          <w:rFonts w:ascii="Arial" w:cs="Arial" w:eastAsia="Arial" w:hAnsi="Arial"/>
          <w:sz w:val="19"/>
          <w:szCs w:val="19"/>
          <w:color w:val="auto"/>
        </w:rPr>
      </w:pPr>
    </w:p>
    <w:p>
      <w:pPr>
        <w:ind w:left="3440" w:hanging="934"/>
        <w:spacing w:after="0"/>
        <w:tabs>
          <w:tab w:leader="none" w:pos="3440" w:val="left"/>
        </w:tabs>
        <w:numPr>
          <w:ilvl w:val="2"/>
          <w:numId w:val="314"/>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w:t>
      </w:r>
    </w:p>
    <w:p>
      <w:pPr>
        <w:spacing w:after="0" w:line="42" w:lineRule="exact"/>
        <w:rPr>
          <w:rFonts w:ascii="Arial" w:cs="Arial" w:eastAsia="Arial" w:hAnsi="Arial"/>
          <w:sz w:val="19"/>
          <w:szCs w:val="19"/>
          <w:color w:val="auto"/>
        </w:rPr>
      </w:pPr>
    </w:p>
    <w:p>
      <w:pPr>
        <w:ind w:left="1760"/>
        <w:spacing w:after="0"/>
        <w:rPr>
          <w:rFonts w:ascii="Arial" w:cs="Arial" w:eastAsia="Arial" w:hAnsi="Arial"/>
          <w:sz w:val="19"/>
          <w:szCs w:val="19"/>
          <w:color w:val="auto"/>
        </w:rPr>
      </w:pPr>
      <w:r>
        <w:rPr>
          <w:rFonts w:ascii="Arial" w:cs="Arial" w:eastAsia="Arial" w:hAnsi="Arial"/>
          <w:sz w:val="22"/>
          <w:szCs w:val="22"/>
          <w:color w:val="auto"/>
        </w:rPr>
        <w:t>§ 47.3(b); or</w:t>
      </w:r>
    </w:p>
    <w:p>
      <w:pPr>
        <w:spacing w:after="0" w:line="188" w:lineRule="exact"/>
        <w:rPr>
          <w:rFonts w:ascii="Arial" w:cs="Arial" w:eastAsia="Arial" w:hAnsi="Arial"/>
          <w:sz w:val="19"/>
          <w:szCs w:val="19"/>
          <w:color w:val="auto"/>
        </w:rPr>
      </w:pPr>
    </w:p>
    <w:p>
      <w:pPr>
        <w:ind w:left="3440" w:hanging="934"/>
        <w:spacing w:after="0"/>
        <w:tabs>
          <w:tab w:leader="none" w:pos="3440" w:val="left"/>
        </w:tabs>
        <w:numPr>
          <w:ilvl w:val="2"/>
          <w:numId w:val="314"/>
        </w:numPr>
        <w:rPr>
          <w:rFonts w:ascii="Arial" w:cs="Arial" w:eastAsia="Arial" w:hAnsi="Arial"/>
          <w:sz w:val="19"/>
          <w:szCs w:val="19"/>
          <w:color w:val="auto"/>
        </w:rPr>
      </w:pPr>
      <w:r>
        <w:rPr>
          <w:rFonts w:ascii="Arial" w:cs="Arial" w:eastAsia="Arial" w:hAnsi="Arial"/>
          <w:sz w:val="19"/>
          <w:szCs w:val="19"/>
          <w:color w:val="auto"/>
        </w:rPr>
        <w:t>a “covered FSI” as that term is defined in, and interpreted in accordance with, 12 C.F.R.</w:t>
      </w:r>
    </w:p>
    <w:p>
      <w:pPr>
        <w:spacing w:after="0" w:line="42" w:lineRule="exact"/>
        <w:rPr>
          <w:rFonts w:ascii="Arial" w:cs="Arial" w:eastAsia="Arial" w:hAnsi="Arial"/>
          <w:sz w:val="19"/>
          <w:szCs w:val="19"/>
          <w:color w:val="auto"/>
        </w:rPr>
      </w:pPr>
    </w:p>
    <w:p>
      <w:pPr>
        <w:ind w:left="1760"/>
        <w:spacing w:after="0"/>
        <w:rPr>
          <w:rFonts w:ascii="Arial" w:cs="Arial" w:eastAsia="Arial" w:hAnsi="Arial"/>
          <w:sz w:val="19"/>
          <w:szCs w:val="19"/>
          <w:color w:val="auto"/>
        </w:rPr>
      </w:pPr>
      <w:r>
        <w:rPr>
          <w:rFonts w:ascii="Arial" w:cs="Arial" w:eastAsia="Arial" w:hAnsi="Arial"/>
          <w:sz w:val="22"/>
          <w:szCs w:val="22"/>
          <w:color w:val="auto"/>
        </w:rPr>
        <w:t>§ 382.2(b).</w:t>
      </w:r>
    </w:p>
    <w:p>
      <w:pPr>
        <w:spacing w:after="0" w:line="188" w:lineRule="exact"/>
        <w:rPr>
          <w:sz w:val="20"/>
          <w:szCs w:val="20"/>
          <w:color w:val="auto"/>
        </w:rPr>
      </w:pPr>
    </w:p>
    <w:p>
      <w:pPr>
        <w:ind w:left="880" w:right="20" w:firstLine="816"/>
        <w:spacing w:after="0" w:line="251" w:lineRule="auto"/>
        <w:tabs>
          <w:tab w:leader="none" w:pos="2662" w:val="left"/>
        </w:tabs>
        <w:numPr>
          <w:ilvl w:val="0"/>
          <w:numId w:val="3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73" w:lineRule="exact"/>
        <w:rPr>
          <w:rFonts w:ascii="Arial" w:cs="Arial" w:eastAsia="Arial" w:hAnsi="Arial"/>
          <w:sz w:val="22"/>
          <w:szCs w:val="22"/>
          <w:color w:val="auto"/>
        </w:rPr>
      </w:pPr>
    </w:p>
    <w:p>
      <w:pPr>
        <w:ind w:left="880" w:right="20" w:firstLine="816"/>
        <w:spacing w:after="0" w:line="251" w:lineRule="auto"/>
        <w:tabs>
          <w:tab w:leader="none" w:pos="2650" w:val="left"/>
        </w:tabs>
        <w:numPr>
          <w:ilvl w:val="0"/>
          <w:numId w:val="3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420"/>
          </w:cols>
          <w:pgMar w:left="240" w:top="361" w:right="23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960" w:type="dxa"/>
            <w:vAlign w:val="bottom"/>
            <w:gridSpan w:val="3"/>
          </w:tcPr>
          <w:p>
            <w:pPr>
              <w:ind w:left="1060"/>
              <w:spacing w:after="0"/>
              <w:rPr>
                <w:sz w:val="20"/>
                <w:szCs w:val="20"/>
                <w:color w:val="auto"/>
              </w:rPr>
            </w:pPr>
            <w:r>
              <w:rPr>
                <w:rFonts w:ascii="Arial" w:cs="Arial" w:eastAsia="Arial" w:hAnsi="Arial"/>
                <w:sz w:val="18"/>
                <w:szCs w:val="18"/>
                <w:b w:val="1"/>
                <w:bCs w:val="1"/>
                <w:color w:val="auto"/>
              </w:rPr>
              <w:t>SUBSIDIARIES OF TPG SPECIALTY LENDING, INC.</w:t>
            </w:r>
          </w:p>
        </w:tc>
      </w:tr>
      <w:tr>
        <w:trPr>
          <w:trHeight w:val="365"/>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20" w:type="dxa"/>
            <w:vAlign w:val="bottom"/>
          </w:tcPr>
          <w:p>
            <w:pPr>
              <w:spacing w:after="0"/>
              <w:rPr>
                <w:sz w:val="16"/>
                <w:szCs w:val="16"/>
                <w:color w:val="auto"/>
              </w:rPr>
            </w:pPr>
          </w:p>
        </w:tc>
        <w:tc>
          <w:tcPr>
            <w:tcW w:w="2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TC Lending, LLC</w:t>
            </w:r>
          </w:p>
        </w:tc>
        <w:tc>
          <w:tcPr>
            <w:tcW w:w="3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TPG SL SPV, LLC</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TSL MR, LLC</w:t>
            </w: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337" w:right="2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TPG Specialty Lending, Inc.:</w:t>
      </w:r>
    </w:p>
    <w:p>
      <w:pPr>
        <w:spacing w:after="0" w:line="101" w:lineRule="exact"/>
        <w:rPr>
          <w:sz w:val="20"/>
          <w:szCs w:val="20"/>
          <w:color w:val="auto"/>
        </w:rPr>
      </w:pPr>
    </w:p>
    <w:p>
      <w:pPr>
        <w:ind w:firstLine="299"/>
        <w:spacing w:after="0" w:line="255" w:lineRule="auto"/>
        <w:rPr>
          <w:sz w:val="20"/>
          <w:szCs w:val="20"/>
          <w:color w:val="auto"/>
        </w:rPr>
      </w:pPr>
      <w:r>
        <w:rPr>
          <w:rFonts w:ascii="Arial" w:cs="Arial" w:eastAsia="Arial" w:hAnsi="Arial"/>
          <w:sz w:val="17"/>
          <w:szCs w:val="17"/>
          <w:color w:val="auto"/>
        </w:rPr>
        <w:t>We consent to the incorporation by reference in the registration statement on Form N-2 of TPG Specialty Lending, Inc. of our report, dated February 19, 2020, with respect to the consolidated financial statements and the effectiveness of internal control over financial reporting, which appears in the annual report on Form 10-K of TPG Specialty Lending, Inc. for the year ended December 31, 2019, and to the use of our report dated February 19, 2020 on the senior securities table included herein as an exhibit to the Form 10-K. We also consent to the references to our firm under the headings “Senior Securities” and “Controls and Procedures” in the Form 10-K.</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KPMG LLP</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19, 2020</w:t>
      </w:r>
    </w:p>
    <w:p>
      <w:pPr>
        <w:sectPr>
          <w:pgSz w:w="11900" w:h="16838" w:orient="portrait"/>
          <w:cols w:equalWidth="0" w:num="1">
            <w:col w:w="11420"/>
          </w:cols>
          <w:pgMar w:left="240" w:top="121" w:right="2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60" w:hanging="515"/>
        <w:spacing w:after="0" w:line="308" w:lineRule="auto"/>
        <w:tabs>
          <w:tab w:leader="none" w:pos="78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40" w:hanging="522"/>
        <w:spacing w:after="0" w:line="342" w:lineRule="auto"/>
        <w:tabs>
          <w:tab w:leader="none" w:pos="130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225" w:lineRule="exact"/>
        <w:rPr>
          <w:sz w:val="20"/>
          <w:szCs w:val="20"/>
          <w:color w:val="auto"/>
        </w:rPr>
      </w:pPr>
    </w:p>
    <w:p>
      <w:pPr>
        <w:ind w:left="6280"/>
        <w:spacing w:after="0"/>
        <w:tabs>
          <w:tab w:leader="none" w:pos="6760" w:val="left"/>
        </w:tabs>
        <w:rPr>
          <w:sz w:val="20"/>
          <w:szCs w:val="20"/>
          <w:color w:val="auto"/>
        </w:rPr>
      </w:pPr>
      <w:r>
        <w:rPr>
          <w:rFonts w:ascii="Arial" w:cs="Arial" w:eastAsia="Arial" w:hAnsi="Arial"/>
          <w:sz w:val="18"/>
          <w:szCs w:val="18"/>
          <w:color w:val="auto"/>
        </w:rPr>
        <w:t>By:</w:t>
        <w:tab/>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OSHUA</w:t>
      </w:r>
      <w:r>
        <w:rPr>
          <w:rFonts w:ascii="Arial" w:cs="Arial" w:eastAsia="Arial" w:hAnsi="Arial"/>
          <w:sz w:val="18"/>
          <w:szCs w:val="18"/>
          <w:color w:val="auto"/>
        </w:rPr>
        <w:t xml:space="preserve"> E</w:t>
      </w:r>
      <w:r>
        <w:rPr>
          <w:rFonts w:ascii="Arial" w:cs="Arial" w:eastAsia="Arial" w:hAnsi="Arial"/>
          <w:sz w:val="13"/>
          <w:szCs w:val="13"/>
          <w:color w:val="auto"/>
        </w:rPr>
        <w:t>ASTERLY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60" w:hanging="515"/>
        <w:spacing w:after="0" w:line="308" w:lineRule="auto"/>
        <w:tabs>
          <w:tab w:leader="none" w:pos="78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40" w:hanging="522"/>
        <w:spacing w:after="0" w:line="342" w:lineRule="auto"/>
        <w:tabs>
          <w:tab w:leader="none" w:pos="130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I</w:t>
      </w:r>
      <w:r>
        <w:rPr>
          <w:rFonts w:ascii="Arial" w:cs="Arial" w:eastAsia="Arial" w:hAnsi="Arial"/>
          <w:sz w:val="13"/>
          <w:szCs w:val="13"/>
          <w:color w:val="auto"/>
        </w:rPr>
        <w:t>AN</w:t>
      </w:r>
      <w:r>
        <w:rPr>
          <w:rFonts w:ascii="Arial" w:cs="Arial" w:eastAsia="Arial" w:hAnsi="Arial"/>
          <w:sz w:val="18"/>
          <w:szCs w:val="18"/>
          <w:color w:val="auto"/>
        </w:rPr>
        <w:t xml:space="preserve"> S</w:t>
      </w:r>
      <w:r>
        <w:rPr>
          <w:rFonts w:ascii="Arial" w:cs="Arial" w:eastAsia="Arial" w:hAnsi="Arial"/>
          <w:sz w:val="13"/>
          <w:szCs w:val="13"/>
          <w:color w:val="auto"/>
        </w:rPr>
        <w:t>IMMONDS</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-130810</wp:posOffset>
            </wp:positionV>
            <wp:extent cx="30187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on Form 10-K of TPG Specialty Lending, Inc. (the “Company”) for the annual period ended December 31, 2019,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515"/>
        <w:spacing w:after="0"/>
        <w:tabs>
          <w:tab w:leader="none" w:pos="7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780" w:hanging="515"/>
        <w:spacing w:after="0"/>
        <w:tabs>
          <w:tab w:leader="none" w:pos="78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OSHUA</w:t>
      </w:r>
      <w:r>
        <w:rPr>
          <w:rFonts w:ascii="Arial" w:cs="Arial" w:eastAsia="Arial" w:hAnsi="Arial"/>
          <w:sz w:val="18"/>
          <w:szCs w:val="18"/>
          <w:color w:val="auto"/>
        </w:rPr>
        <w:t xml:space="preserve"> E</w:t>
      </w:r>
      <w:r>
        <w:rPr>
          <w:rFonts w:ascii="Arial" w:cs="Arial" w:eastAsia="Arial" w:hAnsi="Arial"/>
          <w:sz w:val="13"/>
          <w:szCs w:val="13"/>
          <w:color w:val="auto"/>
        </w:rPr>
        <w:t>ASTERLY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2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I</w:t>
      </w:r>
      <w:r>
        <w:rPr>
          <w:rFonts w:ascii="Arial" w:cs="Arial" w:eastAsia="Arial" w:hAnsi="Arial"/>
          <w:sz w:val="13"/>
          <w:szCs w:val="13"/>
          <w:color w:val="auto"/>
        </w:rPr>
        <w:t>AN</w:t>
      </w:r>
      <w:r>
        <w:rPr>
          <w:rFonts w:ascii="Arial" w:cs="Arial" w:eastAsia="Arial" w:hAnsi="Arial"/>
          <w:sz w:val="18"/>
          <w:szCs w:val="18"/>
          <w:color w:val="auto"/>
        </w:rPr>
        <w:t xml:space="preserve"> S</w:t>
      </w:r>
      <w:r>
        <w:rPr>
          <w:rFonts w:ascii="Arial" w:cs="Arial" w:eastAsia="Arial" w:hAnsi="Arial"/>
          <w:sz w:val="13"/>
          <w:szCs w:val="13"/>
          <w:color w:val="auto"/>
        </w:rPr>
        <w:t>IMMONDS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351" w:right="2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99.1</w:t>
      </w:r>
    </w:p>
    <w:p>
      <w:pPr>
        <w:spacing w:after="0" w:line="233"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Report of Independent Registered Public Accounting Firm on Supplemental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TPG Specialty Lending, Inc.:</w:t>
      </w:r>
    </w:p>
    <w:p>
      <w:pPr>
        <w:spacing w:after="0" w:line="14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We have audited, in accordance with the standards of the Public Company Accounting Oversight Board (United States) (the PCAOB), the consolidated financial statements of TPG Specialty Lending, Inc. and subsidiaries (the Company) as of December 31, 2019 and 2018 and for each of the years in the three-year period ended December 31, 2019, and our report dated February 19, 2020 expressed an unqualified opinion on those consolidated financial statements.</w:t>
      </w:r>
    </w:p>
    <w:p>
      <w:pPr>
        <w:spacing w:after="0" w:line="87"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We have also previously audited, in accordance with the standards of the PCAOB, the consolidated balance sheets of the Company, including the consolidated schedules of investments, as of December 31, 2017, 2016, 2015, 2014, 2013, 2012, and 2011, and the related consolidated statements of operations, stockholders’ equity, and cash flows for the years ended December 31, 2016, 2015, 2014, 2013, 2012, and 2011 (none of which is presented herein), and we expressed unqualified opinions on those consolidated financial statements.</w:t>
      </w:r>
    </w:p>
    <w:p>
      <w:pPr>
        <w:spacing w:after="0" w:line="12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senior securities table included in Part II, Item 5 of the Annual Report of the Company for the year ended December 31, 2019, under the caption “Senior Securities” (the Senior Securities Table) has been subjected to audit procedures performed in conjunction with the audit of the Company’s consolidated financial statements. The Senior Securities Table is the responsibility of the Company’s management. Our audit procedures included determining whether the Senior Securities Table reconciles to the respective consolidated financial statements or the underlying accounting and other records, as applicable, and performing procedures to test the completeness and accuracy of the information presented in the Senior Securities Table. In forming our opinion on the Senior Securities Table, we evaluated whether the Senior Securities Table, including its form and content, is presented in conformity with the instructions to Form N-2. In our opinion, the Senior Securities Table is fairly stated, in all material respects, in relation to the consolidated financial statements as a whole.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KPMG LLP</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19, 2020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32AB86"/>
    <w:multiLevelType w:val="hybridMultilevel"/>
    <w:lvl w:ilvl="0">
      <w:lvlJc w:val="left"/>
      <w:lvlText w:val="☒"/>
      <w:numFmt w:val="bullet"/>
      <w:start w:val="1"/>
    </w:lvl>
  </w:abstractNum>
  <w:abstractNum w:abstractNumId="1">
    <w:nsid w:val="3F07ACC3"/>
    <w:multiLevelType w:val="hybridMultilevel"/>
    <w:lvl w:ilvl="0">
      <w:lvlJc w:val="left"/>
      <w:lvlText w:val="☐"/>
      <w:numFmt w:val="bullet"/>
      <w:start w:val="1"/>
    </w:lvl>
  </w:abstractNum>
  <w:abstractNum w:abstractNumId="2">
    <w:nsid w:val="6B47F63E"/>
    <w:multiLevelType w:val="hybridMultilevel"/>
    <w:lvl w:ilvl="0">
      <w:lvlJc w:val="left"/>
      <w:lvlText w:val="•"/>
      <w:numFmt w:val="bullet"/>
      <w:start w:val="1"/>
    </w:lvl>
  </w:abstractNum>
  <w:abstractNum w:abstractNumId="3">
    <w:nsid w:val="5CB44A05"/>
    <w:multiLevelType w:val="hybridMultilevel"/>
    <w:lvl w:ilvl="0">
      <w:lvlJc w:val="left"/>
      <w:lvlText w:val="•"/>
      <w:numFmt w:val="bullet"/>
      <w:start w:val="1"/>
    </w:lvl>
  </w:abstractNum>
  <w:abstractNum w:abstractNumId="4">
    <w:nsid w:val="16CF80F1"/>
    <w:multiLevelType w:val="hybridMultilevel"/>
    <w:lvl w:ilvl="0">
      <w:lvlJc w:val="left"/>
      <w:lvlText w:val="•"/>
      <w:numFmt w:val="bullet"/>
      <w:start w:val="1"/>
    </w:lvl>
  </w:abstractNum>
  <w:abstractNum w:abstractNumId="5">
    <w:nsid w:val="1C695DEC"/>
    <w:multiLevelType w:val="hybridMultilevel"/>
    <w:lvl w:ilvl="0">
      <w:lvlJc w:val="left"/>
      <w:lvlText w:val="•"/>
      <w:numFmt w:val="bullet"/>
      <w:start w:val="1"/>
    </w:lvl>
  </w:abstractNum>
  <w:abstractNum w:abstractNumId="6">
    <w:nsid w:val="3FCFAED9"/>
    <w:multiLevelType w:val="hybridMultilevel"/>
    <w:lvl w:ilvl="0">
      <w:lvlJc w:val="left"/>
      <w:lvlText w:val="•"/>
      <w:numFmt w:val="bullet"/>
      <w:start w:val="1"/>
    </w:lvl>
  </w:abstractNum>
  <w:abstractNum w:abstractNumId="7">
    <w:nsid w:val="F856867"/>
    <w:multiLevelType w:val="hybridMultilevel"/>
    <w:lvl w:ilvl="0">
      <w:lvlJc w:val="left"/>
      <w:lvlText w:val="•"/>
      <w:numFmt w:val="bullet"/>
      <w:start w:val="1"/>
    </w:lvl>
  </w:abstractNum>
  <w:abstractNum w:abstractNumId="8">
    <w:nsid w:val="11B1CC33"/>
    <w:multiLevelType w:val="hybridMultilevel"/>
    <w:lvl w:ilvl="0">
      <w:lvlJc w:val="left"/>
      <w:lvlText w:val="•"/>
      <w:numFmt w:val="bullet"/>
      <w:start w:val="1"/>
    </w:lvl>
  </w:abstractNum>
  <w:abstractNum w:abstractNumId="9">
    <w:nsid w:val="2E22FBB7"/>
    <w:multiLevelType w:val="hybridMultilevel"/>
    <w:lvl w:ilvl="0">
      <w:lvlJc w:val="left"/>
      <w:lvlText w:val="•"/>
      <w:numFmt w:val="bullet"/>
      <w:start w:val="1"/>
    </w:lvl>
  </w:abstractNum>
  <w:abstractNum w:abstractNumId="10">
    <w:nsid w:val="29934699"/>
    <w:multiLevelType w:val="hybridMultilevel"/>
    <w:lvl w:ilvl="0">
      <w:lvlJc w:val="left"/>
      <w:lvlText w:val="•"/>
      <w:numFmt w:val="bullet"/>
      <w:start w:val="1"/>
    </w:lvl>
  </w:abstractNum>
  <w:abstractNum w:abstractNumId="11">
    <w:nsid w:val="77485850"/>
    <w:multiLevelType w:val="hybridMultilevel"/>
    <w:lvl w:ilvl="0">
      <w:lvlJc w:val="left"/>
      <w:lvlText w:val="•"/>
      <w:numFmt w:val="bullet"/>
      <w:start w:val="1"/>
    </w:lvl>
  </w:abstractNum>
  <w:abstractNum w:abstractNumId="12">
    <w:nsid w:val="744939A3"/>
    <w:multiLevelType w:val="hybridMultilevel"/>
    <w:lvl w:ilvl="0">
      <w:lvlJc w:val="left"/>
      <w:lvlText w:val="•"/>
      <w:numFmt w:val="bullet"/>
      <w:start w:val="1"/>
    </w:lvl>
  </w:abstractNum>
  <w:abstractNum w:abstractNumId="13">
    <w:nsid w:val="4FA0D2E3"/>
    <w:multiLevelType w:val="hybridMultilevel"/>
    <w:lvl w:ilvl="0">
      <w:lvlJc w:val="left"/>
      <w:lvlText w:val="(%1)"/>
      <w:numFmt w:val="decimal"/>
      <w:start w:val="1"/>
    </w:lvl>
  </w:abstractNum>
  <w:abstractNum w:abstractNumId="14">
    <w:nsid w:val="6B1D2C14"/>
    <w:multiLevelType w:val="hybridMultilevel"/>
    <w:lvl w:ilvl="0">
      <w:lvlJc w:val="left"/>
      <w:lvlText w:val="(%1)"/>
      <w:numFmt w:val="decimal"/>
      <w:start w:val="1"/>
    </w:lvl>
  </w:abstractNum>
  <w:abstractNum w:abstractNumId="15">
    <w:nsid w:val="68B867D3"/>
    <w:multiLevelType w:val="hybridMultilevel"/>
    <w:lvl w:ilvl="0">
      <w:lvlJc w:val="left"/>
      <w:lvlText w:val="(%1)"/>
      <w:numFmt w:val="decimal"/>
      <w:start w:val="1"/>
    </w:lvl>
  </w:abstractNum>
  <w:abstractNum w:abstractNumId="16">
    <w:nsid w:val="3F7F5DD9"/>
    <w:multiLevelType w:val="hybridMultilevel"/>
    <w:lvl w:ilvl="0">
      <w:lvlJc w:val="left"/>
      <w:lvlText w:val="•"/>
      <w:numFmt w:val="bullet"/>
      <w:start w:val="1"/>
    </w:lvl>
  </w:abstractNum>
  <w:abstractNum w:abstractNumId="17">
    <w:nsid w:val="2AE05A34"/>
    <w:multiLevelType w:val="hybridMultilevel"/>
    <w:lvl w:ilvl="0">
      <w:lvlJc w:val="left"/>
      <w:lvlText w:val="•"/>
      <w:numFmt w:val="bullet"/>
      <w:start w:val="1"/>
    </w:lvl>
  </w:abstractNum>
  <w:abstractNum w:abstractNumId="18">
    <w:nsid w:val="32794FF7"/>
    <w:multiLevelType w:val="hybridMultilevel"/>
    <w:lvl w:ilvl="0">
      <w:lvlJc w:val="left"/>
      <w:lvlText w:val="(%1)"/>
      <w:numFmt w:val="lowerRoman"/>
      <w:start w:val="1"/>
    </w:lvl>
  </w:abstractNum>
  <w:abstractNum w:abstractNumId="19">
    <w:nsid w:val="5454945E"/>
    <w:multiLevelType w:val="hybridMultilevel"/>
    <w:lvl w:ilvl="0">
      <w:lvlJc w:val="left"/>
      <w:lvlText w:val="="/>
      <w:numFmt w:val="bullet"/>
      <w:start w:val="1"/>
    </w:lvl>
  </w:abstractNum>
  <w:abstractNum w:abstractNumId="20">
    <w:nsid w:val="4DEFDFA0"/>
    <w:multiLevelType w:val="hybridMultilevel"/>
    <w:lvl w:ilvl="0">
      <w:lvlJc w:val="left"/>
      <w:lvlText w:val="(%1)"/>
      <w:numFmt w:val="decimal"/>
    </w:lvl>
    <w:lvl w:ilvl="1">
      <w:lvlJc w:val="left"/>
      <w:lvlText w:val="="/>
      <w:numFmt w:val="bullet"/>
      <w:start w:val="1"/>
    </w:lvl>
  </w:abstractNum>
  <w:abstractNum w:abstractNumId="21">
    <w:nsid w:val="2123D5F2"/>
    <w:multiLevelType w:val="hybridMultilevel"/>
    <w:lvl w:ilvl="0">
      <w:lvlJc w:val="left"/>
      <w:lvlText w:val="•"/>
      <w:numFmt w:val="bullet"/>
      <w:start w:val="1"/>
    </w:lvl>
  </w:abstractNum>
  <w:abstractNum w:abstractNumId="22">
    <w:nsid w:val="135B8110"/>
    <w:multiLevelType w:val="hybridMultilevel"/>
    <w:lvl w:ilvl="0">
      <w:lvlJc w:val="left"/>
      <w:lvlText w:val="•"/>
      <w:numFmt w:val="bullet"/>
      <w:start w:val="1"/>
    </w:lvl>
  </w:abstractNum>
  <w:abstractNum w:abstractNumId="23">
    <w:nsid w:val="94927A8"/>
    <w:multiLevelType w:val="hybridMultilevel"/>
    <w:lvl w:ilvl="0">
      <w:lvlJc w:val="left"/>
      <w:lvlText w:val="•"/>
      <w:numFmt w:val="bullet"/>
      <w:start w:val="1"/>
    </w:lvl>
  </w:abstractNum>
  <w:abstractNum w:abstractNumId="24">
    <w:nsid w:val="DCDF8F6"/>
    <w:multiLevelType w:val="hybridMultilevel"/>
    <w:lvl w:ilvl="0">
      <w:lvlJc w:val="left"/>
      <w:lvlText w:val="•"/>
      <w:numFmt w:val="bullet"/>
      <w:start w:val="1"/>
    </w:lvl>
  </w:abstractNum>
  <w:abstractNum w:abstractNumId="25">
    <w:nsid w:val="52D7B105"/>
    <w:multiLevelType w:val="hybridMultilevel"/>
    <w:lvl w:ilvl="0">
      <w:lvlJc w:val="left"/>
      <w:lvlText w:val="•"/>
      <w:numFmt w:val="bullet"/>
      <w:start w:val="1"/>
    </w:lvl>
  </w:abstractNum>
  <w:abstractNum w:abstractNumId="26">
    <w:nsid w:val="2E8A6394"/>
    <w:multiLevelType w:val="hybridMultilevel"/>
    <w:lvl w:ilvl="0">
      <w:lvlJc w:val="left"/>
      <w:lvlText w:val="•"/>
      <w:numFmt w:val="bullet"/>
      <w:start w:val="1"/>
    </w:lvl>
  </w:abstractNum>
  <w:abstractNum w:abstractNumId="27">
    <w:nsid w:val="24E60401"/>
    <w:multiLevelType w:val="hybridMultilevel"/>
    <w:lvl w:ilvl="0">
      <w:lvlJc w:val="left"/>
      <w:lvlText w:val="•"/>
      <w:numFmt w:val="bullet"/>
      <w:start w:val="1"/>
    </w:lvl>
  </w:abstractNum>
  <w:abstractNum w:abstractNumId="28">
    <w:nsid w:val="2A6AD9BE"/>
    <w:multiLevelType w:val="hybridMultilevel"/>
    <w:lvl w:ilvl="0">
      <w:lvlJc w:val="left"/>
      <w:lvlText w:val="•"/>
      <w:numFmt w:val="bullet"/>
      <w:start w:val="1"/>
    </w:lvl>
  </w:abstractNum>
  <w:abstractNum w:abstractNumId="29">
    <w:nsid w:val="BAAC1B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0">
    <w:nsid w:val="36B2ACBC"/>
    <w:multiLevelType w:val="hybridMultilevel"/>
    <w:lvl w:ilvl="0">
      <w:lvlJc w:val="left"/>
      <w:lvlText w:val="•"/>
      <w:numFmt w:val="bullet"/>
      <w:start w:val="1"/>
    </w:lvl>
  </w:abstractNum>
  <w:abstractNum w:abstractNumId="31">
    <w:nsid w:val="779D8544"/>
    <w:multiLevelType w:val="hybridMultilevel"/>
    <w:lvl w:ilvl="0">
      <w:lvlJc w:val="left"/>
      <w:lvlText w:val="•"/>
      <w:numFmt w:val="bullet"/>
      <w:start w:val="1"/>
    </w:lvl>
    <w:lvl w:ilvl="1">
      <w:lvlJc w:val="left"/>
      <w:lvlText w:val="•"/>
      <w:numFmt w:val="bullet"/>
      <w:start w:val="1"/>
    </w:lvl>
  </w:abstractNum>
  <w:abstractNum w:abstractNumId="32">
    <w:nsid w:val="4AB26E78"/>
    <w:multiLevelType w:val="hybridMultilevel"/>
    <w:lvl w:ilvl="0">
      <w:lvlJc w:val="left"/>
      <w:lvlText w:val="•"/>
      <w:numFmt w:val="bullet"/>
      <w:start w:val="1"/>
    </w:lvl>
  </w:abstractNum>
  <w:abstractNum w:abstractNumId="33">
    <w:nsid w:val="21FAA2FA"/>
    <w:multiLevelType w:val="hybridMultilevel"/>
    <w:lvl w:ilvl="0">
      <w:lvlJc w:val="left"/>
      <w:lvlText w:val="•"/>
      <w:numFmt w:val="bullet"/>
      <w:start w:val="1"/>
    </w:lvl>
  </w:abstractNum>
  <w:abstractNum w:abstractNumId="34">
    <w:nsid w:val="5451CF49"/>
    <w:multiLevelType w:val="hybridMultilevel"/>
    <w:lvl w:ilvl="0">
      <w:lvlJc w:val="left"/>
      <w:lvlText w:val="(%1)"/>
      <w:numFmt w:val="decimal"/>
      <w:start w:val="1"/>
    </w:lvl>
  </w:abstractNum>
  <w:abstractNum w:abstractNumId="35">
    <w:nsid w:val="6181EF69"/>
    <w:multiLevelType w:val="hybridMultilevel"/>
    <w:lvl w:ilvl="0">
      <w:lvlJc w:val="left"/>
      <w:lvlText w:val="•"/>
      <w:numFmt w:val="bullet"/>
      <w:start w:val="1"/>
    </w:lvl>
  </w:abstractNum>
  <w:abstractNum w:abstractNumId="36">
    <w:nsid w:val="3E6400E6"/>
    <w:multiLevelType w:val="hybridMultilevel"/>
    <w:lvl w:ilvl="0">
      <w:lvlJc w:val="left"/>
      <w:lvlText w:val="•"/>
      <w:numFmt w:val="bullet"/>
      <w:start w:val="1"/>
    </w:lvl>
  </w:abstractNum>
  <w:abstractNum w:abstractNumId="37">
    <w:nsid w:val="14217E23"/>
    <w:multiLevelType w:val="hybridMultilevel"/>
    <w:lvl w:ilvl="0">
      <w:lvlJc w:val="left"/>
      <w:lvlText w:val="•"/>
      <w:numFmt w:val="bullet"/>
      <w:start w:val="1"/>
    </w:lvl>
  </w:abstractNum>
  <w:abstractNum w:abstractNumId="38">
    <w:nsid w:val="710757D0"/>
    <w:multiLevelType w:val="hybridMultilevel"/>
    <w:lvl w:ilvl="0">
      <w:lvlJc w:val="left"/>
      <w:lvlText w:val="•"/>
      <w:numFmt w:val="bullet"/>
      <w:start w:val="1"/>
    </w:lvl>
  </w:abstractNum>
  <w:abstractNum w:abstractNumId="39">
    <w:nsid w:val="5015CD1A"/>
    <w:multiLevelType w:val="hybridMultilevel"/>
    <w:lvl w:ilvl="0">
      <w:lvlJc w:val="left"/>
      <w:lvlText w:val="•"/>
      <w:numFmt w:val="bullet"/>
      <w:start w:val="1"/>
    </w:lvl>
  </w:abstractNum>
  <w:abstractNum w:abstractNumId="40">
    <w:nsid w:val="424479DA"/>
    <w:multiLevelType w:val="hybridMultilevel"/>
    <w:lvl w:ilvl="0">
      <w:lvlJc w:val="left"/>
      <w:lvlText w:val="•"/>
      <w:numFmt w:val="bullet"/>
      <w:start w:val="1"/>
    </w:lvl>
  </w:abstractNum>
  <w:abstractNum w:abstractNumId="41">
    <w:nsid w:val="1A9A9E69"/>
    <w:multiLevelType w:val="hybridMultilevel"/>
    <w:lvl w:ilvl="0">
      <w:lvlJc w:val="left"/>
      <w:lvlText w:val="•"/>
      <w:numFmt w:val="bullet"/>
      <w:start w:val="1"/>
    </w:lvl>
  </w:abstractNum>
  <w:abstractNum w:abstractNumId="42">
    <w:nsid w:val="475E256A"/>
    <w:multiLevelType w:val="hybridMultilevel"/>
    <w:lvl w:ilvl="0">
      <w:lvlJc w:val="left"/>
      <w:lvlText w:val="•"/>
      <w:numFmt w:val="bullet"/>
      <w:start w:val="1"/>
    </w:lvl>
  </w:abstractNum>
  <w:abstractNum w:abstractNumId="43">
    <w:nsid w:val="368DB37E"/>
    <w:multiLevelType w:val="hybridMultilevel"/>
    <w:lvl w:ilvl="0">
      <w:lvlJc w:val="left"/>
      <w:lvlText w:val="•"/>
      <w:numFmt w:val="bullet"/>
      <w:start w:val="1"/>
    </w:lvl>
  </w:abstractNum>
  <w:abstractNum w:abstractNumId="44">
    <w:nsid w:val="6A3B714C"/>
    <w:multiLevelType w:val="hybridMultilevel"/>
    <w:lvl w:ilvl="0">
      <w:lvlJc w:val="left"/>
      <w:lvlText w:val="•"/>
      <w:numFmt w:val="bullet"/>
      <w:start w:val="1"/>
    </w:lvl>
  </w:abstractNum>
  <w:abstractNum w:abstractNumId="45">
    <w:nsid w:val="327B517E"/>
    <w:multiLevelType w:val="hybridMultilevel"/>
    <w:lvl w:ilvl="0">
      <w:lvlJc w:val="left"/>
      <w:lvlText w:val="•"/>
      <w:numFmt w:val="bullet"/>
      <w:start w:val="1"/>
    </w:lvl>
  </w:abstractNum>
  <w:abstractNum w:abstractNumId="46">
    <w:nsid w:val="1F461B51"/>
    <w:multiLevelType w:val="hybridMultilevel"/>
    <w:lvl w:ilvl="0">
      <w:lvlJc w:val="left"/>
      <w:lvlText w:val="(%1)"/>
      <w:numFmt w:val="decimal"/>
      <w:start w:val="1"/>
    </w:lvl>
  </w:abstractNum>
  <w:abstractNum w:abstractNumId="47">
    <w:nsid w:val="29BACF25"/>
    <w:multiLevelType w:val="hybridMultilevel"/>
    <w:lvl w:ilvl="0">
      <w:lvlJc w:val="left"/>
      <w:lvlText w:val="(%1)"/>
      <w:numFmt w:val="decimal"/>
      <w:start w:val="1"/>
    </w:lvl>
  </w:abstractNum>
  <w:abstractNum w:abstractNumId="48">
    <w:nsid w:val="5D5BABB3"/>
    <w:multiLevelType w:val="hybridMultilevel"/>
    <w:lvl w:ilvl="0">
      <w:lvlJc w:val="left"/>
      <w:lvlText w:val="•"/>
      <w:numFmt w:val="bullet"/>
      <w:start w:val="1"/>
    </w:lvl>
  </w:abstractNum>
  <w:abstractNum w:abstractNumId="49">
    <w:nsid w:val="51BF6B48"/>
    <w:multiLevelType w:val="hybridMultilevel"/>
    <w:lvl w:ilvl="0">
      <w:lvlJc w:val="left"/>
      <w:lvlText w:val="•"/>
      <w:numFmt w:val="bullet"/>
      <w:start w:val="1"/>
    </w:lvl>
  </w:abstractNum>
  <w:abstractNum w:abstractNumId="50">
    <w:nsid w:val="7E0F6384"/>
    <w:multiLevelType w:val="hybridMultilevel"/>
    <w:lvl w:ilvl="0">
      <w:lvlJc w:val="left"/>
      <w:lvlText w:val="(%1)"/>
      <w:numFmt w:val="decimal"/>
      <w:start w:val="1"/>
    </w:lvl>
  </w:abstractNum>
  <w:abstractNum w:abstractNumId="51">
    <w:nsid w:val="2B4B8B53"/>
    <w:multiLevelType w:val="hybridMultilevel"/>
    <w:lvl w:ilvl="0">
      <w:lvlJc w:val="left"/>
      <w:lvlText w:val="(%1)"/>
      <w:numFmt w:val="decimal"/>
      <w:start w:val="1"/>
    </w:lvl>
  </w:abstractNum>
  <w:abstractNum w:abstractNumId="52">
    <w:nsid w:val="72E3413A"/>
    <w:multiLevelType w:val="hybridMultilevel"/>
    <w:lvl w:ilvl="0">
      <w:lvlJc w:val="left"/>
      <w:lvlText w:val="(%1)"/>
      <w:numFmt w:val="decimal"/>
      <w:start w:val="1"/>
    </w:lvl>
  </w:abstractNum>
  <w:abstractNum w:abstractNumId="53">
    <w:nsid w:val="116AE494"/>
    <w:multiLevelType w:val="hybridMultilevel"/>
    <w:lvl w:ilvl="0">
      <w:lvlJc w:val="left"/>
      <w:lvlText w:val="•"/>
      <w:numFmt w:val="bullet"/>
      <w:start w:val="1"/>
    </w:lvl>
  </w:abstractNum>
  <w:abstractNum w:abstractNumId="54">
    <w:nsid w:val="3494B2FB"/>
    <w:multiLevelType w:val="hybridMultilevel"/>
    <w:lvl w:ilvl="0">
      <w:lvlJc w:val="left"/>
      <w:lvlText w:val="•"/>
      <w:numFmt w:val="bullet"/>
      <w:start w:val="1"/>
    </w:lvl>
  </w:abstractNum>
  <w:abstractNum w:abstractNumId="55">
    <w:nsid w:val="B13A31"/>
    <w:multiLevelType w:val="hybridMultilevel"/>
    <w:lvl w:ilvl="0">
      <w:lvlJc w:val="left"/>
      <w:lvlText w:val="•"/>
      <w:numFmt w:val="bullet"/>
      <w:start w:val="1"/>
    </w:lvl>
  </w:abstractNum>
  <w:abstractNum w:abstractNumId="56">
    <w:nsid w:val="64429599"/>
    <w:multiLevelType w:val="hybridMultilevel"/>
    <w:lvl w:ilvl="0">
      <w:lvlJc w:val="left"/>
      <w:lvlText w:val="•"/>
      <w:numFmt w:val="bullet"/>
      <w:start w:val="1"/>
    </w:lvl>
  </w:abstractNum>
  <w:abstractNum w:abstractNumId="57">
    <w:nsid w:val="631F1690"/>
    <w:multiLevelType w:val="hybridMultilevel"/>
    <w:lvl w:ilvl="0">
      <w:lvlJc w:val="left"/>
      <w:lvlText w:val="(%1)"/>
      <w:numFmt w:val="decimal"/>
      <w:start w:val="1"/>
    </w:lvl>
  </w:abstractNum>
  <w:abstractNum w:abstractNumId="58">
    <w:nsid w:val="25973E32"/>
    <w:multiLevelType w:val="hybridMultilevel"/>
    <w:lvl w:ilvl="0">
      <w:lvlJc w:val="left"/>
      <w:lvlText w:val="(%1)"/>
      <w:numFmt w:val="decimal"/>
      <w:start w:val="2"/>
    </w:lvl>
  </w:abstractNum>
  <w:abstractNum w:abstractNumId="59">
    <w:nsid w:val="EAD6F57"/>
    <w:multiLevelType w:val="hybridMultilevel"/>
    <w:lvl w:ilvl="0">
      <w:lvlJc w:val="left"/>
      <w:lvlText w:val="(%1)"/>
      <w:numFmt w:val="decimal"/>
      <w:start w:val="1"/>
    </w:lvl>
  </w:abstractNum>
  <w:abstractNum w:abstractNumId="60">
    <w:nsid w:val="6EC9D844"/>
    <w:multiLevelType w:val="hybridMultilevel"/>
    <w:lvl w:ilvl="0">
      <w:lvlJc w:val="left"/>
      <w:lvlText w:val="•"/>
      <w:numFmt w:val="bullet"/>
      <w:start w:val="1"/>
    </w:lvl>
  </w:abstractNum>
  <w:abstractNum w:abstractNumId="61">
    <w:nsid w:val="5C49EAEE"/>
    <w:multiLevelType w:val="hybridMultilevel"/>
    <w:lvl w:ilvl="0">
      <w:lvlJc w:val="left"/>
      <w:lvlText w:val="•"/>
      <w:numFmt w:val="bullet"/>
      <w:start w:val="1"/>
    </w:lvl>
  </w:abstractNum>
  <w:abstractNum w:abstractNumId="62">
    <w:nsid w:val="64AF49B"/>
    <w:multiLevelType w:val="hybridMultilevel"/>
    <w:lvl w:ilvl="0">
      <w:lvlJc w:val="left"/>
      <w:lvlText w:val="•"/>
      <w:numFmt w:val="bullet"/>
      <w:start w:val="1"/>
    </w:lvl>
  </w:abstractNum>
  <w:abstractNum w:abstractNumId="63">
    <w:nsid w:val="397C46BC"/>
    <w:multiLevelType w:val="hybridMultilevel"/>
    <w:lvl w:ilvl="0">
      <w:lvlJc w:val="left"/>
      <w:lvlText w:val="•"/>
      <w:numFmt w:val="bullet"/>
      <w:start w:val="1"/>
    </w:lvl>
  </w:abstractNum>
  <w:abstractNum w:abstractNumId="64">
    <w:nsid w:val="7E448DE9"/>
    <w:multiLevelType w:val="hybridMultilevel"/>
    <w:lvl w:ilvl="0">
      <w:lvlJc w:val="left"/>
      <w:lvlText w:val="•"/>
      <w:numFmt w:val="bullet"/>
      <w:start w:val="1"/>
    </w:lvl>
  </w:abstractNum>
  <w:abstractNum w:abstractNumId="65">
    <w:nsid w:val="5A9CC3E5"/>
    <w:multiLevelType w:val="hybridMultilevel"/>
    <w:lvl w:ilvl="0">
      <w:lvlJc w:val="left"/>
      <w:lvlText w:val="•"/>
      <w:numFmt w:val="bullet"/>
      <w:start w:val="1"/>
    </w:lvl>
  </w:abstractNum>
  <w:abstractNum w:abstractNumId="66">
    <w:nsid w:val="1AFE3625"/>
    <w:multiLevelType w:val="hybridMultilevel"/>
    <w:lvl w:ilvl="0">
      <w:lvlJc w:val="left"/>
      <w:lvlText w:val="•"/>
      <w:numFmt w:val="bullet"/>
      <w:start w:val="1"/>
    </w:lvl>
  </w:abstractNum>
  <w:abstractNum w:abstractNumId="67">
    <w:nsid w:val="3CA88ECF"/>
    <w:multiLevelType w:val="hybridMultilevel"/>
    <w:lvl w:ilvl="0">
      <w:lvlJc w:val="left"/>
      <w:lvlText w:val="%1"/>
      <w:numFmt w:val="decimal"/>
      <w:start w:val="1"/>
    </w:lvl>
    <w:lvl w:ilvl="1">
      <w:lvlJc w:val="left"/>
      <w:lvlText w:val="(%2)"/>
      <w:numFmt w:val="lowerLetter"/>
      <w:start w:val="1"/>
    </w:lvl>
  </w:abstractNum>
  <w:abstractNum w:abstractNumId="68">
    <w:nsid w:val="6EBE4208"/>
    <w:multiLevelType w:val="hybridMultilevel"/>
    <w:lvl w:ilvl="0">
      <w:lvlJc w:val="left"/>
      <w:lvlText w:val="(%1)"/>
      <w:numFmt w:val="decimal"/>
      <w:start w:val="1"/>
    </w:lvl>
    <w:lvl w:ilvl="1">
      <w:lvlJc w:val="left"/>
      <w:lvlText w:val="%2"/>
      <w:numFmt w:val="lowerLetter"/>
      <w:start w:val="1"/>
    </w:lvl>
  </w:abstractNum>
  <w:abstractNum w:abstractNumId="69">
    <w:nsid w:val="C058DF5"/>
    <w:multiLevelType w:val="hybridMultilevel"/>
    <w:lvl w:ilvl="0">
      <w:lvlJc w:val="left"/>
      <w:lvlText w:val="%1"/>
      <w:numFmt w:val="decimal"/>
      <w:start w:val="1"/>
    </w:lvl>
    <w:lvl w:ilvl="1">
      <w:lvlJc w:val="left"/>
      <w:lvlText w:val="(%2)"/>
      <w:numFmt w:val="lowerLetter"/>
      <w:start w:val="1"/>
    </w:lvl>
  </w:abstractNum>
  <w:abstractNum w:abstractNumId="70">
    <w:nsid w:val="CBE5BE9"/>
    <w:multiLevelType w:val="hybridMultilevel"/>
    <w:lvl w:ilvl="0">
      <w:lvlJc w:val="left"/>
      <w:lvlText w:val="(%1)"/>
      <w:numFmt w:val="decimal"/>
      <w:start w:val="7"/>
    </w:lvl>
    <w:lvl w:ilvl="1">
      <w:lvlJc w:val="left"/>
      <w:lvlText w:val="%2"/>
      <w:numFmt w:val="lowerLetter"/>
      <w:start w:val="1"/>
    </w:lvl>
  </w:abstractNum>
  <w:abstractNum w:abstractNumId="71">
    <w:nsid w:val="3102BBE2"/>
    <w:multiLevelType w:val="hybridMultilevel"/>
    <w:lvl w:ilvl="0">
      <w:lvlJc w:val="left"/>
      <w:lvlText w:val="%1"/>
      <w:numFmt w:val="decimal"/>
      <w:start w:val="1"/>
    </w:lvl>
    <w:lvl w:ilvl="1">
      <w:lvlJc w:val="left"/>
      <w:lvlText w:val="(%2)"/>
      <w:numFmt w:val="lowerLetter"/>
      <w:start w:val="1"/>
    </w:lvl>
  </w:abstractNum>
  <w:abstractNum w:abstractNumId="72">
    <w:nsid w:val="26A02C5E"/>
    <w:multiLevelType w:val="hybridMultilevel"/>
    <w:lvl w:ilvl="0">
      <w:lvlJc w:val="left"/>
      <w:lvlText w:val="(%1)"/>
      <w:numFmt w:val="decimal"/>
      <w:start w:val="8"/>
    </w:lvl>
    <w:lvl w:ilvl="1">
      <w:lvlJc w:val="left"/>
      <w:lvlText w:val="%2"/>
      <w:numFmt w:val="lowerLetter"/>
      <w:start w:val="1"/>
    </w:lvl>
  </w:abstractNum>
  <w:abstractNum w:abstractNumId="73">
    <w:nsid w:val="541C8153"/>
    <w:multiLevelType w:val="hybridMultilevel"/>
    <w:lvl w:ilvl="0">
      <w:lvlJc w:val="left"/>
      <w:lvlText w:val="%1"/>
      <w:numFmt w:val="decimal"/>
      <w:start w:val="1"/>
    </w:lvl>
    <w:lvl w:ilvl="1">
      <w:lvlJc w:val="left"/>
      <w:lvlText w:val="(%2)"/>
      <w:numFmt w:val="lowerLetter"/>
      <w:start w:val="1"/>
    </w:lvl>
  </w:abstractNum>
  <w:abstractNum w:abstractNumId="74">
    <w:nsid w:val="67906F60"/>
    <w:multiLevelType w:val="hybridMultilevel"/>
    <w:lvl w:ilvl="0">
      <w:lvlJc w:val="left"/>
      <w:lvlText w:val="(%1)"/>
      <w:numFmt w:val="decimal"/>
      <w:start w:val="1"/>
    </w:lvl>
    <w:lvl w:ilvl="1">
      <w:lvlJc w:val="left"/>
      <w:lvlText w:val="%2"/>
      <w:numFmt w:val="lowerLetter"/>
      <w:start w:val="1"/>
    </w:lvl>
  </w:abstractNum>
  <w:abstractNum w:abstractNumId="75">
    <w:nsid w:val="10DB9DAA"/>
    <w:multiLevelType w:val="hybridMultilevel"/>
    <w:lvl w:ilvl="0">
      <w:lvlJc w:val="left"/>
      <w:lvlText w:val="%1"/>
      <w:numFmt w:val="decimal"/>
      <w:start w:val="1"/>
    </w:lvl>
    <w:lvl w:ilvl="1">
      <w:lvlJc w:val="left"/>
      <w:lvlText w:val="(%2)"/>
      <w:numFmt w:val="lowerLetter"/>
      <w:start w:val="1"/>
    </w:lvl>
  </w:abstractNum>
  <w:abstractNum w:abstractNumId="76">
    <w:nsid w:val="697D2D2"/>
    <w:multiLevelType w:val="hybridMultilevel"/>
    <w:lvl w:ilvl="0">
      <w:lvlJc w:val="left"/>
      <w:lvlText w:val="(%1)"/>
      <w:numFmt w:val="decimal"/>
      <w:start w:val="7"/>
    </w:lvl>
    <w:lvl w:ilvl="1">
      <w:lvlJc w:val="left"/>
      <w:lvlText w:val="%2"/>
      <w:numFmt w:val="lowerLetter"/>
      <w:start w:val="1"/>
    </w:lvl>
  </w:abstractNum>
  <w:abstractNum w:abstractNumId="77">
    <w:nsid w:val="6D68AB2"/>
    <w:multiLevelType w:val="hybridMultilevel"/>
    <w:lvl w:ilvl="0">
      <w:lvlJc w:val="left"/>
      <w:lvlText w:val="%1"/>
      <w:numFmt w:val="decimal"/>
      <w:start w:val="1"/>
    </w:lvl>
    <w:lvl w:ilvl="1">
      <w:lvlJc w:val="left"/>
      <w:lvlText w:val="(%2)"/>
      <w:numFmt w:val="lowerLetter"/>
      <w:start w:val="1"/>
    </w:lvl>
  </w:abstractNum>
  <w:abstractNum w:abstractNumId="78">
    <w:nsid w:val="3A966CD0"/>
    <w:multiLevelType w:val="hybridMultilevel"/>
    <w:lvl w:ilvl="0">
      <w:lvlJc w:val="left"/>
      <w:lvlText w:val="(%1)"/>
      <w:numFmt w:val="decimal"/>
      <w:start w:val="8"/>
    </w:lvl>
    <w:lvl w:ilvl="1">
      <w:lvlJc w:val="left"/>
      <w:lvlText w:val="%2"/>
      <w:numFmt w:val="lowerLetter"/>
      <w:start w:val="1"/>
    </w:lvl>
  </w:abstractNum>
  <w:abstractNum w:abstractNumId="79">
    <w:nsid w:val="63F37E85"/>
    <w:multiLevelType w:val="hybridMultilevel"/>
    <w:lvl w:ilvl="0">
      <w:lvlJc w:val="left"/>
      <w:lvlText w:val="(%1)"/>
      <w:numFmt w:val="decimal"/>
      <w:start w:val="1"/>
    </w:lvl>
  </w:abstractNum>
  <w:abstractNum w:abstractNumId="80">
    <w:nsid w:val="5895F5FA"/>
    <w:multiLevelType w:val="hybridMultilevel"/>
    <w:lvl w:ilvl="0">
      <w:lvlJc w:val="left"/>
      <w:lvlText w:val="•"/>
      <w:numFmt w:val="bullet"/>
      <w:start w:val="1"/>
    </w:lvl>
  </w:abstractNum>
  <w:abstractNum w:abstractNumId="81">
    <w:nsid w:val="38A5D054"/>
    <w:multiLevelType w:val="hybridMultilevel"/>
    <w:lvl w:ilvl="0">
      <w:lvlJc w:val="left"/>
      <w:lvlText w:val="•"/>
      <w:numFmt w:val="bullet"/>
      <w:start w:val="1"/>
    </w:lvl>
  </w:abstractNum>
  <w:abstractNum w:abstractNumId="82">
    <w:nsid w:val="F3F09D8"/>
    <w:multiLevelType w:val="hybridMultilevel"/>
    <w:lvl w:ilvl="0">
      <w:lvlJc w:val="left"/>
      <w:lvlText w:val="•"/>
      <w:numFmt w:val="bullet"/>
      <w:start w:val="1"/>
    </w:lvl>
  </w:abstractNum>
  <w:abstractNum w:abstractNumId="83">
    <w:nsid w:val="4B793735"/>
    <w:multiLevelType w:val="hybridMultilevel"/>
    <w:lvl w:ilvl="0">
      <w:lvlJc w:val="left"/>
      <w:lvlText w:val="%1)"/>
      <w:numFmt w:val="decimal"/>
      <w:start w:val="3"/>
    </w:lvl>
  </w:abstractNum>
  <w:abstractNum w:abstractNumId="84">
    <w:nsid w:val="4A10B4E8"/>
    <w:multiLevelType w:val="hybridMultilevel"/>
    <w:lvl w:ilvl="0">
      <w:lvlJc w:val="left"/>
      <w:lvlText w:val="(%1)"/>
      <w:numFmt w:val="lowerRoman"/>
      <w:start w:val="1"/>
    </w:lvl>
  </w:abstractNum>
  <w:abstractNum w:abstractNumId="85">
    <w:nsid w:val="43D3BCD4"/>
    <w:multiLevelType w:val="hybridMultilevel"/>
    <w:lvl w:ilvl="0">
      <w:lvlJc w:val="left"/>
      <w:lvlText w:val="(%1)"/>
      <w:numFmt w:val="decimal"/>
      <w:start w:val="1"/>
    </w:lvl>
  </w:abstractNum>
  <w:abstractNum w:abstractNumId="86">
    <w:nsid w:val="4C2A7166"/>
    <w:multiLevelType w:val="hybridMultilevel"/>
    <w:lvl w:ilvl="0">
      <w:lvlJc w:val="left"/>
      <w:lvlText w:val="(%1)"/>
      <w:numFmt w:val="decimal"/>
      <w:start w:val="1"/>
    </w:lvl>
  </w:abstractNum>
  <w:abstractNum w:abstractNumId="87">
    <w:nsid w:val="2E534A82"/>
    <w:multiLevelType w:val="hybridMultilevel"/>
    <w:lvl w:ilvl="0">
      <w:lvlJc w:val="left"/>
      <w:lvlText w:val="(%1)"/>
      <w:numFmt w:val="decimal"/>
      <w:start w:val="1"/>
    </w:lvl>
  </w:abstractNum>
  <w:abstractNum w:abstractNumId="88">
    <w:nsid w:val="26F2D364"/>
    <w:multiLevelType w:val="hybridMultilevel"/>
    <w:lvl w:ilvl="0">
      <w:lvlJc w:val="left"/>
      <w:lvlText w:val="(%1)"/>
      <w:numFmt w:val="decimal"/>
      <w:start w:val="1"/>
    </w:lvl>
  </w:abstractNum>
  <w:abstractNum w:abstractNumId="89">
    <w:nsid w:val="71C1AF98"/>
    <w:multiLevelType w:val="hybridMultilevel"/>
    <w:lvl w:ilvl="0">
      <w:lvlJc w:val="left"/>
      <w:lvlText w:val="(%1)"/>
      <w:numFmt w:val="decimal"/>
      <w:start w:val="1"/>
    </w:lvl>
  </w:abstractNum>
  <w:abstractNum w:abstractNumId="90">
    <w:nsid w:val="3D00B9D9"/>
    <w:multiLevelType w:val="hybridMultilevel"/>
    <w:lvl w:ilvl="0">
      <w:lvlJc w:val="left"/>
      <w:lvlText w:val="(%1)"/>
      <w:numFmt w:val="decimal"/>
      <w:start w:val="1"/>
    </w:lvl>
  </w:abstractNum>
  <w:abstractNum w:abstractNumId="91">
    <w:nsid w:val="15BCABA8"/>
    <w:multiLevelType w:val="hybridMultilevel"/>
    <w:lvl w:ilvl="0">
      <w:lvlJc w:val="left"/>
      <w:lvlText w:val="(%1)"/>
      <w:numFmt w:val="decimal"/>
      <w:start w:val="2"/>
    </w:lvl>
  </w:abstractNum>
  <w:abstractNum w:abstractNumId="92">
    <w:nsid w:val="4E0B9A87"/>
    <w:multiLevelType w:val="hybridMultilevel"/>
    <w:lvl w:ilvl="0">
      <w:lvlJc w:val="left"/>
      <w:lvlText w:val="(%1)"/>
      <w:numFmt w:val="decimal"/>
      <w:start w:val="1"/>
    </w:lvl>
  </w:abstractNum>
  <w:abstractNum w:abstractNumId="93">
    <w:nsid w:val="434BAE75"/>
    <w:multiLevelType w:val="hybridMultilevel"/>
    <w:lvl w:ilvl="0">
      <w:lvlJc w:val="left"/>
      <w:lvlText w:val="•"/>
      <w:numFmt w:val="bullet"/>
      <w:start w:val="1"/>
    </w:lvl>
  </w:abstractNum>
  <w:abstractNum w:abstractNumId="94">
    <w:nsid w:val="4F38F265"/>
    <w:multiLevelType w:val="hybridMultilevel"/>
    <w:lvl w:ilvl="0">
      <w:lvlJc w:val="left"/>
      <w:lvlText w:val="(%1)"/>
      <w:numFmt w:val="decimal"/>
      <w:start w:val="1"/>
    </w:lvl>
  </w:abstractNum>
  <w:abstractNum w:abstractNumId="95">
    <w:nsid w:val="4C502870"/>
    <w:multiLevelType w:val="hybridMultilevel"/>
    <w:lvl w:ilvl="0">
      <w:lvlJc w:val="left"/>
      <w:lvlText w:val="%1."/>
      <w:numFmt w:val="decimal"/>
      <w:start w:val="10"/>
    </w:lvl>
  </w:abstractNum>
  <w:abstractNum w:abstractNumId="96">
    <w:nsid w:val="1DE8725A"/>
    <w:multiLevelType w:val="hybridMultilevel"/>
    <w:lvl w:ilvl="0">
      <w:lvlJc w:val="left"/>
      <w:lvlText w:val="(%1)"/>
      <w:numFmt w:val="decimal"/>
      <w:start w:val="1"/>
    </w:lvl>
  </w:abstractNum>
  <w:abstractNum w:abstractNumId="97">
    <w:nsid w:val="6A37288A"/>
    <w:multiLevelType w:val="hybridMultilevel"/>
    <w:lvl w:ilvl="0">
      <w:lvlJc w:val="left"/>
      <w:lvlText w:val="%1."/>
      <w:numFmt w:val="decimal"/>
      <w:start w:val="12"/>
    </w:lvl>
  </w:abstractNum>
  <w:abstractNum w:abstractNumId="98">
    <w:nsid w:val="8F8B73F"/>
    <w:multiLevelType w:val="hybridMultilevel"/>
    <w:lvl w:ilvl="0">
      <w:lvlJc w:val="left"/>
      <w:lvlText w:val="(%1)"/>
      <w:numFmt w:val="decimal"/>
      <w:start w:val="1"/>
    </w:lvl>
  </w:abstractNum>
  <w:abstractNum w:abstractNumId="99">
    <w:nsid w:val="CA6B462"/>
    <w:multiLevelType w:val="hybridMultilevel"/>
    <w:lvl w:ilvl="0">
      <w:lvlJc w:val="left"/>
      <w:lvlText w:val="(%1)"/>
      <w:numFmt w:val="decimal"/>
      <w:start w:val="1"/>
    </w:lvl>
  </w:abstractNum>
  <w:abstractNum w:abstractNumId="100">
    <w:nsid w:val="763CB680"/>
    <w:multiLevelType w:val="hybridMultilevel"/>
    <w:lvl w:ilvl="0">
      <w:lvlJc w:val="left"/>
      <w:lvlText w:val="(%1)"/>
      <w:numFmt w:val="decimal"/>
      <w:start w:val="2"/>
    </w:lvl>
  </w:abstractNum>
  <w:abstractNum w:abstractNumId="101">
    <w:nsid w:val="15B71329"/>
    <w:multiLevelType w:val="hybridMultilevel"/>
    <w:lvl w:ilvl="0">
      <w:lvlJc w:val="left"/>
      <w:lvlText w:val="(%1)"/>
      <w:numFmt w:val="decimal"/>
      <w:start w:val="1"/>
    </w:lvl>
  </w:abstractNum>
  <w:abstractNum w:abstractNumId="102">
    <w:nsid w:val="3DA97044"/>
    <w:multiLevelType w:val="hybridMultilevel"/>
    <w:lvl w:ilvl="0">
      <w:lvlJc w:val="left"/>
      <w:lvlText w:val="(%1)"/>
      <w:numFmt w:val="decimal"/>
      <w:start w:val="1"/>
    </w:lvl>
  </w:abstractNum>
  <w:abstractNum w:abstractNumId="103">
    <w:nsid w:val="1CDCE2DE"/>
    <w:multiLevelType w:val="hybridMultilevel"/>
    <w:lvl w:ilvl="0">
      <w:lvlJc w:val="left"/>
      <w:lvlText w:val="%1"/>
      <w:numFmt w:val="decimal"/>
      <w:start w:val="32"/>
    </w:lvl>
  </w:abstractNum>
  <w:abstractNum w:abstractNumId="104">
    <w:nsid w:val="69D3947C"/>
    <w:multiLevelType w:val="hybridMultilevel"/>
    <w:lvl w:ilvl="0">
      <w:lvlJc w:val="left"/>
      <w:lvlText w:val="•"/>
      <w:numFmt w:val="bullet"/>
      <w:start w:val="1"/>
    </w:lvl>
  </w:abstractNum>
  <w:abstractNum w:abstractNumId="105">
    <w:nsid w:val="2539DFA5"/>
    <w:multiLevelType w:val="hybridMultilevel"/>
    <w:lvl w:ilvl="0">
      <w:lvlJc w:val="left"/>
      <w:lvlText w:val="•"/>
      <w:numFmt w:val="bullet"/>
      <w:start w:val="1"/>
    </w:lvl>
  </w:abstractNum>
  <w:abstractNum w:abstractNumId="106">
    <w:nsid w:val="2DB88089"/>
    <w:multiLevelType w:val="hybridMultilevel"/>
    <w:lvl w:ilvl="0">
      <w:lvlJc w:val="left"/>
      <w:lvlText w:val="•"/>
      <w:numFmt w:val="bullet"/>
      <w:start w:val="1"/>
    </w:lvl>
  </w:abstractNum>
  <w:abstractNum w:abstractNumId="107">
    <w:nsid w:val="706B674E"/>
    <w:multiLevelType w:val="hybridMultilevel"/>
    <w:lvl w:ilvl="0">
      <w:lvlJc w:val="left"/>
      <w:lvlText w:val="•"/>
      <w:numFmt w:val="bullet"/>
      <w:start w:val="1"/>
    </w:lvl>
  </w:abstractNum>
  <w:abstractNum w:abstractNumId="108">
    <w:nsid w:val="2C106A57"/>
    <w:multiLevelType w:val="hybridMultilevel"/>
    <w:lvl w:ilvl="0">
      <w:lvlJc w:val="left"/>
      <w:lvlText w:val="(%1)"/>
      <w:numFmt w:val="lowerLetter"/>
      <w:start w:val="25"/>
    </w:lvl>
  </w:abstractNum>
  <w:abstractNum w:abstractNumId="109">
    <w:nsid w:val="684EED59"/>
    <w:multiLevelType w:val="hybridMultilevel"/>
    <w:lvl w:ilvl="0">
      <w:lvlJc w:val="left"/>
      <w:lvlText w:val="(%1)"/>
      <w:numFmt w:val="lowerLetter"/>
      <w:start w:val="2"/>
    </w:lvl>
  </w:abstractNum>
  <w:abstractNum w:abstractNumId="110">
    <w:nsid w:val="545EE5D3"/>
    <w:multiLevelType w:val="hybridMultilevel"/>
    <w:lvl w:ilvl="0">
      <w:lvlJc w:val="left"/>
      <w:lvlText w:val="(%1)"/>
      <w:numFmt w:val="lowerLetter"/>
      <w:start w:val="5"/>
    </w:lvl>
  </w:abstractNum>
  <w:abstractNum w:abstractNumId="111">
    <w:nsid w:val="4A66051"/>
    <w:multiLevelType w:val="hybridMultilevel"/>
    <w:lvl w:ilvl="0">
      <w:lvlJc w:val="left"/>
      <w:lvlText w:val="(%1)"/>
      <w:numFmt w:val="lowerRoman"/>
      <w:start w:val="3"/>
    </w:lvl>
  </w:abstractNum>
  <w:abstractNum w:abstractNumId="112">
    <w:nsid w:val="20F4BDAD"/>
    <w:multiLevelType w:val="hybridMultilevel"/>
    <w:lvl w:ilvl="0">
      <w:lvlJc w:val="left"/>
      <w:lvlText w:val="(%1)"/>
      <w:numFmt w:val="lowerRoman"/>
      <w:start w:val="2"/>
    </w:lvl>
  </w:abstractNum>
  <w:abstractNum w:abstractNumId="113">
    <w:nsid w:val="639DEFAC"/>
    <w:multiLevelType w:val="hybridMultilevel"/>
    <w:lvl w:ilvl="0">
      <w:lvlJc w:val="left"/>
      <w:lvlText w:val="(%1)"/>
      <w:numFmt w:val="lowerRoman"/>
      <w:start w:val="2"/>
    </w:lvl>
  </w:abstractNum>
  <w:abstractNum w:abstractNumId="114">
    <w:nsid w:val="501F9786"/>
    <w:multiLevelType w:val="hybridMultilevel"/>
    <w:lvl w:ilvl="0">
      <w:lvlJc w:val="left"/>
      <w:lvlText w:val="(%1)"/>
      <w:numFmt w:val="lowerRoman"/>
      <w:start w:val="1"/>
    </w:lvl>
  </w:abstractNum>
  <w:abstractNum w:abstractNumId="115">
    <w:nsid w:val="6B057295"/>
    <w:multiLevelType w:val="hybridMultilevel"/>
    <w:lvl w:ilvl="0">
      <w:lvlJc w:val="left"/>
      <w:lvlText w:val="(%1)"/>
      <w:numFmt w:val="lowerLetter"/>
      <w:start w:val="1"/>
    </w:lvl>
  </w:abstractNum>
  <w:abstractNum w:abstractNumId="116">
    <w:nsid w:val="2771AC80"/>
    <w:multiLevelType w:val="hybridMultilevel"/>
    <w:lvl w:ilvl="0">
      <w:lvlJc w:val="left"/>
      <w:lvlText w:val="(%1)"/>
      <w:numFmt w:val="lowerLetter"/>
      <w:start w:val="1"/>
    </w:lvl>
  </w:abstractNum>
  <w:abstractNum w:abstractNumId="117">
    <w:nsid w:val="1C4A08EC"/>
    <w:multiLevelType w:val="hybridMultilevel"/>
    <w:lvl w:ilvl="0">
      <w:lvlJc w:val="left"/>
      <w:lvlText w:val="(%1)"/>
      <w:numFmt w:val="lowerLetter"/>
      <w:start w:val="4"/>
    </w:lvl>
  </w:abstractNum>
  <w:abstractNum w:abstractNumId="118">
    <w:nsid w:val="1958BD17"/>
    <w:multiLevelType w:val="hybridMultilevel"/>
    <w:lvl w:ilvl="0">
      <w:lvlJc w:val="left"/>
      <w:lvlText w:val="(%1)"/>
      <w:numFmt w:val="lowerLetter"/>
      <w:start w:val="2"/>
    </w:lvl>
  </w:abstractNum>
  <w:abstractNum w:abstractNumId="119">
    <w:nsid w:val="4E647FE4"/>
    <w:multiLevelType w:val="hybridMultilevel"/>
    <w:lvl w:ilvl="0">
      <w:lvlJc w:val="left"/>
      <w:lvlText w:val="(%1)"/>
      <w:numFmt w:val="lowerLetter"/>
      <w:start w:val="1"/>
    </w:lvl>
  </w:abstractNum>
  <w:abstractNum w:abstractNumId="120">
    <w:nsid w:val="E0BB885"/>
    <w:multiLevelType w:val="hybridMultilevel"/>
    <w:lvl w:ilvl="0">
      <w:lvlJc w:val="left"/>
      <w:lvlText w:val="(%1)"/>
      <w:numFmt w:val="lowerLetter"/>
      <w:start w:val="6"/>
    </w:lvl>
  </w:abstractNum>
  <w:abstractNum w:abstractNumId="121">
    <w:nsid w:val="565976F1"/>
    <w:multiLevelType w:val="hybridMultilevel"/>
    <w:lvl w:ilvl="0">
      <w:lvlJc w:val="left"/>
      <w:lvlText w:val="(%1)"/>
      <w:numFmt w:val="lowerLetter"/>
      <w:start w:val="1"/>
    </w:lvl>
  </w:abstractNum>
  <w:abstractNum w:abstractNumId="122">
    <w:nsid w:val="64212B8C"/>
    <w:multiLevelType w:val="hybridMultilevel"/>
    <w:lvl w:ilvl="0">
      <w:lvlJc w:val="left"/>
      <w:lvlText w:val="(%1)"/>
      <w:numFmt w:val="lowerLetter"/>
      <w:start w:val="3"/>
    </w:lvl>
  </w:abstractNum>
  <w:abstractNum w:abstractNumId="123">
    <w:nsid w:val="5C17530C"/>
    <w:multiLevelType w:val="hybridMultilevel"/>
    <w:lvl w:ilvl="0">
      <w:lvlJc w:val="left"/>
      <w:lvlText w:val="(%1)"/>
      <w:numFmt w:val="lowerLetter"/>
      <w:start w:val="4"/>
    </w:lvl>
  </w:abstractNum>
  <w:abstractNum w:abstractNumId="124">
    <w:nsid w:val="19A52566"/>
    <w:multiLevelType w:val="hybridMultilevel"/>
    <w:lvl w:ilvl="0">
      <w:lvlJc w:val="left"/>
      <w:lvlText w:val="(%1)"/>
      <w:numFmt w:val="lowerLetter"/>
      <w:start w:val="1"/>
    </w:lvl>
  </w:abstractNum>
  <w:abstractNum w:abstractNumId="125">
    <w:nsid w:val="335A1DF1"/>
    <w:multiLevelType w:val="hybridMultilevel"/>
    <w:lvl w:ilvl="0">
      <w:lvlJc w:val="left"/>
      <w:lvlText w:val="(%1)"/>
      <w:numFmt w:val="lowerLetter"/>
      <w:start w:val="1"/>
    </w:lvl>
  </w:abstractNum>
  <w:abstractNum w:abstractNumId="126">
    <w:nsid w:val="28677B7C"/>
    <w:multiLevelType w:val="hybridMultilevel"/>
    <w:lvl w:ilvl="0">
      <w:lvlJc w:val="left"/>
      <w:lvlText w:val="(%1)"/>
      <w:numFmt w:val="lowerLetter"/>
      <w:start w:val="1"/>
    </w:lvl>
  </w:abstractNum>
  <w:abstractNum w:abstractNumId="127">
    <w:nsid w:val="378D97C0"/>
    <w:multiLevelType w:val="hybridMultilevel"/>
    <w:lvl w:ilvl="0">
      <w:lvlJc w:val="left"/>
      <w:lvlText w:val="(%1)"/>
      <w:numFmt w:val="lowerLetter"/>
      <w:start w:val="2"/>
    </w:lvl>
  </w:abstractNum>
  <w:abstractNum w:abstractNumId="128">
    <w:nsid w:val="1D91467C"/>
    <w:multiLevelType w:val="hybridMultilevel"/>
    <w:lvl w:ilvl="0">
      <w:lvlJc w:val="left"/>
      <w:lvlText w:val="(%1)"/>
      <w:numFmt w:val="lowerLetter"/>
      <w:start w:val="1"/>
    </w:lvl>
  </w:abstractNum>
  <w:abstractNum w:abstractNumId="129">
    <w:nsid w:val="316032BB"/>
    <w:multiLevelType w:val="hybridMultilevel"/>
    <w:lvl w:ilvl="0">
      <w:lvlJc w:val="left"/>
      <w:lvlText w:val="(%1)"/>
      <w:numFmt w:val="lowerRoman"/>
      <w:start w:val="1"/>
    </w:lvl>
  </w:abstractNum>
  <w:abstractNum w:abstractNumId="130">
    <w:nsid w:val="44344C22"/>
    <w:multiLevelType w:val="hybridMultilevel"/>
    <w:lvl w:ilvl="0">
      <w:lvlJc w:val="left"/>
      <w:lvlText w:val="(%1)"/>
      <w:numFmt w:val="lowerRoman"/>
      <w:start w:val="2"/>
    </w:lvl>
    <w:lvl w:ilvl="1">
      <w:lvlJc w:val="left"/>
      <w:lvlText w:val="(%2)"/>
      <w:numFmt w:val="lowerLetter"/>
      <w:start w:val="3"/>
    </w:lvl>
  </w:abstractNum>
  <w:abstractNum w:abstractNumId="131">
    <w:nsid w:val="13CDFCFC"/>
    <w:multiLevelType w:val="hybridMultilevel"/>
    <w:lvl w:ilvl="0">
      <w:lvlJc w:val="left"/>
      <w:lvlText w:val="(%1)"/>
      <w:numFmt w:val="lowerLetter"/>
      <w:start w:val="1"/>
    </w:lvl>
  </w:abstractNum>
  <w:abstractNum w:abstractNumId="132">
    <w:nsid w:val="471745E4"/>
    <w:multiLevelType w:val="hybridMultilevel"/>
    <w:lvl w:ilvl="0">
      <w:lvlJc w:val="left"/>
      <w:lvlText w:val="(%1)"/>
      <w:numFmt w:val="lowerLetter"/>
      <w:start w:val="2"/>
    </w:lvl>
  </w:abstractNum>
  <w:abstractNum w:abstractNumId="133">
    <w:nsid w:val="1DDBC66"/>
    <w:multiLevelType w:val="hybridMultilevel"/>
    <w:lvl w:ilvl="0">
      <w:lvlJc w:val="left"/>
      <w:lvlText w:val="(%1)"/>
      <w:numFmt w:val="lowerLetter"/>
      <w:start w:val="4"/>
    </w:lvl>
  </w:abstractNum>
  <w:abstractNum w:abstractNumId="134">
    <w:nsid w:val="30AADFDA"/>
    <w:multiLevelType w:val="hybridMultilevel"/>
    <w:lvl w:ilvl="0">
      <w:lvlJc w:val="left"/>
      <w:lvlText w:val="(%1)"/>
      <w:numFmt w:val="lowerLetter"/>
      <w:start w:val="1"/>
    </w:lvl>
  </w:abstractNum>
  <w:abstractNum w:abstractNumId="135">
    <w:nsid w:val="30EADA61"/>
    <w:multiLevelType w:val="hybridMultilevel"/>
    <w:lvl w:ilvl="0">
      <w:lvlJc w:val="left"/>
      <w:lvlText w:val="(%1)"/>
      <w:numFmt w:val="lowerLetter"/>
      <w:start w:val="2"/>
    </w:lvl>
  </w:abstractNum>
  <w:abstractNum w:abstractNumId="136">
    <w:nsid w:val="27179C0B"/>
    <w:multiLevelType w:val="hybridMultilevel"/>
    <w:lvl w:ilvl="0">
      <w:lvlJc w:val="left"/>
      <w:lvlText w:val="(%1)"/>
      <w:numFmt w:val="lowerLetter"/>
      <w:start w:val="5"/>
    </w:lvl>
  </w:abstractNum>
  <w:abstractNum w:abstractNumId="137">
    <w:nsid w:val="5E636063"/>
    <w:multiLevelType w:val="hybridMultilevel"/>
    <w:lvl w:ilvl="0">
      <w:lvlJc w:val="left"/>
      <w:lvlText w:val="(%1)"/>
      <w:numFmt w:val="lowerLetter"/>
      <w:start w:val="6"/>
    </w:lvl>
  </w:abstractNum>
  <w:abstractNum w:abstractNumId="138">
    <w:nsid w:val="215641AF"/>
    <w:multiLevelType w:val="hybridMultilevel"/>
    <w:lvl w:ilvl="0">
      <w:lvlJc w:val="left"/>
      <w:lvlText w:val="(%1)"/>
      <w:numFmt w:val="lowerLetter"/>
      <w:start w:val="7"/>
    </w:lvl>
  </w:abstractNum>
  <w:abstractNum w:abstractNumId="139">
    <w:nsid w:val="53280662"/>
    <w:multiLevelType w:val="hybridMultilevel"/>
    <w:lvl w:ilvl="0">
      <w:lvlJc w:val="left"/>
      <w:lvlText w:val="(%1)"/>
      <w:numFmt w:val="lowerRoman"/>
      <w:start w:val="1"/>
    </w:lvl>
  </w:abstractNum>
  <w:abstractNum w:abstractNumId="140">
    <w:nsid w:val="46B24DBC"/>
    <w:multiLevelType w:val="hybridMultilevel"/>
    <w:lvl w:ilvl="0">
      <w:lvlJc w:val="left"/>
      <w:lvlText w:val="(%1)"/>
      <w:numFmt w:val="lowerRoman"/>
      <w:start w:val="2"/>
    </w:lvl>
    <w:lvl w:ilvl="1">
      <w:lvlJc w:val="left"/>
      <w:lvlText w:val="(%2)"/>
      <w:numFmt w:val="lowerLetter"/>
      <w:start w:val="8"/>
    </w:lvl>
  </w:abstractNum>
  <w:abstractNum w:abstractNumId="141">
    <w:nsid w:val="75B52783"/>
    <w:multiLevelType w:val="hybridMultilevel"/>
    <w:lvl w:ilvl="0">
      <w:lvlJc w:val="left"/>
      <w:lvlText w:val="(%1)"/>
      <w:numFmt w:val="lowerLetter"/>
      <w:start w:val="11"/>
    </w:lvl>
  </w:abstractNum>
  <w:abstractNum w:abstractNumId="142">
    <w:nsid w:val="57CE66B4"/>
    <w:multiLevelType w:val="hybridMultilevel"/>
    <w:lvl w:ilvl="0">
      <w:lvlJc w:val="left"/>
      <w:lvlText w:val="(%1)"/>
      <w:numFmt w:val="lowerLetter"/>
      <w:start w:val="1"/>
    </w:lvl>
  </w:abstractNum>
  <w:abstractNum w:abstractNumId="143">
    <w:nsid w:val="67A70B69"/>
    <w:multiLevelType w:val="hybridMultilevel"/>
    <w:lvl w:ilvl="0">
      <w:lvlJc w:val="left"/>
      <w:lvlText w:val="(%1)"/>
      <w:numFmt w:val="lowerLetter"/>
      <w:start w:val="2"/>
    </w:lvl>
  </w:abstractNum>
  <w:abstractNum w:abstractNumId="144">
    <w:nsid w:val="5953172F"/>
    <w:multiLevelType w:val="hybridMultilevel"/>
    <w:lvl w:ilvl="0">
      <w:lvlJc w:val="left"/>
      <w:lvlText w:val="(%1)"/>
      <w:numFmt w:val="lowerLetter"/>
      <w:start w:val="1"/>
    </w:lvl>
  </w:abstractNum>
  <w:abstractNum w:abstractNumId="145">
    <w:nsid w:val="27EDFE3A"/>
    <w:multiLevelType w:val="hybridMultilevel"/>
    <w:lvl w:ilvl="0">
      <w:lvlJc w:val="left"/>
      <w:lvlText w:val="%1"/>
      <w:numFmt w:val="lowerRoman"/>
      <w:start w:val="1"/>
    </w:lvl>
    <w:lvl w:ilvl="1">
      <w:lvlJc w:val="left"/>
      <w:lvlText w:val="(%2)"/>
      <w:numFmt w:val="lowerLetter"/>
      <w:start w:val="3"/>
    </w:lvl>
  </w:abstractNum>
  <w:abstractNum w:abstractNumId="146">
    <w:nsid w:val="52AC7DFF"/>
    <w:multiLevelType w:val="hybridMultilevel"/>
    <w:lvl w:ilvl="0">
      <w:lvlJc w:val="left"/>
      <w:lvlText w:val="(%1)"/>
      <w:numFmt w:val="lowerRoman"/>
      <w:start w:val="1"/>
    </w:lvl>
    <w:lvl w:ilvl="1">
      <w:lvlJc w:val="left"/>
      <w:lvlText w:val="(%2)"/>
      <w:numFmt w:val="lowerLetter"/>
      <w:start w:val="4"/>
    </w:lvl>
  </w:abstractNum>
  <w:abstractNum w:abstractNumId="147">
    <w:nsid w:val="C4C3AF"/>
    <w:multiLevelType w:val="hybridMultilevel"/>
    <w:lvl w:ilvl="0">
      <w:lvlJc w:val="left"/>
      <w:lvlText w:val="(%1)"/>
      <w:numFmt w:val="lowerLetter"/>
      <w:start w:val="1"/>
    </w:lvl>
  </w:abstractNum>
  <w:abstractNum w:abstractNumId="148">
    <w:nsid w:val="44380727"/>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149">
    <w:nsid w:val="6C053B16"/>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50">
    <w:nsid w:val="4F29439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51">
    <w:nsid w:val="5243BFAC"/>
    <w:multiLevelType w:val="hybridMultilevel"/>
    <w:lvl w:ilvl="0">
      <w:lvlJc w:val="left"/>
      <w:lvlText w:val="(%1)"/>
      <w:numFmt w:val="lowerLetter"/>
      <w:start w:val="35"/>
    </w:lvl>
    <w:lvl w:ilvl="1">
      <w:lvlJc w:val="left"/>
      <w:lvlText w:val="(%2)"/>
      <w:numFmt w:val="lowerLetter"/>
      <w:start w:val="24"/>
    </w:lvl>
    <w:lvl w:ilvl="2">
      <w:lvlJc w:val="left"/>
      <w:lvlText w:val="%3"/>
      <w:numFmt w:val="upperLetter"/>
      <w:start w:val="1"/>
    </w:lvl>
  </w:abstractNum>
  <w:abstractNum w:abstractNumId="152">
    <w:nsid w:val="425EB207"/>
    <w:multiLevelType w:val="hybridMultilevel"/>
    <w:lvl w:ilvl="0">
      <w:lvlJc w:val="left"/>
      <w:lvlText w:val="%1"/>
      <w:numFmt w:val="lowerRoman"/>
      <w:start w:val="1"/>
    </w:lvl>
    <w:lvl w:ilvl="1">
      <w:lvlJc w:val="left"/>
      <w:lvlText w:val="(%2)"/>
      <w:numFmt w:val="lowerRoman"/>
      <w:start w:val="3"/>
    </w:lvl>
  </w:abstractNum>
  <w:abstractNum w:abstractNumId="153">
    <w:nsid w:val="334A6F1F"/>
    <w:multiLevelType w:val="hybridMultilevel"/>
    <w:lvl w:ilvl="0">
      <w:lvlJc w:val="left"/>
      <w:lvlText w:val="(%1)"/>
      <w:numFmt w:val="lowerRoman"/>
      <w:start w:val="10"/>
    </w:lvl>
    <w:lvl w:ilvl="1">
      <w:lvlJc w:val="left"/>
      <w:lvlText w:val="(%2)"/>
      <w:numFmt w:val="lowerRoman"/>
      <w:start w:val="4"/>
    </w:lvl>
  </w:abstractNum>
  <w:abstractNum w:abstractNumId="154">
    <w:nsid w:val="2E5B12B8"/>
    <w:multiLevelType w:val="hybridMultilevel"/>
    <w:lvl w:ilvl="0">
      <w:lvlJc w:val="left"/>
      <w:lvlText w:val="(%1)"/>
      <w:numFmt w:val="upperLetter"/>
      <w:start w:val="2"/>
    </w:lvl>
    <w:lvl w:ilvl="1">
      <w:lvlJc w:val="left"/>
      <w:lvlText w:val="(%2)"/>
      <w:numFmt w:val="lowerRoman"/>
    </w:lvl>
    <w:lvl w:ilvl="2">
      <w:lvlJc w:val="left"/>
      <w:lvlText w:val="(%3)"/>
      <w:numFmt w:val="lowerLetter"/>
      <w:start w:val="6"/>
    </w:lvl>
  </w:abstractNum>
  <w:abstractNum w:abstractNumId="155">
    <w:nsid w:val="5C03D76D"/>
    <w:multiLevelType w:val="hybridMultilevel"/>
    <w:lvl w:ilvl="0">
      <w:lvlJc w:val="left"/>
      <w:lvlText w:val="%1"/>
      <w:numFmt w:val="lowerRoman"/>
      <w:start w:val="1"/>
    </w:lvl>
    <w:lvl w:ilvl="1">
      <w:lvlJc w:val="left"/>
      <w:lvlText w:val="(%2)"/>
      <w:numFmt w:val="lowerLetter"/>
      <w:start w:val="1"/>
    </w:lvl>
  </w:abstractNum>
  <w:abstractNum w:abstractNumId="156">
    <w:nsid w:val="66A48D11"/>
    <w:multiLevelType w:val="hybridMultilevel"/>
    <w:lvl w:ilvl="0">
      <w:lvlJc w:val="left"/>
      <w:lvlText w:val="(%1)"/>
      <w:numFmt w:val="lowerRoman"/>
      <w:start w:val="1"/>
    </w:lvl>
    <w:lvl w:ilvl="1">
      <w:lvlJc w:val="left"/>
      <w:lvlText w:val="%2"/>
      <w:numFmt w:val="lowerLetter"/>
      <w:start w:val="1"/>
    </w:lvl>
  </w:abstractNum>
  <w:abstractNum w:abstractNumId="157">
    <w:nsid w:val="56C28E34"/>
    <w:multiLevelType w:val="hybridMultilevel"/>
    <w:lvl w:ilvl="0">
      <w:lvlJc w:val="left"/>
      <w:lvlText w:val="(%1)"/>
      <w:numFmt w:val="lowerLetter"/>
      <w:start w:val="2"/>
    </w:lvl>
  </w:abstractNum>
  <w:abstractNum w:abstractNumId="158">
    <w:nsid w:val="13916F2D"/>
    <w:multiLevelType w:val="hybridMultilevel"/>
    <w:lvl w:ilvl="0">
      <w:lvlJc w:val="left"/>
      <w:lvlText w:val="(%1)"/>
      <w:numFmt w:val="lowerLetter"/>
      <w:start w:val="4"/>
    </w:lvl>
  </w:abstractNum>
  <w:abstractNum w:abstractNumId="159">
    <w:nsid w:val="435D38D"/>
    <w:multiLevelType w:val="hybridMultilevel"/>
    <w:lvl w:ilvl="0">
      <w:lvlJc w:val="left"/>
      <w:lvlText w:val="%1"/>
      <w:numFmt w:val="lowerLetter"/>
      <w:start w:val="1"/>
    </w:lvl>
    <w:lvl w:ilvl="1">
      <w:lvlJc w:val="left"/>
      <w:lvlText w:val="(%2)"/>
      <w:numFmt w:val="lowerLetter"/>
      <w:start w:val="1"/>
    </w:lvl>
  </w:abstractNum>
  <w:abstractNum w:abstractNumId="160">
    <w:nsid w:val="822C0EF"/>
    <w:multiLevelType w:val="hybridMultilevel"/>
    <w:lvl w:ilvl="0">
      <w:lvlJc w:val="left"/>
      <w:lvlText w:val="(%1)"/>
      <w:numFmt w:val="lowerLetter"/>
      <w:start w:val="9"/>
    </w:lvl>
    <w:lvl w:ilvl="1">
      <w:lvlJc w:val="left"/>
      <w:lvlText w:val="%2"/>
      <w:numFmt w:val="lowerLetter"/>
      <w:start w:val="1"/>
    </w:lvl>
  </w:abstractNum>
  <w:abstractNum w:abstractNumId="161">
    <w:nsid w:val="57C5BB4F"/>
    <w:multiLevelType w:val="hybridMultilevel"/>
    <w:lvl w:ilvl="0">
      <w:lvlJc w:val="left"/>
      <w:lvlText w:val="(%1)"/>
      <w:numFmt w:val="lowerRoman"/>
      <w:start w:val="2"/>
    </w:lvl>
  </w:abstractNum>
  <w:abstractNum w:abstractNumId="162">
    <w:nsid w:val="1803D089"/>
    <w:multiLevelType w:val="hybridMultilevel"/>
    <w:lvl w:ilvl="0">
      <w:lvlJc w:val="left"/>
      <w:lvlText w:val="(%1)"/>
      <w:numFmt w:val="lowerLetter"/>
      <w:start w:val="3"/>
    </w:lvl>
  </w:abstractNum>
  <w:abstractNum w:abstractNumId="163">
    <w:nsid w:val="4F3A06D4"/>
    <w:multiLevelType w:val="hybridMultilevel"/>
    <w:lvl w:ilvl="0">
      <w:lvlJc w:val="left"/>
      <w:lvlText w:val="(%1)"/>
      <w:numFmt w:val="lowerRoman"/>
      <w:start w:val="1"/>
    </w:lvl>
  </w:abstractNum>
  <w:abstractNum w:abstractNumId="164">
    <w:nsid w:val="59A377B6"/>
    <w:multiLevelType w:val="hybridMultilevel"/>
    <w:lvl w:ilvl="0">
      <w:lvlJc w:val="left"/>
      <w:lvlText w:val="(%1)"/>
      <w:numFmt w:val="lowerLetter"/>
      <w:start w:val="5"/>
    </w:lvl>
  </w:abstractNum>
  <w:abstractNum w:abstractNumId="165">
    <w:nsid w:val="48AEB063"/>
    <w:multiLevelType w:val="hybridMultilevel"/>
    <w:lvl w:ilvl="0">
      <w:lvlJc w:val="left"/>
      <w:lvlText w:val="(%1)"/>
      <w:numFmt w:val="lowerLetter"/>
      <w:start w:val="1"/>
    </w:lvl>
  </w:abstractNum>
  <w:abstractNum w:abstractNumId="166">
    <w:nsid w:val="24E135"/>
    <w:multiLevelType w:val="hybridMultilevel"/>
    <w:lvl w:ilvl="0">
      <w:lvlJc w:val="left"/>
      <w:lvlText w:val="(%1)"/>
      <w:numFmt w:val="lowerLetter"/>
      <w:start w:val="3"/>
    </w:lvl>
  </w:abstractNum>
  <w:abstractNum w:abstractNumId="167">
    <w:nsid w:val="BB13C1"/>
    <w:multiLevelType w:val="hybridMultilevel"/>
    <w:lvl w:ilvl="0">
      <w:lvlJc w:val="left"/>
      <w:lvlText w:val="(%1)"/>
      <w:numFmt w:val="lowerLetter"/>
      <w:start w:val="1"/>
    </w:lvl>
  </w:abstractNum>
  <w:abstractNum w:abstractNumId="168">
    <w:nsid w:val="271210C7"/>
    <w:multiLevelType w:val="hybridMultilevel"/>
    <w:lvl w:ilvl="0">
      <w:lvlJc w:val="left"/>
      <w:lvlText w:val="(%1)"/>
      <w:numFmt w:val="lowerLetter"/>
      <w:start w:val="5"/>
    </w:lvl>
  </w:abstractNum>
  <w:abstractNum w:abstractNumId="169">
    <w:nsid w:val="217B22E4"/>
    <w:multiLevelType w:val="hybridMultilevel"/>
    <w:lvl w:ilvl="0">
      <w:lvlJc w:val="left"/>
      <w:lvlText w:val="(%1)"/>
      <w:numFmt w:val="lowerLetter"/>
      <w:start w:val="1"/>
    </w:lvl>
  </w:abstractNum>
  <w:abstractNum w:abstractNumId="170">
    <w:nsid w:val="53E31A24"/>
    <w:multiLevelType w:val="hybridMultilevel"/>
    <w:lvl w:ilvl="0">
      <w:lvlJc w:val="left"/>
      <w:lvlText w:val="%1"/>
      <w:numFmt w:val="lowerRoman"/>
      <w:start w:val="1"/>
    </w:lvl>
    <w:lvl w:ilvl="1">
      <w:lvlJc w:val="left"/>
      <w:lvlText w:val="(%2)"/>
      <w:numFmt w:val="lowerLetter"/>
      <w:start w:val="1"/>
    </w:lvl>
  </w:abstractNum>
  <w:abstractNum w:abstractNumId="171">
    <w:nsid w:val="6DC45E83"/>
    <w:multiLevelType w:val="hybridMultilevel"/>
    <w:lvl w:ilvl="0">
      <w:lvlJc w:val="left"/>
      <w:lvlText w:val="(%1)"/>
      <w:numFmt w:val="lowerRoman"/>
      <w:start w:val="1"/>
    </w:lvl>
    <w:lvl w:ilvl="1">
      <w:lvlJc w:val="left"/>
      <w:lvlText w:val="%2"/>
      <w:numFmt w:val="lowerLetter"/>
      <w:start w:val="1"/>
    </w:lvl>
  </w:abstractNum>
  <w:abstractNum w:abstractNumId="172">
    <w:nsid w:val="17304A67"/>
    <w:multiLevelType w:val="hybridMultilevel"/>
    <w:lvl w:ilvl="0">
      <w:lvlJc w:val="left"/>
      <w:lvlText w:val="(%1)"/>
      <w:numFmt w:val="lowerLetter"/>
      <w:start w:val="2"/>
    </w:lvl>
  </w:abstractNum>
  <w:abstractNum w:abstractNumId="173">
    <w:nsid w:val="2BB180D8"/>
    <w:multiLevelType w:val="hybridMultilevel"/>
    <w:lvl w:ilvl="0">
      <w:lvlJc w:val="left"/>
      <w:lvlText w:val="(%1)"/>
      <w:numFmt w:val="lowerRoman"/>
      <w:start w:val="1"/>
    </w:lvl>
  </w:abstractNum>
  <w:abstractNum w:abstractNumId="174">
    <w:nsid w:val="556B69ED"/>
    <w:multiLevelType w:val="hybridMultilevel"/>
    <w:lvl w:ilvl="0">
      <w:lvlJc w:val="left"/>
      <w:lvlText w:val="(%1)"/>
      <w:numFmt w:val="lowerLetter"/>
      <w:start w:val="1"/>
    </w:lvl>
  </w:abstractNum>
  <w:abstractNum w:abstractNumId="175">
    <w:nsid w:val="70836196"/>
    <w:multiLevelType w:val="hybridMultilevel"/>
    <w:lvl w:ilvl="0">
      <w:lvlJc w:val="left"/>
      <w:lvlText w:val="%1"/>
      <w:numFmt w:val="lowerLetter"/>
      <w:start w:val="1"/>
    </w:lvl>
    <w:lvl w:ilvl="1">
      <w:lvlJc w:val="left"/>
      <w:lvlText w:val="(%2)"/>
      <w:numFmt w:val="lowerLetter"/>
      <w:start w:val="5"/>
    </w:lvl>
    <w:lvl w:ilvl="2">
      <w:lvlJc w:val="left"/>
      <w:lvlText w:val="%3"/>
      <w:numFmt w:val="upperLetter"/>
      <w:start w:val="1"/>
    </w:lvl>
    <w:lvl w:ilvl="3">
      <w:lvlJc w:val="left"/>
      <w:lvlText w:val="%4"/>
      <w:numFmt w:val="lowerLetter"/>
      <w:start w:val="1"/>
    </w:lvl>
  </w:abstractNum>
  <w:abstractNum w:abstractNumId="176">
    <w:nsid w:val="539F7F12"/>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lvl w:ilvl="3">
      <w:lvlJc w:val="left"/>
      <w:lvlText w:val="(%4)"/>
      <w:numFmt w:val="lowerLetter"/>
      <w:start w:val="23"/>
    </w:lvl>
  </w:abstractNum>
  <w:abstractNum w:abstractNumId="177">
    <w:nsid w:val="2817E7EC"/>
    <w:multiLevelType w:val="hybridMultilevel"/>
    <w:lvl w:ilvl="0">
      <w:lvlJc w:val="left"/>
      <w:lvlText w:val="%1"/>
      <w:numFmt w:val="lowerLetter"/>
      <w:start w:val="1"/>
    </w:lvl>
    <w:lvl w:ilvl="1">
      <w:lvlJc w:val="left"/>
      <w:lvlText w:val="(%2)"/>
      <w:numFmt w:val="lowerLetter"/>
      <w:start w:val="25"/>
    </w:lvl>
  </w:abstractNum>
  <w:abstractNum w:abstractNumId="178">
    <w:nsid w:val="71482545"/>
    <w:multiLevelType w:val="hybridMultilevel"/>
    <w:lvl w:ilvl="0">
      <w:lvlJc w:val="left"/>
      <w:lvlText w:val="(%1)"/>
      <w:numFmt w:val="lowerLetter"/>
      <w:start w:val="61"/>
    </w:lvl>
    <w:lvl w:ilvl="1">
      <w:lvlJc w:val="left"/>
      <w:lvlText w:val="%2"/>
      <w:numFmt w:val="lowerLetter"/>
      <w:start w:val="1"/>
    </w:lvl>
  </w:abstractNum>
  <w:abstractNum w:abstractNumId="179">
    <w:nsid w:val="17D78639"/>
    <w:multiLevelType w:val="hybridMultilevel"/>
    <w:lvl w:ilvl="0">
      <w:lvlJc w:val="left"/>
      <w:lvlText w:val="(%1)"/>
      <w:numFmt w:val="lowerLetter"/>
      <w:start w:val="7"/>
    </w:lvl>
  </w:abstractNum>
  <w:abstractNum w:abstractNumId="180">
    <w:nsid w:val="141D2302"/>
    <w:multiLevelType w:val="hybridMultilevel"/>
    <w:lvl w:ilvl="0">
      <w:lvlJc w:val="left"/>
      <w:lvlText w:val="(%1)"/>
      <w:numFmt w:val="lowerLetter"/>
      <w:start w:val="1"/>
    </w:lvl>
  </w:abstractNum>
  <w:abstractNum w:abstractNumId="181">
    <w:nsid w:val="407168D8"/>
    <w:multiLevelType w:val="hybridMultilevel"/>
    <w:lvl w:ilvl="0">
      <w:lvlJc w:val="left"/>
      <w:lvlText w:val="(%1)"/>
      <w:numFmt w:val="lowerLetter"/>
      <w:start w:val="2"/>
    </w:lvl>
  </w:abstractNum>
  <w:abstractNum w:abstractNumId="182">
    <w:nsid w:val="6A1B45E5"/>
    <w:multiLevelType w:val="hybridMultilevel"/>
    <w:lvl w:ilvl="0">
      <w:lvlJc w:val="left"/>
      <w:lvlText w:val="(%1)"/>
      <w:numFmt w:val="lowerLetter"/>
      <w:start w:val="4"/>
    </w:lvl>
  </w:abstractNum>
  <w:abstractNum w:abstractNumId="183">
    <w:nsid w:val="567BD50A"/>
    <w:multiLevelType w:val="hybridMultilevel"/>
    <w:lvl w:ilvl="0">
      <w:lvlJc w:val="left"/>
      <w:lvlText w:val="(%1)"/>
      <w:numFmt w:val="lowerLetter"/>
      <w:start w:val="1"/>
    </w:lvl>
  </w:abstractNum>
  <w:abstractNum w:abstractNumId="184">
    <w:nsid w:val="73BBD7F8"/>
    <w:multiLevelType w:val="hybridMultilevel"/>
    <w:lvl w:ilvl="0">
      <w:lvlJc w:val="left"/>
      <w:lvlText w:val="%1"/>
      <w:numFmt w:val="lowerLetter"/>
      <w:start w:val="1"/>
    </w:lvl>
    <w:lvl w:ilvl="1">
      <w:lvlJc w:val="left"/>
      <w:lvlText w:val="(%2)"/>
      <w:numFmt w:val="lowerLetter"/>
      <w:start w:val="1"/>
    </w:lvl>
  </w:abstractNum>
  <w:abstractNum w:abstractNumId="185">
    <w:nsid w:val="1876589D"/>
    <w:multiLevelType w:val="hybridMultilevel"/>
    <w:lvl w:ilvl="0">
      <w:lvlJc w:val="left"/>
      <w:lvlText w:val="(%1)"/>
      <w:numFmt w:val="lowerLetter"/>
      <w:start w:val="9"/>
    </w:lvl>
    <w:lvl w:ilvl="1">
      <w:lvlJc w:val="left"/>
      <w:lvlText w:val="%2"/>
      <w:numFmt w:val="lowerLetter"/>
      <w:start w:val="1"/>
    </w:lvl>
  </w:abstractNum>
  <w:abstractNum w:abstractNumId="186">
    <w:nsid w:val="327FAC77"/>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187">
    <w:nsid w:val="5A606509"/>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2"/>
    </w:lvl>
  </w:abstractNum>
  <w:abstractNum w:abstractNumId="188">
    <w:nsid w:val="6F38E6D1"/>
    <w:multiLevelType w:val="hybridMultilevel"/>
    <w:lvl w:ilvl="0">
      <w:lvlJc w:val="left"/>
      <w:lvlText w:val="%1"/>
      <w:numFmt w:val="lowerRoman"/>
      <w:start w:val="1"/>
    </w:lvl>
    <w:lvl w:ilvl="1">
      <w:lvlJc w:val="left"/>
      <w:lvlText w:val="(%2)"/>
      <w:numFmt w:val="lowerLetter"/>
      <w:start w:val="61"/>
    </w:lvl>
    <w:lvl w:ilvl="2">
      <w:lvlJc w:val="left"/>
      <w:lvlText w:val="%3"/>
      <w:numFmt w:val="upperLetter"/>
      <w:start w:val="1"/>
    </w:lvl>
  </w:abstractNum>
  <w:abstractNum w:abstractNumId="189">
    <w:nsid w:val="46111BA5"/>
    <w:multiLevelType w:val="hybridMultilevel"/>
    <w:lvl w:ilvl="0">
      <w:lvlJc w:val="left"/>
      <w:lvlText w:val="(%1)"/>
      <w:numFmt w:val="lowerRoman"/>
      <w:start w:val="4"/>
    </w:lvl>
    <w:lvl w:ilvl="1">
      <w:lvlJc w:val="left"/>
      <w:lvlText w:val="(%2)"/>
      <w:numFmt w:val="lowerLetter"/>
      <w:start w:val="2"/>
    </w:lvl>
    <w:lvl w:ilvl="2">
      <w:lvlJc w:val="left"/>
      <w:lvlText w:val="%3"/>
      <w:numFmt w:val="upperLetter"/>
      <w:start w:val="1"/>
    </w:lvl>
  </w:abstractNum>
  <w:abstractNum w:abstractNumId="190">
    <w:nsid w:val="5E963896"/>
    <w:multiLevelType w:val="hybridMultilevel"/>
    <w:lvl w:ilvl="0">
      <w:lvlJc w:val="left"/>
      <w:lvlText w:val="%1"/>
      <w:numFmt w:val="lowerLetter"/>
      <w:start w:val="1"/>
    </w:lvl>
    <w:lvl w:ilvl="1">
      <w:lvlJc w:val="left"/>
      <w:lvlText w:val="(%2)"/>
      <w:numFmt w:val="lowerLetter"/>
      <w:start w:val="3"/>
    </w:lvl>
  </w:abstractNum>
  <w:abstractNum w:abstractNumId="191">
    <w:nsid w:val="775BA7C1"/>
    <w:multiLevelType w:val="hybridMultilevel"/>
    <w:lvl w:ilvl="0">
      <w:lvlJc w:val="left"/>
      <w:lvlText w:val="(%1)"/>
      <w:numFmt w:val="lowerLetter"/>
      <w:start w:val="9"/>
    </w:lvl>
    <w:lvl w:ilvl="1">
      <w:lvlJc w:val="left"/>
      <w:lvlText w:val="%2"/>
      <w:numFmt w:val="lowerLetter"/>
      <w:start w:val="1"/>
    </w:lvl>
  </w:abstractNum>
  <w:abstractNum w:abstractNumId="192">
    <w:nsid w:val="1DD6D6F4"/>
    <w:multiLevelType w:val="hybridMultilevel"/>
    <w:lvl w:ilvl="0">
      <w:lvlJc w:val="left"/>
      <w:lvlText w:val="(%1)"/>
      <w:numFmt w:val="lowerRoman"/>
      <w:start w:val="2"/>
    </w:lvl>
  </w:abstractNum>
  <w:abstractNum w:abstractNumId="193">
    <w:nsid w:val="769A091F"/>
    <w:multiLevelType w:val="hybridMultilevel"/>
    <w:lvl w:ilvl="0">
      <w:lvlJc w:val="left"/>
      <w:lvlText w:val="%1"/>
      <w:numFmt w:val="lowerLetter"/>
      <w:start w:val="1"/>
    </w:lvl>
    <w:lvl w:ilvl="1">
      <w:lvlJc w:val="left"/>
      <w:lvlText w:val="(%2)"/>
      <w:numFmt w:val="lowerLetter"/>
      <w:start w:val="1"/>
    </w:lvl>
  </w:abstractNum>
  <w:abstractNum w:abstractNumId="194">
    <w:nsid w:val="4695AE95"/>
    <w:multiLevelType w:val="hybridMultilevel"/>
    <w:lvl w:ilvl="0">
      <w:lvlJc w:val="left"/>
      <w:lvlText w:val="(%1)"/>
      <w:numFmt w:val="lowerLetter"/>
      <w:start w:val="9"/>
    </w:lvl>
    <w:lvl w:ilvl="1">
      <w:lvlJc w:val="left"/>
      <w:lvlText w:val="%2"/>
      <w:numFmt w:val="lowerLetter"/>
      <w:start w:val="1"/>
    </w:lvl>
  </w:abstractNum>
  <w:abstractNum w:abstractNumId="195">
    <w:nsid w:val="777A4EAA"/>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abstractNum>
  <w:abstractNum w:abstractNumId="196">
    <w:nsid w:val="3F48B982"/>
    <w:multiLevelType w:val="hybridMultilevel"/>
    <w:lvl w:ilvl="0">
      <w:lvlJc w:val="left"/>
      <w:lvlText w:val="(%1)"/>
      <w:numFmt w:val="upperLetter"/>
      <w:start w:val="61"/>
    </w:lvl>
    <w:lvl w:ilvl="1">
      <w:lvlJc w:val="left"/>
      <w:lvlText w:val="%2"/>
      <w:numFmt w:val="lowerLetter"/>
      <w:start w:val="1"/>
    </w:lvl>
    <w:lvl w:ilvl="2">
      <w:lvlJc w:val="left"/>
      <w:lvlText w:val="(%3)"/>
      <w:numFmt w:val="lowerLetter"/>
      <w:start w:val="2"/>
    </w:lvl>
  </w:abstractNum>
  <w:abstractNum w:abstractNumId="197">
    <w:nsid w:val="46BA8FCA"/>
    <w:multiLevelType w:val="hybridMultilevel"/>
    <w:lvl w:ilvl="0">
      <w:lvlJc w:val="left"/>
      <w:lvlText w:val="%1"/>
      <w:numFmt w:val="upperLetter"/>
      <w:start w:val="1"/>
    </w:lvl>
    <w:lvl w:ilvl="1">
      <w:lvlJc w:val="left"/>
      <w:lvlText w:val="(%2)"/>
      <w:numFmt w:val="lowerLetter"/>
      <w:start w:val="1"/>
    </w:lvl>
  </w:abstractNum>
  <w:abstractNum w:abstractNumId="198">
    <w:nsid w:val="7835626C"/>
    <w:multiLevelType w:val="hybridMultilevel"/>
    <w:lvl w:ilvl="0">
      <w:lvlJc w:val="left"/>
      <w:lvlText w:val="(%1)"/>
      <w:numFmt w:val="upperLetter"/>
      <w:start w:val="2"/>
    </w:lvl>
    <w:lvl w:ilvl="1">
      <w:lvlJc w:val="left"/>
      <w:lvlText w:val="%2"/>
      <w:numFmt w:val="lowerLetter"/>
      <w:start w:val="1"/>
    </w:lvl>
  </w:abstractNum>
  <w:abstractNum w:abstractNumId="199">
    <w:nsid w:val="665ACA49"/>
    <w:multiLevelType w:val="hybridMultilevel"/>
    <w:lvl w:ilvl="0">
      <w:lvlJc w:val="left"/>
      <w:lvlText w:val="(%1)"/>
      <w:numFmt w:val="upperLetter"/>
      <w:start w:val="2"/>
    </w:lvl>
    <w:lvl w:ilvl="1">
      <w:lvlJc w:val="left"/>
      <w:lvlText w:val="(%2)"/>
      <w:numFmt w:val="lowerLetter"/>
      <w:start w:val="2"/>
    </w:lvl>
  </w:abstractNum>
  <w:abstractNum w:abstractNumId="200">
    <w:nsid w:val="6835B2AE"/>
    <w:multiLevelType w:val="hybridMultilevel"/>
    <w:lvl w:ilvl="0">
      <w:lvlJc w:val="left"/>
      <w:lvlText w:val="(%1)"/>
      <w:numFmt w:val="lowerLetter"/>
      <w:start w:val="1"/>
    </w:lvl>
  </w:abstractNum>
  <w:abstractNum w:abstractNumId="201">
    <w:nsid w:val="4C187C90"/>
    <w:multiLevelType w:val="hybridMultilevel"/>
    <w:lvl w:ilvl="0">
      <w:lvlJc w:val="left"/>
      <w:lvlText w:val="(%1)"/>
      <w:numFmt w:val="lowerLetter"/>
      <w:start w:val="2"/>
    </w:lvl>
  </w:abstractNum>
  <w:abstractNum w:abstractNumId="202">
    <w:nsid w:val="541F28CD"/>
    <w:multiLevelType w:val="hybridMultilevel"/>
    <w:lvl w:ilvl="0">
      <w:lvlJc w:val="left"/>
      <w:lvlText w:val="(%1)"/>
      <w:numFmt w:val="lowerLetter"/>
      <w:start w:val="2"/>
    </w:lvl>
  </w:abstractNum>
  <w:abstractNum w:abstractNumId="203">
    <w:nsid w:val="7F65FD16"/>
    <w:multiLevelType w:val="hybridMultilevel"/>
    <w:lvl w:ilvl="0">
      <w:lvlJc w:val="left"/>
      <w:lvlText w:val="(%1)"/>
      <w:numFmt w:val="lowerLetter"/>
      <w:start w:val="4"/>
    </w:lvl>
  </w:abstractNum>
  <w:abstractNum w:abstractNumId="204">
    <w:nsid w:val="77C9FD68"/>
    <w:multiLevelType w:val="hybridMultilevel"/>
    <w:lvl w:ilvl="0">
      <w:lvlJc w:val="left"/>
      <w:lvlText w:val="(%1)"/>
      <w:numFmt w:val="lowerLetter"/>
      <w:start w:val="1"/>
    </w:lvl>
  </w:abstractNum>
  <w:abstractNum w:abstractNumId="205">
    <w:nsid w:val="298A92BA"/>
    <w:multiLevelType w:val="hybridMultilevel"/>
    <w:lvl w:ilvl="0">
      <w:lvlJc w:val="left"/>
      <w:lvlText w:val="(%1)"/>
      <w:numFmt w:val="lowerLetter"/>
      <w:start w:val="1"/>
    </w:lvl>
  </w:abstractNum>
  <w:abstractNum w:abstractNumId="206">
    <w:nsid w:val="6FE95EAC"/>
    <w:multiLevelType w:val="hybridMultilevel"/>
    <w:lvl w:ilvl="0">
      <w:lvlJc w:val="left"/>
      <w:lvlText w:val="(%1)"/>
      <w:numFmt w:val="lowerLetter"/>
      <w:start w:val="3"/>
    </w:lvl>
  </w:abstractNum>
  <w:abstractNum w:abstractNumId="207">
    <w:nsid w:val="4B697C7A"/>
    <w:multiLevelType w:val="hybridMultilevel"/>
    <w:lvl w:ilvl="0">
      <w:lvlJc w:val="left"/>
      <w:lvlText w:val="(%1)"/>
      <w:numFmt w:val="lowerLetter"/>
      <w:start w:val="1"/>
    </w:lvl>
  </w:abstractNum>
  <w:abstractNum w:abstractNumId="208">
    <w:nsid w:val="51A27AA6"/>
    <w:multiLevelType w:val="hybridMultilevel"/>
    <w:lvl w:ilvl="0">
      <w:lvlJc w:val="left"/>
      <w:lvlText w:val="(%1)"/>
      <w:numFmt w:val="lowerLetter"/>
      <w:start w:val="1"/>
    </w:lvl>
  </w:abstractNum>
  <w:abstractNum w:abstractNumId="209">
    <w:nsid w:val="613183F2"/>
    <w:multiLevelType w:val="hybridMultilevel"/>
    <w:lvl w:ilvl="0">
      <w:lvlJc w:val="left"/>
      <w:lvlText w:val="(%1)"/>
      <w:numFmt w:val="lowerLetter"/>
      <w:start w:val="2"/>
    </w:lvl>
  </w:abstractNum>
  <w:abstractNum w:abstractNumId="210">
    <w:nsid w:val="634102B4"/>
    <w:multiLevelType w:val="hybridMultilevel"/>
    <w:lvl w:ilvl="0">
      <w:lvlJc w:val="left"/>
      <w:lvlText w:val="(%1)"/>
      <w:numFmt w:val="lowerLetter"/>
      <w:start w:val="1"/>
    </w:lvl>
  </w:abstractNum>
  <w:abstractNum w:abstractNumId="211">
    <w:nsid w:val="65BF9DA8"/>
    <w:multiLevelType w:val="hybridMultilevel"/>
    <w:lvl w:ilvl="0">
      <w:lvlJc w:val="left"/>
      <w:lvlText w:val="(%1)"/>
      <w:numFmt w:val="lowerLetter"/>
      <w:start w:val="2"/>
    </w:lvl>
  </w:abstractNum>
  <w:abstractNum w:abstractNumId="212">
    <w:nsid w:val="21A2ECCA"/>
    <w:multiLevelType w:val="hybridMultilevel"/>
    <w:lvl w:ilvl="0">
      <w:lvlJc w:val="left"/>
      <w:lvlText w:val="(%1)"/>
      <w:numFmt w:val="lowerLetter"/>
      <w:start w:val="1"/>
    </w:lvl>
  </w:abstractNum>
  <w:abstractNum w:abstractNumId="213">
    <w:nsid w:val="4D5C4899"/>
    <w:multiLevelType w:val="hybridMultilevel"/>
    <w:lvl w:ilvl="0">
      <w:lvlJc w:val="left"/>
      <w:lvlText w:val="(%1)"/>
      <w:numFmt w:val="lowerLetter"/>
      <w:start w:val="2"/>
    </w:lvl>
  </w:abstractNum>
  <w:abstractNum w:abstractNumId="214">
    <w:nsid w:val="3C3B72B2"/>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215">
    <w:nsid w:val="155EC4C2"/>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216">
    <w:nsid w:val="65D2A137"/>
    <w:multiLevelType w:val="hybridMultilevel"/>
    <w:lvl w:ilvl="0">
      <w:lvlJc w:val="left"/>
      <w:lvlText w:val="(%1)"/>
      <w:numFmt w:val="lowerRoman"/>
      <w:start w:val="4"/>
    </w:lvl>
    <w:lvl w:ilvl="1">
      <w:lvlJc w:val="left"/>
      <w:lvlText w:val="%2"/>
      <w:numFmt w:val="lowerRoman"/>
      <w:start w:val="1"/>
    </w:lvl>
    <w:lvl w:ilvl="2">
      <w:lvlJc w:val="left"/>
      <w:lvlText w:val="%3"/>
      <w:numFmt w:val="lowerLetter"/>
      <w:start w:val="1"/>
    </w:lvl>
  </w:abstractNum>
  <w:abstractNum w:abstractNumId="217">
    <w:nsid w:val="6EBB1F2A"/>
    <w:multiLevelType w:val="hybridMultilevel"/>
    <w:lvl w:ilvl="0">
      <w:lvlJc w:val="left"/>
      <w:lvlText w:val="(%1)"/>
      <w:numFmt w:val="lowerLetter"/>
      <w:start w:val="2"/>
    </w:lvl>
  </w:abstractNum>
  <w:abstractNum w:abstractNumId="218">
    <w:nsid w:val="6FBF29CB"/>
    <w:multiLevelType w:val="hybridMultilevel"/>
    <w:lvl w:ilvl="0">
      <w:lvlJc w:val="left"/>
      <w:lvlText w:val="%1"/>
      <w:numFmt w:val="lowerLetter"/>
      <w:start w:val="1"/>
    </w:lvl>
    <w:lvl w:ilvl="1">
      <w:lvlJc w:val="left"/>
      <w:lvlText w:val="(%2)"/>
      <w:numFmt w:val="lowerLetter"/>
      <w:start w:val="1"/>
    </w:lvl>
  </w:abstractNum>
  <w:abstractNum w:abstractNumId="219">
    <w:nsid w:val="550B8808"/>
    <w:multiLevelType w:val="hybridMultilevel"/>
    <w:lvl w:ilvl="0">
      <w:lvlJc w:val="left"/>
      <w:lvlText w:val="(%1)"/>
      <w:numFmt w:val="lowerLetter"/>
      <w:start w:val="35"/>
    </w:lvl>
    <w:lvl w:ilvl="1">
      <w:lvlJc w:val="left"/>
      <w:lvlText w:val="%2"/>
      <w:numFmt w:val="lowerLetter"/>
      <w:start w:val="1"/>
    </w:lvl>
  </w:abstractNum>
  <w:abstractNum w:abstractNumId="220">
    <w:nsid w:val="34CC3ACF"/>
    <w:multiLevelType w:val="hybridMultilevel"/>
    <w:lvl w:ilvl="0">
      <w:lvlJc w:val="left"/>
      <w:lvlText w:val="(%1)"/>
      <w:numFmt w:val="lowerLetter"/>
      <w:start w:val="1"/>
    </w:lvl>
  </w:abstractNum>
  <w:abstractNum w:abstractNumId="221">
    <w:nsid w:val="4E556261"/>
    <w:multiLevelType w:val="hybridMultilevel"/>
    <w:lvl w:ilvl="0">
      <w:lvlJc w:val="left"/>
      <w:lvlText w:val="(%1)"/>
      <w:numFmt w:val="lowerLetter"/>
      <w:start w:val="6"/>
    </w:lvl>
  </w:abstractNum>
  <w:abstractNum w:abstractNumId="222">
    <w:nsid w:val="4C672FC9"/>
    <w:multiLevelType w:val="hybridMultilevel"/>
    <w:lvl w:ilvl="0">
      <w:lvlJc w:val="left"/>
      <w:lvlText w:val="(%1)"/>
      <w:numFmt w:val="lowerLetter"/>
      <w:start w:val="1"/>
    </w:lvl>
  </w:abstractNum>
  <w:abstractNum w:abstractNumId="223">
    <w:nsid w:val="52A311C3"/>
    <w:multiLevelType w:val="hybridMultilevel"/>
    <w:lvl w:ilvl="0">
      <w:lvlJc w:val="left"/>
      <w:lvlText w:val="(%1)"/>
      <w:numFmt w:val="lowerLetter"/>
      <w:start w:val="3"/>
    </w:lvl>
  </w:abstractNum>
  <w:abstractNum w:abstractNumId="224">
    <w:nsid w:val="44EF6B80"/>
    <w:multiLevelType w:val="hybridMultilevel"/>
    <w:lvl w:ilvl="0">
      <w:lvlJc w:val="left"/>
      <w:lvlText w:val="(%1)"/>
      <w:numFmt w:val="lowerLetter"/>
      <w:start w:val="1"/>
    </w:lvl>
  </w:abstractNum>
  <w:abstractNum w:abstractNumId="225">
    <w:nsid w:val="12FCDE5E"/>
    <w:multiLevelType w:val="hybridMultilevel"/>
    <w:lvl w:ilvl="0">
      <w:lvlJc w:val="left"/>
      <w:lvlText w:val="(%1)"/>
      <w:numFmt w:val="lowerLetter"/>
      <w:start w:val="1"/>
    </w:lvl>
  </w:abstractNum>
  <w:abstractNum w:abstractNumId="226">
    <w:nsid w:val="4A1D606E"/>
    <w:multiLevelType w:val="hybridMultilevel"/>
    <w:lvl w:ilvl="0">
      <w:lvlJc w:val="left"/>
      <w:lvlText w:val="(%1)"/>
      <w:numFmt w:val="lowerLetter"/>
      <w:start w:val="1"/>
    </w:lvl>
  </w:abstractNum>
  <w:abstractNum w:abstractNumId="227">
    <w:nsid w:val="4382503"/>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228">
    <w:nsid w:val="59B76E2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2"/>
    </w:lvl>
    <w:lvl w:ilvl="3">
      <w:lvlJc w:val="left"/>
      <w:lvlText w:val="(%4)"/>
      <w:numFmt w:val="upperLetter"/>
      <w:start w:val="1"/>
    </w:lvl>
  </w:abstractNum>
  <w:abstractNum w:abstractNumId="229">
    <w:nsid w:val="4252C2DA"/>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230">
    <w:nsid w:val="6A92EF4C"/>
    <w:multiLevelType w:val="hybridMultilevel"/>
    <w:lvl w:ilvl="0">
      <w:lvlJc w:val="left"/>
      <w:lvlText w:val="(%1)"/>
      <w:numFmt w:val="lowerRoman"/>
      <w:start w:val="10"/>
    </w:lvl>
  </w:abstractNum>
  <w:abstractNum w:abstractNumId="231">
    <w:nsid w:val="41ED20D7"/>
    <w:multiLevelType w:val="hybridMultilevel"/>
    <w:lvl w:ilvl="0">
      <w:lvlJc w:val="left"/>
      <w:lvlText w:val="%1"/>
      <w:numFmt w:val="upperLetter"/>
      <w:start w:val="1"/>
    </w:lvl>
    <w:lvl w:ilvl="1">
      <w:lvlJc w:val="left"/>
      <w:lvlText w:val="(%2)"/>
      <w:numFmt w:val="lowerLetter"/>
      <w:start w:val="25"/>
    </w:lvl>
    <w:lvl w:ilvl="2">
      <w:lvlJc w:val="left"/>
      <w:lvlText w:val="(%3)"/>
      <w:numFmt w:val="upperLetter"/>
      <w:start w:val="3"/>
    </w:lvl>
  </w:abstractNum>
  <w:abstractNum w:abstractNumId="232">
    <w:nsid w:val="E6B3F6A"/>
    <w:multiLevelType w:val="hybridMultilevel"/>
    <w:lvl w:ilvl="0">
      <w:lvlJc w:val="left"/>
      <w:lvlText w:val="(%1)"/>
      <w:numFmt w:val="upperLetter"/>
      <w:start w:val="1"/>
    </w:lvl>
    <w:lvl w:ilvl="1">
      <w:lvlJc w:val="left"/>
      <w:lvlText w:val="(%2)"/>
      <w:numFmt w:val="lowerLetter"/>
      <w:start w:val="23"/>
    </w:lvl>
    <w:lvl w:ilvl="2">
      <w:lvlJc w:val="left"/>
      <w:lvlText w:val="(%3)"/>
      <w:numFmt w:val="upperLetter"/>
      <w:start w:val="4"/>
    </w:lvl>
  </w:abstractNum>
  <w:abstractNum w:abstractNumId="233">
    <w:nsid w:val="3EB21819"/>
    <w:multiLevelType w:val="hybridMultilevel"/>
    <w:lvl w:ilvl="0">
      <w:lvlJc w:val="left"/>
      <w:lvlText w:val="(%1)"/>
      <w:numFmt w:val="lowerLetter"/>
      <w:start w:val="25"/>
    </w:lvl>
  </w:abstractNum>
  <w:abstractNum w:abstractNumId="234">
    <w:nsid w:val="41531DED"/>
    <w:multiLevelType w:val="hybridMultilevel"/>
    <w:lvl w:ilvl="0">
      <w:lvlJc w:val="left"/>
      <w:lvlText w:val="(%1)"/>
      <w:numFmt w:val="upperLetter"/>
      <w:start w:val="6"/>
    </w:lvl>
  </w:abstractNum>
  <w:abstractNum w:abstractNumId="235">
    <w:nsid w:val="6353CD2"/>
    <w:multiLevelType w:val="hybridMultilevel"/>
    <w:lvl w:ilvl="0">
      <w:lvlJc w:val="left"/>
      <w:lvlText w:val="(%1)"/>
      <w:numFmt w:val="lowerLetter"/>
      <w:start w:val="3"/>
    </w:lvl>
  </w:abstractNum>
  <w:abstractNum w:abstractNumId="236">
    <w:nsid w:val="683CAAD3"/>
    <w:multiLevelType w:val="hybridMultilevel"/>
    <w:lvl w:ilvl="0">
      <w:lvlJc w:val="left"/>
      <w:lvlText w:val="(%1)"/>
      <w:numFmt w:val="lowerLetter"/>
      <w:start w:val="1"/>
    </w:lvl>
  </w:abstractNum>
  <w:abstractNum w:abstractNumId="237">
    <w:nsid w:val="313C7C99"/>
    <w:multiLevelType w:val="hybridMultilevel"/>
    <w:lvl w:ilvl="0">
      <w:lvlJc w:val="left"/>
      <w:lvlText w:val="(%1)"/>
      <w:numFmt w:val="lowerLetter"/>
      <w:start w:val="5"/>
    </w:lvl>
  </w:abstractNum>
  <w:abstractNum w:abstractNumId="238">
    <w:nsid w:val="519EB94C"/>
    <w:multiLevelType w:val="hybridMultilevel"/>
    <w:lvl w:ilvl="0">
      <w:lvlJc w:val="left"/>
      <w:lvlText w:val="(%1)"/>
      <w:numFmt w:val="lowerLetter"/>
      <w:start w:val="2"/>
    </w:lvl>
  </w:abstractNum>
  <w:abstractNum w:abstractNumId="239">
    <w:nsid w:val="39DF2579"/>
    <w:multiLevelType w:val="hybridMultilevel"/>
    <w:lvl w:ilvl="0">
      <w:lvlJc w:val="left"/>
      <w:lvlText w:val="(%1)"/>
      <w:numFmt w:val="lowerRoman"/>
      <w:start w:val="1"/>
    </w:lvl>
  </w:abstractNum>
  <w:abstractNum w:abstractNumId="240">
    <w:nsid w:val="126E008B"/>
    <w:multiLevelType w:val="hybridMultilevel"/>
    <w:lvl w:ilvl="0">
      <w:lvlJc w:val="left"/>
      <w:lvlText w:val="(%1)"/>
      <w:numFmt w:val="lowerLetter"/>
      <w:start w:val="1"/>
    </w:lvl>
  </w:abstractNum>
  <w:abstractNum w:abstractNumId="241">
    <w:nsid w:val="34DFBC00"/>
    <w:multiLevelType w:val="hybridMultilevel"/>
    <w:lvl w:ilvl="0">
      <w:lvlJc w:val="left"/>
      <w:lvlText w:val="%1"/>
      <w:numFmt w:val="lowerLetter"/>
      <w:start w:val="1"/>
    </w:lvl>
    <w:lvl w:ilvl="1">
      <w:lvlJc w:val="left"/>
      <w:lvlText w:val="(%2)"/>
      <w:numFmt w:val="lowerLetter"/>
      <w:start w:val="4"/>
    </w:lvl>
  </w:abstractNum>
  <w:abstractNum w:abstractNumId="242">
    <w:nsid w:val="1F9EC322"/>
    <w:multiLevelType w:val="hybridMultilevel"/>
    <w:lvl w:ilvl="0">
      <w:lvlJc w:val="left"/>
      <w:lvlText w:val="(%1)"/>
      <w:numFmt w:val="lowerLetter"/>
      <w:start w:val="35"/>
    </w:lvl>
    <w:lvl w:ilvl="1">
      <w:lvlJc w:val="left"/>
      <w:lvlText w:val="%2"/>
      <w:numFmt w:val="lowerLetter"/>
      <w:start w:val="1"/>
    </w:lvl>
  </w:abstractNum>
  <w:abstractNum w:abstractNumId="243">
    <w:nsid w:val="3410ED56"/>
    <w:multiLevelType w:val="hybridMultilevel"/>
    <w:lvl w:ilvl="0">
      <w:lvlJc w:val="left"/>
      <w:lvlText w:val="(%1)"/>
      <w:numFmt w:val="lowerLetter"/>
      <w:start w:val="15"/>
    </w:lvl>
  </w:abstractNum>
  <w:abstractNum w:abstractNumId="244">
    <w:nsid w:val="23C049A"/>
    <w:multiLevelType w:val="hybridMultilevel"/>
    <w:lvl w:ilvl="0">
      <w:lvlJc w:val="left"/>
      <w:lvlText w:val="(%1)"/>
      <w:numFmt w:val="lowerLetter"/>
      <w:start w:val="1"/>
    </w:lvl>
  </w:abstractNum>
  <w:abstractNum w:abstractNumId="245">
    <w:nsid w:val="5BDA35D4"/>
    <w:multiLevelType w:val="hybridMultilevel"/>
    <w:lvl w:ilvl="0">
      <w:lvlJc w:val="left"/>
      <w:lvlText w:val="(%1)"/>
      <w:numFmt w:val="lowerLetter"/>
      <w:start w:val="8"/>
    </w:lvl>
  </w:abstractNum>
  <w:abstractNum w:abstractNumId="246">
    <w:nsid w:val="496FB218"/>
    <w:multiLevelType w:val="hybridMultilevel"/>
    <w:lvl w:ilvl="0">
      <w:lvlJc w:val="left"/>
      <w:lvlText w:val="(%1)"/>
      <w:numFmt w:val="lowerLetter"/>
      <w:start w:val="5"/>
    </w:lvl>
  </w:abstractNum>
  <w:abstractNum w:abstractNumId="247">
    <w:nsid w:val="680EA5D1"/>
    <w:multiLevelType w:val="hybridMultilevel"/>
    <w:lvl w:ilvl="0">
      <w:lvlJc w:val="left"/>
      <w:lvlText w:val="(%1)"/>
      <w:numFmt w:val="lowerLetter"/>
      <w:start w:val="1"/>
    </w:lvl>
  </w:abstractNum>
  <w:abstractNum w:abstractNumId="248">
    <w:nsid w:val="4A9554FE"/>
    <w:multiLevelType w:val="hybridMultilevel"/>
    <w:lvl w:ilvl="0">
      <w:lvlJc w:val="left"/>
      <w:lvlText w:val="(%1)"/>
      <w:numFmt w:val="lowerLetter"/>
      <w:start w:val="3"/>
    </w:lvl>
  </w:abstractNum>
  <w:abstractNum w:abstractNumId="249">
    <w:nsid w:val="392EDBE4"/>
    <w:multiLevelType w:val="hybridMultilevel"/>
    <w:lvl w:ilvl="0">
      <w:lvlJc w:val="left"/>
      <w:lvlText w:val="(%1)"/>
      <w:numFmt w:val="lowerLetter"/>
      <w:start w:val="1"/>
    </w:lvl>
  </w:abstractNum>
  <w:abstractNum w:abstractNumId="250">
    <w:nsid w:val="3D1A2DD9"/>
    <w:multiLevelType w:val="hybridMultilevel"/>
    <w:lvl w:ilvl="0">
      <w:lvlJc w:val="left"/>
      <w:lvlText w:val="(%1)"/>
      <w:numFmt w:val="lowerLetter"/>
      <w:start w:val="3"/>
    </w:lvl>
  </w:abstractNum>
  <w:abstractNum w:abstractNumId="251">
    <w:nsid w:val="7F618FCD"/>
    <w:multiLevelType w:val="hybridMultilevel"/>
    <w:lvl w:ilvl="0">
      <w:lvlJc w:val="left"/>
      <w:lvlText w:val="(%1)"/>
      <w:numFmt w:val="lowerLetter"/>
      <w:start w:val="6"/>
    </w:lvl>
  </w:abstractNum>
  <w:abstractNum w:abstractNumId="252">
    <w:nsid w:val="7843E45"/>
    <w:multiLevelType w:val="hybridMultilevel"/>
    <w:lvl w:ilvl="0">
      <w:lvlJc w:val="left"/>
      <w:lvlText w:val="%1"/>
      <w:numFmt w:val="lowerRoman"/>
      <w:start w:val="1"/>
    </w:lvl>
    <w:lvl w:ilvl="1">
      <w:lvlJc w:val="left"/>
      <w:lvlText w:val="(%2)"/>
      <w:numFmt w:val="lowerLetter"/>
      <w:start w:val="1"/>
    </w:lvl>
  </w:abstractNum>
  <w:abstractNum w:abstractNumId="253">
    <w:nsid w:val="9815DA3"/>
    <w:multiLevelType w:val="hybridMultilevel"/>
    <w:lvl w:ilvl="0">
      <w:lvlJc w:val="left"/>
      <w:lvlText w:val="(%1)"/>
      <w:numFmt w:val="lowerRoman"/>
      <w:start w:val="1"/>
    </w:lvl>
    <w:lvl w:ilvl="1">
      <w:lvlJc w:val="left"/>
      <w:lvlText w:val="%2"/>
      <w:numFmt w:val="lowerLetter"/>
      <w:start w:val="1"/>
    </w:lvl>
  </w:abstractNum>
  <w:abstractNum w:abstractNumId="254">
    <w:nsid w:val="5204A191"/>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4"/>
    </w:lvl>
  </w:abstractNum>
  <w:abstractNum w:abstractNumId="255">
    <w:nsid w:val="4C73A9C6"/>
    <w:multiLevelType w:val="hybridMultilevel"/>
    <w:lvl w:ilvl="0">
      <w:lvlJc w:val="left"/>
      <w:lvlText w:val="(%1)"/>
      <w:numFmt w:val="lowerLetter"/>
      <w:start w:val="24"/>
    </w:lvl>
    <w:lvl w:ilvl="1">
      <w:lvlJc w:val="left"/>
      <w:lvlText w:val="%2"/>
      <w:numFmt w:val="upperLetter"/>
      <w:start w:val="1"/>
    </w:lvl>
    <w:lvl w:ilvl="2">
      <w:lvlJc w:val="left"/>
      <w:lvlText w:val="%3"/>
      <w:numFmt w:val="lowerLetter"/>
      <w:start w:val="1"/>
    </w:lvl>
  </w:abstractNum>
  <w:abstractNum w:abstractNumId="256">
    <w:nsid w:val="1C7E3C01"/>
    <w:multiLevelType w:val="hybridMultilevel"/>
    <w:lvl w:ilvl="0">
      <w:lvlJc w:val="left"/>
      <w:lvlText w:val="(%1)"/>
      <w:numFmt w:val="lowerLetter"/>
      <w:start w:val="1"/>
    </w:lvl>
  </w:abstractNum>
  <w:abstractNum w:abstractNumId="257">
    <w:nsid w:val="1C2201FF"/>
    <w:multiLevelType w:val="hybridMultilevel"/>
    <w:lvl w:ilvl="0">
      <w:lvlJc w:val="left"/>
      <w:lvlText w:val="(%1)"/>
      <w:numFmt w:val="lowerLetter"/>
      <w:start w:val="2"/>
    </w:lvl>
  </w:abstractNum>
  <w:abstractNum w:abstractNumId="258">
    <w:nsid w:val="50ABCEC9"/>
    <w:multiLevelType w:val="hybridMultilevel"/>
    <w:lvl w:ilvl="0">
      <w:lvlJc w:val="left"/>
      <w:lvlText w:val="(%1)"/>
      <w:numFmt w:val="lowerLetter"/>
      <w:start w:val="1"/>
    </w:lvl>
  </w:abstractNum>
  <w:abstractNum w:abstractNumId="259">
    <w:nsid w:val="7635AA2A"/>
    <w:multiLevelType w:val="hybridMultilevel"/>
    <w:lvl w:ilvl="0">
      <w:lvlJc w:val="left"/>
      <w:lvlText w:val="(%1)"/>
      <w:numFmt w:val="lowerLetter"/>
      <w:start w:val="6"/>
    </w:lvl>
  </w:abstractNum>
  <w:abstractNum w:abstractNumId="260">
    <w:nsid w:val="5E74C4D9"/>
    <w:multiLevelType w:val="hybridMultilevel"/>
    <w:lvl w:ilvl="0">
      <w:lvlJc w:val="left"/>
      <w:lvlText w:val="(%1)"/>
      <w:numFmt w:val="lowerLetter"/>
      <w:start w:val="1"/>
    </w:lvl>
  </w:abstractNum>
  <w:abstractNum w:abstractNumId="261">
    <w:nsid w:val="3B3EBE15"/>
    <w:multiLevelType w:val="hybridMultilevel"/>
    <w:lvl w:ilvl="0">
      <w:lvlJc w:val="left"/>
      <w:lvlText w:val="(%1)"/>
      <w:numFmt w:val="lowerLetter"/>
      <w:start w:val="1"/>
    </w:lvl>
  </w:abstractNum>
  <w:abstractNum w:abstractNumId="262">
    <w:nsid w:val="3822CB01"/>
    <w:multiLevelType w:val="hybridMultilevel"/>
    <w:lvl w:ilvl="0">
      <w:lvlJc w:val="left"/>
      <w:lvlText w:val="%1"/>
      <w:numFmt w:val="lowerRoman"/>
      <w:start w:val="1"/>
    </w:lvl>
    <w:lvl w:ilvl="1">
      <w:lvlJc w:val="left"/>
      <w:lvlText w:val="(%2)"/>
      <w:numFmt w:val="lowerLetter"/>
      <w:start w:val="2"/>
    </w:lvl>
  </w:abstractNum>
  <w:abstractNum w:abstractNumId="263">
    <w:nsid w:val="6CE00443"/>
    <w:multiLevelType w:val="hybridMultilevel"/>
    <w:lvl w:ilvl="0">
      <w:lvlJc w:val="left"/>
      <w:lvlText w:val="(%1)"/>
      <w:numFmt w:val="lowerRoman"/>
      <w:start w:val="1"/>
    </w:lvl>
    <w:lvl w:ilvl="1">
      <w:lvlJc w:val="left"/>
      <w:lvlText w:val="(%2)"/>
      <w:numFmt w:val="lowerLetter"/>
      <w:start w:val="5"/>
    </w:lvl>
  </w:abstractNum>
  <w:abstractNum w:abstractNumId="264">
    <w:nsid w:val="79F0D62F"/>
    <w:multiLevelType w:val="hybridMultilevel"/>
    <w:lvl w:ilvl="0">
      <w:lvlJc w:val="left"/>
      <w:lvlText w:val="%1"/>
      <w:numFmt w:val="lowerLetter"/>
      <w:start w:val="1"/>
    </w:lvl>
    <w:lvl w:ilvl="1">
      <w:lvlJc w:val="left"/>
      <w:lvlText w:val="(%2)"/>
      <w:numFmt w:val="lowerLetter"/>
      <w:start w:val="9"/>
    </w:lvl>
  </w:abstractNum>
  <w:abstractNum w:abstractNumId="265">
    <w:nsid w:val="7975E8EE"/>
    <w:multiLevelType w:val="hybridMultilevel"/>
    <w:lvl w:ilvl="0">
      <w:lvlJc w:val="left"/>
      <w:lvlText w:val="(%1)"/>
      <w:numFmt w:val="lowerLetter"/>
      <w:start w:val="9"/>
    </w:lvl>
    <w:lvl w:ilvl="1">
      <w:lvlJc w:val="left"/>
      <w:lvlText w:val="(%2)"/>
      <w:numFmt w:val="lowerLetter"/>
      <w:start w:val="10"/>
    </w:lvl>
  </w:abstractNum>
  <w:abstractNum w:abstractNumId="266">
    <w:nsid w:val="73154115"/>
    <w:multiLevelType w:val="hybridMultilevel"/>
    <w:lvl w:ilvl="0">
      <w:lvlJc w:val="left"/>
      <w:lvlText w:val="(%1)"/>
      <w:numFmt w:val="lowerLetter"/>
      <w:start w:val="15"/>
    </w:lvl>
  </w:abstractNum>
  <w:abstractNum w:abstractNumId="267">
    <w:nsid w:val="622D8102"/>
    <w:multiLevelType w:val="hybridMultilevel"/>
    <w:lvl w:ilvl="0">
      <w:lvlJc w:val="left"/>
      <w:lvlText w:val="(%1)"/>
      <w:numFmt w:val="lowerLetter"/>
      <w:start w:val="1"/>
    </w:lvl>
  </w:abstractNum>
  <w:abstractNum w:abstractNumId="268">
    <w:nsid w:val="2AB26587"/>
    <w:multiLevelType w:val="hybridMultilevel"/>
    <w:lvl w:ilvl="0">
      <w:lvlJc w:val="left"/>
      <w:lvlText w:val="%1"/>
      <w:numFmt w:val="lowerLetter"/>
      <w:start w:val="1"/>
    </w:lvl>
    <w:lvl w:ilvl="1">
      <w:lvlJc w:val="left"/>
      <w:lvlText w:val="(%2)"/>
      <w:numFmt w:val="lowerLetter"/>
      <w:start w:val="1"/>
    </w:lvl>
  </w:abstractNum>
  <w:abstractNum w:abstractNumId="269">
    <w:nsid w:val="44B3FA61"/>
    <w:multiLevelType w:val="hybridMultilevel"/>
    <w:lvl w:ilvl="0">
      <w:lvlJc w:val="left"/>
      <w:lvlText w:val="(%1)"/>
      <w:numFmt w:val="lowerLetter"/>
      <w:start w:val="9"/>
    </w:lvl>
    <w:lvl w:ilvl="1">
      <w:lvlJc w:val="left"/>
      <w:lvlText w:val="%2"/>
      <w:numFmt w:val="lowerLetter"/>
      <w:start w:val="1"/>
    </w:lvl>
  </w:abstractNum>
  <w:abstractNum w:abstractNumId="270">
    <w:nsid w:val="1C0CA67C"/>
    <w:multiLevelType w:val="hybridMultilevel"/>
    <w:lvl w:ilvl="0">
      <w:lvlJc w:val="left"/>
      <w:lvlText w:val="(%1)"/>
      <w:numFmt w:val="lowerRoman"/>
      <w:start w:val="2"/>
    </w:lvl>
  </w:abstractNum>
  <w:abstractNum w:abstractNumId="271">
    <w:nsid w:val="3D206613"/>
    <w:multiLevelType w:val="hybridMultilevel"/>
    <w:lvl w:ilvl="0">
      <w:lvlJc w:val="left"/>
      <w:lvlText w:val="(%1)"/>
      <w:numFmt w:val="lowerRoman"/>
      <w:start w:val="3"/>
    </w:lvl>
  </w:abstractNum>
  <w:abstractNum w:abstractNumId="272">
    <w:nsid w:val="7993B662"/>
    <w:multiLevelType w:val="hybridMultilevel"/>
    <w:lvl w:ilvl="0">
      <w:lvlJc w:val="left"/>
      <w:lvlText w:val="(%1)"/>
      <w:numFmt w:val="lowerRoman"/>
      <w:start w:val="4"/>
    </w:lvl>
  </w:abstractNum>
  <w:abstractNum w:abstractNumId="273">
    <w:nsid w:val="3BAB699E"/>
    <w:multiLevelType w:val="hybridMultilevel"/>
    <w:lvl w:ilvl="0">
      <w:lvlJc w:val="left"/>
      <w:lvlText w:val="(%1)"/>
      <w:numFmt w:val="lowerRoman"/>
      <w:start w:val="5"/>
    </w:lvl>
  </w:abstractNum>
  <w:abstractNum w:abstractNumId="274">
    <w:nsid w:val="71315369"/>
    <w:multiLevelType w:val="hybridMultilevel"/>
    <w:lvl w:ilvl="0">
      <w:lvlJc w:val="left"/>
      <w:lvlText w:val="(%1)"/>
      <w:numFmt w:val="lowerLetter"/>
      <w:start w:val="2"/>
    </w:lvl>
  </w:abstractNum>
  <w:abstractNum w:abstractNumId="275">
    <w:nsid w:val="7BCFBAFC"/>
    <w:multiLevelType w:val="hybridMultilevel"/>
    <w:lvl w:ilvl="0">
      <w:lvlJc w:val="left"/>
      <w:lvlText w:val="(%1)"/>
      <w:numFmt w:val="lowerRoman"/>
      <w:start w:val="1"/>
    </w:lvl>
  </w:abstractNum>
  <w:abstractNum w:abstractNumId="276">
    <w:nsid w:val="17859F72"/>
    <w:multiLevelType w:val="hybridMultilevel"/>
    <w:lvl w:ilvl="0">
      <w:lvlJc w:val="left"/>
      <w:lvlText w:val="(%1)"/>
      <w:numFmt w:val="lowerLetter"/>
      <w:start w:val="3"/>
    </w:lvl>
  </w:abstractNum>
  <w:abstractNum w:abstractNumId="277">
    <w:nsid w:val="3AA10581"/>
    <w:multiLevelType w:val="hybridMultilevel"/>
    <w:lvl w:ilvl="0">
      <w:lvlJc w:val="left"/>
      <w:lvlText w:val="(%1)"/>
      <w:numFmt w:val="lowerLetter"/>
      <w:start w:val="1"/>
    </w:lvl>
  </w:abstractNum>
  <w:abstractNum w:abstractNumId="278">
    <w:nsid w:val="63DE60CD"/>
    <w:multiLevelType w:val="hybridMultilevel"/>
    <w:lvl w:ilvl="0">
      <w:lvlJc w:val="left"/>
      <w:lvlText w:val="%1"/>
      <w:numFmt w:val="lowerRoman"/>
      <w:start w:val="1"/>
    </w:lvl>
    <w:lvl w:ilvl="1">
      <w:lvlJc w:val="left"/>
      <w:lvlText w:val="(%2)"/>
      <w:numFmt w:val="lowerLetter"/>
      <w:start w:val="2"/>
    </w:lvl>
  </w:abstractNum>
  <w:abstractNum w:abstractNumId="279">
    <w:nsid w:val="621AF471"/>
    <w:multiLevelType w:val="hybridMultilevel"/>
    <w:lvl w:ilvl="0">
      <w:lvlJc w:val="left"/>
      <w:lvlText w:val="(%1)"/>
      <w:numFmt w:val="lowerRoman"/>
      <w:start w:val="1"/>
    </w:lvl>
    <w:lvl w:ilvl="1">
      <w:lvlJc w:val="left"/>
      <w:lvlText w:val="%2"/>
      <w:numFmt w:val="lowerLetter"/>
      <w:start w:val="1"/>
    </w:lvl>
  </w:abstractNum>
  <w:abstractNum w:abstractNumId="280">
    <w:nsid w:val="73CFE165"/>
    <w:multiLevelType w:val="hybridMultilevel"/>
    <w:lvl w:ilvl="0">
      <w:lvlJc w:val="left"/>
      <w:lvlText w:val="%1"/>
      <w:numFmt w:val="lowerLetter"/>
      <w:start w:val="1"/>
    </w:lvl>
    <w:lvl w:ilvl="1">
      <w:lvlJc w:val="left"/>
      <w:lvlText w:val="(%2)"/>
      <w:numFmt w:val="lowerLetter"/>
      <w:start w:val="3"/>
    </w:lvl>
  </w:abstractNum>
  <w:abstractNum w:abstractNumId="281">
    <w:nsid w:val="20F88EA6"/>
    <w:multiLevelType w:val="hybridMultilevel"/>
    <w:lvl w:ilvl="0">
      <w:lvlJc w:val="left"/>
      <w:lvlText w:val="(%1)"/>
      <w:numFmt w:val="lowerLetter"/>
      <w:start w:val="35"/>
    </w:lvl>
    <w:lvl w:ilvl="1">
      <w:lvlJc w:val="left"/>
      <w:lvlText w:val="(%2)"/>
      <w:numFmt w:val="lowerLetter"/>
      <w:start w:val="4"/>
    </w:lvl>
  </w:abstractNum>
  <w:abstractNum w:abstractNumId="282">
    <w:nsid w:val="617C843E"/>
    <w:multiLevelType w:val="hybridMultilevel"/>
    <w:lvl w:ilvl="0">
      <w:lvlJc w:val="left"/>
      <w:lvlText w:val="(%1)"/>
      <w:numFmt w:val="lowerLetter"/>
      <w:start w:val="1"/>
    </w:lvl>
  </w:abstractNum>
  <w:abstractNum w:abstractNumId="283">
    <w:nsid w:val="7B541FAB"/>
    <w:multiLevelType w:val="hybridMultilevel"/>
    <w:lvl w:ilvl="0">
      <w:lvlJc w:val="left"/>
      <w:lvlText w:val="(%1)"/>
      <w:numFmt w:val="lowerLetter"/>
      <w:start w:val="2"/>
    </w:lvl>
  </w:abstractNum>
  <w:abstractNum w:abstractNumId="284">
    <w:nsid w:val="2A79EC49"/>
    <w:multiLevelType w:val="hybridMultilevel"/>
    <w:lvl w:ilvl="0">
      <w:lvlJc w:val="left"/>
      <w:lvlText w:val="(%1)"/>
      <w:numFmt w:val="lowerLetter"/>
      <w:start w:val="3"/>
    </w:lvl>
  </w:abstractNum>
  <w:abstractNum w:abstractNumId="285">
    <w:nsid w:val="338125CF"/>
    <w:multiLevelType w:val="hybridMultilevel"/>
    <w:lvl w:ilvl="0">
      <w:lvlJc w:val="left"/>
      <w:lvlText w:val="(%1)"/>
      <w:numFmt w:val="lowerLetter"/>
      <w:start w:val="1"/>
    </w:lvl>
  </w:abstractNum>
  <w:abstractNum w:abstractNumId="286">
    <w:nsid w:val="47C7C971"/>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287">
    <w:nsid w:val="46F8284B"/>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88">
    <w:nsid w:val="4FA327C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289">
    <w:nsid w:val="1873983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90">
    <w:nsid w:val="3D2DD275"/>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291">
    <w:nsid w:val="2E17ECA7"/>
    <w:multiLevelType w:val="hybridMultilevel"/>
    <w:lvl w:ilvl="0">
      <w:lvlJc w:val="left"/>
      <w:lvlText w:val="(%1)"/>
      <w:numFmt w:val="lowerLetter"/>
      <w:start w:val="3"/>
    </w:lvl>
  </w:abstractNum>
  <w:abstractNum w:abstractNumId="292">
    <w:nsid w:val="53B2564F"/>
    <w:multiLevelType w:val="hybridMultilevel"/>
    <w:lvl w:ilvl="0">
      <w:lvlJc w:val="left"/>
      <w:lvlText w:val="%1"/>
      <w:numFmt w:val="lowerLetter"/>
      <w:start w:val="1"/>
    </w:lvl>
    <w:lvl w:ilvl="1">
      <w:lvlJc w:val="left"/>
      <w:lvlText w:val="(%2)"/>
      <w:numFmt w:val="lowerLetter"/>
      <w:start w:val="4"/>
    </w:lvl>
  </w:abstractNum>
  <w:abstractNum w:abstractNumId="293">
    <w:nsid w:val="75509D76"/>
    <w:multiLevelType w:val="hybridMultilevel"/>
    <w:lvl w:ilvl="0">
      <w:lvlJc w:val="left"/>
      <w:lvlText w:val="(%1)"/>
      <w:numFmt w:val="lowerLetter"/>
      <w:start w:val="2"/>
    </w:lvl>
    <w:lvl w:ilvl="1">
      <w:lvlJc w:val="left"/>
      <w:lvlText w:val="(%2)"/>
      <w:numFmt w:val="lowerLetter"/>
      <w:start w:val="5"/>
    </w:lvl>
  </w:abstractNum>
  <w:abstractNum w:abstractNumId="294">
    <w:nsid w:val="1AF7F0EA"/>
    <w:multiLevelType w:val="hybridMultilevel"/>
    <w:lvl w:ilvl="0">
      <w:lvlJc w:val="left"/>
      <w:lvlText w:val="%1"/>
      <w:numFmt w:val="lowerLetter"/>
      <w:start w:val="1"/>
    </w:lvl>
    <w:lvl w:ilvl="1">
      <w:lvlJc w:val="left"/>
      <w:lvlText w:val="(%2)"/>
      <w:numFmt w:val="lowerLetter"/>
      <w:start w:val="6"/>
    </w:lvl>
  </w:abstractNum>
  <w:abstractNum w:abstractNumId="295">
    <w:nsid w:val="4DA32C7E"/>
    <w:multiLevelType w:val="hybridMultilevel"/>
    <w:lvl w:ilvl="0">
      <w:lvlJc w:val="left"/>
      <w:lvlText w:val="(%1)"/>
      <w:numFmt w:val="lowerLetter"/>
      <w:start w:val="9"/>
    </w:lvl>
    <w:lvl w:ilvl="1">
      <w:lvlJc w:val="left"/>
      <w:lvlText w:val="%2"/>
      <w:numFmt w:val="lowerLetter"/>
      <w:start w:val="1"/>
    </w:lvl>
  </w:abstractNum>
  <w:abstractNum w:abstractNumId="296">
    <w:nsid w:val="6EC68664"/>
    <w:multiLevelType w:val="hybridMultilevel"/>
    <w:lvl w:ilvl="0">
      <w:lvlJc w:val="left"/>
      <w:lvlText w:val="(%1)"/>
      <w:numFmt w:val="lowerLetter"/>
      <w:start w:val="7"/>
    </w:lvl>
  </w:abstractNum>
  <w:abstractNum w:abstractNumId="297">
    <w:nsid w:val="E0D31FF"/>
    <w:multiLevelType w:val="hybridMultilevel"/>
    <w:lvl w:ilvl="0">
      <w:lvlJc w:val="left"/>
      <w:lvlText w:val="(%1)"/>
      <w:numFmt w:val="lowerLetter"/>
      <w:start w:val="1"/>
    </w:lvl>
  </w:abstractNum>
  <w:abstractNum w:abstractNumId="298">
    <w:nsid w:val="2FD0AD81"/>
    <w:multiLevelType w:val="hybridMultilevel"/>
    <w:lvl w:ilvl="0">
      <w:lvlJc w:val="left"/>
      <w:lvlText w:val="(%1)"/>
      <w:numFmt w:val="lowerLetter"/>
      <w:start w:val="1"/>
    </w:lvl>
  </w:abstractNum>
  <w:abstractNum w:abstractNumId="299">
    <w:nsid w:val="1978EBEB"/>
    <w:multiLevelType w:val="hybridMultilevel"/>
    <w:lvl w:ilvl="0">
      <w:lvlJc w:val="left"/>
      <w:lvlText w:val="(%1)"/>
      <w:numFmt w:val="upperLetter"/>
      <w:start w:val="2"/>
    </w:lvl>
  </w:abstractNum>
  <w:abstractNum w:abstractNumId="300">
    <w:nsid w:val="52C12C61"/>
    <w:multiLevelType w:val="hybridMultilevel"/>
    <w:lvl w:ilvl="0">
      <w:lvlJc w:val="left"/>
      <w:lvlText w:val="(%1)"/>
      <w:numFmt w:val="lowerLetter"/>
      <w:start w:val="1"/>
    </w:lvl>
  </w:abstractNum>
  <w:abstractNum w:abstractNumId="301">
    <w:nsid w:val="4BDD53FD"/>
    <w:multiLevelType w:val="hybridMultilevel"/>
    <w:lvl w:ilvl="0">
      <w:lvlJc w:val="left"/>
      <w:lvlText w:val="(%1)"/>
      <w:numFmt w:val="lowerLetter"/>
      <w:start w:val="2"/>
    </w:lvl>
  </w:abstractNum>
  <w:abstractNum w:abstractNumId="302">
    <w:nsid w:val="569951FE"/>
    <w:multiLevelType w:val="hybridMultilevel"/>
    <w:lvl w:ilvl="0">
      <w:lvlJc w:val="left"/>
      <w:lvlText w:val="(%1)"/>
      <w:numFmt w:val="lowerLetter"/>
      <w:start w:val="1"/>
    </w:lvl>
  </w:abstractNum>
  <w:abstractNum w:abstractNumId="303">
    <w:nsid w:val="4C54E2C3"/>
    <w:multiLevelType w:val="hybridMultilevel"/>
    <w:lvl w:ilvl="0">
      <w:lvlJc w:val="left"/>
      <w:lvlText w:val="(%1)"/>
      <w:numFmt w:val="lowerLetter"/>
      <w:start w:val="1"/>
    </w:lvl>
    <w:lvl w:ilvl="1">
      <w:lvlJc w:val="left"/>
      <w:lvlText w:val="(%2)"/>
      <w:numFmt w:val="lowerRoman"/>
      <w:start w:val="1"/>
    </w:lvl>
  </w:abstractNum>
  <w:abstractNum w:abstractNumId="304">
    <w:nsid w:val="788BD9B"/>
    <w:multiLevelType w:val="hybridMultilevel"/>
    <w:lvl w:ilvl="0">
      <w:lvlJc w:val="left"/>
      <w:lvlText w:val="%1"/>
      <w:numFmt w:val="lowerRoman"/>
      <w:start w:val="1"/>
    </w:lvl>
    <w:lvl w:ilvl="1">
      <w:lvlJc w:val="left"/>
      <w:lvlText w:val="(%2)"/>
      <w:numFmt w:val="lowerLetter"/>
      <w:start w:val="1"/>
    </w:lvl>
  </w:abstractNum>
  <w:abstractNum w:abstractNumId="305">
    <w:nsid w:val="47CAA567"/>
    <w:multiLevelType w:val="hybridMultilevel"/>
    <w:lvl w:ilvl="0">
      <w:lvlJc w:val="left"/>
      <w:lvlText w:val="(%1)"/>
      <w:numFmt w:val="lowerRoman"/>
      <w:start w:val="1"/>
    </w:lvl>
    <w:lvl w:ilvl="1">
      <w:lvlJc w:val="left"/>
      <w:lvlText w:val="%2"/>
      <w:numFmt w:val="lowerLetter"/>
      <w:start w:val="1"/>
    </w:lvl>
  </w:abstractNum>
  <w:abstractNum w:abstractNumId="306">
    <w:nsid w:val="48249DBF"/>
    <w:multiLevelType w:val="hybridMultilevel"/>
    <w:lvl w:ilvl="0">
      <w:lvlJc w:val="left"/>
      <w:lvlText w:val="%1"/>
      <w:numFmt w:val="lowerLetter"/>
      <w:start w:val="1"/>
    </w:lvl>
    <w:lvl w:ilvl="1">
      <w:lvlJc w:val="left"/>
      <w:lvlText w:val="(%2)"/>
      <w:numFmt w:val="lowerLetter"/>
      <w:start w:val="61"/>
    </w:lvl>
  </w:abstractNum>
  <w:abstractNum w:abstractNumId="307">
    <w:nsid w:val="1F0E5D0D"/>
    <w:multiLevelType w:val="hybridMultilevel"/>
    <w:lvl w:ilvl="0">
      <w:lvlJc w:val="left"/>
      <w:lvlText w:val="(%1)"/>
      <w:numFmt w:val="lowerLetter"/>
      <w:start w:val="7"/>
    </w:lvl>
    <w:lvl w:ilvl="1">
      <w:lvlJc w:val="left"/>
      <w:lvlText w:val="%2"/>
      <w:numFmt w:val="lowerLetter"/>
      <w:start w:val="1"/>
    </w:lvl>
  </w:abstractNum>
  <w:abstractNum w:abstractNumId="308">
    <w:nsid w:val="26BAAE9"/>
    <w:multiLevelType w:val="hybridMultilevel"/>
    <w:lvl w:ilvl="0">
      <w:lvlJc w:val="left"/>
      <w:lvlText w:val="(%1)"/>
      <w:numFmt w:val="lowerRoman"/>
      <w:start w:val="4"/>
    </w:lvl>
    <w:lvl w:ilvl="1">
      <w:lvlJc w:val="left"/>
      <w:lvlText w:val="(%2)"/>
      <w:numFmt w:val="lowerLetter"/>
      <w:start w:val="2"/>
    </w:lvl>
  </w:abstractNum>
  <w:abstractNum w:abstractNumId="309">
    <w:nsid w:val="2C02FE8C"/>
    <w:multiLevelType w:val="hybridMultilevel"/>
    <w:lvl w:ilvl="0">
      <w:lvlJc w:val="left"/>
      <w:lvlText w:val="(%1)"/>
      <w:numFmt w:val="lowerRoman"/>
      <w:start w:val="1"/>
    </w:lvl>
  </w:abstractNum>
  <w:abstractNum w:abstractNumId="310">
    <w:nsid w:val="129517E"/>
    <w:multiLevelType w:val="hybridMultilevel"/>
    <w:lvl w:ilvl="0">
      <w:lvlJc w:val="left"/>
      <w:lvlText w:val="%1"/>
      <w:numFmt w:val="lowerRoman"/>
      <w:start w:val="1"/>
    </w:lvl>
    <w:lvl w:ilvl="1">
      <w:lvlJc w:val="left"/>
      <w:lvlText w:val="(%2)"/>
      <w:numFmt w:val="lowerRoman"/>
      <w:start w:val="3"/>
    </w:lvl>
    <w:lvl w:ilvl="2">
      <w:lvlJc w:val="left"/>
      <w:lvlText w:val="(%3)"/>
      <w:numFmt w:val="lowerLetter"/>
      <w:start w:val="3"/>
    </w:lvl>
  </w:abstractNum>
  <w:abstractNum w:abstractNumId="311">
    <w:nsid w:val="763B8C4E"/>
    <w:multiLevelType w:val="hybridMultilevel"/>
    <w:lvl w:ilvl="0">
      <w:lvlJc w:val="left"/>
      <w:lvlText w:val="(%1)"/>
      <w:numFmt w:val="lowerRoman"/>
      <w:start w:val="3"/>
    </w:lvl>
    <w:lvl w:ilvl="1">
      <w:lvlJc w:val="left"/>
      <w:lvlText w:val="%2"/>
      <w:numFmt w:val="lowerRoman"/>
      <w:start w:val="1"/>
    </w:lvl>
    <w:lvl w:ilvl="2">
      <w:lvlJc w:val="left"/>
      <w:lvlText w:val="%3"/>
      <w:numFmt w:val="lowerLetter"/>
      <w:start w:val="1"/>
    </w:lvl>
  </w:abstractNum>
  <w:abstractNum w:abstractNumId="312">
    <w:nsid w:val="4CFB8D32"/>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313">
    <w:nsid w:val="62A5D5BD"/>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314">
    <w:nsid w:val="718FABF9"/>
    <w:multiLevelType w:val="hybridMultilevel"/>
    <w:lvl w:ilvl="0">
      <w:lvlJc w:val="left"/>
      <w:lvlText w:val="(%1)"/>
      <w:numFmt w:val="lowerRoman"/>
      <w:start w:val="3"/>
    </w:lvl>
  </w:abstractNum>
  <w:abstractNum w:abstractNumId="315">
    <w:nsid w:val="7775797C"/>
    <w:multiLevelType w:val="hybridMultilevel"/>
    <w:lvl w:ilvl="0">
      <w:lvlJc w:val="left"/>
      <w:lvlText w:val="(%1)"/>
      <w:numFmt w:val="decimal"/>
      <w:start w:val="1"/>
    </w:lvl>
    <w:lvl w:ilvl="1">
      <w:lvlJc w:val="left"/>
      <w:lvlText w:val="(%2)"/>
      <w:numFmt w:val="lowerLetter"/>
      <w:start w:val="1"/>
    </w:lvl>
  </w:abstractNum>
  <w:abstractNum w:abstractNumId="316">
    <w:nsid w:val="1626FB8C"/>
    <w:multiLevelType w:val="hybridMultilevel"/>
    <w:lvl w:ilvl="0">
      <w:lvlJc w:val="left"/>
      <w:lvlText w:val="(%1)"/>
      <w:numFmt w:val="decimal"/>
      <w:start w:val="1"/>
    </w:lvl>
    <w:lvl w:ilvl="1">
      <w:lvlJc w:val="left"/>
      <w:lvlText w:val="(%2)"/>
      <w:numFmt w:val="lowerLetter"/>
      <w:start w:val="1"/>
    </w:lvl>
  </w:abstractNum>
  <w:abstractNum w:abstractNumId="317">
    <w:nsid w:val="3957756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155" Type="http://schemas.openxmlformats.org/officeDocument/2006/relationships/hyperlink" Target="http://www.sec.gov/Archives/edgar/data/1508655/000095012311025019/y90239exv3w1.htm" TargetMode="External"/><Relationship Id="rId156" Type="http://schemas.openxmlformats.org/officeDocument/2006/relationships/hyperlink" Target="http://www.sec.gov/Archives/edgar/data/1508655/000119312514095223/d691342dex31.htm" TargetMode="External"/><Relationship Id="rId157" Type="http://schemas.openxmlformats.org/officeDocument/2006/relationships/hyperlink" Target="http://www.sec.gov/Archives/edgar/data/0001508655/000156459016027941/tslx-ex31_210.htm" TargetMode="External"/><Relationship Id="rId158" Type="http://schemas.openxmlformats.org/officeDocument/2006/relationships/hyperlink" Target="http://www.sec.gov/Archives/edgar/data/1508655/000119312519148064/d748149dex31.htm" TargetMode="External"/><Relationship Id="rId159" Type="http://schemas.openxmlformats.org/officeDocument/2006/relationships/hyperlink" Target="http://www.sec.gov/Archives/edgar/data/1508655/000119312512127485/d318388dex42.htm" TargetMode="External"/><Relationship Id="rId160" Type="http://schemas.openxmlformats.org/officeDocument/2006/relationships/hyperlink" Target="http://www.sec.gov/Archives/edgar/data/0001508655/000119312517027505/d341977dex41.htm" TargetMode="External"/><Relationship Id="rId161" Type="http://schemas.openxmlformats.org/officeDocument/2006/relationships/hyperlink" Target="http://www.sec.gov/Archives/edgar/data/0001508655/000119312518016134/d428064dex41.htm" TargetMode="External"/><Relationship Id="rId162" Type="http://schemas.openxmlformats.org/officeDocument/2006/relationships/hyperlink" Target="http://www.sec.gov/Archives/edgar/data/0001508655/000119312518016134/d428064dex42.htm" TargetMode="External"/><Relationship Id="rId163" Type="http://schemas.openxmlformats.org/officeDocument/2006/relationships/hyperlink" Target="http://www.sec.gov/Archives/edgar/data/1508655/000119312518196892/d612351dex41.htm" TargetMode="External"/><Relationship Id="rId164" Type="http://schemas.openxmlformats.org/officeDocument/2006/relationships/hyperlink" Target="http://www.sec.gov/Archives/edgar/data/1508655/000119312519281943/d828545dex42.htm" TargetMode="External"/><Relationship Id="rId165" Type="http://schemas.openxmlformats.org/officeDocument/2006/relationships/hyperlink" Target="http://www.sec.gov/Archives/edgar/data/1508655/000095012311025019/y90239exv10w3.htm" TargetMode="External"/><Relationship Id="rId168" Type="http://schemas.openxmlformats.org/officeDocument/2006/relationships/hyperlink" Target="http://www.sec.gov/Archives/edgar/data/1508655/000119312511339263/d269504dex101.htm" TargetMode="External"/><Relationship Id="rId169" Type="http://schemas.openxmlformats.org/officeDocument/2006/relationships/hyperlink" Target="http://www.sec.gov/Archives/edgar/data/1508655/000119312512490609/d446947dex101.htm" TargetMode="External"/><Relationship Id="rId170" Type="http://schemas.openxmlformats.org/officeDocument/2006/relationships/hyperlink" Target="http://www.sec.gov/Archives/edgar/data/1508655/000119312514082476/d673597dex1020.htm" TargetMode="External"/><Relationship Id="rId171" Type="http://schemas.openxmlformats.org/officeDocument/2006/relationships/hyperlink" Target="http://www.sec.gov/Archives/edgar/data/1508655/000119312514102674/d630521dex99e.htm" TargetMode="External"/><Relationship Id="rId172" Type="http://schemas.openxmlformats.org/officeDocument/2006/relationships/hyperlink" Target="http://www.sec.gov/Archives/edgar/data/1508655/000119312514293593/d769019dex103.htm" TargetMode="External"/><Relationship Id="rId173" Type="http://schemas.openxmlformats.org/officeDocument/2006/relationships/hyperlink" Target="http://www.sec.gov/Archives/edgar/data/1508655/000119312514293593/d769019dex104.htm" TargetMode="External"/><Relationship Id="rId174" Type="http://schemas.openxmlformats.org/officeDocument/2006/relationships/hyperlink" Target="http://www.sec.gov/Archives/edgar/data/1508655/000119312514293593/d769019dex105.htm" TargetMode="External"/><Relationship Id="rId175" Type="http://schemas.openxmlformats.org/officeDocument/2006/relationships/hyperlink" Target="http://www.sec.gov/Archives/edgar/data/0001508655/000119312514394267/d813731dex101.htm" TargetMode="External"/><Relationship Id="rId176" Type="http://schemas.openxmlformats.org/officeDocument/2006/relationships/hyperlink" Target="http://www.sec.gov/Archives/edgar/data/0001508655/000119312515111830/d899694dex101.htm" TargetMode="External"/><Relationship Id="rId177" Type="http://schemas.openxmlformats.org/officeDocument/2006/relationships/hyperlink" Target="http://www.sec.gov/Archives/edgar/data/0001508655/000156459015009165/tslx-ex101_394.htm" TargetMode="External"/><Relationship Id="rId178" Type="http://schemas.openxmlformats.org/officeDocument/2006/relationships/hyperlink" Target="http://www.sec.gov/Archives/edgar/data/0001508655/000156459017002010/tslx-ex1015_196.htm" TargetMode="External"/><Relationship Id="rId179" Type="http://schemas.openxmlformats.org/officeDocument/2006/relationships/hyperlink" Target="http://www.sec.gov/Archives/edgar/data/0001508655/000156459017002010/tslx-ex1016_267.htm" TargetMode="External"/><Relationship Id="rId180" Type="http://schemas.openxmlformats.org/officeDocument/2006/relationships/hyperlink" Target="http://www.sec.gov/Archives/edgar/data/1508655/000156459018002665/tslx-ex1016_374.htm" TargetMode="External"/><Relationship Id="rId181" Type="http://schemas.openxmlformats.org/officeDocument/2006/relationships/hyperlink" Target="http://www.sec.gov/Archives/edgar/data/1508655/000156459018027390/tslx-ex101_128.htm" TargetMode="External"/><Relationship Id="rId184" Type="http://schemas.openxmlformats.org/officeDocument/2006/relationships/hyperlink" Target="http://www.sec.gov/Archives/edgar/data/1508655/000156459019003442/tslx-ex1016_2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2020-02-19T16:04:09Z</dcterms:created>
  <dcterms:modified xsi:type="dcterms:W3CDTF">2020-02-19T16:04:09Z</dcterms:modified>
</cp:coreProperties>
</file>