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2064" w:val="left"/>
          <w:tab w:leader="none" w:pos="2244" w:val="left"/>
          <w:tab w:leader="none" w:pos="2424" w:val="left"/>
          <w:tab w:leader="none" w:pos="2604" w:val="left"/>
          <w:tab w:leader="none" w:pos="2784" w:val="left"/>
          <w:tab w:leader="none" w:pos="2964" w:val="left"/>
          <w:tab w:leader="none" w:pos="31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  <w:tab/>
        <w:t> 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Sixth Street Specialty Lending,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262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2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154E6F"/>
        </w:rPr>
        <w:t>You invested in SIXTH STREET SPECIALTY LENDING, INC.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96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>This is an important notice regarding the</w:t>
      </w:r>
      <w:r>
        <w:rPr>
          <w:rFonts w:ascii="Arial" w:cs="Arial" w:eastAsia="Arial" w:hAnsi="Arial"/>
          <w:sz w:val="18"/>
          <w:szCs w:val="18"/>
          <w:color w:val="154E6F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>availability of proxy material for the stockholder meeting to be held on May 22, 2025.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154E6F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>View the Notice &amp; Proxy Statement, Form 10-K online OR you can receive a free paper or email copy of the material(s) by requesting prior to May 08, 2025.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143510</wp:posOffset>
            </wp:positionV>
            <wp:extent cx="6995160" cy="23749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37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7"/>
        </w:rPr>
        <w:t>*Please check the meeting materials for any special requirements for meeting attendance. At the meeting, you will need to request a ballot to vote these shares.</w:t>
      </w:r>
    </w:p>
    <w:p>
      <w:pPr>
        <w:sectPr>
          <w:pgSz w:w="11900" w:h="16838" w:orient="portrait"/>
          <w:cols w:equalWidth="0" w:num="1">
            <w:col w:w="10800"/>
          </w:cols>
          <w:pgMar w:left="660" w:top="1440" w:right="439" w:bottom="1440" w:gutter="0" w:footer="0" w:header="0"/>
        </w:sectPr>
      </w:pPr>
    </w:p>
    <w:bookmarkStart w:id="2" w:name="page3"/>
    <w:bookmarkEnd w:id="2"/>
    <w:p>
      <w:pPr>
        <w:ind w:left="144" w:hanging="144"/>
        <w:spacing w:after="0"/>
        <w:tabs>
          <w:tab w:leader="none" w:pos="144" w:val="left"/>
        </w:tabs>
        <w:numPr>
          <w:ilvl w:val="0"/>
          <w:numId w:val="6"/>
        </w:numPr>
        <w:rPr>
          <w:rFonts w:ascii="Arial" w:cs="Arial" w:eastAsia="Arial" w:hAnsi="Arial"/>
          <w:sz w:val="27"/>
          <w:szCs w:val="27"/>
          <w:b w:val="1"/>
          <w:bCs w:val="1"/>
          <w:color w:val="0077A9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7A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0" w:lineRule="exact"/>
        <w:rPr>
          <w:rFonts w:ascii="Arial" w:cs="Arial" w:eastAsia="Arial" w:hAnsi="Arial"/>
          <w:sz w:val="27"/>
          <w:szCs w:val="27"/>
          <w:b w:val="1"/>
          <w:bCs w:val="1"/>
          <w:color w:val="0077A9"/>
        </w:rPr>
      </w:pPr>
    </w:p>
    <w:p>
      <w:pPr>
        <w:spacing w:after="0" w:line="335" w:lineRule="exact"/>
        <w:rPr>
          <w:rFonts w:ascii="Arial" w:cs="Arial" w:eastAsia="Arial" w:hAnsi="Arial"/>
          <w:sz w:val="27"/>
          <w:szCs w:val="27"/>
          <w:b w:val="1"/>
          <w:bCs w:val="1"/>
          <w:color w:val="0077A9"/>
        </w:rPr>
      </w:pPr>
    </w:p>
    <w:p>
      <w:pPr>
        <w:ind w:left="144" w:hanging="144"/>
        <w:spacing w:after="0"/>
        <w:tabs>
          <w:tab w:leader="none" w:pos="144" w:val="left"/>
        </w:tabs>
        <w:numPr>
          <w:ilvl w:val="0"/>
          <w:numId w:val="6"/>
        </w:numPr>
        <w:rPr>
          <w:rFonts w:ascii="Arial" w:cs="Arial" w:eastAsia="Arial" w:hAnsi="Arial"/>
          <w:sz w:val="28"/>
          <w:szCs w:val="28"/>
          <w:b w:val="1"/>
          <w:bCs w:val="1"/>
          <w:color w:val="154E6F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154E6F"/>
        </w:rPr>
        <w:t>THIS IS NOT A VOTABLE BALLOT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-379095</wp:posOffset>
            </wp:positionV>
            <wp:extent cx="6995160" cy="431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154E6F"/>
        </w:rPr>
        <w:t>upcoming stockholder meeting. Please follow the instructions 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the reverse side to vote these important matters.</w:t>
      </w:r>
    </w:p>
    <w:p>
      <w:pPr>
        <w:sectPr>
          <w:pgSz w:w="11900" w:h="16838" w:orient="portrait"/>
          <w:cols w:equalWidth="0" w:num="1">
            <w:col w:w="11044"/>
          </w:cols>
          <w:pgMar w:left="436" w:top="259" w:right="41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154E6F"/>
        </w:rPr>
        <w:t>  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36830</wp:posOffset>
            </wp:positionV>
            <wp:extent cx="6995160" cy="51346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34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154E6F"/>
        </w:rPr>
        <w:t>Board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154E6F"/>
        </w:rPr>
        <w:t>Recommends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264" w:space="720"/>
            <w:col w:w="1060"/>
          </w:cols>
          <w:pgMar w:left="436" w:top="259" w:right="419" w:bottom="1440" w:gutter="0" w:footer="0" w:header="0"/>
          <w:type w:val="continuous"/>
        </w:sect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7"/>
        </w:numPr>
        <w:rPr>
          <w:rFonts w:ascii="Arial" w:cs="Arial" w:eastAsia="Arial" w:hAnsi="Arial"/>
          <w:sz w:val="18"/>
          <w:szCs w:val="18"/>
          <w:color w:val="154E6F"/>
        </w:rPr>
      </w:pPr>
      <w:r>
        <w:rPr>
          <w:rFonts w:ascii="Arial" w:cs="Arial" w:eastAsia="Arial" w:hAnsi="Arial"/>
          <w:sz w:val="18"/>
          <w:szCs w:val="18"/>
          <w:color w:val="154E6F"/>
        </w:rPr>
        <w:t>Election of Directors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shd w:val="clear" w:color="auto" w:fill="F2EFF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F2EFF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2EFF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shd w:val="clear" w:color="auto" w:fill="F2EFF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Nominees:</w:t>
            </w:r>
          </w:p>
        </w:tc>
        <w:tc>
          <w:tcPr>
            <w:tcW w:w="2640" w:type="dxa"/>
            <w:vAlign w:val="bottom"/>
            <w:shd w:val="clear" w:color="auto" w:fill="F2EFF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F2EFF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2EFF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shd w:val="clear" w:color="auto" w:fill="F2EFF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shd w:val="clear" w:color="auto" w:fill="F2EFF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F2EFF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2EFF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300" w:type="dxa"/>
            <w:vAlign w:val="bottom"/>
            <w:tcBorders>
              <w:bottom w:val="single" w:sz="8" w:color="004877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4877"/>
            </w:tcBorders>
            <w:shd w:val="clear" w:color="auto" w:fill="F2EFF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01)    P. Emery Covington</w:t>
            </w:r>
          </w:p>
        </w:tc>
        <w:tc>
          <w:tcPr>
            <w:tcW w:w="2640" w:type="dxa"/>
            <w:vAlign w:val="bottom"/>
            <w:tcBorders>
              <w:bottom w:val="single" w:sz="8" w:color="004877"/>
            </w:tcBorders>
            <w:shd w:val="clear" w:color="auto" w:fill="F2EFF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02)    Jennifer Gordon</w:t>
            </w:r>
          </w:p>
        </w:tc>
        <w:tc>
          <w:tcPr>
            <w:tcW w:w="3840" w:type="dxa"/>
            <w:vAlign w:val="bottom"/>
            <w:tcBorders>
              <w:bottom w:val="single" w:sz="8" w:color="004877"/>
            </w:tcBorders>
            <w:shd w:val="clear" w:color="auto" w:fill="F2EFF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03)    Judy Slotkin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  <w:w w:val="79"/>
              </w:rPr>
              <w:t>2.</w:t>
            </w:r>
          </w:p>
        </w:tc>
        <w:tc>
          <w:tcPr>
            <w:tcW w:w="9560" w:type="dxa"/>
            <w:vAlign w:val="bottom"/>
            <w:gridSpan w:val="3"/>
            <w:shd w:val="clear" w:color="auto" w:fill="F2EFF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  <w:w w:val="99"/>
              </w:rPr>
              <w:t>To ratify the selection of KPMG LLP as the Company’s independent registered public accounting firm for the fiscal year</w:t>
            </w:r>
          </w:p>
        </w:tc>
        <w:tc>
          <w:tcPr>
            <w:tcW w:w="1160" w:type="dxa"/>
            <w:vAlign w:val="bottom"/>
            <w:vMerge w:val="restart"/>
            <w:shd w:val="clear" w:color="auto" w:fill="F2EFF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shd w:val="clear" w:color="auto" w:fill="F2EFF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ending December 31, 2025.</w:t>
            </w:r>
          </w:p>
        </w:tc>
        <w:tc>
          <w:tcPr>
            <w:tcW w:w="2640" w:type="dxa"/>
            <w:vAlign w:val="bottom"/>
            <w:shd w:val="clear" w:color="auto" w:fill="F2EFF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F2EFF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2EFF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" w:right="4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154E6F"/>
        </w:rPr>
        <w:t>The named proxies are also authorized to transact such other business as may properly come before the 2025 Annual Meeting of</w:t>
      </w: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 xml:space="preserve"> </w:t>
      </w:r>
      <w:r>
        <w:rPr>
          <w:rFonts w:ascii="Arial" w:cs="Arial" w:eastAsia="Arial" w:hAnsi="Arial"/>
          <w:sz w:val="18"/>
          <w:szCs w:val="18"/>
          <w:color w:val="154E6F"/>
        </w:rPr>
        <w:t>Stockholders or any postponement or adjournment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3975735</wp:posOffset>
            </wp:positionV>
            <wp:extent cx="6995160" cy="1968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sectPr>
      <w:pgSz w:w="11900" w:h="16838" w:orient="portrait"/>
      <w:cols w:equalWidth="0" w:num="1">
        <w:col w:w="11044"/>
      </w:cols>
      <w:pgMar w:left="436" w:top="259" w:right="4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 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2025-04-10T16:24:00Z</dcterms:created>
  <dcterms:modified xsi:type="dcterms:W3CDTF">2025-04-10T16:24:00Z</dcterms:modified>
</cp:coreProperties>
</file>