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September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192"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120" w:type="dxa"/>
            <w:vAlign w:val="bottom"/>
          </w:tcPr>
          <w:p>
            <w:pPr>
              <w:jc w:val="center"/>
              <w:ind w:right="242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20" w:type="dxa"/>
            <w:vAlign w:val="bottom"/>
          </w:tcPr>
          <w:p>
            <w:pPr>
              <w:jc w:val="center"/>
              <w:ind w:right="244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20" w:type="dxa"/>
            <w:vAlign w:val="bottom"/>
          </w:tcPr>
          <w:p>
            <w:pPr>
              <w:jc w:val="center"/>
              <w:ind w:right="244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20" w:type="dxa"/>
            <w:vAlign w:val="bottom"/>
          </w:tcPr>
          <w:p>
            <w:pPr>
              <w:jc w:val="center"/>
              <w:ind w:left="120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20" w:type="dxa"/>
            <w:vAlign w:val="bottom"/>
          </w:tcPr>
          <w:p>
            <w:pPr>
              <w:jc w:val="center"/>
              <w:ind w:left="12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September 13, 2012, TPG Specialty Lending, Inc. (the “Company”) delivered a capital drawdown notice to certain of its investors relating to the issuance of 22,439 shares of the Company’s common stock, par value $0.01 per share (the “Common Stock”) for an aggregate offering price of $22.7 million. The shares are expected to be issued on or around September 26,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issuance of Common Stock is being made pursuant to subscription agreements entered into by the Company and the above-mentioned investors. Under the terms of the subscription agreements, the investors are required to fund drawdowns to purchase shares of Common Stock up to the amount of their respective capital commitments on an as-needed basis with a minimum of 10 business days’ prior notice.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10795</wp:posOffset>
            </wp:positionV>
            <wp:extent cx="3773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(Registrant)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20" w:type="dxa"/>
            <w:vAlign w:val="bottom"/>
          </w:tcPr>
          <w:p>
            <w:pPr>
              <w:spacing w:after="0"/>
              <w:rPr>
                <w:sz w:val="20"/>
                <w:szCs w:val="20"/>
                <w:color w:val="auto"/>
              </w:rPr>
            </w:pPr>
            <w:r>
              <w:rPr>
                <w:rFonts w:ascii="Arial" w:cs="Arial" w:eastAsia="Arial" w:hAnsi="Arial"/>
                <w:sz w:val="18"/>
                <w:szCs w:val="18"/>
                <w:color w:val="auto"/>
              </w:rPr>
              <w:t>Date: September 14, 2012</w:t>
            </w:r>
          </w:p>
        </w:tc>
        <w:tc>
          <w:tcPr>
            <w:tcW w:w="7700" w:type="dxa"/>
            <w:vAlign w:val="bottom"/>
            <w:gridSpan w:val="2"/>
          </w:tcPr>
          <w:p>
            <w:pPr>
              <w:ind w:left="1860"/>
              <w:spacing w:after="0"/>
              <w:rPr>
                <w:sz w:val="20"/>
                <w:szCs w:val="20"/>
                <w:color w:val="auto"/>
              </w:rPr>
            </w:pPr>
            <w:r>
              <w:rPr>
                <w:rFonts w:ascii="Arial" w:cs="Arial" w:eastAsia="Arial" w:hAnsi="Arial"/>
                <w:sz w:val="18"/>
                <w:szCs w:val="18"/>
                <w:color w:val="auto"/>
              </w:rPr>
              <w:t>By: /s/ Ronald Cami</w:t>
            </w:r>
          </w:p>
        </w:tc>
      </w:tr>
      <w:tr>
        <w:trPr>
          <w:trHeight w:val="201"/>
        </w:trPr>
        <w:tc>
          <w:tcPr>
            <w:tcW w:w="37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58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Ronald Cami</w:t>
            </w:r>
          </w:p>
        </w:tc>
      </w:tr>
      <w:tr>
        <w:trPr>
          <w:trHeight w:val="222"/>
        </w:trPr>
        <w:tc>
          <w:tcPr>
            <w:tcW w:w="37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Vice President</w:t>
            </w:r>
          </w:p>
        </w:tc>
      </w:tr>
      <w:tr>
        <w:trPr>
          <w:trHeight w:val="365"/>
        </w:trPr>
        <w:tc>
          <w:tcPr>
            <w:tcW w:w="3720" w:type="dxa"/>
            <w:vAlign w:val="bottom"/>
          </w:tcPr>
          <w:p>
            <w:pPr>
              <w:spacing w:after="0"/>
              <w:rPr>
                <w:sz w:val="24"/>
                <w:szCs w:val="24"/>
                <w:color w:val="auto"/>
              </w:rPr>
            </w:pPr>
          </w:p>
        </w:tc>
        <w:tc>
          <w:tcPr>
            <w:tcW w:w="2120" w:type="dxa"/>
            <w:vAlign w:val="bottom"/>
          </w:tcPr>
          <w:p>
            <w:pPr>
              <w:ind w:left="1900"/>
              <w:spacing w:after="0"/>
              <w:rPr>
                <w:sz w:val="20"/>
                <w:szCs w:val="20"/>
                <w:color w:val="auto"/>
              </w:rPr>
            </w:pPr>
            <w:r>
              <w:rPr>
                <w:rFonts w:ascii="Arial" w:cs="Arial" w:eastAsia="Arial" w:hAnsi="Arial"/>
                <w:sz w:val="18"/>
                <w:szCs w:val="18"/>
                <w:color w:val="auto"/>
                <w:w w:val="90"/>
              </w:rPr>
              <w:t>-3-</w:t>
            </w:r>
          </w:p>
        </w:tc>
        <w:tc>
          <w:tcPr>
            <w:tcW w:w="55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2019-12-09T19:50:18Z</dcterms:created>
  <dcterms:modified xsi:type="dcterms:W3CDTF">2019-12-09T19:50:18Z</dcterms:modified>
</cp:coreProperties>
</file>