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2"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sz w:val="24"/>
          <w:szCs w:val="24"/>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0"/>
          <w:szCs w:val="40"/>
          <w:b w:val="1"/>
          <w:bCs w:val="1"/>
          <w:color w:val="auto"/>
        </w:rPr>
        <w:t>Sixth Street Specialty Lending,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620" w:hanging="504"/>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620" w:hanging="504"/>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20" w:hanging="504"/>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154305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071245"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712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are pleased to invite you to attend a Special Meeting of Stockholders of Sixth Street Specialty Lending, Inc. to be held on [●], 2026, at [●], Eastern Time, at the offices of Simpson Thacher &amp; Bartlett LLP, 425 Lexington Avenue, 30th Floor, New York, NY 10017.</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pages include a formal notice of the meeting and our proxy statement. The Notice of Internet Availability of Proxy Materials that you received by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83"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You will also receive separate proxy materials for the Annual Meeting of Stockholders, which will be held at the same place and on the same date stated above, but not at the same time. Please be certain to use each proxy card that you receive from us to vote separately for the matters to be discussed at each meeting.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behalf of management and our Board of Directors, we thank you for your continued support of Sixth Street Specialty Lending, Inc.</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Robert (“Bo”)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2026</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 for the Special Meeting of Stockholders 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2026.</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proxy statement is available online at [●].</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information applicable to the Special Meeting of Stockholders may be found in the proxy statement and accompanying proxy card:</w:t>
      </w:r>
    </w:p>
    <w:p>
      <w:pPr>
        <w:spacing w:after="0" w:line="142"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meeting;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proxy material online;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meeting and voting in person.</w:t>
      </w:r>
    </w:p>
    <w:p>
      <w:pPr>
        <w:sectPr>
          <w:pgSz w:w="11900" w:h="16838" w:orient="portrait"/>
          <w:cols w:equalWidth="0" w:num="1">
            <w:col w:w="11060"/>
          </w:cols>
          <w:pgMar w:left="320" w:top="455" w:right="5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251585"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15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of Sixth Street Specialty Lending, Inc. will be held at the offices of Simpson Thacher &amp; Bartlett LLP, 425 Lexington Avenue, 30th Floor, New York, NY 10017 on [●], 2026, at [●], Eastern Time. The Special Meeting of Stockholders is being held for the following purpose:</w:t>
      </w:r>
    </w:p>
    <w:p>
      <w:pPr>
        <w:spacing w:after="0" w:line="68" w:lineRule="exact"/>
        <w:rPr>
          <w:sz w:val="20"/>
          <w:szCs w:val="20"/>
          <w:color w:val="auto"/>
        </w:rPr>
      </w:pPr>
    </w:p>
    <w:p>
      <w:pPr>
        <w:jc w:val="both"/>
        <w:ind w:left="560" w:right="40" w:firstLine="419"/>
        <w:spacing w:after="0" w:line="261" w:lineRule="auto"/>
        <w:tabs>
          <w:tab w:leader="none" w:pos="11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 2026, are entitled to notice of and to vote at the Special Meeting of Stockholders or any postponement or adjournment thereof.</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7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extremely important to us. </w:t>
      </w:r>
      <w:r>
        <w:rPr>
          <w:rFonts w:ascii="Times New Roman" w:cs="Times New Roman" w:eastAsia="Times New Roman" w:hAnsi="Times New Roman"/>
          <w:sz w:val="18"/>
          <w:szCs w:val="18"/>
          <w:color w:val="auto"/>
        </w:rPr>
        <w:t>Whether or not you plan to attend the Special Meeting of Stockholders, we encourage you to vote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INCLUDING THE INDEPENDENT DIRECTORS, UNANIMOUSLY RECOMMENDS THAT YOU VOTE “FOR” THE PROPOSAL.</w:t>
      </w:r>
    </w:p>
    <w:p>
      <w:pPr>
        <w:spacing w:after="0" w:line="1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2026</w:t>
      </w:r>
    </w:p>
    <w:p>
      <w:pPr>
        <w:spacing w:after="0" w:line="22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r>
        <w:rPr>
          <w:rFonts w:ascii="Times New Roman" w:cs="Times New Roman" w:eastAsia="Times New Roman" w:hAnsi="Times New Roman"/>
          <w:sz w:val="18"/>
          <w:szCs w:val="18"/>
          <w:b w:val="1"/>
          <w:bCs w:val="1"/>
          <w:color w:val="auto"/>
        </w:rPr>
        <w:t xml:space="preserve"> WE HOPE YOU WILL VOTE OVER THE INTERNET, BY PHONE OR BY MARKING, SIGNING AND RETURNING YOUR PROXY CARD AS SOON AS POSSIBLE, WHETHER OR NOT YOU PLAN TO ATTEND THE MEETING. EVEN IF YOU VOTE YOUR SHARES PRIOR TO THE MEETING, YOU STILL MAY ATTEND THE MEETING AND VOTE YOUR SHARES IN PERSON.</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rPr>
              <w:t>Proxy Statement for a Special Meeting of Stockholders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12"/>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578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Proposal No. 1 Authorization of The Company to Sell or Otherwise Issue Shares of its Common Stock at a Price Below its Then-Current Net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4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Asset Value Per Share in One or More Offerings, in Each Case Subject to the Approval of its Board of Directors and Subject to the</w:t>
            </w:r>
          </w:p>
        </w:tc>
        <w:tc>
          <w:tcPr>
            <w:tcW w:w="6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Conditions Set Forth in this Proposal</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Business</w:t>
            </w:r>
          </w:p>
        </w:tc>
        <w:tc>
          <w:tcPr>
            <w:tcW w:w="95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and Nominations for the 2026 Annual Meeting of Stockholders</w:t>
            </w:r>
          </w:p>
        </w:tc>
        <w:tc>
          <w:tcPr>
            <w:tcW w:w="44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Annual Report</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82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Privacy Principles</w:t>
            </w:r>
          </w:p>
        </w:tc>
        <w:tc>
          <w:tcPr>
            <w:tcW w:w="93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a</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(the “Board”) of Sixth Street Specialty Lending, Inc., which is sometimes referred to in this proxy statement as “TSLX,” “we,” “us,” “our,” or the “Company,” for use at a Special Meeting of Stockholders (the “Meeting” or “Special Meeting”) to be held at the offices of Simpson Thacher &amp; Bartlett LLP, 425 Lexington Avenue, 30th Floor, New York, NY 10017 on [●], 2026, at [●], Eastern Time. Only holders of record of our common stock at the close of business on [●], 2026, which is the record date, will be entitled to vote at the Meeting. At the close of business on the record date, we had [●] shares of common stock outstanding and entitled to vote.</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It is anticipated that the Notice of Internet Availability of Proxy Materials will first be sent to Stockholders on or about [●], 2026. This proxy statement, including the accompanying form of proxy card (collectively, the “Proxy Statement”), will firs</w:t>
      </w:r>
      <w:r>
        <w:rPr>
          <w:rFonts w:ascii="Times New Roman" w:cs="Times New Roman" w:eastAsia="Times New Roman" w:hAnsi="Times New Roman"/>
          <w:sz w:val="18"/>
          <w:szCs w:val="18"/>
          <w:color w:val="auto"/>
          <w:strike w:val="1"/>
        </w:rPr>
        <w:t>t</w:t>
      </w:r>
      <w:r>
        <w:rPr>
          <w:rFonts w:ascii="Times New Roman" w:cs="Times New Roman" w:eastAsia="Times New Roman" w:hAnsi="Times New Roman"/>
          <w:sz w:val="18"/>
          <w:szCs w:val="18"/>
          <w:color w:val="auto"/>
        </w:rPr>
        <w:t xml:space="preserve"> be made available to stockholders on or about [●], 2026. The Proxy Statement can be accessed online at [●].</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Special Meeting of Stockholders is being held for the following purpose:</w:t>
      </w:r>
    </w:p>
    <w:p>
      <w:pPr>
        <w:spacing w:after="0" w:line="117" w:lineRule="exact"/>
        <w:rPr>
          <w:sz w:val="20"/>
          <w:szCs w:val="20"/>
          <w:color w:val="auto"/>
        </w:rPr>
      </w:pPr>
    </w:p>
    <w:p>
      <w:pPr>
        <w:jc w:val="both"/>
        <w:ind w:left="120" w:right="120" w:firstLine="436"/>
        <w:spacing w:after="0" w:line="261"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majority of the outstanding shares of common stock must be present or represented by proxy at the Meeting in order to have a quorum. If you have properly voted by proxy online, by phone, or via mail, you will be considered part of the quorum. We will count “abstain” and “withhold” votes as present for the purpose of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spacing w:after="0" w:line="274" w:lineRule="auto"/>
        <w:rPr>
          <w:sz w:val="20"/>
          <w:szCs w:val="20"/>
          <w:color w:val="auto"/>
        </w:rPr>
      </w:pPr>
      <w:r>
        <w:rPr>
          <w:rFonts w:ascii="Times New Roman" w:cs="Times New Roman" w:eastAsia="Times New Roman" w:hAnsi="Times New Roman"/>
          <w:sz w:val="17"/>
          <w:szCs w:val="17"/>
          <w:color w:val="auto"/>
        </w:rPr>
        <w:t xml:space="preserve">establishing a quorum for the transaction of business at the Meeting.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Because there is only one proposal at the Meeting, the Company does not expect brokers to have discretionary voting authority on that proposal and the Company does not expect any broker-represented shares for which voting instructions have not been received to be present at the Meeting. Accordingly, we do not expect any broker non-votes at the Meeting. </w:t>
      </w:r>
      <w:r>
        <w:rPr>
          <w:rFonts w:ascii="Times New Roman" w:cs="Times New Roman" w:eastAsia="Times New Roman" w:hAnsi="Times New Roman"/>
          <w:sz w:val="17"/>
          <w:szCs w:val="17"/>
          <w:b w:val="1"/>
          <w:bCs w:val="1"/>
          <w:color w:val="auto"/>
        </w:rPr>
        <w:t>For this reason, it is imperative that stockholders vote or provide instructions to their broker as to how to vote.</w:t>
      </w:r>
    </w:p>
    <w:p>
      <w:pPr>
        <w:spacing w:after="0" w:line="16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You may vote “for” or “against,” or abstain from voting on, Proposal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 of Meeting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 for the Meeting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named proxies for the Meeting are Ian Simmonds and Anton Brett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 Regarding This Proxy</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will pay the expenses of soliciting proxies to be voted at the Meeting. The Company has retained [●] to assist with the distribution and collection of proxies for a fee of approximately $[●], plus reimbursement of expenses.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electronic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has engaged the services of [●] to assist in the solicitation of proxies. The Company has estimated that it will pay approximately $[●], plus reimbursement of certain expenses and fees for additional services requested. Please note that [●]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with sufficient time in advance of the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Contact Information for Proxy Solicitation</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You can contact us by mail sent to the attention of the Secretary of the Company, Anton Brett, Sixth Street Specialty Lending, Inc., 888 7th Avenue, 41st Floor, New York, NY 10106, or by email at abrett@sixthstreet.com. You can call us by dialing 469-621-2033. You can access our proxy materials online at [●].</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Attendance and Participation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Company’s Meeting will be conducted in-person at the offices of Simpson Thacher &amp; Bartlett LLP, 425 Lexington Avenue, 30th Floor, New York, NY 10017. Stockholders as of the close of business on [●], 2026, the record date, are entitled to participate in and vote at the Meeting. If you have a question pertaining to the business of the Meeting, please submit it in accordance with the procedures described below.</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To participate in the Meeting, you will need the 16-digit control number included on your proxy card, your voting instruction form, or the Notice of Internet Availability of Proxy Materials previously mailed or made available to stockholders entitled to vote at the Meeting.</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In-person admission to the Meeting will be on a first-come, first served basis. Please bring proof of your common stock ownership, such as a current brokerage statement and photo identification. If you are representing an entity that is a stockholder, you must also present documentation showing your authority to attend and act on behalf of the entity (such as a power of attorney, written proxy to vote or letter of authorization on the entity’s letterhead). We reserve the right to restrict admission to the meeting or limit the number of representatives for any entity that may be admitted to the meeting for security or health and safety reasons at our sole discretion.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will begin promptly at [●], Eastern Time, and the Special Meeting of Stockholders will begin promptly at [●], Eastern Time. Participants should allow plenty of time to check in prior to the start of the meetings.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vote in person at the Meeting. If you hold your shares in “street name”, you must obtain a proxy from the record holder to vote in person.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list of our stockholders of record entitled to vote at the Meeting will be made available for viewing by stockholders at the Meeting for any purpose germane to the Meeting.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 2026, the beneficial ownership as indicated in the Company’s books and records of each current director, the nominees for director, the Company’s Named Executive Officers and the Company’s executive officers and directors as a group. Based upon Schedule 13D or Schedule 13G filings with the SEC, the Company is not aware of any person that beneficially owns 5% or more of the outstanding shares of the Company’s common stock.</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percentage ownership is based on [●] shares of common stock outstanding as of [●], 2026.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 of Individual or Identity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line="181" w:lineRule="auto"/>
        <w:rPr>
          <w:sz w:val="20"/>
          <w:szCs w:val="20"/>
          <w:color w:val="auto"/>
        </w:rPr>
      </w:pPr>
      <w:r>
        <w:rPr>
          <w:rFonts w:ascii="Times New Roman" w:cs="Times New Roman" w:eastAsia="Times New Roman" w:hAnsi="Times New Roman"/>
          <w:sz w:val="18"/>
          <w:szCs w:val="18"/>
          <w:color w:val="auto"/>
        </w:rPr>
        <w:t>Joshua Easterly</w:t>
      </w:r>
      <w:r>
        <w:rPr>
          <w:rFonts w:ascii="Times New Roman" w:cs="Times New Roman" w:eastAsia="Times New Roman" w:hAnsi="Times New Roman"/>
          <w:sz w:val="26"/>
          <w:szCs w:val="26"/>
          <w:color w:val="auto"/>
          <w:vertAlign w:val="superscript"/>
        </w:rPr>
        <w:t>(1)</w:t>
      </w:r>
    </w:p>
    <w:p>
      <w:pPr>
        <w:ind w:left="480"/>
        <w:spacing w:after="0" w:line="181" w:lineRule="auto"/>
        <w:rPr>
          <w:sz w:val="20"/>
          <w:szCs w:val="20"/>
          <w:color w:val="auto"/>
        </w:rPr>
      </w:pPr>
      <w:r>
        <w:rPr>
          <w:rFonts w:ascii="Times New Roman" w:cs="Times New Roman" w:eastAsia="Times New Roman" w:hAnsi="Times New Roman"/>
          <w:sz w:val="17"/>
          <w:szCs w:val="17"/>
          <w:color w:val="auto"/>
        </w:rPr>
        <w:t>Michael Fishman (Director Nominee)</w:t>
      </w:r>
      <w:r>
        <w:rPr>
          <w:rFonts w:ascii="Times New Roman" w:cs="Times New Roman" w:eastAsia="Times New Roman" w:hAnsi="Times New Roman"/>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Jennifer Gordon</w:t>
      </w:r>
    </w:p>
    <w:p>
      <w:pPr>
        <w:ind w:left="480"/>
        <w:spacing w:after="0" w:line="180" w:lineRule="auto"/>
        <w:rPr>
          <w:sz w:val="20"/>
          <w:szCs w:val="20"/>
          <w:color w:val="auto"/>
        </w:rPr>
      </w:pPr>
      <w:r>
        <w:rPr>
          <w:rFonts w:ascii="Times New Roman" w:cs="Times New Roman" w:eastAsia="Times New Roman" w:hAnsi="Times New Roman"/>
          <w:sz w:val="18"/>
          <w:szCs w:val="18"/>
          <w:color w:val="auto"/>
        </w:rPr>
        <w:t>Robert (“Bo”) Stanley (Director Nominee)</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line="180" w:lineRule="auto"/>
        <w:rPr>
          <w:sz w:val="20"/>
          <w:szCs w:val="20"/>
          <w:color w:val="auto"/>
        </w:rPr>
      </w:pPr>
      <w:r>
        <w:rPr>
          <w:rFonts w:ascii="Times New Roman" w:cs="Times New Roman" w:eastAsia="Times New Roman" w:hAnsi="Times New Roman"/>
          <w:sz w:val="17"/>
          <w:szCs w:val="17"/>
          <w:color w:val="auto"/>
        </w:rPr>
        <w:t>David Stiepleman</w:t>
      </w:r>
      <w:r>
        <w:rPr>
          <w:rFonts w:ascii="Times New Roman" w:cs="Times New Roman" w:eastAsia="Times New Roman" w:hAnsi="Times New Roman"/>
          <w:sz w:val="25"/>
          <w:szCs w:val="25"/>
          <w:color w:val="auto"/>
          <w:vertAlign w:val="superscript"/>
        </w:rPr>
        <w:t>(4)</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Hurley Doddy (Director Nominee)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John Hershey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Richard Higginbotham</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Judy Slotkin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Ronald Tanemura</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 Emery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8"/>
          <w:szCs w:val="18"/>
          <w:color w:val="auto"/>
        </w:rPr>
        <w:t>Michael Graf</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7"/>
          <w:szCs w:val="17"/>
          <w:b w:val="1"/>
          <w:bCs w:val="1"/>
          <w:color w:val="auto"/>
        </w:rPr>
        <w:t>All Directors and Officers as a Group (18 persons)</w:t>
      </w:r>
      <w:r>
        <w:rPr>
          <w:rFonts w:ascii="Times New Roman" w:cs="Times New Roman" w:eastAsia="Times New Roman" w:hAnsi="Times New Roman"/>
          <w:sz w:val="25"/>
          <w:szCs w:val="25"/>
          <w:b w:val="1"/>
          <w:bCs w:val="1"/>
          <w:color w:val="auto"/>
          <w:vertAlign w:val="superscript"/>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8"/>
        </w:trPr>
        <w:tc>
          <w:tcPr>
            <w:tcW w:w="2040" w:type="dxa"/>
            <w:vAlign w:val="bottom"/>
            <w:gridSpan w:val="2"/>
          </w:tcPr>
          <w:p>
            <w:pPr>
              <w:jc w:val="center"/>
              <w:ind w:right="10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jc w:val="center"/>
              <w:ind w:right="10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2040" w:type="dxa"/>
            <w:vAlign w:val="bottom"/>
            <w:gridSpan w:val="2"/>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8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bl>
    <w:p>
      <w:pPr>
        <w:spacing w:after="0" w:line="4260" w:lineRule="exact"/>
        <w:rPr>
          <w:sz w:val="20"/>
          <w:szCs w:val="20"/>
          <w:color w:val="auto"/>
        </w:rPr>
      </w:pPr>
    </w:p>
    <w:p>
      <w:pPr>
        <w:sectPr>
          <w:pgSz w:w="11900" w:h="16838" w:orient="portrait"/>
          <w:cols w:equalWidth="0" w:num="2">
            <w:col w:w="7380" w:space="720"/>
            <w:col w:w="3000"/>
          </w:cols>
          <w:pgMar w:left="320" w:top="455" w:right="479" w:bottom="1440" w:gutter="0" w:footer="0" w:header="0"/>
          <w:type w:val="continuous"/>
        </w:sect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0.1%.</w:t>
      </w:r>
    </w:p>
    <w:p>
      <w:pPr>
        <w:spacing w:after="0" w:line="27" w:lineRule="exact"/>
        <w:rPr>
          <w:sz w:val="20"/>
          <w:szCs w:val="20"/>
          <w:color w:val="auto"/>
        </w:rPr>
      </w:pPr>
    </w:p>
    <w:p>
      <w:pPr>
        <w:ind w:left="540" w:right="120" w:hanging="424"/>
        <w:spacing w:after="0" w:line="250"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2026, pursuant to the Third Amended and Restated Bylaws of the Company, Joshua Easterly informed the Company of his intention to retire from the Board, effective as of the close of business on May 21, 2026. Accordingly, Mr. Easterly will not run for re-election to the Board at the 2026 annual meeting of the stockholders. Mr. Easterly’s decision was not a result of any disagreement with the Company on any matter relating to the Company’s operations, policies or practices.</w:t>
      </w:r>
    </w:p>
    <w:p>
      <w:pPr>
        <w:spacing w:after="0" w:line="1"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 shares of common stock beneficially owned by Mr. Fishman have been pledged as security in connection with a line of credit with a third party financial institution unaffiliated with the Company and are held indirectly through entities for which Mr. Fishman has pass through voting power and no dispositive power.</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57"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beneficially owned by Mr. Stanley have been pledged as security in connection with a line of credit with a third party financial institution unaffiliated with the Company and are held indirectly through entities for which Mr. Stanley has pass through voting power and no dispositive power.</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beneficially owned by Mr. Stiepleman have been pledged as security in connection with a line of credit with a third party financial institution unaffiliated with the Company and are held indirectly through entities for which Mr. Stiepleman has pass through voting power and no dispositive power.</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executive officers that are not “Named Executive Officers,” already presented by name in the table above. [●] shares of common stock beneficially owned by these other executive officers have been pledged as security in connection with lines of credit with a third party financial institution unaffiliated with the Company.</w:t>
      </w:r>
    </w:p>
    <w:p>
      <w:pPr>
        <w:spacing w:after="0" w:line="1" w:lineRule="exact"/>
        <w:rPr>
          <w:rFonts w:ascii="Times New Roman" w:cs="Times New Roman" w:eastAsia="Times New Roman" w:hAnsi="Times New Roman"/>
          <w:sz w:val="18"/>
          <w:szCs w:val="18"/>
          <w:color w:val="auto"/>
        </w:rPr>
      </w:pPr>
    </w:p>
    <w:p>
      <w:pPr>
        <w:ind w:left="540" w:right="20" w:hanging="424"/>
        <w:spacing w:after="0" w:line="251"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Advisers, LLC holds [●]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Lending Advisers Holdings, LLC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the board of directors of TSSP Holdco Management, he may be deemed to beneficially own the Sixth Street Specialty Lending Advisers Shares. Mr. Waxman disclaims beneficial ownership of the Sixth Street Specialty Lending Advisers Shares except to the extent of his pecuniary interest therein.</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left="440" w:right="40"/>
        <w:spacing w:after="0" w:line="255" w:lineRule="auto"/>
        <w:rPr>
          <w:sz w:val="20"/>
          <w:szCs w:val="20"/>
          <w:color w:val="auto"/>
        </w:rPr>
      </w:pPr>
      <w:r>
        <w:rPr>
          <w:rFonts w:ascii="Times New Roman" w:cs="Times New Roman" w:eastAsia="Times New Roman" w:hAnsi="Times New Roman"/>
          <w:sz w:val="18"/>
          <w:szCs w:val="18"/>
          <w:b w:val="1"/>
          <w:bCs w:val="1"/>
          <w:color w:val="auto"/>
        </w:rPr>
        <w:t>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w:t>
      </w:r>
    </w:p>
    <w:p>
      <w:pPr>
        <w:spacing w:after="0" w:line="18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Times New Roman" w:cs="Times New Roman" w:eastAsia="Times New Roman" w:hAnsi="Times New Roman"/>
          <w:sz w:val="18"/>
          <w:szCs w:val="18"/>
          <w:b w:val="1"/>
          <w:bCs w:val="1"/>
          <w:color w:val="auto"/>
        </w:rPr>
        <w:t>There will be no limit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(“NYSE”)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19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To date, the Company has not issued shares below NAV under prior authorization granted from stockholders, but it may do so in the future pursuant to the authority granted in this proxy.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Sales Below NAV</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pacing w:after="0" w:line="81" w:lineRule="exact"/>
        <w:rPr>
          <w:sz w:val="20"/>
          <w:szCs w:val="20"/>
          <w:color w:val="auto"/>
        </w:rPr>
      </w:pPr>
    </w:p>
    <w:p>
      <w:pPr>
        <w:ind w:left="1080" w:right="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the Company’s directors have determined that any such sale would be in the best interests of the Company and its stockholders;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8"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the Company’s then-outstanding common stock immediately prior to each such offering.</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Approval</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Reasons to Offer Common Stock Below NAV</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 Have Created, and May in the Future Create, Attractive Investment and Acquisition Opportunities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capital markets may experience periods of disruption and instability. For example, monetary policies of the Federal Reserve and political uncertainty resulting from recent events, including changes to U.S. trade policies, the ongoing conflicts between Russia and Ukraine and in the Middle East and related responses, has led to, from time to time, disruption and instability in the global markets. Disruptions in the capital markets may increase the spread between the yields realized on risk-free and higher risk securities,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resulting in illiquidity in parts of the capital markets. As a result of the disruption and volatility in the credit markets, there may be a reduction in capital available to certain specialty finance companies and other capital providers, causing a reduction in competition. These conditions may coincide with lower stock prices for BDCs, resulting in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There have been continuing periods of volatility, some lasting longer and with a greater degree of magnitude than others, including recent market conditions, including those driven by the impact of changes to U.S. trade policies and the ongoing conflicts between Russia and Ukraine and in the Middle East. In addition to the recent environment, the Company has seen periods during the last few years where BDCs, including the Company, have traded below NAV due to such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Greater Investment Opportunities Due to Larger Capital Resources</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Higher Market Capitalization and Liquidity May Make the Company’s Common Stock More Attractive to Investors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Maintenance or Possible Increase of Dividends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From the earnings generated during the year ended December 31, 2025, the Company declared total dividends of $[●] per share of its common stock (including a fourth quarter supplemental dividend of $[●] declared in the first quarter of 2026).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Reduced Expenses Per Share</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Status as a BDC and RIC and Maintaining a Favorable Debt-to-Equity Ratio</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5"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Trading History</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fiscal quarter during the last three fiscal years and the first quarter of the current fiscal year, the NAV of the Company’s common stock, the range of high and low closing sales prices of its common stock as reported on the NYSE and the closing sales price as a premium (discount) to NAV. On [●], 2026, the last reported closing sales price of the Company’s common stock on the NYSE was $[●] per share, which represented a premium of approximately [●]% to the NAV reported by the Company as of December 31, 2025.</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20" w:type="dxa"/>
            <w:vAlign w:val="bottom"/>
          </w:tcPr>
          <w:p>
            <w:pPr>
              <w:spacing w:after="0"/>
              <w:rPr>
                <w:sz w:val="13"/>
                <w:szCs w:val="13"/>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10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10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to</w:t>
            </w:r>
          </w:p>
        </w:tc>
        <w:tc>
          <w:tcPr>
            <w:tcW w:w="6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dividends</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 Asset</w:t>
            </w: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 Asset</w:t>
            </w:r>
          </w:p>
        </w:tc>
        <w:tc>
          <w:tcPr>
            <w:tcW w:w="12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6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NAV</w:t>
            </w:r>
          </w:p>
        </w:tc>
        <w:tc>
          <w:tcPr>
            <w:tcW w:w="140" w:type="dxa"/>
            <w:vAlign w:val="bottom"/>
          </w:tcPr>
          <w:p>
            <w:pPr>
              <w:spacing w:after="0"/>
              <w:rPr>
                <w:sz w:val="12"/>
                <w:szCs w:val="12"/>
                <w:color w:val="auto"/>
              </w:rPr>
            </w:pPr>
          </w:p>
        </w:tc>
        <w:tc>
          <w:tcPr>
            <w:tcW w:w="760" w:type="dxa"/>
            <w:vAlign w:val="bottom"/>
            <w:tcBorders>
              <w:top w:val="single" w:sz="8" w:color="auto"/>
            </w:tcBorders>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5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Low</w:t>
            </w:r>
          </w:p>
        </w:tc>
        <w:tc>
          <w:tcPr>
            <w:tcW w:w="280" w:type="dxa"/>
            <w:vAlign w:val="bottom"/>
          </w:tcPr>
          <w:p>
            <w:pPr>
              <w:spacing w:after="0"/>
              <w:rPr>
                <w:sz w:val="12"/>
                <w:szCs w:val="12"/>
                <w:color w:val="auto"/>
              </w:rPr>
            </w:pPr>
          </w:p>
        </w:tc>
        <w:tc>
          <w:tcPr>
            <w:tcW w:w="106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0"/>
                <w:szCs w:val="10"/>
                <w:b w:val="1"/>
                <w:bCs w:val="1"/>
                <w:color w:val="auto"/>
              </w:rPr>
              <w:t>(2)</w:t>
            </w:r>
          </w:p>
        </w:tc>
        <w:tc>
          <w:tcPr>
            <w:tcW w:w="10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Value</w:t>
            </w:r>
            <w:r>
              <w:rPr>
                <w:rFonts w:ascii="Times New Roman" w:cs="Times New Roman" w:eastAsia="Times New Roman" w:hAnsi="Times New Roman"/>
                <w:sz w:val="10"/>
                <w:szCs w:val="10"/>
                <w:b w:val="1"/>
                <w:bCs w:val="1"/>
                <w:color w:val="auto"/>
                <w:w w:val="98"/>
              </w:rPr>
              <w:t>(2)</w:t>
            </w:r>
          </w:p>
        </w:tc>
        <w:tc>
          <w:tcPr>
            <w:tcW w:w="66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$16.59</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$19.54</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$17.10</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$16.74</w:t>
            </w:r>
          </w:p>
        </w:tc>
        <w:tc>
          <w:tcPr>
            <w:tcW w:w="9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$19.16</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$17.55</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$16.97</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$20.90</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$18.72</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$17.04</w:t>
            </w:r>
          </w:p>
        </w:tc>
        <w:tc>
          <w:tcPr>
            <w:tcW w:w="9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$21.94</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$19.05</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$17.17</w:t>
            </w:r>
          </w:p>
        </w:tc>
        <w:tc>
          <w:tcPr>
            <w:tcW w:w="9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$22.26</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$20.53</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$17.19</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$22.01</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$20.55</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28.0%</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$17.12</w:t>
            </w:r>
          </w:p>
        </w:tc>
        <w:tc>
          <w:tcPr>
            <w:tcW w:w="9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$21.86</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$19.97</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$17.16</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$21.60</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$19.79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$17.04</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$23.51</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$20.96</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38.0%</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$17.17</w:t>
            </w:r>
          </w:p>
        </w:tc>
        <w:tc>
          <w:tcPr>
            <w:tcW w:w="9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$23.81</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$19.16</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38.7%</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$17.14</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$25.10</w:t>
            </w: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$22.65</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46.4%</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$16.98</w:t>
            </w:r>
          </w:p>
        </w:tc>
        <w:tc>
          <w:tcPr>
            <w:tcW w:w="9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$22.89</w:t>
            </w:r>
          </w:p>
        </w:tc>
        <w:tc>
          <w:tcPr>
            <w:tcW w:w="7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$20.71</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34.8%</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6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ind w:left="540" w:right="60" w:hanging="424"/>
        <w:spacing w:after="0" w:line="250"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NAV, divided by NAV (in each case, as of the applicable quarter). Does not reflect intraday trading prices.</w:t>
      </w:r>
    </w:p>
    <w:p>
      <w:pPr>
        <w:ind w:left="540" w:hanging="424"/>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9" w:lineRule="exact"/>
        <w:rPr>
          <w:sz w:val="20"/>
          <w:szCs w:val="20"/>
          <w:color w:val="auto"/>
        </w:rPr>
      </w:pPr>
    </w:p>
    <w:p>
      <w:pPr>
        <w:ind w:left="540" w:right="360" w:hanging="424"/>
        <w:spacing w:after="0" w:line="26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has not yet been calculated for this period. NAV for the first quarter of 2026 will be available with the filing of the Company’s Quarterly Report on Form 10-Q for such quarter, which the Company estimates will be filed on or about [●], 2026.</w:t>
      </w:r>
    </w:p>
    <w:p>
      <w:pPr>
        <w:spacing w:after="0" w:line="18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Stockholder Considerations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 xml:space="preserve">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Times New Roman" w:cs="Times New Roman" w:eastAsia="Times New Roman" w:hAnsi="Times New Roman"/>
          <w:sz w:val="18"/>
          <w:szCs w:val="18"/>
          <w:b w:val="1"/>
          <w:bCs w:val="1"/>
          <w:color w:val="auto"/>
        </w:rPr>
        <w:t>There will be no limit on the percentage below net asset value per share at which shares may be sold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Company or number of offerings, each for up to 25% of the Company’s then-outstanding common stock, that the Company may conduct under this proposal for the one-year period that authorization is granted.</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NAV</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following two headings and accompanying tables explain and provide hypothetical examples on the impact of a public offering of the Company’s common stock at a price less than NAV on two different types of investors: existing stockholders who do not purchase any shares in the offering; and existing stockholders who purchase a relatively small amount of shares in the offering or a relatively large amount of shares in the offering.</w:t>
      </w:r>
    </w:p>
    <w:p>
      <w:pPr>
        <w:spacing w:after="0" w:line="15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Do Not Participate in the Offering</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65" w:lineRule="auto"/>
        <w:rPr>
          <w:sz w:val="20"/>
          <w:szCs w:val="20"/>
          <w:color w:val="auto"/>
        </w:rPr>
      </w:pPr>
      <w:r>
        <w:rPr>
          <w:rFonts w:ascii="Times New Roman" w:cs="Times New Roman" w:eastAsia="Times New Roman" w:hAnsi="Times New Roman"/>
          <w:sz w:val="17"/>
          <w:szCs w:val="17"/>
          <w:color w:val="auto"/>
        </w:rPr>
        <w:t>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76" w:lineRule="exact"/>
        <w:rPr>
          <w:sz w:val="20"/>
          <w:szCs w:val="20"/>
          <w:color w:val="auto"/>
        </w:rPr>
      </w:pPr>
    </w:p>
    <w:p>
      <w:pPr>
        <w:ind w:left="120" w:right="300" w:firstLine="440"/>
        <w:spacing w:after="0" w:line="265" w:lineRule="auto"/>
        <w:rPr>
          <w:sz w:val="20"/>
          <w:szCs w:val="20"/>
          <w:color w:val="auto"/>
        </w:rPr>
      </w:pPr>
      <w:r>
        <w:rPr>
          <w:rFonts w:ascii="Times New Roman" w:cs="Times New Roman" w:eastAsia="Times New Roman" w:hAnsi="Times New Roman"/>
          <w:sz w:val="17"/>
          <w:szCs w:val="17"/>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76" w:lineRule="exact"/>
        <w:rPr>
          <w:sz w:val="20"/>
          <w:szCs w:val="20"/>
          <w:color w:val="auto"/>
        </w:rPr>
      </w:pPr>
    </w:p>
    <w:p>
      <w:pPr>
        <w:ind w:left="120" w:right="340" w:firstLine="440"/>
        <w:spacing w:after="0" w:line="259" w:lineRule="auto"/>
        <w:rPr>
          <w:sz w:val="20"/>
          <w:szCs w:val="20"/>
          <w:color w:val="auto"/>
        </w:rPr>
      </w:pPr>
      <w:r>
        <w:rPr>
          <w:rFonts w:ascii="Times New Roman" w:cs="Times New Roman" w:eastAsia="Times New Roman" w:hAnsi="Times New Roman"/>
          <w:sz w:val="17"/>
          <w:szCs w:val="17"/>
          <w:color w:val="auto"/>
        </w:rPr>
        <w:t>The example assumes that the issuer has 94.7 million shares outstanding, $3.4 billion in total assets and $1.8 billion in total liabilities. The current net asset value and NAV per share are thus $1.6 billion and $16.98 per share. The chart illustrates the dilutive effect on Stockholder A of (a) an offering of</w:t>
      </w:r>
    </w:p>
    <w:p>
      <w:pPr>
        <w:spacing w:after="0" w:line="1" w:lineRule="exact"/>
        <w:rPr>
          <w:sz w:val="20"/>
          <w:szCs w:val="20"/>
          <w:color w:val="auto"/>
        </w:rPr>
      </w:pPr>
    </w:p>
    <w:p>
      <w:pPr>
        <w:ind w:left="120" w:right="40"/>
        <w:spacing w:after="0" w:line="250" w:lineRule="auto"/>
        <w:rPr>
          <w:sz w:val="20"/>
          <w:szCs w:val="20"/>
          <w:color w:val="auto"/>
        </w:rPr>
      </w:pPr>
      <w:r>
        <w:rPr>
          <w:rFonts w:ascii="Times New Roman" w:cs="Times New Roman" w:eastAsia="Times New Roman" w:hAnsi="Times New Roman"/>
          <w:sz w:val="17"/>
          <w:szCs w:val="17"/>
          <w:color w:val="auto"/>
        </w:rPr>
        <w:t>4.7 million shares of common stock (5% of the outstanding shares) at $16.13 per share after offering expenses and commissions (a 5% discount from NAV per share), (b) an offering of 9.5 million shares of common stock (10% of the outstanding shares) at $15.28 per share after offering expenses and commissions (a 10% discount from NAV per share), (c) an offering of 18.9 million shares of common stock (20% of the outstanding shares) at $13.58 per share after offering expenses and commissions (a 20% discount from NAV per share), and (d) an offering of 23.7 million shares of common stock (25% of the outstanding shares) at $12.74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3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Example 1</w:t>
            </w: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Example 2</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260"/>
              <w:spacing w:after="0"/>
              <w:rPr>
                <w:sz w:val="20"/>
                <w:szCs w:val="20"/>
                <w:color w:val="auto"/>
              </w:rPr>
            </w:pPr>
            <w:r>
              <w:rPr>
                <w:rFonts w:ascii="Times New Roman" w:cs="Times New Roman" w:eastAsia="Times New Roman" w:hAnsi="Times New Roman"/>
                <w:sz w:val="11"/>
                <w:szCs w:val="11"/>
                <w:b w:val="1"/>
                <w:bCs w:val="1"/>
                <w:color w:val="auto"/>
              </w:rPr>
              <w:t>Example 3</w:t>
            </w: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260"/>
              <w:spacing w:after="0"/>
              <w:rPr>
                <w:sz w:val="20"/>
                <w:szCs w:val="20"/>
                <w:color w:val="auto"/>
              </w:rPr>
            </w:pPr>
            <w:r>
              <w:rPr>
                <w:rFonts w:ascii="Times New Roman" w:cs="Times New Roman" w:eastAsia="Times New Roman" w:hAnsi="Times New Roman"/>
                <w:sz w:val="11"/>
                <w:szCs w:val="11"/>
                <w:b w:val="1"/>
                <w:bCs w:val="1"/>
                <w:color w:val="auto"/>
              </w:rPr>
              <w:t>Example 4</w:t>
            </w: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5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3"/>
          </w:tcPr>
          <w:p>
            <w:pPr>
              <w:jc w:val="center"/>
              <w:ind w:right="19"/>
              <w:spacing w:after="0" w:line="100" w:lineRule="exact"/>
              <w:rPr>
                <w:sz w:val="20"/>
                <w:szCs w:val="20"/>
                <w:color w:val="auto"/>
              </w:rPr>
            </w:pPr>
            <w:r>
              <w:rPr>
                <w:rFonts w:ascii="Times New Roman" w:cs="Times New Roman" w:eastAsia="Times New Roman" w:hAnsi="Times New Roman"/>
                <w:sz w:val="11"/>
                <w:szCs w:val="11"/>
                <w:b w:val="1"/>
                <w:bCs w:val="1"/>
                <w:color w:val="auto"/>
                <w:w w:val="99"/>
              </w:rPr>
              <w:t>5% Offering at 5%</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3"/>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10% Offering at 10%</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3"/>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8"/>
              </w:rPr>
              <w:t>20% Offering at 20%</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tcPr>
          <w:p>
            <w:pPr>
              <w:jc w:val="center"/>
              <w:ind w:right="39"/>
              <w:spacing w:after="0" w:line="100" w:lineRule="exact"/>
              <w:rPr>
                <w:sz w:val="20"/>
                <w:szCs w:val="20"/>
                <w:color w:val="auto"/>
              </w:rPr>
            </w:pPr>
            <w:r>
              <w:rPr>
                <w:rFonts w:ascii="Times New Roman" w:cs="Times New Roman" w:eastAsia="Times New Roman" w:hAnsi="Times New Roman"/>
                <w:sz w:val="11"/>
                <w:szCs w:val="11"/>
                <w:b w:val="1"/>
                <w:bCs w:val="1"/>
                <w:color w:val="auto"/>
                <w:w w:val="98"/>
              </w:rPr>
              <w:t>25% Offering at 25%</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Prior to Sale</w:t>
            </w: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22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3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26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4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left="26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58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340"/>
              <w:spacing w:after="0" w:line="100" w:lineRule="exact"/>
              <w:rPr>
                <w:sz w:val="20"/>
                <w:szCs w:val="20"/>
                <w:color w:val="auto"/>
              </w:rPr>
            </w:pPr>
            <w:r>
              <w:rPr>
                <w:rFonts w:ascii="Times New Roman" w:cs="Times New Roman" w:eastAsia="Times New Roman" w:hAnsi="Times New Roman"/>
                <w:sz w:val="11"/>
                <w:szCs w:val="11"/>
                <w:b w:val="1"/>
                <w:bCs w:val="1"/>
                <w:color w:val="auto"/>
                <w:w w:val="98"/>
              </w:rPr>
              <w:t>Following</w:t>
            </w:r>
          </w:p>
        </w:tc>
        <w:tc>
          <w:tcPr>
            <w:tcW w:w="360" w:type="dxa"/>
            <w:vAlign w:val="bottom"/>
          </w:tcPr>
          <w:p>
            <w:pPr>
              <w:jc w:val="right"/>
              <w:ind w:right="5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right"/>
              <w:ind w:right="400"/>
              <w:spacing w:after="0" w:line="100" w:lineRule="exact"/>
              <w:rPr>
                <w:sz w:val="20"/>
                <w:szCs w:val="20"/>
                <w:color w:val="auto"/>
              </w:rPr>
            </w:pPr>
            <w:r>
              <w:rPr>
                <w:rFonts w:ascii="Times New Roman" w:cs="Times New Roman" w:eastAsia="Times New Roman" w:hAnsi="Times New Roman"/>
                <w:sz w:val="11"/>
                <w:szCs w:val="11"/>
                <w:b w:val="1"/>
                <w:bCs w:val="1"/>
                <w:color w:val="auto"/>
              </w:rPr>
              <w:t>Following</w:t>
            </w:r>
          </w:p>
        </w:tc>
        <w:tc>
          <w:tcPr>
            <w:tcW w:w="360" w:type="dxa"/>
            <w:vAlign w:val="bottom"/>
          </w:tcPr>
          <w:p>
            <w:pPr>
              <w:jc w:val="right"/>
              <w:ind w:right="7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2"/>
          </w:tcPr>
          <w:p>
            <w:pPr>
              <w:jc w:val="right"/>
              <w:ind w:right="380"/>
              <w:spacing w:after="0" w:line="100" w:lineRule="exact"/>
              <w:rPr>
                <w:sz w:val="20"/>
                <w:szCs w:val="20"/>
                <w:color w:val="auto"/>
              </w:rPr>
            </w:pPr>
            <w:r>
              <w:rPr>
                <w:rFonts w:ascii="Times New Roman" w:cs="Times New Roman" w:eastAsia="Times New Roman" w:hAnsi="Times New Roman"/>
                <w:sz w:val="11"/>
                <w:szCs w:val="11"/>
                <w:b w:val="1"/>
                <w:bCs w:val="1"/>
                <w:color w:val="auto"/>
              </w:rPr>
              <w:t>Following</w:t>
            </w:r>
          </w:p>
        </w:tc>
        <w:tc>
          <w:tcPr>
            <w:tcW w:w="400" w:type="dxa"/>
            <w:vAlign w:val="bottom"/>
          </w:tcPr>
          <w:p>
            <w:pPr>
              <w:jc w:val="right"/>
              <w:ind w:right="7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right"/>
              <w:ind w:right="400"/>
              <w:spacing w:after="0" w:line="100" w:lineRule="exact"/>
              <w:rPr>
                <w:sz w:val="20"/>
                <w:szCs w:val="20"/>
                <w:color w:val="auto"/>
              </w:rPr>
            </w:pPr>
            <w:r>
              <w:rPr>
                <w:rFonts w:ascii="Times New Roman" w:cs="Times New Roman" w:eastAsia="Times New Roman" w:hAnsi="Times New Roman"/>
                <w:sz w:val="11"/>
                <w:szCs w:val="11"/>
                <w:b w:val="1"/>
                <w:bCs w:val="1"/>
                <w:color w:val="auto"/>
              </w:rPr>
              <w:t>Following</w:t>
            </w:r>
          </w:p>
        </w:tc>
        <w:tc>
          <w:tcPr>
            <w:tcW w:w="400" w:type="dxa"/>
            <w:vAlign w:val="bottom"/>
          </w:tcPr>
          <w:p>
            <w:pPr>
              <w:jc w:val="right"/>
              <w:ind w:right="79"/>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Below NAV</w:t>
            </w:r>
          </w:p>
        </w:tc>
        <w:tc>
          <w:tcPr>
            <w:tcW w:w="80" w:type="dxa"/>
            <w:vAlign w:val="bottom"/>
          </w:tcPr>
          <w:p>
            <w:pPr>
              <w:spacing w:after="0"/>
              <w:rPr>
                <w:sz w:val="11"/>
                <w:szCs w:val="11"/>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Sale</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60" w:type="dxa"/>
            <w:vAlign w:val="bottom"/>
          </w:tcPr>
          <w:p>
            <w:pPr>
              <w:spacing w:after="0"/>
              <w:rPr>
                <w:sz w:val="11"/>
                <w:szCs w:val="11"/>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Sale</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0" w:type="dxa"/>
            <w:vAlign w:val="bottom"/>
          </w:tcPr>
          <w:p>
            <w:pPr>
              <w:spacing w:after="0"/>
              <w:rPr>
                <w:sz w:val="1"/>
                <w:szCs w:val="1"/>
                <w:color w:val="auto"/>
              </w:rPr>
            </w:pPr>
          </w:p>
        </w:tc>
      </w:tr>
      <w:tr>
        <w:trPr>
          <w:trHeight w:val="115"/>
        </w:trPr>
        <w:tc>
          <w:tcPr>
            <w:tcW w:w="35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Offering Price</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Price per Share to Public</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16.98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16.09</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14.30</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13.41</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Proceeds per Share to Issuer</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16.13</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15.28</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13.58</w:t>
            </w: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12.74</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Decrease/Increase to Net Asset Value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Offered</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4,735,258</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9,470,515</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18,941,030</w:t>
            </w: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23,676,288</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Total Shares Outstanding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w w:val="92"/>
              </w:rPr>
              <w:t>94,705,150</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2"/>
              </w:rPr>
              <w:t>99,440,408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5"/>
              </w:rPr>
              <w:t>104,175,665</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5"/>
              </w:rPr>
              <w:t>113,646,180</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w w:val="95"/>
              </w:rPr>
              <w:t>118,381,438</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Asset Value per Share</w:t>
            </w:r>
          </w:p>
        </w:tc>
        <w:tc>
          <w:tcPr>
            <w:tcW w:w="1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16.98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16.94</w:t>
            </w: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(0.26)%</w:t>
            </w:r>
          </w:p>
        </w:tc>
        <w:tc>
          <w:tcPr>
            <w:tcW w:w="1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16.82</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(0.93)%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16.41</w:t>
            </w: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(3.35)%</w:t>
            </w:r>
          </w:p>
        </w:tc>
        <w:tc>
          <w:tcPr>
            <w:tcW w:w="1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16.13</w:t>
            </w:r>
          </w:p>
        </w:tc>
        <w:tc>
          <w:tcPr>
            <w:tcW w:w="6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(5.02)%</w:t>
            </w: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Dilution to Nonparticipating Stockholder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Held by Stockholder A</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94,705</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94,705</w:t>
            </w: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94,705</w:t>
            </w:r>
          </w:p>
        </w:tc>
        <w:tc>
          <w:tcPr>
            <w:tcW w:w="6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94,705</w:t>
            </w:r>
          </w:p>
        </w:tc>
        <w:tc>
          <w:tcPr>
            <w:tcW w:w="6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94,705</w:t>
            </w: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Percentage Held by Stockholder 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5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(4.76)%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0.09%</w:t>
            </w: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(9.09)%</w:t>
            </w:r>
          </w:p>
        </w:tc>
        <w:tc>
          <w:tcPr>
            <w:tcW w:w="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0.08%</w:t>
            </w: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(16.67)%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0.08%</w:t>
            </w:r>
          </w:p>
        </w:tc>
        <w:tc>
          <w:tcPr>
            <w:tcW w:w="6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Total Net Asset Value Held by Stockholder A</w:t>
            </w:r>
          </w:p>
        </w:tc>
        <w:tc>
          <w:tcPr>
            <w:tcW w:w="1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1,607,721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1,603,908</w:t>
            </w:r>
          </w:p>
        </w:tc>
        <w:tc>
          <w:tcPr>
            <w:tcW w:w="58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(0.24)%</w:t>
            </w:r>
          </w:p>
        </w:tc>
        <w:tc>
          <w:tcPr>
            <w:tcW w:w="1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1,593,134</w:t>
            </w:r>
          </w:p>
        </w:tc>
        <w:tc>
          <w:tcPr>
            <w:tcW w:w="6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(0.91)%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1,554,178</w:t>
            </w: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(3.33)%</w:t>
            </w:r>
          </w:p>
        </w:tc>
        <w:tc>
          <w:tcPr>
            <w:tcW w:w="1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1,527,389</w:t>
            </w:r>
          </w:p>
        </w:tc>
        <w:tc>
          <w:tcPr>
            <w:tcW w:w="60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7"/>
              </w:rPr>
              <w:t>Total Investment by Stockholder A (Assumed to be $16.98 per Share)</w:t>
            </w:r>
          </w:p>
        </w:tc>
        <w:tc>
          <w:tcPr>
            <w:tcW w:w="1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3"/>
                <w:szCs w:val="13"/>
                <w:color w:val="auto"/>
              </w:rPr>
              <w:t>1,607,721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1,607,721</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1,607,721</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1,607,721</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1,607,721</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Total Dilution to Stockholder A (Total Net Asset Value Less Total</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(3,814)</w:t>
            </w: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(14,588)</w:t>
            </w: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(53,544)</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(80,333)</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9"/>
              </w:rPr>
              <w:t>Investment per Share Held by Stockholder A (Assumed to be $16.98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per Share on Shares Held Prior to Sale)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16.98</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16.98</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16.98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16.98</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16.98</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Asset Value per Share Held by Stockholder A</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16.94</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16.82</w:t>
            </w: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16.41</w:t>
            </w: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16.13</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w w:val="97"/>
              </w:rPr>
              <w:t>Dilution per Share Held by Stockholder A (Net Asset Value per Share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Less Investment per Share)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(0.04)</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(0.16)</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(0.57)</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(0.85)</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8"/>
              </w:rPr>
              <w:t>Percentage Dilution to Stockholder A (Dilution per Share Divided by</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 per Share)</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(0.26)%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(0.93)%</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(5.02)%</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 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9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18.9 million shares) rather than its 0.10% proportionate share and (b) 150% of such percentage (i.e., 0.15% of an offering of 18.9 million shares rather than its proportionate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7"/>
              </w:rPr>
              <w:t>Prior to Sale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50% Participation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150% Participation</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gridSpan w:val="2"/>
          </w:tcPr>
          <w:p>
            <w:pPr>
              <w:jc w:val="right"/>
              <w:ind w:right="60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60" w:type="dxa"/>
            <w:vAlign w:val="bottom"/>
            <w:tcBorders>
              <w:top w:val="single" w:sz="8" w:color="auto"/>
            </w:tcBorders>
          </w:tcPr>
          <w:p>
            <w:pPr>
              <w:jc w:val="right"/>
              <w:ind w:right="7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gridSpan w:val="2"/>
          </w:tcPr>
          <w:p>
            <w:pPr>
              <w:jc w:val="right"/>
              <w:ind w:right="78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60" w:type="dxa"/>
            <w:vAlign w:val="bottom"/>
            <w:tcBorders>
              <w:top w:val="single" w:sz="8" w:color="auto"/>
            </w:tcBorders>
          </w:tcPr>
          <w:p>
            <w:pPr>
              <w:jc w:val="right"/>
              <w:ind w:right="98"/>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w w:val="97"/>
              </w:rPr>
              <w:t>Below NAV</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Sale</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14.30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14.30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13.58</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Offered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18,941,030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18,941,030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6"/>
              </w:rPr>
              <w:t>94,705,150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113,646,180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7"/>
              </w:rPr>
              <w:t>113,646,180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16.41</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16.41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194"/>
        </w:trPr>
        <w:tc>
          <w:tcPr>
            <w:tcW w:w="48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 Shares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Held by Stockholder 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94,705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104,176</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123,117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0.11%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1,607,721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1,709,596</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2,020,432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$16.98 per Share on Shares Held Prior to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1,607,721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1,743,140</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2,013,977</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(33,544)</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6,455</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6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4"/>
              </w:rPr>
              <w:t>Prior to Sale</w:t>
            </w: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50% Participation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97"/>
              </w:rPr>
              <w:t>150% Participation</w:t>
            </w:r>
          </w:p>
        </w:tc>
        <w:tc>
          <w:tcPr>
            <w:tcW w:w="0" w:type="dxa"/>
            <w:vAlign w:val="bottom"/>
          </w:tcPr>
          <w:p>
            <w:pPr>
              <w:spacing w:after="0"/>
              <w:rPr>
                <w:sz w:val="1"/>
                <w:szCs w:val="1"/>
                <w:color w:val="auto"/>
              </w:rPr>
            </w:pPr>
          </w:p>
        </w:tc>
      </w:tr>
      <w:tr>
        <w:trPr>
          <w:trHeight w:val="108"/>
        </w:trPr>
        <w:tc>
          <w:tcPr>
            <w:tcW w:w="6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740" w:type="dxa"/>
            <w:vAlign w:val="bottom"/>
            <w:tcBorders>
              <w:top w:val="single" w:sz="8" w:color="auto"/>
            </w:tcBorders>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40" w:type="dxa"/>
            <w:vAlign w:val="bottom"/>
            <w:tcBorders>
              <w:top w:val="single" w:sz="8" w:color="auto"/>
            </w:tcBorders>
          </w:tcPr>
          <w:p>
            <w:pPr>
              <w:jc w:val="right"/>
              <w:ind w:right="85"/>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Borders>
              <w:top w:val="single" w:sz="8" w:color="auto"/>
            </w:tcBorders>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Following</w:t>
            </w:r>
          </w:p>
        </w:tc>
        <w:tc>
          <w:tcPr>
            <w:tcW w:w="440" w:type="dxa"/>
            <w:vAlign w:val="bottom"/>
            <w:tcBorders>
              <w:top w:val="single" w:sz="8" w:color="auto"/>
            </w:tcBorders>
          </w:tcPr>
          <w:p>
            <w:pPr>
              <w:jc w:val="right"/>
              <w:ind w:right="85"/>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94"/>
              </w:rPr>
              <w:t>Below NAV</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Sale</w:t>
            </w:r>
          </w:p>
        </w:tc>
        <w:tc>
          <w:tcPr>
            <w:tcW w:w="82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Sale</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0" w:type="dxa"/>
            <w:vAlign w:val="bottom"/>
          </w:tcPr>
          <w:p>
            <w:pPr>
              <w:spacing w:after="0"/>
              <w:rPr>
                <w:sz w:val="1"/>
                <w:szCs w:val="1"/>
                <w:color w:val="auto"/>
              </w:rPr>
            </w:pPr>
          </w:p>
        </w:tc>
      </w:tr>
      <w:tr>
        <w:trPr>
          <w:trHeight w:val="178"/>
        </w:trPr>
        <w:tc>
          <w:tcPr>
            <w:tcW w:w="6460" w:type="dxa"/>
            <w:vAlign w:val="bottom"/>
            <w:tcBorders>
              <w:top w:val="single" w:sz="8" w:color="CCEEFF"/>
            </w:tcBorders>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Investment per Share Held by Stockholder A (Assumed to be $16.98 per Share on</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Shares Held Prior to Sale)</w:t>
            </w:r>
          </w:p>
        </w:tc>
        <w:tc>
          <w:tcPr>
            <w:tcW w:w="3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16.98</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$ 16.73</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$ 16.41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16.41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4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 Asset Value per Share</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Less Investment per Share)</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(0.32)</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0.05</w:t>
            </w: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 per Share Divided by</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Investment per Share)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Considerations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Underwritten Offerings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Consideration of Potential Conflicts of Interest</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Sixth Street Specialty Lending Advisers, as such fees are based on the amount of the Company’s gross assets, and considered the effect of the following factors:</w:t>
      </w:r>
    </w:p>
    <w:p>
      <w:pPr>
        <w:spacing w:after="0" w:line="85" w:lineRule="exact"/>
        <w:rPr>
          <w:sz w:val="20"/>
          <w:szCs w:val="20"/>
          <w:color w:val="auto"/>
        </w:rPr>
      </w:pPr>
    </w:p>
    <w:p>
      <w:pPr>
        <w:ind w:left="1080" w:right="2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benefits of a common stock offering below NAV compared to other possible means for raising capital or concluding not to raise capital;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a common stock offering in relation to the number of shares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on operating expenses associated with an increase in capital.</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2" w:lineRule="exact"/>
        <w:rPr>
          <w:sz w:val="20"/>
          <w:szCs w:val="20"/>
          <w:color w:val="auto"/>
        </w:rPr>
      </w:pPr>
    </w:p>
    <w:p>
      <w:pPr>
        <w:ind w:left="120" w:right="2200" w:firstLine="2221"/>
        <w:spacing w:after="0" w:line="377" w:lineRule="auto"/>
        <w:rPr>
          <w:sz w:val="20"/>
          <w:szCs w:val="20"/>
          <w:color w:val="auto"/>
        </w:rPr>
      </w:pPr>
      <w:r>
        <w:rPr>
          <w:rFonts w:ascii="Times New Roman" w:cs="Times New Roman" w:eastAsia="Times New Roman" w:hAnsi="Times New Roman"/>
          <w:sz w:val="18"/>
          <w:szCs w:val="18"/>
          <w:b w:val="1"/>
          <w:bCs w:val="1"/>
          <w:color w:val="auto"/>
        </w:rPr>
        <w:t>Stockholder Proposals and Nominations for the 2026 Annual Meeting of Stockholders Inclusion of Proposals in Our Proxy Statement and Proxy Card Under the SEC’s Rules</w:t>
      </w:r>
    </w:p>
    <w:p>
      <w:pPr>
        <w:spacing w:after="0" w:line="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proposal of a stockholder intended to be included in our proxy statement and form of proxy/voting instruction card for the 2027 annual meeting of stockholders pursuant to Rule 14a-8 of the SEC’s rules must be received by us at our principal executive offices no later than [●], 2026.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Anton Brett, Sixth Street Specialty Lending, Inc., 2100 McKinney Avenue, Suite 1500, Dallas, TX 75201.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Bylaw Requirements for Stockholder Submission of Nominations and Proposals</w:t>
      </w:r>
    </w:p>
    <w:p>
      <w:pPr>
        <w:spacing w:after="0" w:line="121" w:lineRule="exact"/>
        <w:rPr>
          <w:sz w:val="20"/>
          <w:szCs w:val="20"/>
          <w:color w:val="auto"/>
        </w:rPr>
      </w:pPr>
    </w:p>
    <w:p>
      <w:pPr>
        <w:jc w:val="both"/>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 stockholder recommendation for nomination of a person for election to our Board or a proposal for consideration at our 2027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Bylaws require that the proposal or recommendation for nomination must be received by our Secretary at our principal executive offices at the above address no later than [●], 2027, unless the date of our 2027 annual meeting is more than 30 days before or more than 60 days after [●], 2027, the anniversary of our 2026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will furnish, without charge, a copy of our Annual Report on Form 10-K for the fiscal year ended December 31, 2025 to any stockholder upon request. Requests should be directed to the Secretary of the Company, Anton Brett, Sixth Street Specialty Lending, Inc., 888 7th Avenue, 41st Floor, New York, NY 10106, Attention: TSLX Investor Relations, or by emailing us at </w:t>
      </w:r>
      <w:r>
        <w:rPr>
          <w:rFonts w:ascii="Times New Roman" w:cs="Times New Roman" w:eastAsia="Times New Roman" w:hAnsi="Times New Roman"/>
          <w:sz w:val="18"/>
          <w:szCs w:val="18"/>
          <w:u w:val="single" w:color="auto"/>
          <w:color w:val="auto"/>
        </w:rPr>
        <w:t>IRTSLX@sixthstreet.com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2100 McKinney Avenue, Suite 1500, Dallas, Texas 75201, Attention: TSLX Investor Relations, by email at </w:t>
      </w:r>
      <w:r>
        <w:rPr>
          <w:rFonts w:ascii="Times New Roman" w:cs="Times New Roman" w:eastAsia="Times New Roman" w:hAnsi="Times New Roman"/>
          <w:sz w:val="17"/>
          <w:szCs w:val="17"/>
          <w:u w:val="single" w:color="auto"/>
          <w:color w:val="auto"/>
        </w:rPr>
        <w:t>IRTSLX@sixthstreet.com</w:t>
      </w:r>
      <w:r>
        <w:rPr>
          <w:rFonts w:ascii="Times New Roman" w:cs="Times New Roman" w:eastAsia="Times New Roman" w:hAnsi="Times New Roman"/>
          <w:sz w:val="17"/>
          <w:szCs w:val="17"/>
          <w:color w:val="auto"/>
        </w:rPr>
        <w:t xml:space="preserve"> or by phone at</w:t>
      </w:r>
    </w:p>
    <w:p>
      <w:pPr>
        <w:spacing w:after="0" w:line="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8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Anton Brett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Compliance Officer and Secretary</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40"/>
          </w:cols>
          <w:pgMar w:left="320" w:top="455"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Notice and Proxy Statement is available at www.proxyvote.com.</w:t>
      </w: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EDT</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29"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The stockholders hereby appoint Ian Simmonds and Anton Brett, or either of them, as proxies, each with the power to appoint his/her substitute, and hereby authorize them to represent and to vote, as designated on the reverse side of this ballot, all of the shares of common stock of SIXTH STREET SPECIALTY LENDING, INC. that the stockholders are entitled to vote at a Special Meeting of Stockholders to be held at EDT on [●], 2026, at the offices of Simpson Thacher &amp; Bartlett LLP, 425 Lexington Avenue,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10017 and any adjournment or postponement thereof.</w:t>
      </w:r>
    </w:p>
    <w:p>
      <w:pPr>
        <w:spacing w:after="0" w:line="198"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5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ectPr>
          <w:pgSz w:w="11900" w:h="16838" w:orient="portrait"/>
          <w:cols w:equalWidth="0" w:num="1">
            <w:col w:w="11000"/>
          </w:cols>
          <w:pgMar w:left="320" w:top="455" w:right="5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BY INTERNET</w:t>
      </w:r>
    </w:p>
    <w:p>
      <w:pPr>
        <w:spacing w:after="0" w:line="119"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Before The Meeting </w:t>
      </w:r>
      <w:r>
        <w:rPr>
          <w:rFonts w:ascii="Times New Roman" w:cs="Times New Roman" w:eastAsia="Times New Roman" w:hAnsi="Times New Roman"/>
          <w:sz w:val="18"/>
          <w:szCs w:val="18"/>
          <w:color w:val="auto"/>
        </w:rPr>
        <w:t>– Go to Use the Internet to transmit your voting instructions and for electronic delivery of information up until 11:59 P.M.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Eastern Time on [●]. Have your proxy card in hand when you access the web site and follow the instructions to obtain your records and to create an electronic voting instruction form.</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BY PHONE –</w:t>
      </w:r>
    </w:p>
    <w:p>
      <w:pPr>
        <w:spacing w:after="0" w:line="119"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Use any touch-tone telephone to transmit your voting instructions up until 11:59 P.M. Eastern Time on [●]. Have your proxy </w:t>
      </w:r>
      <w:r>
        <w:rPr>
          <w:rFonts w:ascii="Times New Roman" w:cs="Times New Roman" w:eastAsia="Times New Roman" w:hAnsi="Times New Roman"/>
          <w:sz w:val="18"/>
          <w:szCs w:val="18"/>
          <w:i w:val="1"/>
          <w:iCs w:val="1"/>
          <w:color w:val="auto"/>
        </w:rPr>
        <w:t>card</w:t>
      </w:r>
      <w:r>
        <w:rPr>
          <w:rFonts w:ascii="Times New Roman" w:cs="Times New Roman" w:eastAsia="Times New Roman" w:hAnsi="Times New Roman"/>
          <w:sz w:val="18"/>
          <w:szCs w:val="18"/>
          <w:color w:val="auto"/>
        </w:rPr>
        <w:t xml:space="preserve"> in hand when you call and then follow the instructions.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Mark, sign and date your proxy card and return it in the postage-paid envelope we have provided or return it to [●].</w:t>
      </w:r>
    </w:p>
    <w:p>
      <w:pPr>
        <w:sectPr>
          <w:pgSz w:w="11900" w:h="16838" w:orient="portrait"/>
          <w:cols w:equalWidth="0" w:num="1">
            <w:col w:w="10900"/>
          </w:cols>
          <w:pgMar w:left="320" w:top="455" w:right="6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VOTE, MARK BLOCKS BELOW IN BLUE OR BLACK INK AS FOLLOWS: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KEEP THIS PORTION FOR YOUR RECORDS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DETACH AND RETURN THIS PORTION ONLY</w:t>
      </w:r>
    </w:p>
    <w:p>
      <w:pPr>
        <w:spacing w:after="0" w:line="200" w:lineRule="exact"/>
        <w:rPr>
          <w:sz w:val="20"/>
          <w:szCs w:val="20"/>
          <w:color w:val="auto"/>
        </w:rPr>
      </w:pPr>
    </w:p>
    <w:p>
      <w:pPr>
        <w:spacing w:after="0" w:line="21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 recommends you vote FOR the following:</w:t>
      </w:r>
    </w:p>
    <w:p>
      <w:pPr>
        <w:sectPr>
          <w:pgSz w:w="11900" w:h="16838" w:orient="portrait"/>
          <w:cols w:equalWidth="0" w:num="1">
            <w:col w:w="11140"/>
          </w:cols>
          <w:pgMar w:left="320" w:top="455" w:right="439" w:bottom="1440" w:gutter="0" w:footer="0" w:header="0"/>
        </w:sectPr>
      </w:pPr>
    </w:p>
    <w:p>
      <w:pPr>
        <w:spacing w:after="0" w:line="131" w:lineRule="exact"/>
        <w:rPr>
          <w:sz w:val="20"/>
          <w:szCs w:val="20"/>
          <w:color w:val="auto"/>
        </w:rPr>
      </w:pPr>
    </w:p>
    <w:p>
      <w:pPr>
        <w:ind w:left="420" w:hanging="299"/>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1.</w:t>
        <w:tab/>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20" w:hanging="58"/>
        <w:spacing w:after="0" w:line="242" w:lineRule="exact"/>
        <w:rPr>
          <w:sz w:val="20"/>
          <w:szCs w:val="20"/>
          <w:color w:val="auto"/>
        </w:rPr>
      </w:pPr>
      <w:r>
        <w:rPr>
          <w:rFonts w:ascii="Times New Roman" w:cs="Times New Roman" w:eastAsia="Times New Roman" w:hAnsi="Times New Roman"/>
          <w:sz w:val="18"/>
          <w:szCs w:val="18"/>
          <w:b w:val="1"/>
          <w:bCs w:val="1"/>
          <w:color w:val="auto"/>
        </w:rPr>
        <w:t>For</w:t>
      </w:r>
      <w:r>
        <w:rPr>
          <w:sz w:val="20"/>
          <w:szCs w:val="20"/>
          <w:color w:val="auto"/>
        </w:rPr>
        <w:t xml:space="preserve"> </w:t>
      </w:r>
      <w:r>
        <w:rPr>
          <w:rFonts w:ascii="Times New Roman" w:cs="Times New Roman" w:eastAsia="Times New Roman" w:hAnsi="Times New Roman"/>
          <w:sz w:val="18"/>
          <w:szCs w:val="18"/>
          <w:b w:val="1"/>
          <w:bCs w:val="1"/>
          <w:color w:val="auto"/>
        </w:rPr>
        <w:t xml:space="preserve">Against Abstain </w:t>
      </w:r>
      <w:r>
        <w:rPr>
          <w:rFonts w:ascii="MS PGothic" w:cs="MS PGothic" w:eastAsia="MS PGothic" w:hAnsi="MS PGothic"/>
          <w:sz w:val="18"/>
          <w:szCs w:val="18"/>
          <w:color w:val="auto"/>
        </w:rPr>
        <w:t>☐ ☐ ☐</w:t>
      </w:r>
    </w:p>
    <w:p>
      <w:pPr>
        <w:spacing w:after="0" w:line="382" w:lineRule="exact"/>
        <w:rPr>
          <w:sz w:val="20"/>
          <w:szCs w:val="20"/>
          <w:color w:val="auto"/>
        </w:rPr>
      </w:pPr>
    </w:p>
    <w:p>
      <w:pPr>
        <w:sectPr>
          <w:pgSz w:w="11900" w:h="16838" w:orient="portrait"/>
          <w:cols w:equalWidth="0" w:num="2">
            <w:col w:w="8960" w:space="460"/>
            <w:col w:w="1720"/>
          </w:cols>
          <w:pgMar w:left="320" w:top="455" w:right="439" w:bottom="1440" w:gutter="0" w:footer="0" w:header="0"/>
          <w:type w:val="continuous"/>
        </w:sect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The named proxies are also authorized to transact such other business as may properly come before the Special Meeting of Stockholders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postponement or adjournment thereof.</w:t>
      </w:r>
    </w:p>
    <w:p>
      <w:pPr>
        <w:spacing w:after="0" w:line="82" w:lineRule="exact"/>
        <w:rPr>
          <w:sz w:val="20"/>
          <w:szCs w:val="20"/>
          <w:color w:val="auto"/>
        </w:rPr>
      </w:pPr>
    </w:p>
    <w:p>
      <w:pPr>
        <w:ind w:left="120"/>
        <w:spacing w:after="0"/>
        <w:tabs>
          <w:tab w:leader="none" w:pos="9240" w:val="left"/>
          <w:tab w:leader="none" w:pos="9920" w:val="left"/>
        </w:tabs>
        <w:rPr>
          <w:sz w:val="20"/>
          <w:szCs w:val="20"/>
          <w:color w:val="auto"/>
        </w:rPr>
      </w:pPr>
      <w:r>
        <w:rPr>
          <w:rFonts w:ascii="Times New Roman" w:cs="Times New Roman" w:eastAsia="Times New Roman" w:hAnsi="Times New Roman"/>
          <w:sz w:val="18"/>
          <w:szCs w:val="18"/>
          <w:color w:val="auto"/>
        </w:rPr>
        <w:t>Please indicate if you plan to attend this meeting</w:t>
      </w:r>
      <w:r>
        <w:rPr>
          <w:sz w:val="20"/>
          <w:szCs w:val="20"/>
          <w:color w:val="auto"/>
        </w:rPr>
        <w:tab/>
      </w:r>
      <w:r>
        <w:rPr>
          <w:rFonts w:ascii="Times New Roman" w:cs="Times New Roman" w:eastAsia="Times New Roman" w:hAnsi="Times New Roman"/>
          <w:sz w:val="29"/>
          <w:szCs w:val="29"/>
          <w:b w:val="1"/>
          <w:bCs w:val="1"/>
          <w:color w:val="auto"/>
          <w:vertAlign w:val="superscript"/>
        </w:rPr>
        <w:t>YES</w:t>
      </w:r>
      <w:r>
        <w:rPr>
          <w:sz w:val="20"/>
          <w:szCs w:val="20"/>
          <w:color w:val="auto"/>
        </w:rPr>
        <w:tab/>
      </w:r>
      <w:r>
        <w:rPr>
          <w:rFonts w:ascii="Times New Roman" w:cs="Times New Roman" w:eastAsia="Times New Roman" w:hAnsi="Times New Roman"/>
          <w:sz w:val="22"/>
          <w:szCs w:val="22"/>
          <w:b w:val="1"/>
          <w:bCs w:val="1"/>
          <w:color w:val="auto"/>
          <w:vertAlign w:val="superscript"/>
        </w:rPr>
        <w:t>NO</w:t>
      </w:r>
    </w:p>
    <w:p>
      <w:pPr>
        <w:ind w:left="9320"/>
        <w:spacing w:after="0" w:line="181" w:lineRule="exact"/>
        <w:tabs>
          <w:tab w:leader="none" w:pos="99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3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20" w:type="dxa"/>
            <w:vAlign w:val="bottom"/>
          </w:tcPr>
          <w:p>
            <w:pPr>
              <w:spacing w:after="0"/>
              <w:rPr>
                <w:sz w:val="16"/>
                <w:szCs w:val="16"/>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5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00" w:type="dxa"/>
            <w:vAlign w:val="bottom"/>
          </w:tcPr>
          <w:p>
            <w:pPr>
              <w:spacing w:after="0"/>
              <w:rPr>
                <w:sz w:val="16"/>
                <w:szCs w:val="16"/>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                   </w:t>
            </w:r>
          </w:p>
        </w:tc>
      </w:tr>
      <w:tr>
        <w:trPr>
          <w:trHeight w:val="167"/>
        </w:trPr>
        <w:tc>
          <w:tcPr>
            <w:tcW w:w="350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Signature [PLEASE SIGN WITHIN BOX]</w:t>
            </w: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Date</w:t>
            </w: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5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14"/>
                <w:szCs w:val="14"/>
                <w:color w:val="auto"/>
              </w:rPr>
            </w:pPr>
          </w:p>
        </w:tc>
        <w:tc>
          <w:tcPr>
            <w:tcW w:w="13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Date</w:t>
            </w:r>
          </w:p>
        </w:tc>
      </w:tr>
      <w:tr>
        <w:trPr>
          <w:trHeight w:val="238"/>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(Joint Owners)</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2026-03-20T15:14:23Z</dcterms:created>
  <dcterms:modified xsi:type="dcterms:W3CDTF">2026-03-20T15:14:23Z</dcterms:modified>
</cp:coreProperties>
</file>