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497(a)</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333-223986</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Rule 482ad</w:t>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 ANNOUNCES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PUBLIC REOPENING OF UNSECURED CONVERTIBLE NOTES</w:t>
      </w:r>
    </w:p>
    <w:p>
      <w:pPr>
        <w:spacing w:after="0" w:line="103" w:lineRule="exact"/>
        <w:rPr>
          <w:sz w:val="24"/>
          <w:szCs w:val="24"/>
          <w:color w:val="auto"/>
        </w:rPr>
      </w:pPr>
    </w:p>
    <w:p>
      <w:pPr>
        <w:ind w:right="20"/>
        <w:spacing w:after="0" w:line="273" w:lineRule="auto"/>
        <w:rPr>
          <w:sz w:val="20"/>
          <w:szCs w:val="20"/>
          <w:color w:val="auto"/>
        </w:rPr>
      </w:pPr>
      <w:r>
        <w:rPr>
          <w:rFonts w:ascii="Arial" w:cs="Arial" w:eastAsia="Arial" w:hAnsi="Arial"/>
          <w:sz w:val="17"/>
          <w:szCs w:val="17"/>
          <w:color w:val="auto"/>
        </w:rPr>
        <w:t>New York, NY—(BUSINESS WIRE)—June 14, 2018—TPG Specialty Lending, Inc. (NYSE: TSLX) (“TSLX” or the “Company”) announced today that it has launched a public offering of its 4.50% Convertible Notes due 2022 (the “Notes”). The Notes will have identical terms, be fungible with and be a part of a single series with the outstanding $115 million aggregate principal amount of the Company’s 4.50% Convertible Notes due 2022 issued in February 2017 in a private offering. TSLX also plans to grant the underwriters for the offering an option to purchase additional Notes to cover over-allotments, if any. The offering will be made pursuant to a registration statement, which has been filed with, and declared effective by, the Securities and Exchange Commission (the “SEC”). The completion of the proposed offering depends upon several factors, including market and other conditions.</w:t>
      </w:r>
    </w:p>
    <w:p>
      <w:pPr>
        <w:spacing w:after="0" w:line="178" w:lineRule="exact"/>
        <w:rPr>
          <w:sz w:val="24"/>
          <w:szCs w:val="24"/>
          <w:color w:val="auto"/>
        </w:rPr>
      </w:pPr>
    </w:p>
    <w:p>
      <w:pPr>
        <w:ind w:right="20"/>
        <w:spacing w:after="0" w:line="312" w:lineRule="auto"/>
        <w:rPr>
          <w:sz w:val="20"/>
          <w:szCs w:val="20"/>
          <w:color w:val="auto"/>
        </w:rPr>
      </w:pPr>
      <w:r>
        <w:rPr>
          <w:rFonts w:ascii="Arial" w:cs="Arial" w:eastAsia="Arial" w:hAnsi="Arial"/>
          <w:sz w:val="16"/>
          <w:szCs w:val="16"/>
          <w:color w:val="auto"/>
        </w:rPr>
        <w:t>The Notes are unsecured, and bear interest at a rate of 4.50% per year, payable semiannually. In certain circumstances, the Notes will be convertible into cash, shares of TSLX’s common stock or a combination of cash and shares of TSLX’s common stock, at TSLX’s election. TSLX will not have the right to redeem the Notes prior to maturity. The Notes will mature on August 1, 2022, unless repurchased or converted in accordance with their terms prior to such date.</w:t>
      </w:r>
    </w:p>
    <w:p>
      <w:pPr>
        <w:spacing w:after="0" w:line="147" w:lineRule="exact"/>
        <w:rPr>
          <w:sz w:val="24"/>
          <w:szCs w:val="24"/>
          <w:color w:val="auto"/>
        </w:rPr>
      </w:pPr>
    </w:p>
    <w:p>
      <w:pPr>
        <w:ind w:right="200"/>
        <w:spacing w:after="0" w:line="264" w:lineRule="auto"/>
        <w:rPr>
          <w:sz w:val="20"/>
          <w:szCs w:val="20"/>
          <w:color w:val="auto"/>
        </w:rPr>
      </w:pPr>
      <w:r>
        <w:rPr>
          <w:rFonts w:ascii="Arial" w:cs="Arial" w:eastAsia="Arial" w:hAnsi="Arial"/>
          <w:sz w:val="18"/>
          <w:szCs w:val="18"/>
          <w:color w:val="auto"/>
        </w:rPr>
        <w:t>TSLX expects to use the net proceeds of the offering to pay down outstanding debt under its revolving credit facility. However, through re-borrowing under the revolving credit facility, the Company intends to make new investments in accordance with its investment objectives and strategies outlined in the preliminary prospectus supplement and the accompanying prospectus described below in greater detail.</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J.P. Morgan and Goldman Sachs &amp; Co. LLC are acting as joint book-running managers for this offering.</w:t>
      </w:r>
    </w:p>
    <w:p>
      <w:pPr>
        <w:spacing w:after="0" w:line="329" w:lineRule="exact"/>
        <w:rPr>
          <w:sz w:val="24"/>
          <w:szCs w:val="24"/>
          <w:color w:val="auto"/>
        </w:rPr>
      </w:pPr>
    </w:p>
    <w:p>
      <w:pPr>
        <w:jc w:val="both"/>
        <w:ind w:right="100"/>
        <w:spacing w:after="0" w:line="289" w:lineRule="auto"/>
        <w:rPr>
          <w:sz w:val="20"/>
          <w:szCs w:val="20"/>
          <w:color w:val="auto"/>
        </w:rPr>
      </w:pPr>
      <w:r>
        <w:rPr>
          <w:rFonts w:ascii="Arial" w:cs="Arial" w:eastAsia="Arial" w:hAnsi="Arial"/>
          <w:sz w:val="17"/>
          <w:szCs w:val="17"/>
          <w:b w:val="1"/>
          <w:bCs w:val="1"/>
          <w:color w:val="auto"/>
        </w:rPr>
        <w:t>Investors are advised to carefully consider the investment objectives, risks, charges and expenses of the Company before investing. The preliminary prospectus supplement dated June 14, 2018 and the accompanying prospectus dated May 21, 2018, which have been filed with the SEC, contain this and other information about the Company and should be read carefully before investing.</w:t>
      </w:r>
    </w:p>
    <w:p>
      <w:pPr>
        <w:spacing w:after="0" w:line="50" w:lineRule="exact"/>
        <w:rPr>
          <w:sz w:val="24"/>
          <w:szCs w:val="24"/>
          <w:color w:val="auto"/>
        </w:rPr>
      </w:pPr>
    </w:p>
    <w:p>
      <w:pPr>
        <w:jc w:val="both"/>
        <w:spacing w:after="0" w:line="289" w:lineRule="auto"/>
        <w:rPr>
          <w:sz w:val="20"/>
          <w:szCs w:val="20"/>
          <w:color w:val="auto"/>
        </w:rPr>
      </w:pPr>
      <w:r>
        <w:rPr>
          <w:rFonts w:ascii="Arial" w:cs="Arial" w:eastAsia="Arial" w:hAnsi="Arial"/>
          <w:sz w:val="17"/>
          <w:szCs w:val="17"/>
          <w:b w:val="1"/>
          <w:bCs w:val="1"/>
          <w:color w:val="auto"/>
        </w:rPr>
        <w:t>The information in the preliminary prospectus supplement, the accompanying prospectus and this press release is not complete and may be changed. The preliminary prospectus supplement, the accompanying prospectus and this press release are not offers to sell any securities of TSLX and are not soliciting an offer to buy such securities in any state or jurisdiction where such offer and sale is not permitted.</w:t>
      </w:r>
    </w:p>
    <w:p>
      <w:pPr>
        <w:spacing w:after="0" w:line="50" w:lineRule="exact"/>
        <w:rPr>
          <w:sz w:val="24"/>
          <w:szCs w:val="24"/>
          <w:color w:val="auto"/>
        </w:rPr>
      </w:pPr>
    </w:p>
    <w:p>
      <w:pPr>
        <w:ind w:right="180"/>
        <w:spacing w:after="0" w:line="258" w:lineRule="auto"/>
        <w:rPr>
          <w:sz w:val="20"/>
          <w:szCs w:val="20"/>
          <w:color w:val="auto"/>
        </w:rPr>
      </w:pPr>
      <w:r>
        <w:rPr>
          <w:rFonts w:ascii="Arial" w:cs="Arial" w:eastAsia="Arial" w:hAnsi="Arial"/>
          <w:sz w:val="18"/>
          <w:szCs w:val="18"/>
          <w:b w:val="1"/>
          <w:bCs w:val="1"/>
          <w:color w:val="auto"/>
        </w:rPr>
        <w:t>A shelf registration statement relating to these securities is on file with and has been declared effective by the SEC. The offering may be made only by means of a preliminary prospectus supplement and an accompanying prospectus, copies of which may be obtained from: J.P. Morgan, c/o Broadridge Financial Solutions, 1155 Long Island Avenue, Edgewood, NY 11717, or by calling toll-free at (866) 803 9204; or Goldman Sachs &amp; Co. LLC, Attn: Prospectus Department, 200 West Street, New York, NY 10282 or by telephone at (866) 471-2526, or by facsimile at 212-902-9316 or by email at prospectusgroupny@ny.email.gs.com.</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About TPG Specialty Lending, Inc.</w:t>
      </w:r>
    </w:p>
    <w:p>
      <w:pPr>
        <w:spacing w:after="0" w:line="121" w:lineRule="exact"/>
        <w:rPr>
          <w:sz w:val="24"/>
          <w:szCs w:val="24"/>
          <w:color w:val="auto"/>
        </w:rPr>
      </w:pPr>
    </w:p>
    <w:p>
      <w:pPr>
        <w:ind w:right="60"/>
        <w:spacing w:after="0" w:line="291" w:lineRule="auto"/>
        <w:rPr>
          <w:sz w:val="20"/>
          <w:szCs w:val="20"/>
          <w:color w:val="auto"/>
        </w:rPr>
      </w:pPr>
      <w:r>
        <w:rPr>
          <w:rFonts w:ascii="Arial" w:cs="Arial" w:eastAsia="Arial" w:hAnsi="Arial"/>
          <w:sz w:val="16"/>
          <w:szCs w:val="16"/>
          <w:color w:val="auto"/>
        </w:rPr>
        <w:t>TPG Specialty Lending, Inc. is a specialty finance company focused on lending to middle-market companies. The Company seeks to generate current income primarily in U.S.-domiciled middle-market companies through direct originations of senior secured loans and, to a lesser extent, originations of mezzanine and unsecured loans and investments in corporate bonds and equity securities. The Company has elected to be regulated as a business development company, or BDC, under the Investment Company Act of 1940 and the rules and regulations promulgated thereunder. TSLX is externally managed by TSL Advisers, LLC, an SEC registered investment adviser. TSLX leverages the deep investment, sector, and operating resources of TPG Sixth Street Partners, the dedicated special situations and credit platform of TPG, with approximately $24 billion of assets under management as of March 31, 2018, and the broader TPG platform, a global private investment firm with approximately $84 billion of assets under management as of March 31, 2018.</w:t>
      </w:r>
    </w:p>
    <w:p>
      <w:pPr>
        <w:sectPr>
          <w:pgSz w:w="11900" w:h="16838" w:orient="portrait"/>
          <w:cols w:equalWidth="0" w:num="1">
            <w:col w:w="11420"/>
          </w:cols>
          <w:pgMar w:left="240" w:top="22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Statements included herein may constitute “forward-looking statements,” which relate to future events or the Company’s future performance or financial condition.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conditions or results and involve a number of risks and uncertainties. Actual results may differ materially from those in the forward-looking statements as a result of a number of factors, including those described from time to time in the Company’s filings with the SEC. The Company assumes no obligation to update any such forward-looking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Source: TPG Specialty Lending, Inc.</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Ian Simmonds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212–601-4739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IRTSL@tpg.com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Luke Barrett, 212-601-4752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lbarrett@tpg.com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Abernathy MacGregor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Patrick Clifford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pfc@abmac.com</w:t>
      </w:r>
    </w:p>
    <w:sectPr>
      <w:pgSz w:w="11900" w:h="16838" w:orient="portrait"/>
      <w:cols w:equalWidth="0" w:num="1">
        <w:col w:w="11340"/>
      </w:cols>
      <w:pgMar w:left="240" w:top="27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2019-12-07T21:49:32Z</dcterms:created>
  <dcterms:modified xsi:type="dcterms:W3CDTF">2019-12-07T21:49:32Z</dcterms:modified>
</cp:coreProperties>
</file>