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3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Fort Worth, TX</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 Results of Operations and Financial Condition</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On August 4, 2015, the registrant issued a press release announcing its financial results for the quarter ended June 30, 2015. The text of the press release is included as Exhibit 99.1 to this Form 8-K.</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August 4, 2015, the registrant issued a press release, included herewith as Exhibit 99.1, announcing the declaration of a third fiscal quarter 2015 dividend of $0.39 per share, payable on or about October 31, 2015 to stockholders of record as of September 30, 2015.</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line="190" w:lineRule="auto"/>
        <w:tabs>
          <w:tab w:leader="none" w:pos="1020" w:val="left"/>
        </w:tabs>
        <w:rPr>
          <w:sz w:val="20"/>
          <w:szCs w:val="20"/>
          <w:color w:val="auto"/>
        </w:rPr>
      </w:pPr>
      <w:r>
        <w:rPr>
          <w:rFonts w:ascii="Arial" w:cs="Arial" w:eastAsia="Arial" w:hAnsi="Arial"/>
          <w:sz w:val="20"/>
          <w:szCs w:val="20"/>
          <w:u w:val="single" w:color="auto"/>
          <w:color w:val="auto"/>
          <w:vertAlign w:val="superscript"/>
        </w:rPr>
        <w:t>Number</w:t>
      </w:r>
      <w:r>
        <w:rPr>
          <w:sz w:val="20"/>
          <w:szCs w:val="20"/>
          <w:color w:val="auto"/>
        </w:rPr>
        <w:tab/>
      </w:r>
      <w:r>
        <w:rPr>
          <w:rFonts w:ascii="Arial" w:cs="Arial" w:eastAsia="Arial" w:hAnsi="Arial"/>
          <w:sz w:val="12"/>
          <w:szCs w:val="12"/>
          <w:u w:val="single" w:color="auto"/>
          <w:color w:val="auto"/>
        </w:rPr>
        <w:t>Description</w:t>
      </w:r>
    </w:p>
    <w:p>
      <w:pPr>
        <w:spacing w:after="0" w:line="1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4, 2015</w:t>
      </w:r>
    </w:p>
    <w:p>
      <w:pPr>
        <w:sectPr>
          <w:pgSz w:w="11900" w:h="16838" w:orient="portrait"/>
          <w:cols w:equalWidth="0" w:num="1">
            <w:col w:w="11300"/>
          </w:cols>
          <w:pgMar w:left="240" w:top="270"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4, 2015</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274" w:right="4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TPG Specialty Lending, Inc. Announces Quarter Ended June 30, 2015 Financial Results; Board Declares Quarterly Dividend of $0.39 Per Share for the Third Fiscal Quarter of 2015 and Approves a Stock Repurchase Plan</w:t>
      </w:r>
    </w:p>
    <w:p>
      <w:pPr>
        <w:spacing w:after="0" w:line="16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NEW YORK—(BUSINESS WIRE)—August 4, 2015—TPG Specialty Lending, Inc. (NYSE:TSLX, or the “Company”) today reported net investment income of $25.0 million, or $0.46 per share, for the quarter ended June 30, 2015. Net income was $34.1 million, or $0.63 per share, for the quarter ended June 30, 2015. Net asset value per share was $15.84 at June 30, 2015 as compared to $15.60 at March 31, 2015. The Company’s Board of Directors declared a second quarter dividend of $0.39 per share, payable to stockholders of record as of June 30, 2015 that was paid on July 31, 2015.</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announced that its Board of Directors has declared a quarterly dividend of $0.39 per share for stockholders of record as of September 30, 2015, payable on or about October 31, 2015.</w:t>
      </w:r>
    </w:p>
    <w:p>
      <w:pPr>
        <w:spacing w:after="0" w:line="17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Company’s Board of Directors has authorized the Company to enter into a new stock repurchase plan, on substantially the same terms as the prior stock repurchase plan that expired on June 30, 2015. Unless extended or terminated by the Board of Directors, the stock repurchase plan will be in effect through the earlier of February 29, 2016 or such time as the approved $50 million repurchase amount has been fully utilized, subject to certain conditions.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FINANCIAL HIGHLIGHTS:</w:t>
            </w: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(amounts in thousands, except per share amounts)</w:t>
            </w:r>
          </w:p>
        </w:tc>
        <w:tc>
          <w:tcPr>
            <w:tcW w:w="480" w:type="dxa"/>
            <w:vAlign w:val="bottom"/>
          </w:tcPr>
          <w:p>
            <w:pPr>
              <w:spacing w:after="0"/>
              <w:rPr>
                <w:sz w:val="24"/>
                <w:szCs w:val="24"/>
                <w:color w:val="auto"/>
              </w:rPr>
            </w:pPr>
          </w:p>
        </w:tc>
        <w:tc>
          <w:tcPr>
            <w:tcW w:w="2920" w:type="dxa"/>
            <w:vAlign w:val="bottom"/>
            <w:gridSpan w:val="4"/>
          </w:tcPr>
          <w:p>
            <w:pPr>
              <w:jc w:val="right"/>
              <w:ind w:right="1240"/>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7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June 30, 2015</w:t>
            </w: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June 30, 2014</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8"/>
              </w:rPr>
              <w:t>March 31, 2015</w:t>
            </w:r>
          </w:p>
        </w:tc>
        <w:tc>
          <w:tcPr>
            <w:tcW w:w="3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9"/>
              </w:rPr>
              <w:t>1,397,560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1,330,993</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9"/>
              </w:rPr>
              <w:t>1,129,199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Assets</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w w:val="89"/>
              </w:rPr>
              <w:t>1,459,005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1,373,759</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w w:val="89"/>
              </w:rPr>
              <w:t>1,178,790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15.84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15.60</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324"/>
        </w:trPr>
        <w:tc>
          <w:tcPr>
            <w:tcW w:w="92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Investment Income</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45,352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37,730</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45,657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25,020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20,787</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29,433</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34,105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24,468</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27,294</w:t>
            </w:r>
          </w:p>
        </w:tc>
        <w:tc>
          <w:tcPr>
            <w:tcW w:w="0" w:type="dxa"/>
            <w:vAlign w:val="bottom"/>
          </w:tcPr>
          <w:p>
            <w:pPr>
              <w:spacing w:after="0"/>
              <w:rPr>
                <w:sz w:val="1"/>
                <w:szCs w:val="1"/>
                <w:color w:val="auto"/>
              </w:rPr>
            </w:pPr>
          </w:p>
        </w:tc>
      </w:tr>
      <w:tr>
        <w:trPr>
          <w:trHeight w:val="94"/>
        </w:trPr>
        <w:tc>
          <w:tcPr>
            <w:tcW w:w="9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Share</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0.46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0.39</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Realized and Unrealized Gains Per Share</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0.06</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0.63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310"/>
        </w:trPr>
        <w:tc>
          <w:tcPr>
            <w:tcW w:w="92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Weighted Average Yield of Debt and Other Income Producing</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Securities at Fair Value</w:t>
            </w:r>
          </w:p>
        </w:tc>
        <w:tc>
          <w:tcPr>
            <w:tcW w:w="48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 Other Income Producing</w:t>
            </w:r>
          </w:p>
        </w:tc>
        <w:tc>
          <w:tcPr>
            <w:tcW w:w="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at Amortized Cost</w:t>
            </w:r>
          </w:p>
        </w:tc>
        <w:tc>
          <w:tcPr>
            <w:tcW w:w="4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324"/>
        </w:trPr>
        <w:tc>
          <w:tcPr>
            <w:tcW w:w="92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8"/>
                <w:szCs w:val="18"/>
                <w:color w:val="auto"/>
                <w:w w:val="97"/>
              </w:rPr>
              <w:t>Percentage of Debt Investment Commitments at Floating Rates</w:t>
            </w:r>
          </w:p>
        </w:tc>
        <w:tc>
          <w:tcPr>
            <w:tcW w:w="480" w:type="dxa"/>
            <w:vAlign w:val="bottom"/>
          </w:tcPr>
          <w:p>
            <w:pPr>
              <w:spacing w:after="0"/>
              <w:rPr>
                <w:sz w:val="24"/>
                <w:szCs w:val="24"/>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24"/>
                <w:szCs w:val="2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and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Information:</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The conference call will be broadcast live at 8 a.m. Eastern Time on August 5, 2015. </w:t>
      </w:r>
      <w:r>
        <w:rPr>
          <w:rFonts w:ascii="Arial" w:cs="Arial" w:eastAsia="Arial" w:hAnsi="Arial"/>
          <w:sz w:val="18"/>
          <w:szCs w:val="18"/>
          <w:b w:val="1"/>
          <w:bCs w:val="1"/>
          <w:i w:val="1"/>
          <w:iCs w:val="1"/>
          <w:color w:val="auto"/>
        </w:rPr>
        <w:t>Please visit TSLX’s webcast link located on the Events &amp; Presentation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page of the Investor Resources section of TSLX’s website </w:t>
      </w:r>
      <w:r>
        <w:rPr>
          <w:rFonts w:ascii="Arial" w:cs="Arial" w:eastAsia="Arial" w:hAnsi="Arial"/>
          <w:sz w:val="18"/>
          <w:szCs w:val="18"/>
          <w:color w:val="auto"/>
        </w:rPr>
        <w:t>http://www.tpgspecialtylending.com</w:t>
      </w:r>
      <w:r>
        <w:rPr>
          <w:rFonts w:ascii="Arial" w:cs="Arial" w:eastAsia="Arial" w:hAnsi="Arial"/>
          <w:sz w:val="18"/>
          <w:szCs w:val="18"/>
          <w:b w:val="1"/>
          <w:bCs w:val="1"/>
          <w:i w:val="1"/>
          <w:iCs w:val="1"/>
          <w:color w:val="auto"/>
        </w:rPr>
        <w:t xml:space="preserve"> for a slide presentation that complements the Earnings Conference Call</w:t>
      </w:r>
      <w:r>
        <w:rPr>
          <w:rFonts w:ascii="Arial" w:cs="Arial" w:eastAsia="Arial" w:hAnsi="Arial"/>
          <w:sz w:val="18"/>
          <w:szCs w:val="18"/>
          <w:color w:val="auto"/>
        </w:rPr>
        <w:t>. Please visit the website to test your connection before the webcast.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(224) 357-2393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80700135</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Replay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An archived replay will be available from approximately 12:00 p.m. Eastern Time on August 5</w:t>
      </w:r>
      <w:r>
        <w:rPr>
          <w:rFonts w:ascii="Arial" w:cs="Arial" w:eastAsia="Arial" w:hAnsi="Arial"/>
          <w:sz w:val="14"/>
          <w:szCs w:val="14"/>
          <w:color w:val="auto"/>
        </w:rPr>
        <w:t>th</w:t>
      </w:r>
      <w:r>
        <w:rPr>
          <w:rFonts w:ascii="Arial" w:cs="Arial" w:eastAsia="Arial" w:hAnsi="Arial"/>
          <w:sz w:val="17"/>
          <w:szCs w:val="17"/>
          <w:color w:val="auto"/>
        </w:rPr>
        <w:t xml:space="preserve"> through August 19</w:t>
      </w:r>
      <w:r>
        <w:rPr>
          <w:rFonts w:ascii="Arial" w:cs="Arial" w:eastAsia="Arial" w:hAnsi="Arial"/>
          <w:sz w:val="14"/>
          <w:szCs w:val="14"/>
          <w:color w:val="auto"/>
        </w:rPr>
        <w:t>th</w:t>
      </w:r>
      <w:r>
        <w:rPr>
          <w:rFonts w:ascii="Arial" w:cs="Arial" w:eastAsia="Arial" w:hAnsi="Arial"/>
          <w:sz w:val="17"/>
          <w:szCs w:val="17"/>
          <w:color w:val="auto"/>
        </w:rPr>
        <w:t xml:space="preserve"> via a webcast link located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Investor Resources section of the Company’s website, and via the dial-in numbers listed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80700135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three months ended June 30, 2015, gross originations totaled $112.3 million. This compares to $267.8 million for the three months ended March 31, 2015 and $157.1 million for the three months ended June 30, 2014.</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three months ended June 30, 2015, the Company made new investment commitments of $112.3 million, $96.8 million in five new portfolio companies and $15.5 million in three existing portfolio companies. For this period, the Company had $21.6 million aggregate principal amount in exits and repayments, resulting in a net portfolio increase of $62.5 million aggregate principal amount.</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For the three months ended June 30, 2014, the Company made new investment commitments of $116.4 million, $114.0 million in four new portfolio companies and $2.4 million in two existing portfolio companies. For this period, the Company had $159.2 million aggregate principal amount in exits and repayments, resulting in a net portfolio decrease of $54.8 million aggregate principal amount.</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June 30, 2015 and March 31, 2015, the Company had investments in 40 and 35 portfolio companies, respectively, with an aggregate fair value of $1,397.6 million and $1,331.0 million, respectively.</w:t>
      </w:r>
    </w:p>
    <w:p>
      <w:pPr>
        <w:spacing w:after="0" w:line="17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As of June 30, 2015, the portfolio consisted of 90.5% first-lien debt investments, 7.5% second-lien debt investments, 1.1% mezzanine and unsecured debt investments, and 0.9% equity and other investments. As of March 31, 2015, the portfolio consisted of 90.1% first-lien debt investments, 7.8% second-lien debt investments, 1.0% mezzanine debt investments, and 1.1% equity and other investments.</w:t>
      </w:r>
    </w:p>
    <w:p>
      <w:pPr>
        <w:sectPr>
          <w:pgSz w:w="11900" w:h="16838" w:orient="portrait"/>
          <w:cols w:equalWidth="0" w:num="1">
            <w:col w:w="11420"/>
          </w:cols>
          <w:pgMar w:left="240" w:top="270" w:right="239" w:bottom="1440" w:gutter="0" w:footer="0" w:header="0"/>
        </w:sectPr>
      </w:pPr>
    </w:p>
    <w:bookmarkStart w:id="5" w:name="page6"/>
    <w:bookmarkEnd w:id="5"/>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June 30, 2015, 96.5% of debt investments bore interest at floating rates, subject to interest rate floors. The Company’s credit facilities also bear interest at floating rates.</w:t>
      </w:r>
    </w:p>
    <w:p>
      <w:pPr>
        <w:spacing w:after="0" w:line="170"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As of June 30, 2015 and March 31, 2015, the weighted average total yield of debt and income producing securities at fair value (which includes interest income and amortization of fees and discounts) was 10.3% and 10.4%, respectively, and the weighted average total yield of debt and income producing securities at amortized cost (which includes interest income and amortization of fees and discounts) was 10.4% and 10.3%,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total yield of new debt and income producing securities made to new portfolio companies during the quarter was 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97.5% of investments were meeting all covenant and payment requirements.</w:t>
      </w:r>
    </w:p>
    <w:p>
      <w:pPr>
        <w:spacing w:after="0" w:line="329" w:lineRule="exact"/>
        <w:rPr>
          <w:sz w:val="20"/>
          <w:szCs w:val="20"/>
          <w:color w:val="auto"/>
        </w:rPr>
      </w:pPr>
    </w:p>
    <w:p>
      <w:pPr>
        <w:ind w:right="2340"/>
        <w:spacing w:after="0" w:line="378" w:lineRule="auto"/>
        <w:rPr>
          <w:sz w:val="20"/>
          <w:szCs w:val="20"/>
          <w:color w:val="auto"/>
        </w:rPr>
      </w:pPr>
      <w:r>
        <w:rPr>
          <w:rFonts w:ascii="Arial" w:cs="Arial" w:eastAsia="Arial" w:hAnsi="Arial"/>
          <w:sz w:val="18"/>
          <w:szCs w:val="18"/>
          <w:b w:val="1"/>
          <w:bCs w:val="1"/>
          <w:color w:val="auto"/>
        </w:rPr>
        <w:t xml:space="preserve">Results of Operations for the Three Months Ended June 30, 2015 compared to the Three Months Ended June 30, 2014 </w:t>
      </w:r>
      <w:r>
        <w:rPr>
          <w:rFonts w:ascii="Arial" w:cs="Arial" w:eastAsia="Arial" w:hAnsi="Arial"/>
          <w:sz w:val="18"/>
          <w:szCs w:val="18"/>
          <w:b w:val="1"/>
          <w:bCs w:val="1"/>
          <w:i w:val="1"/>
          <w:iCs w:val="1"/>
          <w:color w:val="auto"/>
        </w:rPr>
        <w:t>Investment Income</w:t>
      </w:r>
    </w:p>
    <w:p>
      <w:pPr>
        <w:ind w:right="420"/>
        <w:spacing w:after="0" w:line="286" w:lineRule="auto"/>
        <w:rPr>
          <w:sz w:val="20"/>
          <w:szCs w:val="20"/>
          <w:color w:val="auto"/>
        </w:rPr>
      </w:pPr>
      <w:r>
        <w:rPr>
          <w:rFonts w:ascii="Arial" w:cs="Arial" w:eastAsia="Arial" w:hAnsi="Arial"/>
          <w:sz w:val="17"/>
          <w:szCs w:val="17"/>
          <w:color w:val="auto"/>
        </w:rPr>
        <w:t>For the three months ended June 30, 2015 and 2014, investment income totaled $45.3 million and $45.7 million, respectively. The slight decrease in investment income for the quarter was primarily driven by a decrease in accelerated amortization of upfront fees primarily from unscheduled paydowns, prepayment fees, and amendment fees, largely offset by a higher average portfolio size, as compared to 2014.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Net expenses totaled $19.8 million and $16.0 million for the three months ended June 30, 2015 and 2014, respectively. The increase in net expenses was due to higher interest expense related to an increase in the weighted average debt outstanding, partially offset by a decrease in the average interest rate on our debt outstanding, higher management and incentive fees, and higher general and administrative expenses associated with servicing a larger investment portfolio.</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As of June 30, 2015, the Company had $2.8 million in cash and cash equivalents, total debt outstanding of $557.1 million, and $461.2 million of undrawn commitments on its revolving credit facilities, subject to borrowing base and other limitations. The Company’s weighted average interest rate on debt outstanding was 2.5% for the three months ended June 30, 2015, as compared to 2.7% for the three months ended June 30, 2014.</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rated BBB- by Fitch Ratings and Standard and Poor’s. Both Fitch Ratings and Standard and Poor’s affirmed the Company’s BBB- rating and stable outlook during the first quarter of 2015.</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Note: The Company’s investment activity for the three and six months ended June 30, 2015 and 2014 is presented below (information presented herein is at par value unless otherwise indicated).</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and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June 30, 2015</w:t>
            </w:r>
          </w:p>
        </w:tc>
        <w:tc>
          <w:tcPr>
            <w:tcW w:w="200" w:type="dxa"/>
            <w:vAlign w:val="bottom"/>
          </w:tcPr>
          <w:p>
            <w:pPr>
              <w:spacing w:after="0"/>
              <w:rPr>
                <w:sz w:val="14"/>
                <w:szCs w:val="14"/>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June 30, 2014</w:t>
            </w:r>
          </w:p>
        </w:tc>
        <w:tc>
          <w:tcPr>
            <w:tcW w:w="20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June 30, 2015</w:t>
            </w:r>
          </w:p>
        </w:tc>
        <w:tc>
          <w:tcPr>
            <w:tcW w:w="20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June 30,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76,054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4,006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investment income from non-controlled, non-affiliated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43,804</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45,270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80,060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investment income from controlled, affiliated investments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tcPr>
          <w:p>
            <w:pPr>
              <w:ind w:left="1060"/>
              <w:spacing w:after="0"/>
              <w:rPr>
                <w:sz w:val="20"/>
                <w:szCs w:val="20"/>
                <w:color w:val="auto"/>
              </w:rPr>
            </w:pPr>
            <w:r>
              <w:rPr>
                <w:rFonts w:ascii="Arial" w:cs="Arial" w:eastAsia="Arial" w:hAnsi="Arial"/>
                <w:sz w:val="18"/>
                <w:szCs w:val="18"/>
                <w:b w:val="1"/>
                <w:bCs w:val="1"/>
                <w:color w:val="auto"/>
              </w:rPr>
              <w:t>Total Investment Income</w:t>
            </w: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45,352</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45,657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83,081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79,138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3,460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8,947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Incentive fees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5,860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12,137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Directors’ fees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30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19,797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15,999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36,435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30,694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waived (Note 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tcPr>
          <w:p>
            <w:pPr>
              <w:ind w:left="1060"/>
              <w:spacing w:after="0"/>
              <w:rPr>
                <w:sz w:val="20"/>
                <w:szCs w:val="20"/>
                <w:color w:val="auto"/>
              </w:rPr>
            </w:pPr>
            <w:r>
              <w:rPr>
                <w:rFonts w:ascii="Arial" w:cs="Arial" w:eastAsia="Arial" w:hAnsi="Arial"/>
                <w:sz w:val="18"/>
                <w:szCs w:val="18"/>
                <w:b w:val="1"/>
                <w:bCs w:val="1"/>
                <w:color w:val="auto"/>
              </w:rPr>
              <w:t>Net Expenses</w:t>
            </w: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19,797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15,999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36,435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28,229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Income taxes, including excise taxes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45,806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(3,862)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8,493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Translation of assets and liabilities in foreign currencies</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3,309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Foreign currency forward contracts</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net change in unrealized gains (losses)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91"/>
        </w:trPr>
        <w:tc>
          <w:tcPr>
            <w:tcW w:w="6320" w:type="dxa"/>
            <w:vAlign w:val="bottom"/>
            <w:gridSpan w:val="2"/>
          </w:tcPr>
          <w:p>
            <w:pPr>
              <w:spacing w:after="0"/>
              <w:rPr>
                <w:sz w:val="20"/>
                <w:szCs w:val="20"/>
                <w:color w:val="auto"/>
              </w:rPr>
            </w:pPr>
            <w:r>
              <w:rPr>
                <w:rFonts w:ascii="Arial" w:cs="Arial" w:eastAsia="Arial" w:hAnsi="Arial"/>
                <w:sz w:val="18"/>
                <w:szCs w:val="18"/>
                <w:color w:val="auto"/>
              </w:rPr>
              <w:t>Realized gains (losses):</w:t>
            </w: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transactions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300" w:type="dxa"/>
            <w:vAlign w:val="bottom"/>
          </w:tcPr>
          <w:p>
            <w:pPr>
              <w:ind w:left="1060"/>
              <w:spacing w:after="0"/>
              <w:rPr>
                <w:sz w:val="20"/>
                <w:szCs w:val="20"/>
                <w:color w:val="auto"/>
              </w:rPr>
            </w:pPr>
            <w:r>
              <w:rPr>
                <w:rFonts w:ascii="Arial" w:cs="Arial" w:eastAsia="Arial" w:hAnsi="Arial"/>
                <w:sz w:val="18"/>
                <w:szCs w:val="18"/>
                <w:color w:val="auto"/>
              </w:rPr>
              <w:t>Total realized gains (losses)</w:t>
            </w:r>
          </w:p>
        </w:tc>
        <w:tc>
          <w:tcPr>
            <w:tcW w:w="8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(478)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1,644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420"/>
              <w:spacing w:after="0"/>
              <w:rPr>
                <w:sz w:val="20"/>
                <w:szCs w:val="20"/>
                <w:color w:val="auto"/>
              </w:rPr>
            </w:pPr>
            <w:r>
              <w:rPr>
                <w:rFonts w:ascii="Arial" w:cs="Arial" w:eastAsia="Arial" w:hAnsi="Arial"/>
                <w:sz w:val="18"/>
                <w:szCs w:val="18"/>
                <w:b w:val="1"/>
                <w:bCs w:val="1"/>
                <w:color w:val="auto"/>
              </w:rPr>
              <w:t>Total Unrealized and Realized Gains (Losses)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34,105</w:t>
            </w:r>
          </w:p>
        </w:tc>
        <w:tc>
          <w:tcPr>
            <w:tcW w:w="2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27,294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58,573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63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320" w:type="dxa"/>
            <w:vAlign w:val="bottom"/>
            <w:gridSpan w:val="2"/>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53,987,627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53,120,358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53,945,087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47,361,713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$1,347,439 and $1,225,672, respectively)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1,352,134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$50,840 and $47,580, respectively)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45,426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41,636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$1,398,279 and $1,273,252, respectively)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1,397,560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1,263,511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41,999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30,650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1,459,005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1,303,731</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1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557,132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5,296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to affiliate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21,061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Payables to affiliate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interest rate swaps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603,716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468,326</w:t>
            </w:r>
          </w:p>
        </w:tc>
        <w:tc>
          <w:tcPr>
            <w:tcW w:w="0" w:type="dxa"/>
            <w:vAlign w:val="bottom"/>
          </w:tcPr>
          <w:p>
            <w:pPr>
              <w:spacing w:after="0"/>
              <w:rPr>
                <w:sz w:val="1"/>
                <w:szCs w:val="1"/>
                <w:color w:val="auto"/>
              </w:rPr>
            </w:pPr>
          </w:p>
        </w:tc>
      </w:tr>
      <w:tr>
        <w:trPr>
          <w:trHeight w:val="291"/>
        </w:trPr>
        <w:tc>
          <w:tcPr>
            <w:tcW w:w="914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$0.01 par value; 400,000,000 shares authorized, 54,002,288 and 53,798,357 shares issued, respectively; and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54,001,289 and 53,797,358 shares outstanding, respectively</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811,137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808,053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999 shares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10,777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Undistributed net realized gains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21,525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20,072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855,289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12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1,459,005</w:t>
            </w:r>
          </w:p>
        </w:tc>
        <w:tc>
          <w:tcPr>
            <w:tcW w:w="3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1,303,731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9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investment activity for the three months ended June 30, 2015 and 2014 is presented below (information presented herein is at par value unless otherwise indicated).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9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6"/>
              </w:rPr>
              <w:t>Three Months Ended</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2015</w:t>
            </w:r>
          </w:p>
        </w:tc>
        <w:tc>
          <w:tcPr>
            <w:tcW w:w="1080" w:type="dxa"/>
            <w:vAlign w:val="bottom"/>
            <w:gridSpan w:val="3"/>
          </w:tcPr>
          <w:p>
            <w:pPr>
              <w:ind w:left="240"/>
              <w:spacing w:after="0" w:line="142" w:lineRule="exact"/>
              <w:rPr>
                <w:sz w:val="20"/>
                <w:szCs w:val="20"/>
                <w:color w:val="auto"/>
              </w:rPr>
            </w:pPr>
            <w:r>
              <w:rPr>
                <w:rFonts w:ascii="Arial" w:cs="Arial" w:eastAsia="Arial" w:hAnsi="Arial"/>
                <w:sz w:val="14"/>
                <w:szCs w:val="14"/>
                <w:b w:val="1"/>
                <w:bCs w:val="1"/>
                <w:color w:val="auto"/>
                <w:w w:val="90"/>
              </w:rPr>
              <w:t>June 30, 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Gross originations</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112.3</w:t>
            </w:r>
          </w:p>
        </w:tc>
        <w:tc>
          <w:tcPr>
            <w:tcW w:w="38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Syndications/sell downs</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920" w:type="dxa"/>
            <w:vAlign w:val="bottom"/>
          </w:tcPr>
          <w:p>
            <w:pPr>
              <w:ind w:left="720"/>
              <w:spacing w:after="0"/>
              <w:rPr>
                <w:sz w:val="20"/>
                <w:szCs w:val="20"/>
                <w:color w:val="auto"/>
              </w:rPr>
            </w:pPr>
            <w:r>
              <w:rPr>
                <w:rFonts w:ascii="Arial" w:cs="Arial" w:eastAsia="Arial" w:hAnsi="Arial"/>
                <w:sz w:val="18"/>
                <w:szCs w:val="18"/>
                <w:color w:val="auto"/>
              </w:rPr>
              <w:t>Total new investment commitments</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112.3</w:t>
            </w:r>
          </w:p>
        </w:tc>
        <w:tc>
          <w:tcPr>
            <w:tcW w:w="380" w:type="dxa"/>
            <w:vAlign w:val="bottom"/>
          </w:tcPr>
          <w:p>
            <w:pPr>
              <w:spacing w:after="0"/>
              <w:rPr>
                <w:sz w:val="24"/>
                <w:szCs w:val="24"/>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116.4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77.1</w:t>
            </w:r>
          </w:p>
        </w:tc>
        <w:tc>
          <w:tcPr>
            <w:tcW w:w="38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Mezzanine and unsecured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and other</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920" w:type="dxa"/>
            <w:vAlign w:val="bottom"/>
          </w:tcPr>
          <w:p>
            <w:pPr>
              <w:ind w:left="720"/>
              <w:spacing w:after="0"/>
              <w:rPr>
                <w:sz w:val="20"/>
                <w:szCs w:val="20"/>
                <w:color w:val="auto"/>
              </w:rPr>
            </w:pPr>
            <w:r>
              <w:rPr>
                <w:rFonts w:ascii="Arial" w:cs="Arial" w:eastAsia="Arial" w:hAnsi="Arial"/>
                <w:sz w:val="18"/>
                <w:szCs w:val="18"/>
                <w:color w:val="auto"/>
              </w:rPr>
              <w:t>Total</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84.1</w:t>
            </w:r>
          </w:p>
        </w:tc>
        <w:tc>
          <w:tcPr>
            <w:tcW w:w="380" w:type="dxa"/>
            <w:vAlign w:val="bottom"/>
          </w:tcPr>
          <w:p>
            <w:pPr>
              <w:spacing w:after="0"/>
              <w:rPr>
                <w:sz w:val="24"/>
                <w:szCs w:val="24"/>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104.4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16.7</w:t>
            </w:r>
          </w:p>
        </w:tc>
        <w:tc>
          <w:tcPr>
            <w:tcW w:w="38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Mezzanine and unsecured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5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920" w:type="dxa"/>
            <w:vAlign w:val="bottom"/>
          </w:tcPr>
          <w:p>
            <w:pPr>
              <w:spacing w:after="0"/>
              <w:rPr>
                <w:sz w:val="20"/>
                <w:szCs w:val="20"/>
                <w:color w:val="auto"/>
              </w:rPr>
            </w:pPr>
            <w:r>
              <w:rPr>
                <w:rFonts w:ascii="Arial" w:cs="Arial" w:eastAsia="Arial" w:hAnsi="Arial"/>
                <w:sz w:val="18"/>
                <w:szCs w:val="18"/>
                <w:b w:val="1"/>
                <w:bCs w:val="1"/>
                <w:color w:val="auto"/>
                <w:w w:val="99"/>
              </w:rPr>
              <w:t>Number of new investment commitments in new portfolio companies</w:t>
            </w:r>
          </w:p>
        </w:tc>
        <w:tc>
          <w:tcPr>
            <w:tcW w:w="2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Average new investment commitment amount in new portfolio companies</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20" w:type="dxa"/>
            <w:vAlign w:val="bottom"/>
          </w:tcPr>
          <w:p>
            <w:pPr>
              <w:spacing w:after="0" w:line="198" w:lineRule="exact"/>
              <w:rPr>
                <w:sz w:val="20"/>
                <w:szCs w:val="20"/>
                <w:color w:val="auto"/>
              </w:rPr>
            </w:pPr>
            <w:r>
              <w:rPr>
                <w:rFonts w:ascii="Arial" w:cs="Arial" w:eastAsia="Arial" w:hAnsi="Arial"/>
                <w:sz w:val="18"/>
                <w:szCs w:val="18"/>
                <w:b w:val="1"/>
                <w:bCs w:val="1"/>
                <w:color w:val="auto"/>
                <w:w w:val="93"/>
              </w:rPr>
              <w:t>Weighted average term for new investment commitments in new portfolio</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tcPr>
          <w:p>
            <w:pPr>
              <w:ind w:left="180"/>
              <w:spacing w:after="0"/>
              <w:rPr>
                <w:sz w:val="20"/>
                <w:szCs w:val="20"/>
                <w:color w:val="auto"/>
              </w:rPr>
            </w:pPr>
            <w:r>
              <w:rPr>
                <w:rFonts w:ascii="Arial" w:cs="Arial" w:eastAsia="Arial" w:hAnsi="Arial"/>
                <w:sz w:val="18"/>
                <w:szCs w:val="18"/>
                <w:b w:val="1"/>
                <w:bCs w:val="1"/>
                <w:color w:val="auto"/>
              </w:rPr>
              <w:t>companies (in years)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new debt investment commitments at floating rates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8"/>
        </w:trPr>
        <w:tc>
          <w:tcPr>
            <w:tcW w:w="592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Weighted average spread over LIBOR of new floating rate investment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tcPr>
          <w:p>
            <w:pPr>
              <w:ind w:left="180"/>
              <w:spacing w:after="0"/>
              <w:rPr>
                <w:sz w:val="20"/>
                <w:szCs w:val="20"/>
                <w:color w:val="auto"/>
              </w:rPr>
            </w:pPr>
            <w:r>
              <w:rPr>
                <w:rFonts w:ascii="Arial" w:cs="Arial" w:eastAsia="Arial" w:hAnsi="Arial"/>
                <w:sz w:val="18"/>
                <w:szCs w:val="18"/>
                <w:b w:val="1"/>
                <w:bCs w:val="1"/>
                <w:color w:val="auto"/>
              </w:rPr>
              <w:t>commitments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an SEC-registered investment adviser. TSLX leverages the deep investment, sector, and operating resources of TPG Special Situations</w:t>
      </w:r>
    </w:p>
    <w:p>
      <w:pPr>
        <w:sectPr>
          <w:pgSz w:w="11900" w:h="16838" w:orient="portrait"/>
          <w:cols w:equalWidth="0" w:num="1">
            <w:col w:w="11380"/>
          </w:cols>
          <w:pgMar w:left="240" w:top="274" w:right="279" w:bottom="1440" w:gutter="0" w:footer="0" w:header="0"/>
        </w:sectPr>
      </w:pPr>
    </w:p>
    <w:bookmarkStart w:id="9" w:name="page10"/>
    <w:bookmarkEnd w:id="9"/>
    <w:p>
      <w:pPr>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Partners, the dedicated special situations and credit platform of TPG, with over $12 billion of assets under management and the broader TPG platform, a global private investment firm with over $74 billion of assets under management. For more information, visit the Company’s website at www.tpgspecialtylending.com.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TPG Specialty Lending, Inc. undertakes no duty to update any forward-looking statements made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2019-12-08T23:05:33Z</dcterms:created>
  <dcterms:modified xsi:type="dcterms:W3CDTF">2019-12-08T23:05:33Z</dcterms:modified>
</cp:coreProperties>
</file>