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 No. 812-15090</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0"/>
        <w:spacing w:after="0" w:line="259" w:lineRule="auto"/>
        <w:rPr>
          <w:sz w:val="20"/>
          <w:szCs w:val="20"/>
          <w:color w:val="auto"/>
        </w:rPr>
      </w:pPr>
      <w:r>
        <w:rPr>
          <w:rFonts w:ascii="Arial" w:cs="Arial" w:eastAsia="Arial" w:hAnsi="Arial"/>
          <w:sz w:val="18"/>
          <w:szCs w:val="18"/>
          <w:color w:val="auto"/>
        </w:rPr>
        <w:t>FIRST AMENDED AND RESTATED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Sixth Street Specialty Lending, Inc., Sixth Street Specialty Lending Advisers, LLC, TSSP Holdco Management, LLC, Sixth Street Opportunities</w:t>
      </w:r>
    </w:p>
    <w:p>
      <w:pPr>
        <w:spacing w:after="0" w:line="35" w:lineRule="exact"/>
        <w:rPr>
          <w:sz w:val="24"/>
          <w:szCs w:val="24"/>
          <w:color w:val="auto"/>
        </w:rPr>
      </w:pPr>
    </w:p>
    <w:p>
      <w:pPr>
        <w:jc w:val="both"/>
        <w:ind w:left="80" w:right="60" w:hanging="22"/>
        <w:spacing w:after="0" w:line="281" w:lineRule="auto"/>
        <w:rPr>
          <w:sz w:val="20"/>
          <w:szCs w:val="20"/>
          <w:color w:val="auto"/>
        </w:rPr>
      </w:pPr>
      <w:r>
        <w:rPr>
          <w:rFonts w:ascii="Arial" w:cs="Arial" w:eastAsia="Arial" w:hAnsi="Arial"/>
          <w:sz w:val="16"/>
          <w:szCs w:val="16"/>
          <w:color w:val="auto"/>
        </w:rPr>
        <w:t>Partners III (A), L.P., Sixth Street Opportunities Partners III (B), L.P., Sixth Street Opportunities Partners III (C), L.P., TOP III Delaware AIV I-A, L.P., TOP III Delaware AIV I-B, L.P., TSSP Opportunities Partners IV (A), L.P., TSSP Opportunities Partners IV (B), L.P., TSSP Opportunities Partners IV (C), L.P., TOP IV Delaware AIV I-A, L.P., TOP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w:t>
      </w:r>
    </w:p>
    <w:p>
      <w:pPr>
        <w:spacing w:after="0" w:line="4" w:lineRule="exact"/>
        <w:rPr>
          <w:sz w:val="24"/>
          <w:szCs w:val="24"/>
          <w:color w:val="auto"/>
        </w:rPr>
      </w:pPr>
    </w:p>
    <w:p>
      <w:pPr>
        <w:jc w:val="center"/>
        <w:ind w:right="20"/>
        <w:spacing w:after="0" w:line="266" w:lineRule="auto"/>
        <w:rPr>
          <w:sz w:val="20"/>
          <w:szCs w:val="20"/>
          <w:color w:val="auto"/>
        </w:rPr>
      </w:pPr>
      <w:r>
        <w:rPr>
          <w:rFonts w:ascii="Arial" w:cs="Arial" w:eastAsia="Arial" w:hAnsi="Arial"/>
          <w:sz w:val="17"/>
          <w:szCs w:val="17"/>
          <w:color w:val="auto"/>
        </w:rPr>
        <w:t>TAO (E) AIV II-A, L.P., TSSP Capital Solutions (A), L.P., TSSP Capital Solutions (B), L.P., TSSP Capital Solutions (A) AIV, L.P., TSSP Capital Solutions (B) AIV, L.P., Sixth Street Growth Partners II (A), L.P., Sixth Street Growth Partners II (B), L.P., Sixth Street Growth II (A) AIV, L.P., Sixth Street Growth II (B) AIV, L.P., Sixth Street Fundamental Strategies Partners (A), L.P., Sixth Street Fundamental Strategies Partners (B), L.P., Sixth Street FS AIV I-A, L.P., Sixth Street FS AIV I-B, L.P., Sixth Street Specialty Lending Europe I, L.P., Sixth Street Specialty Lending Europe II, L.P., Super TSLE,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Advisers, LLC, Sixth Street Fundamental Strategies I Management, LLC, Sixth Street Opportunities III Management, LLC, TSSP Opportunities IV Management, LLC, Sixth Street Opportunities V Management, LLC, Sixth Street TAO Management, LLC, TSSP Capital Solutions I Management, LLC, Sixth Street Growth II Management, LLC, Sixth Street Specialty Lending Europe I Management, LLC, Sixth Street Specialty Lending Europe II Management, LLC, Sixth Street Agriculture Management, LLC, Sixth Street Strategic Holdings Management, LLC, Sixth Street CMS Dynamic Credit Management, LLC, 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 Structured Credit Opportunities V Management, LLC, Sixth Street CLO Advisers II, LLC, TSSP Institutional Credit III Management, LLC, and Sixth Street Credit Market Strategies Management, LLC.</w:t>
      </w:r>
    </w:p>
    <w:p>
      <w:pPr>
        <w:sectPr>
          <w:pgSz w:w="11900" w:h="16838" w:orient="portrait"/>
          <w:cols w:equalWidth="0" w:num="1">
            <w:col w:w="11020"/>
          </w:cols>
          <w:pgMar w:left="440" w:top="233"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2100 McKinney Avenue, Suite 1500,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(469) 621-3001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All Communications, Notices and Orders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(415) 743-1500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(202) 730-4520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517"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OF AMERICA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0980"/>
          </w:cols>
          <w:pgMar w:left="440" w:top="270" w:right="47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right="1420"/>
        <w:spacing w:after="0" w:line="250" w:lineRule="auto"/>
        <w:rPr>
          <w:sz w:val="20"/>
          <w:szCs w:val="20"/>
          <w:color w:val="auto"/>
        </w:rPr>
      </w:pPr>
      <w:r>
        <w:rPr>
          <w:rFonts w:ascii="Arial" w:cs="Arial" w:eastAsia="Arial" w:hAnsi="Arial"/>
          <w:sz w:val="18"/>
          <w:szCs w:val="18"/>
          <w:color w:val="auto"/>
        </w:rPr>
        <w:t>Sixth Street Specialty Lending Advisers, LLC TSSP Holdco Management,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III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III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Partners IV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Partners IV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Partners IV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Opps 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(E)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(B) AIV,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Sixth Street Fundamental Strategies Partners (A),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Fundamental Strategies Partners (B),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TSLE, L.P.</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80"/>
        <w:spacing w:after="0" w:line="273" w:lineRule="auto"/>
        <w:rPr>
          <w:sz w:val="20"/>
          <w:szCs w:val="20"/>
          <w:color w:val="auto"/>
        </w:rPr>
      </w:pPr>
      <w:r>
        <w:rPr>
          <w:rFonts w:ascii="Arial" w:cs="Arial" w:eastAsia="Arial" w:hAnsi="Arial"/>
          <w:sz w:val="17"/>
          <w:szCs w:val="17"/>
          <w:color w:val="auto"/>
        </w:rPr>
        <w:t>FIRST AMENDED AND RESTATED APPLICATION FOR AN ORDER PURSUANT TO SECTION 17(d) AND 57(i) OF THE INVESTMENT COMPANY ACT OF 1940 AND RULE 17d-1 UNDER THE ACT TO PERMIT CERTAIN JOINT TRANSACTIONS OTHERWISE PROHIBITED BY SECTIONS 17(d) AND 57(a)(4) OF THE ACT AND RULE 17d-l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4740" w:space="720"/>
            <w:col w:w="5520"/>
          </w:cols>
          <w:pgMar w:left="440" w:top="270"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Partners (A),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Bluegrass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Willow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Cottonwood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Dogwood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Red Pine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TCS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TDL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FS I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Rotational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Wheeler Peak Rotational Credit Fund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Rotational Credit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Structured Credit Opportunities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Institutional Credit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Partners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III Cayman,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Fundamental Strategies 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IV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Agriculture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Strategic Holdings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Management, LLC</w:t>
      </w:r>
    </w:p>
    <w:p>
      <w:pPr>
        <w:spacing w:after="0" w:line="15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274" w:right="1440"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VII Management,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VIII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IX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X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XI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XII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XIII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XIV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TICP CLO XV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CLO XVI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CLO XVII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CLO XVIII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CLO XIX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TSSP Rotational Credit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Rotational Credit 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Rotational Credit III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TSSP Structured Credit Opportunities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Structured Credit Opportunities 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Structured Credit Opportunities III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Structured Credit Opportunities IV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Structured Credit Opportunities V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CLO Advisers II,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TSSP Institutional Credit III Management,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Sixth Street Credit Market Strategies Management, LLC</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2100 McKinney Avenue, Suite 1500,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Dallas, TX 75201</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File No. 812-15090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Investment Company Act of 1940</w:t>
      </w:r>
    </w:p>
    <w:p>
      <w:pPr>
        <w:spacing w:after="0" w:line="247"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u w:val="single" w:color="auto"/>
          <w:color w:val="auto"/>
        </w:rPr>
        <w:t>Requested Relief</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related entities identified in Section I.B below,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 xml:space="preserve"> and Rule 17d-1 thereunder</w:t>
      </w:r>
      <w:r>
        <w:rPr>
          <w:rFonts w:ascii="Arial" w:cs="Arial" w:eastAsia="Arial" w:hAnsi="Arial"/>
          <w:sz w:val="15"/>
          <w:szCs w:val="15"/>
          <w:color w:val="auto"/>
        </w:rPr>
        <w:t>2</w:t>
      </w:r>
      <w:r>
        <w:rPr>
          <w:rFonts w:ascii="Arial" w:cs="Arial" w:eastAsia="Arial" w:hAnsi="Arial"/>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Act.</w:t>
      </w:r>
    </w:p>
    <w:p>
      <w:pPr>
        <w:spacing w:after="0" w:line="187"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In particular, the relief requested in this amended and restated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a Regulated Fund and one or more other Regulated Funds and/or one or more Affiliated Funds and/or Sixth Street Proprietary Accounts (each as defined below) to participate in the same investment opportunities through a proposed co-investment program where such participation would otherwise be prohibited under Section 17(d) or Section 57(a)(4) and the rules under the Act (the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All existing entities that currently intend to rely on the Order have been named as Applicants (defined below) and any existing or future entities that may rely on the Order in the future will comply with the terms and Conditions (defined below) set forth in this Application.</w:t>
      </w:r>
    </w:p>
    <w:p>
      <w:pPr>
        <w:spacing w:after="0" w:line="192"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Order sought by this Application would supersede an exemptive order issued by the Commission to the Company on November 18, 2014 under Sections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 with the result that no person will continue to rely on the Prior Order if the Order is granted.</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Unless otherwise indicated, all section references herein are to the Act.</w:t>
      </w:r>
    </w:p>
    <w:p>
      <w:pPr>
        <w:spacing w:after="0" w:line="2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Unless otherwise indicated, all rule references herein are to rules under the Act.</w:t>
      </w:r>
    </w:p>
    <w:p>
      <w:pPr>
        <w:spacing w:after="0" w:line="9" w:lineRule="exact"/>
        <w:rPr>
          <w:sz w:val="20"/>
          <w:szCs w:val="20"/>
          <w:color w:val="auto"/>
        </w:rPr>
      </w:pPr>
    </w:p>
    <w:p>
      <w:pPr>
        <w:ind w:left="424" w:right="140" w:hanging="424"/>
        <w:spacing w:after="0" w:line="256"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TPG Specialty Lending, Inc., et al. (File No. 812-13980) Release No. IC-31379 (December 16, 2014) (order), Release No. IC-31338 (November 18, 2014) (notice). The Company changed its name from TPG Specialty Lending, Inc. to Sixth Street Specialty Lending, Inc. subsequent to issuance by the Commission of the Prior Order.</w:t>
      </w:r>
    </w:p>
    <w:p>
      <w:pPr>
        <w:spacing w:after="0" w:line="12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5" w:name="page6"/>
    <w:bookmarkEnd w:id="5"/>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Applicants Seeking Relief</w:t>
      </w:r>
    </w:p>
    <w:p>
      <w:pPr>
        <w:spacing w:after="0" w:line="130" w:lineRule="exact"/>
        <w:rPr>
          <w:rFonts w:ascii="Arial" w:cs="Arial" w:eastAsia="Arial" w:hAnsi="Arial"/>
          <w:sz w:val="18"/>
          <w:szCs w:val="18"/>
          <w:color w:val="auto"/>
        </w:rPr>
      </w:pPr>
    </w:p>
    <w:p>
      <w:pPr>
        <w:ind w:left="1000" w:right="260" w:hanging="439"/>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 Delaware corporation structured as an externally managed, non-diversified, closed-end management investment company that has elected to be regulated as a BDC (as defined below) under the Act.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TC Lending, LLC, a Wholly-Owned Investment Sub (as defined below) of the Company.</w:t>
      </w:r>
    </w:p>
    <w:p>
      <w:pPr>
        <w:spacing w:after="0" w:line="130" w:lineRule="exact"/>
        <w:rPr>
          <w:rFonts w:ascii="Arial" w:cs="Arial" w:eastAsia="Arial" w:hAnsi="Arial"/>
          <w:sz w:val="18"/>
          <w:szCs w:val="18"/>
          <w:color w:val="auto"/>
        </w:rPr>
      </w:pPr>
    </w:p>
    <w:p>
      <w:pPr>
        <w:ind w:left="1000" w:right="180" w:hanging="439"/>
        <w:spacing w:after="0" w:line="263"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following investment vehicles, each of which is a separate and distinct legal entity and each of which would be an investment company but for Section 3(c)(1), 3(c)(5)(C) or 3(c)(7)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 and collectively with the Company, TC Lending, LLC, and the Existing Advisers, the Applicants (as defined below)):</w:t>
      </w:r>
    </w:p>
    <w:p>
      <w:pPr>
        <w:spacing w:after="0" w:line="89" w:lineRule="exact"/>
        <w:rPr>
          <w:rFonts w:ascii="Arial" w:cs="Arial" w:eastAsia="Arial" w:hAnsi="Arial"/>
          <w:sz w:val="18"/>
          <w:szCs w:val="18"/>
          <w:color w:val="auto"/>
        </w:rPr>
      </w:pPr>
    </w:p>
    <w:p>
      <w:pPr>
        <w:ind w:left="1660" w:right="20" w:hanging="545"/>
        <w:spacing w:after="0" w:line="263"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Sixth Street Opportunities Partners III (A), L.P., Sixth Street Opportunities Partners III (B), L.P., Sixth Street Opportunities Partners III (C), L.P., TOP III Delaware AIV I-A, L.P., and TOP III Delaware AIV I-B, L.P. (collectively, the “</w:t>
      </w:r>
      <w:r>
        <w:rPr>
          <w:rFonts w:ascii="Arial" w:cs="Arial" w:eastAsia="Arial" w:hAnsi="Arial"/>
          <w:sz w:val="18"/>
          <w:szCs w:val="18"/>
          <w:b w:val="1"/>
          <w:bCs w:val="1"/>
          <w:i w:val="1"/>
          <w:iCs w:val="1"/>
          <w:color w:val="auto"/>
        </w:rPr>
        <w:t>Opps III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660" w:hanging="545"/>
        <w:spacing w:after="0" w:line="263"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TSSP Opportunities Partners IV (A), L.P., TSSP Opportunities IV (B), L.P., TSSP Opportunities Partners IV (C), L.P., TOP IV Delaware AIV I-A, L.P., and TOP IV Delaware AIV I-B, L.P., TOP IV Lending, LLC (collectively, the “</w:t>
      </w:r>
      <w:r>
        <w:rPr>
          <w:rFonts w:ascii="Arial" w:cs="Arial" w:eastAsia="Arial" w:hAnsi="Arial"/>
          <w:sz w:val="18"/>
          <w:szCs w:val="18"/>
          <w:b w:val="1"/>
          <w:bCs w:val="1"/>
          <w:i w:val="1"/>
          <w:iCs w:val="1"/>
          <w:color w:val="auto"/>
        </w:rPr>
        <w:t>Opps IV</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1660" w:right="100" w:hanging="545"/>
        <w:spacing w:after="0" w:line="263"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Sixth Street Opportunities Partners V (A), L.P., Sixth Street Opportunities Partners V (B), L.P., Sixth Street Opportunities Partners V (C), L.P., Sixth Street Opps V Delaware AIV I-A, L.P., and Sixth Street Opps V Delaware AIV I-B, L.P., Opps V Lending, LLC (collectively, the “</w:t>
      </w:r>
      <w:r>
        <w:rPr>
          <w:rFonts w:ascii="Arial" w:cs="Arial" w:eastAsia="Arial" w:hAnsi="Arial"/>
          <w:sz w:val="18"/>
          <w:szCs w:val="18"/>
          <w:b w:val="1"/>
          <w:bCs w:val="1"/>
          <w:i w:val="1"/>
          <w:iCs w:val="1"/>
          <w:color w:val="auto"/>
        </w:rPr>
        <w:t>Opps V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660" w:right="40" w:hanging="545"/>
        <w:spacing w:after="0" w:line="257"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and TAO (E) AIV II-A, L.P., TDL Lending, LLC (collectively, the “</w:t>
      </w:r>
      <w:r>
        <w:rPr>
          <w:rFonts w:ascii="Arial" w:cs="Arial" w:eastAsia="Arial" w:hAnsi="Arial"/>
          <w:sz w:val="18"/>
          <w:szCs w:val="18"/>
          <w:b w:val="1"/>
          <w:bCs w:val="1"/>
          <w:i w:val="1"/>
          <w:iCs w:val="1"/>
          <w:color w:val="auto"/>
        </w:rPr>
        <w:t>TAO Funds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660" w:right="180" w:hanging="545"/>
        <w:spacing w:after="0" w:line="277"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TSSP Capital Solutions (A), L.P., TSSP Capital Solutions (B), L.P., and TSSP Capital Solutions (A) AIV, L.P., and TSSP Capital Solutions (B) AIV, L.P., TCS Lending, LLC (collectively, the “</w:t>
      </w:r>
      <w:r>
        <w:rPr>
          <w:rFonts w:ascii="Arial" w:cs="Arial" w:eastAsia="Arial" w:hAnsi="Arial"/>
          <w:sz w:val="18"/>
          <w:szCs w:val="18"/>
          <w:b w:val="1"/>
          <w:bCs w:val="1"/>
          <w:i w:val="1"/>
          <w:iCs w:val="1"/>
          <w:color w:val="auto"/>
        </w:rPr>
        <w:t>Growth I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60" w:right="240" w:hanging="545"/>
        <w:spacing w:after="0" w:line="277"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Sixth Street Growth Partners II (A), L.P.; Sixth Street Growth Partners II (B), L.P.; Sixth Street Growth II (A) AIV, L.P.; and Sixth Street Growth II (B) AIV, L.P. (collectively, the “</w:t>
      </w:r>
      <w:r>
        <w:rPr>
          <w:rFonts w:ascii="Arial" w:cs="Arial" w:eastAsia="Arial" w:hAnsi="Arial"/>
          <w:sz w:val="18"/>
          <w:szCs w:val="18"/>
          <w:b w:val="1"/>
          <w:bCs w:val="1"/>
          <w:i w:val="1"/>
          <w:iCs w:val="1"/>
          <w:color w:val="auto"/>
        </w:rPr>
        <w:t>Growth II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60" w:right="100" w:hanging="545"/>
        <w:spacing w:after="0" w:line="308" w:lineRule="auto"/>
        <w:tabs>
          <w:tab w:leader="none" w:pos="1660" w:val="left"/>
        </w:tabs>
        <w:numPr>
          <w:ilvl w:val="2"/>
          <w:numId w:val="5"/>
        </w:numPr>
        <w:rPr>
          <w:rFonts w:ascii="Arial" w:cs="Arial" w:eastAsia="Arial" w:hAnsi="Arial"/>
          <w:sz w:val="17"/>
          <w:szCs w:val="17"/>
          <w:color w:val="auto"/>
        </w:rPr>
      </w:pPr>
      <w:r>
        <w:rPr>
          <w:rFonts w:ascii="Arial" w:cs="Arial" w:eastAsia="Arial" w:hAnsi="Arial"/>
          <w:sz w:val="17"/>
          <w:szCs w:val="17"/>
          <w:color w:val="auto"/>
        </w:rPr>
        <w:t>Sixth Street Fundamental Strategies Partners (A), L.P., Sixth Street Fundamental Strategies Partners (B), L.P., Sixth Street FS AIV I-A, L.P., and Sixth Street FS AIV I-B, L.P., FS I Lending, LLC (collectively, the “</w:t>
      </w:r>
      <w:r>
        <w:rPr>
          <w:rFonts w:ascii="Arial" w:cs="Arial" w:eastAsia="Arial" w:hAnsi="Arial"/>
          <w:sz w:val="17"/>
          <w:szCs w:val="17"/>
          <w:b w:val="1"/>
          <w:bCs w:val="1"/>
          <w:i w:val="1"/>
          <w:iCs w:val="1"/>
          <w:color w:val="auto"/>
        </w:rPr>
        <w:t>FS Funds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660" w:right="580" w:hanging="545"/>
        <w:spacing w:after="0" w:line="277" w:lineRule="auto"/>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Sixth Street Specialty Lending Europe I, L.P., Sixth Street Specialty Lending Europe II, L.P., and Super TSLE, L.P. (collectively, the “</w:t>
      </w:r>
      <w:r>
        <w:rPr>
          <w:rFonts w:ascii="Arial" w:cs="Arial" w:eastAsia="Arial" w:hAnsi="Arial"/>
          <w:sz w:val="18"/>
          <w:szCs w:val="18"/>
          <w:b w:val="1"/>
          <w:bCs w:val="1"/>
          <w:i w:val="1"/>
          <w:iCs w:val="1"/>
          <w:color w:val="auto"/>
        </w:rPr>
        <w:t>SLE Funds</w:t>
      </w:r>
      <w:r>
        <w:rPr>
          <w:rFonts w:ascii="Arial" w:cs="Arial" w:eastAsia="Arial" w:hAnsi="Arial"/>
          <w:sz w:val="18"/>
          <w:szCs w:val="18"/>
          <w:color w:val="auto"/>
        </w:rPr>
        <w:t>”);</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60" w:top="274" w:right="499" w:bottom="1440" w:gutter="0" w:footer="0" w:header="0"/>
        </w:sectPr>
      </w:pPr>
    </w:p>
    <w:bookmarkStart w:id="6" w:name="page7"/>
    <w:bookmarkEnd w:id="6"/>
    <w:p>
      <w:pPr>
        <w:ind w:left="1099" w:hanging="545"/>
        <w:spacing w:after="0"/>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Agriculture Partners (A), L.P. (the “</w:t>
      </w:r>
      <w:r>
        <w:rPr>
          <w:rFonts w:ascii="Arial" w:cs="Arial" w:eastAsia="Arial" w:hAnsi="Arial"/>
          <w:sz w:val="18"/>
          <w:szCs w:val="18"/>
          <w:b w:val="1"/>
          <w:bCs w:val="1"/>
          <w:i w:val="1"/>
          <w:iCs w:val="1"/>
          <w:color w:val="auto"/>
        </w:rPr>
        <w:t>Agriculture Fund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99" w:right="60" w:hanging="545"/>
        <w:spacing w:after="0" w:line="263"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Bluegrass Strategic Holdings I, L.P., Sixth Street Willow Strategic Holdings I, L.P., Sixth Street Cottonwood Strategic Holdings I, L.P., Sixth Street Dogwood Strategic Holdings I, L.P., and Sixth Street Red Pine Strategic Holdings I, L.P. (collectively, the “</w:t>
      </w:r>
      <w:r>
        <w:rPr>
          <w:rFonts w:ascii="Arial" w:cs="Arial" w:eastAsia="Arial" w:hAnsi="Arial"/>
          <w:sz w:val="18"/>
          <w:szCs w:val="18"/>
          <w:b w:val="1"/>
          <w:bCs w:val="1"/>
          <w:i w:val="1"/>
          <w:iCs w:val="1"/>
          <w:color w:val="auto"/>
        </w:rPr>
        <w:t>SH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99" w:hanging="545"/>
        <w:spacing w:after="0"/>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CMS Dynamic Credit Fund, L.P. (the “</w:t>
      </w:r>
      <w:r>
        <w:rPr>
          <w:rFonts w:ascii="Arial" w:cs="Arial" w:eastAsia="Arial" w:hAnsi="Arial"/>
          <w:sz w:val="18"/>
          <w:szCs w:val="18"/>
          <w:b w:val="1"/>
          <w:bCs w:val="1"/>
          <w:i w:val="1"/>
          <w:iCs w:val="1"/>
          <w:color w:val="auto"/>
        </w:rPr>
        <w:t>CMS Fund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99" w:right="20" w:hanging="545"/>
        <w:spacing w:after="0" w:line="259"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TICP CLO V 2016-1, Ltd., TICP CLO VI 2016-2, Ltd.; TICP CLO VII, Ltd.; TICP CLO VIII, Ltd.; TICP CLO IX, Ltd.; TICP CLO X, Ltd.; TICP CLO XI, Ltd.; TICP CLO XII, Ltd.; TICP CLO XIII, Ltd.; TICP CLO XIV, Ltd.; TICP CLO XV, Ltd.; Sixth Street CLO XVI, Ltd.; Sixth Street CLO XVII, Ltd; Sixth Street CLO XVIII, Ltd., and Sixth Street CLO XIX, Ltd. (collectively, the “</w:t>
      </w:r>
      <w:r>
        <w:rPr>
          <w:rFonts w:ascii="Arial" w:cs="Arial" w:eastAsia="Arial" w:hAnsi="Arial"/>
          <w:sz w:val="18"/>
          <w:szCs w:val="18"/>
          <w:b w:val="1"/>
          <w:bCs w:val="1"/>
          <w:i w:val="1"/>
          <w:iCs w:val="1"/>
          <w:color w:val="auto"/>
        </w:rPr>
        <w:t>CLO Funds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99" w:right="160" w:hanging="545"/>
        <w:spacing w:after="0" w:line="301" w:lineRule="auto"/>
        <w:tabs>
          <w:tab w:leader="none" w:pos="1099" w:val="left"/>
        </w:tabs>
        <w:numPr>
          <w:ilvl w:val="1"/>
          <w:numId w:val="6"/>
        </w:numPr>
        <w:rPr>
          <w:rFonts w:ascii="Arial" w:cs="Arial" w:eastAsia="Arial" w:hAnsi="Arial"/>
          <w:sz w:val="16"/>
          <w:szCs w:val="16"/>
          <w:color w:val="auto"/>
        </w:rPr>
      </w:pPr>
      <w:r>
        <w:rPr>
          <w:rFonts w:ascii="Arial" w:cs="Arial" w:eastAsia="Arial" w:hAnsi="Arial"/>
          <w:sz w:val="16"/>
          <w:szCs w:val="16"/>
          <w:color w:val="auto"/>
        </w:rPr>
        <w:t>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and Sixth Street Structured Credit Opportunities Fund V, L.P. (collectively, the “</w:t>
      </w:r>
      <w:r>
        <w:rPr>
          <w:rFonts w:ascii="Arial" w:cs="Arial" w:eastAsia="Arial" w:hAnsi="Arial"/>
          <w:sz w:val="16"/>
          <w:szCs w:val="16"/>
          <w:b w:val="1"/>
          <w:bCs w:val="1"/>
          <w:i w:val="1"/>
          <w:iCs w:val="1"/>
          <w:color w:val="auto"/>
        </w:rPr>
        <w:t>CMS Non-Equity Funds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62" w:lineRule="exact"/>
        <w:rPr>
          <w:rFonts w:ascii="Arial" w:cs="Arial" w:eastAsia="Arial" w:hAnsi="Arial"/>
          <w:sz w:val="16"/>
          <w:szCs w:val="16"/>
          <w:color w:val="auto"/>
        </w:rPr>
      </w:pPr>
    </w:p>
    <w:p>
      <w:pPr>
        <w:jc w:val="both"/>
        <w:ind w:left="1099" w:right="420" w:hanging="545"/>
        <w:spacing w:after="0" w:line="263"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TICP CLO Partners II, L.P., TICP CLO Holdings, L.P., TSSP Institutional Credit Partners III, L.P., Sixth Street Credit Market Strategies Partners I, L.P., Sixth Street Credit Market Strategies Partners I-A, L.P., and TICP III Cayman, Ltd. (collectively, the “</w:t>
      </w:r>
      <w:r>
        <w:rPr>
          <w:rFonts w:ascii="Arial" w:cs="Arial" w:eastAsia="Arial" w:hAnsi="Arial"/>
          <w:sz w:val="18"/>
          <w:szCs w:val="18"/>
          <w:b w:val="1"/>
          <w:bCs w:val="1"/>
          <w:i w:val="1"/>
          <w:iCs w:val="1"/>
          <w:color w:val="auto"/>
        </w:rPr>
        <w:t>CMS Equity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39" w:right="400" w:hanging="439"/>
        <w:spacing w:after="0" w:line="263" w:lineRule="auto"/>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investment advisers (the “</w:t>
      </w:r>
      <w:r>
        <w:rPr>
          <w:rFonts w:ascii="Arial" w:cs="Arial" w:eastAsia="Arial" w:hAnsi="Arial"/>
          <w:sz w:val="18"/>
          <w:szCs w:val="18"/>
          <w:b w:val="1"/>
          <w:bCs w:val="1"/>
          <w:i w:val="1"/>
          <w:iCs w:val="1"/>
          <w:color w:val="auto"/>
        </w:rPr>
        <w:t>Existing Advisers</w:t>
      </w:r>
      <w:r>
        <w:rPr>
          <w:rFonts w:ascii="Arial" w:cs="Arial" w:eastAsia="Arial" w:hAnsi="Arial"/>
          <w:sz w:val="18"/>
          <w:szCs w:val="18"/>
          <w:color w:val="auto"/>
        </w:rPr>
        <w:t>”), each of which is a Delaware limited liability company that is registered as an investment adviser pursuant to Section 203 of the Investment Advisers Act of 1940, as amended (the “</w:t>
      </w:r>
      <w:r>
        <w:rPr>
          <w:rFonts w:ascii="Arial" w:cs="Arial" w:eastAsia="Arial" w:hAnsi="Arial"/>
          <w:sz w:val="18"/>
          <w:szCs w:val="18"/>
          <w:b w:val="1"/>
          <w:bCs w:val="1"/>
          <w:i w:val="1"/>
          <w:iCs w:val="1"/>
          <w:color w:val="auto"/>
        </w:rPr>
        <w:t>Advisers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99" w:right="360"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Specialty Lending Advisers, LLC (“</w:t>
      </w:r>
      <w:r>
        <w:rPr>
          <w:rFonts w:ascii="Arial" w:cs="Arial" w:eastAsia="Arial" w:hAnsi="Arial"/>
          <w:sz w:val="18"/>
          <w:szCs w:val="18"/>
          <w:b w:val="1"/>
          <w:bCs w:val="1"/>
          <w:i w:val="1"/>
          <w:iCs w:val="1"/>
          <w:color w:val="auto"/>
        </w:rPr>
        <w:t>Sixth Street Specialty Lending Advisers</w:t>
      </w:r>
      <w:r>
        <w:rPr>
          <w:rFonts w:ascii="Arial" w:cs="Arial" w:eastAsia="Arial" w:hAnsi="Arial"/>
          <w:sz w:val="18"/>
          <w:szCs w:val="18"/>
          <w:color w:val="auto"/>
        </w:rPr>
        <w:t>”), which serve as investment adviser to the Company;</w:t>
      </w:r>
    </w:p>
    <w:p>
      <w:pPr>
        <w:spacing w:after="0" w:line="75" w:lineRule="exact"/>
        <w:rPr>
          <w:rFonts w:ascii="Arial" w:cs="Arial" w:eastAsia="Arial" w:hAnsi="Arial"/>
          <w:sz w:val="18"/>
          <w:szCs w:val="18"/>
          <w:color w:val="auto"/>
        </w:rPr>
      </w:pPr>
    </w:p>
    <w:p>
      <w:pPr>
        <w:ind w:left="1099" w:right="340"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Opportunities III Management, LLC (“</w:t>
      </w:r>
      <w:r>
        <w:rPr>
          <w:rFonts w:ascii="Arial" w:cs="Arial" w:eastAsia="Arial" w:hAnsi="Arial"/>
          <w:sz w:val="18"/>
          <w:szCs w:val="18"/>
          <w:b w:val="1"/>
          <w:bCs w:val="1"/>
          <w:i w:val="1"/>
          <w:iCs w:val="1"/>
          <w:color w:val="auto"/>
        </w:rPr>
        <w:t>Opps III Management</w:t>
      </w:r>
      <w:r>
        <w:rPr>
          <w:rFonts w:ascii="Arial" w:cs="Arial" w:eastAsia="Arial" w:hAnsi="Arial"/>
          <w:sz w:val="18"/>
          <w:szCs w:val="18"/>
          <w:color w:val="auto"/>
        </w:rPr>
        <w:t>”), which serves as investment adviser to the Opps III Funds;</w:t>
      </w:r>
    </w:p>
    <w:p>
      <w:pPr>
        <w:spacing w:after="0" w:line="75" w:lineRule="exact"/>
        <w:rPr>
          <w:rFonts w:ascii="Arial" w:cs="Arial" w:eastAsia="Arial" w:hAnsi="Arial"/>
          <w:sz w:val="18"/>
          <w:szCs w:val="18"/>
          <w:color w:val="auto"/>
        </w:rPr>
      </w:pPr>
    </w:p>
    <w:p>
      <w:pPr>
        <w:ind w:left="1099" w:right="120"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TSSP Opportunities IV Management, LLC (“</w:t>
      </w:r>
      <w:r>
        <w:rPr>
          <w:rFonts w:ascii="Arial" w:cs="Arial" w:eastAsia="Arial" w:hAnsi="Arial"/>
          <w:sz w:val="18"/>
          <w:szCs w:val="18"/>
          <w:b w:val="1"/>
          <w:bCs w:val="1"/>
          <w:i w:val="1"/>
          <w:iCs w:val="1"/>
          <w:color w:val="auto"/>
        </w:rPr>
        <w:t>Opps IV Management</w:t>
      </w:r>
      <w:r>
        <w:rPr>
          <w:rFonts w:ascii="Arial" w:cs="Arial" w:eastAsia="Arial" w:hAnsi="Arial"/>
          <w:sz w:val="18"/>
          <w:szCs w:val="18"/>
          <w:color w:val="auto"/>
        </w:rPr>
        <w:t>”), which serves as investment adviser to the Opps IV Funds;</w:t>
      </w:r>
    </w:p>
    <w:p>
      <w:pPr>
        <w:spacing w:after="0" w:line="75" w:lineRule="exact"/>
        <w:rPr>
          <w:rFonts w:ascii="Arial" w:cs="Arial" w:eastAsia="Arial" w:hAnsi="Arial"/>
          <w:sz w:val="18"/>
          <w:szCs w:val="18"/>
          <w:color w:val="auto"/>
        </w:rPr>
      </w:pPr>
    </w:p>
    <w:p>
      <w:pPr>
        <w:ind w:left="1099" w:right="60"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Opportunities V Management, LLC (“</w:t>
      </w:r>
      <w:r>
        <w:rPr>
          <w:rFonts w:ascii="Arial" w:cs="Arial" w:eastAsia="Arial" w:hAnsi="Arial"/>
          <w:sz w:val="18"/>
          <w:szCs w:val="18"/>
          <w:b w:val="1"/>
          <w:bCs w:val="1"/>
          <w:i w:val="1"/>
          <w:iCs w:val="1"/>
          <w:color w:val="auto"/>
        </w:rPr>
        <w:t>Opps V Management</w:t>
      </w:r>
      <w:r>
        <w:rPr>
          <w:rFonts w:ascii="Arial" w:cs="Arial" w:eastAsia="Arial" w:hAnsi="Arial"/>
          <w:sz w:val="18"/>
          <w:szCs w:val="18"/>
          <w:color w:val="auto"/>
        </w:rPr>
        <w:t>”), which serves as investment adviser to the Opps V Funds;</w:t>
      </w:r>
    </w:p>
    <w:p>
      <w:pPr>
        <w:spacing w:after="0" w:line="75" w:lineRule="exact"/>
        <w:rPr>
          <w:rFonts w:ascii="Arial" w:cs="Arial" w:eastAsia="Arial" w:hAnsi="Arial"/>
          <w:sz w:val="18"/>
          <w:szCs w:val="18"/>
          <w:color w:val="auto"/>
        </w:rPr>
      </w:pPr>
    </w:p>
    <w:p>
      <w:pPr>
        <w:ind w:left="1099" w:hanging="545"/>
        <w:spacing w:after="0"/>
        <w:tabs>
          <w:tab w:leader="none" w:pos="1099" w:val="left"/>
        </w:tabs>
        <w:numPr>
          <w:ilvl w:val="1"/>
          <w:numId w:val="6"/>
        </w:numPr>
        <w:rPr>
          <w:rFonts w:ascii="Arial" w:cs="Arial" w:eastAsia="Arial" w:hAnsi="Arial"/>
          <w:sz w:val="17"/>
          <w:szCs w:val="17"/>
          <w:color w:val="auto"/>
        </w:rPr>
      </w:pPr>
      <w:r>
        <w:rPr>
          <w:rFonts w:ascii="Arial" w:cs="Arial" w:eastAsia="Arial" w:hAnsi="Arial"/>
          <w:sz w:val="17"/>
          <w:szCs w:val="17"/>
          <w:color w:val="auto"/>
        </w:rPr>
        <w:t>Sixth Street TAO Management, LLC (“</w:t>
      </w:r>
      <w:r>
        <w:rPr>
          <w:rFonts w:ascii="Arial" w:cs="Arial" w:eastAsia="Arial" w:hAnsi="Arial"/>
          <w:sz w:val="17"/>
          <w:szCs w:val="17"/>
          <w:b w:val="1"/>
          <w:bCs w:val="1"/>
          <w:i w:val="1"/>
          <w:iCs w:val="1"/>
          <w:color w:val="auto"/>
        </w:rPr>
        <w:t>TAO Management</w:t>
      </w:r>
      <w:r>
        <w:rPr>
          <w:rFonts w:ascii="Arial" w:cs="Arial" w:eastAsia="Arial" w:hAnsi="Arial"/>
          <w:sz w:val="17"/>
          <w:szCs w:val="17"/>
          <w:color w:val="auto"/>
        </w:rPr>
        <w:t>”), which serves as investment adviser to the TAO Funds;</w:t>
      </w:r>
    </w:p>
    <w:p>
      <w:pPr>
        <w:spacing w:after="0" w:line="142" w:lineRule="exact"/>
        <w:rPr>
          <w:rFonts w:ascii="Arial" w:cs="Arial" w:eastAsia="Arial" w:hAnsi="Arial"/>
          <w:sz w:val="17"/>
          <w:szCs w:val="17"/>
          <w:color w:val="auto"/>
        </w:rPr>
      </w:pPr>
    </w:p>
    <w:p>
      <w:pPr>
        <w:ind w:left="1099"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TSSP Capital Solutions I Management, LLC (“</w:t>
      </w:r>
      <w:r>
        <w:rPr>
          <w:rFonts w:ascii="Arial" w:cs="Arial" w:eastAsia="Arial" w:hAnsi="Arial"/>
          <w:sz w:val="18"/>
          <w:szCs w:val="18"/>
          <w:b w:val="1"/>
          <w:bCs w:val="1"/>
          <w:i w:val="1"/>
          <w:iCs w:val="1"/>
          <w:color w:val="auto"/>
        </w:rPr>
        <w:t>Growth I Management</w:t>
      </w:r>
      <w:r>
        <w:rPr>
          <w:rFonts w:ascii="Arial" w:cs="Arial" w:eastAsia="Arial" w:hAnsi="Arial"/>
          <w:sz w:val="18"/>
          <w:szCs w:val="18"/>
          <w:color w:val="auto"/>
        </w:rPr>
        <w:t>”), which serves as investment adviser to the Growth I Funds;</w:t>
      </w:r>
    </w:p>
    <w:p>
      <w:pPr>
        <w:spacing w:after="0" w:line="75" w:lineRule="exact"/>
        <w:rPr>
          <w:rFonts w:ascii="Arial" w:cs="Arial" w:eastAsia="Arial" w:hAnsi="Arial"/>
          <w:sz w:val="18"/>
          <w:szCs w:val="18"/>
          <w:color w:val="auto"/>
        </w:rPr>
      </w:pPr>
    </w:p>
    <w:p>
      <w:pPr>
        <w:ind w:left="1099" w:right="120"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Growth II Management, LLC (“</w:t>
      </w:r>
      <w:r>
        <w:rPr>
          <w:rFonts w:ascii="Arial" w:cs="Arial" w:eastAsia="Arial" w:hAnsi="Arial"/>
          <w:sz w:val="18"/>
          <w:szCs w:val="18"/>
          <w:b w:val="1"/>
          <w:bCs w:val="1"/>
          <w:i w:val="1"/>
          <w:iCs w:val="1"/>
          <w:color w:val="auto"/>
        </w:rPr>
        <w:t>Growth II Management</w:t>
      </w:r>
      <w:r>
        <w:rPr>
          <w:rFonts w:ascii="Arial" w:cs="Arial" w:eastAsia="Arial" w:hAnsi="Arial"/>
          <w:sz w:val="18"/>
          <w:szCs w:val="18"/>
          <w:color w:val="auto"/>
        </w:rPr>
        <w:t>”), which serves as investment adviser to the Growth II Funds;</w:t>
      </w:r>
    </w:p>
    <w:p>
      <w:pPr>
        <w:spacing w:after="0" w:line="75" w:lineRule="exact"/>
        <w:rPr>
          <w:rFonts w:ascii="Arial" w:cs="Arial" w:eastAsia="Arial" w:hAnsi="Arial"/>
          <w:sz w:val="18"/>
          <w:szCs w:val="18"/>
          <w:color w:val="auto"/>
        </w:rPr>
      </w:pPr>
    </w:p>
    <w:p>
      <w:pPr>
        <w:ind w:left="1099" w:right="160" w:hanging="545"/>
        <w:spacing w:after="0" w:line="277"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Street Fundamental Strategies I Management, LLC (“</w:t>
      </w:r>
      <w:r>
        <w:rPr>
          <w:rFonts w:ascii="Arial" w:cs="Arial" w:eastAsia="Arial" w:hAnsi="Arial"/>
          <w:sz w:val="18"/>
          <w:szCs w:val="18"/>
          <w:b w:val="1"/>
          <w:bCs w:val="1"/>
          <w:i w:val="1"/>
          <w:iCs w:val="1"/>
          <w:color w:val="auto"/>
        </w:rPr>
        <w:t>FS Management</w:t>
      </w:r>
      <w:r>
        <w:rPr>
          <w:rFonts w:ascii="Arial" w:cs="Arial" w:eastAsia="Arial" w:hAnsi="Arial"/>
          <w:sz w:val="18"/>
          <w:szCs w:val="18"/>
          <w:color w:val="auto"/>
        </w:rPr>
        <w:t>”), which serves as the investment adviser to the FS Funds;</w:t>
      </w:r>
    </w:p>
    <w:p>
      <w:pPr>
        <w:spacing w:after="0" w:line="103"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99"/>
          </w:cols>
          <w:pgMar w:left="1421" w:top="274" w:right="479" w:bottom="1440" w:gutter="0" w:footer="0" w:header="0"/>
        </w:sectPr>
      </w:pPr>
    </w:p>
    <w:bookmarkStart w:id="7" w:name="page8"/>
    <w:bookmarkEnd w:id="7"/>
    <w:p>
      <w:pPr>
        <w:ind w:left="2084" w:right="240" w:hanging="545"/>
        <w:spacing w:after="0" w:line="277"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Agriculture Management, LLC (“</w:t>
      </w:r>
      <w:r>
        <w:rPr>
          <w:rFonts w:ascii="Arial" w:cs="Arial" w:eastAsia="Arial" w:hAnsi="Arial"/>
          <w:sz w:val="18"/>
          <w:szCs w:val="18"/>
          <w:b w:val="1"/>
          <w:bCs w:val="1"/>
          <w:i w:val="1"/>
          <w:iCs w:val="1"/>
          <w:color w:val="auto"/>
        </w:rPr>
        <w:t>Agriculture Management</w:t>
      </w:r>
      <w:r>
        <w:rPr>
          <w:rFonts w:ascii="Arial" w:cs="Arial" w:eastAsia="Arial" w:hAnsi="Arial"/>
          <w:sz w:val="18"/>
          <w:szCs w:val="18"/>
          <w:color w:val="auto"/>
        </w:rPr>
        <w:t>”), which serves as the investment adviser to the Agriculture Fund;</w:t>
      </w:r>
    </w:p>
    <w:p>
      <w:pPr>
        <w:spacing w:after="0" w:line="75" w:lineRule="exact"/>
        <w:rPr>
          <w:rFonts w:ascii="Arial" w:cs="Arial" w:eastAsia="Arial" w:hAnsi="Arial"/>
          <w:sz w:val="18"/>
          <w:szCs w:val="18"/>
          <w:color w:val="auto"/>
        </w:rPr>
      </w:pPr>
    </w:p>
    <w:p>
      <w:pPr>
        <w:ind w:left="2084" w:right="60" w:hanging="545"/>
        <w:spacing w:after="0" w:line="277"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Sixth Street Strategic Holdings Management, LLC (“</w:t>
      </w:r>
      <w:r>
        <w:rPr>
          <w:rFonts w:ascii="Arial" w:cs="Arial" w:eastAsia="Arial" w:hAnsi="Arial"/>
          <w:sz w:val="18"/>
          <w:szCs w:val="18"/>
          <w:b w:val="1"/>
          <w:bCs w:val="1"/>
          <w:i w:val="1"/>
          <w:iCs w:val="1"/>
          <w:color w:val="auto"/>
        </w:rPr>
        <w:t>SH Management</w:t>
      </w:r>
      <w:r>
        <w:rPr>
          <w:rFonts w:ascii="Arial" w:cs="Arial" w:eastAsia="Arial" w:hAnsi="Arial"/>
          <w:sz w:val="18"/>
          <w:szCs w:val="18"/>
          <w:color w:val="auto"/>
        </w:rPr>
        <w:t>”), which serves as the investment adviser to the SH Funds;</w:t>
      </w:r>
    </w:p>
    <w:p>
      <w:pPr>
        <w:spacing w:after="0" w:line="75" w:lineRule="exact"/>
        <w:rPr>
          <w:rFonts w:ascii="Arial" w:cs="Arial" w:eastAsia="Arial" w:hAnsi="Arial"/>
          <w:sz w:val="18"/>
          <w:szCs w:val="18"/>
          <w:color w:val="auto"/>
        </w:rPr>
      </w:pPr>
    </w:p>
    <w:p>
      <w:pPr>
        <w:ind w:left="2084" w:right="220" w:hanging="545"/>
        <w:spacing w:after="0" w:line="277"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Sixth Street CMS Dynamic Credit Management, LLC (“</w:t>
      </w:r>
      <w:r>
        <w:rPr>
          <w:rFonts w:ascii="Arial" w:cs="Arial" w:eastAsia="Arial" w:hAnsi="Arial"/>
          <w:sz w:val="18"/>
          <w:szCs w:val="18"/>
          <w:b w:val="1"/>
          <w:bCs w:val="1"/>
          <w:i w:val="1"/>
          <w:iCs w:val="1"/>
          <w:color w:val="auto"/>
        </w:rPr>
        <w:t>CMS Management</w:t>
      </w:r>
      <w:r>
        <w:rPr>
          <w:rFonts w:ascii="Arial" w:cs="Arial" w:eastAsia="Arial" w:hAnsi="Arial"/>
          <w:sz w:val="18"/>
          <w:szCs w:val="18"/>
          <w:color w:val="auto"/>
        </w:rPr>
        <w:t>”), which serves as the investment adviser to the CMS Fund;</w:t>
      </w:r>
    </w:p>
    <w:p>
      <w:pPr>
        <w:spacing w:after="0" w:line="75" w:lineRule="exact"/>
        <w:rPr>
          <w:rFonts w:ascii="Arial" w:cs="Arial" w:eastAsia="Arial" w:hAnsi="Arial"/>
          <w:sz w:val="18"/>
          <w:szCs w:val="18"/>
          <w:color w:val="auto"/>
        </w:rPr>
      </w:pPr>
    </w:p>
    <w:p>
      <w:pPr>
        <w:ind w:left="2084" w:hanging="545"/>
        <w:spacing w:after="0" w:line="273" w:lineRule="auto"/>
        <w:tabs>
          <w:tab w:leader="none" w:pos="2084" w:val="left"/>
        </w:tabs>
        <w:numPr>
          <w:ilvl w:val="0"/>
          <w:numId w:val="7"/>
        </w:numPr>
        <w:rPr>
          <w:rFonts w:ascii="Arial" w:cs="Arial" w:eastAsia="Arial" w:hAnsi="Arial"/>
          <w:sz w:val="17"/>
          <w:szCs w:val="17"/>
          <w:color w:val="auto"/>
        </w:rPr>
      </w:pPr>
      <w:r>
        <w:rPr>
          <w:rFonts w:ascii="Arial" w:cs="Arial" w:eastAsia="Arial" w:hAnsi="Arial"/>
          <w:sz w:val="17"/>
          <w:szCs w:val="17"/>
          <w:color w:val="auto"/>
        </w:rPr>
        <w:t>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and Sixth Street CLO XIX Management, LLC (collectively, the “</w:t>
      </w:r>
      <w:r>
        <w:rPr>
          <w:rFonts w:ascii="Arial" w:cs="Arial" w:eastAsia="Arial" w:hAnsi="Arial"/>
          <w:sz w:val="17"/>
          <w:szCs w:val="17"/>
          <w:b w:val="1"/>
          <w:bCs w:val="1"/>
          <w:i w:val="1"/>
          <w:iCs w:val="1"/>
          <w:color w:val="auto"/>
        </w:rPr>
        <w:t>CLO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Management Entities</w:t>
      </w:r>
      <w:r>
        <w:rPr>
          <w:rFonts w:ascii="Arial" w:cs="Arial" w:eastAsia="Arial" w:hAnsi="Arial"/>
          <w:sz w:val="17"/>
          <w:szCs w:val="17"/>
          <w:color w:val="auto"/>
        </w:rPr>
        <w:t>”) each of which serves as the investment adviser to the applicable CLO Fund;</w:t>
      </w:r>
    </w:p>
    <w:p>
      <w:pPr>
        <w:spacing w:after="0" w:line="83" w:lineRule="exact"/>
        <w:rPr>
          <w:rFonts w:ascii="Arial" w:cs="Arial" w:eastAsia="Arial" w:hAnsi="Arial"/>
          <w:sz w:val="17"/>
          <w:szCs w:val="17"/>
          <w:color w:val="auto"/>
        </w:rPr>
      </w:pPr>
    </w:p>
    <w:p>
      <w:pPr>
        <w:ind w:left="2084" w:right="200" w:hanging="545"/>
        <w:spacing w:after="0" w:line="255"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and Sixth Street Structured Credit Opportunities V Management, LLC (collectively, the “</w:t>
      </w:r>
      <w:r>
        <w:rPr>
          <w:rFonts w:ascii="Arial" w:cs="Arial" w:eastAsia="Arial" w:hAnsi="Arial"/>
          <w:sz w:val="18"/>
          <w:szCs w:val="18"/>
          <w:b w:val="1"/>
          <w:bCs w:val="1"/>
          <w:i w:val="1"/>
          <w:iCs w:val="1"/>
          <w:color w:val="auto"/>
        </w:rPr>
        <w:t>CMS Non-Equity Management Entities</w:t>
      </w:r>
      <w:r>
        <w:rPr>
          <w:rFonts w:ascii="Arial" w:cs="Arial" w:eastAsia="Arial" w:hAnsi="Arial"/>
          <w:sz w:val="18"/>
          <w:szCs w:val="18"/>
          <w:color w:val="auto"/>
        </w:rPr>
        <w:t>”) each of which serves as the investment adviser to the applicable CMS Non-Equity Fund;</w:t>
      </w:r>
    </w:p>
    <w:p>
      <w:pPr>
        <w:spacing w:after="0" w:line="97" w:lineRule="exact"/>
        <w:rPr>
          <w:rFonts w:ascii="Arial" w:cs="Arial" w:eastAsia="Arial" w:hAnsi="Arial"/>
          <w:sz w:val="18"/>
          <w:szCs w:val="18"/>
          <w:color w:val="auto"/>
        </w:rPr>
      </w:pPr>
    </w:p>
    <w:p>
      <w:pPr>
        <w:ind w:left="2084" w:right="520" w:hanging="545"/>
        <w:spacing w:after="0" w:line="263"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Sixth Street CLO Advisers II, LLC, TSSP Institutional Credit III Management, LLC, and Sixth Street Credit Market Strategies Management, LLC (collectively the “</w:t>
      </w:r>
      <w:r>
        <w:rPr>
          <w:rFonts w:ascii="Arial" w:cs="Arial" w:eastAsia="Arial" w:hAnsi="Arial"/>
          <w:sz w:val="18"/>
          <w:szCs w:val="18"/>
          <w:b w:val="1"/>
          <w:bCs w:val="1"/>
          <w:i w:val="1"/>
          <w:iCs w:val="1"/>
          <w:color w:val="auto"/>
        </w:rPr>
        <w:t>CMS Equity Management Entities</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which serves as the investment adviser to the applicable CMS Equity Fund;</w:t>
      </w:r>
    </w:p>
    <w:p>
      <w:pPr>
        <w:spacing w:after="0" w:line="89" w:lineRule="exact"/>
        <w:rPr>
          <w:rFonts w:ascii="Arial" w:cs="Arial" w:eastAsia="Arial" w:hAnsi="Arial"/>
          <w:sz w:val="18"/>
          <w:szCs w:val="18"/>
          <w:color w:val="auto"/>
        </w:rPr>
      </w:pPr>
    </w:p>
    <w:p>
      <w:pPr>
        <w:ind w:left="2084" w:right="180" w:hanging="545"/>
        <w:spacing w:after="0" w:line="296" w:lineRule="auto"/>
        <w:tabs>
          <w:tab w:leader="none" w:pos="2084" w:val="left"/>
        </w:tabs>
        <w:numPr>
          <w:ilvl w:val="0"/>
          <w:numId w:val="7"/>
        </w:numPr>
        <w:rPr>
          <w:rFonts w:ascii="Arial" w:cs="Arial" w:eastAsia="Arial" w:hAnsi="Arial"/>
          <w:sz w:val="16"/>
          <w:szCs w:val="16"/>
          <w:color w:val="auto"/>
        </w:rPr>
      </w:pPr>
      <w:r>
        <w:rPr>
          <w:rFonts w:ascii="Arial" w:cs="Arial" w:eastAsia="Arial" w:hAnsi="Arial"/>
          <w:sz w:val="16"/>
          <w:szCs w:val="16"/>
          <w:color w:val="auto"/>
        </w:rPr>
        <w:t>Sixth Street Specialty Lending Europe I Management, LLC and Sixth Street Specialty Lending Europe II Management, LLC (collectively, the “</w:t>
      </w:r>
      <w:r>
        <w:rPr>
          <w:rFonts w:ascii="Arial" w:cs="Arial" w:eastAsia="Arial" w:hAnsi="Arial"/>
          <w:sz w:val="16"/>
          <w:szCs w:val="16"/>
          <w:b w:val="1"/>
          <w:bCs w:val="1"/>
          <w:i w:val="1"/>
          <w:iCs w:val="1"/>
          <w:color w:val="auto"/>
        </w:rPr>
        <w:t>SLE Management Entities</w:t>
      </w:r>
      <w:r>
        <w:rPr>
          <w:rFonts w:ascii="Arial" w:cs="Arial" w:eastAsia="Arial" w:hAnsi="Arial"/>
          <w:sz w:val="16"/>
          <w:szCs w:val="16"/>
          <w:color w:val="auto"/>
        </w:rPr>
        <w:t>”), which serves as investment adviser to the SLE Funds (and together with Opps III Management, Opps IV Management, Opps V Management, TAO Management, Growth I Management, Growth II Management, FS Management, Agriculture Management, SH Management, CMS Management, the CLO Management Entities and the CMS Non-Equity Management Entities, the “</w:t>
      </w:r>
      <w:r>
        <w:rPr>
          <w:rFonts w:ascii="Arial" w:cs="Arial" w:eastAsia="Arial" w:hAnsi="Arial"/>
          <w:sz w:val="16"/>
          <w:szCs w:val="16"/>
          <w:b w:val="1"/>
          <w:bCs w:val="1"/>
          <w:i w:val="1"/>
          <w:iCs w:val="1"/>
          <w:color w:val="auto"/>
        </w:rPr>
        <w:t>Sixth Street Management Companies</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2084" w:right="420" w:hanging="545"/>
        <w:spacing w:after="0" w:line="263"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Sixth Street Advisers, LLC (“</w:t>
      </w:r>
      <w:r>
        <w:rPr>
          <w:rFonts w:ascii="Arial" w:cs="Arial" w:eastAsia="Arial" w:hAnsi="Arial"/>
          <w:sz w:val="18"/>
          <w:szCs w:val="18"/>
          <w:b w:val="1"/>
          <w:bCs w:val="1"/>
          <w:i w:val="1"/>
          <w:iCs w:val="1"/>
          <w:color w:val="auto"/>
        </w:rPr>
        <w:t>Sixth Street Advisers</w:t>
      </w:r>
      <w:r>
        <w:rPr>
          <w:rFonts w:ascii="Arial" w:cs="Arial" w:eastAsia="Arial" w:hAnsi="Arial"/>
          <w:sz w:val="18"/>
          <w:szCs w:val="18"/>
          <w:color w:val="auto"/>
        </w:rPr>
        <w:t xml:space="preserve">”), which solely controls each of the Sixth Street Management Companies and is itself an investment adviser that provides investment advisory services related to certain investment vehicles sponsored by Sixth Street (as defined below); </w:t>
      </w:r>
      <w:r>
        <w:rPr>
          <w:rFonts w:ascii="Arial" w:cs="Arial" w:eastAsia="Arial" w:hAnsi="Arial"/>
          <w:sz w:val="18"/>
          <w:szCs w:val="18"/>
          <w:u w:val="single" w:color="auto"/>
          <w:color w:val="auto"/>
        </w:rPr>
        <w:t>and</w:t>
      </w:r>
    </w:p>
    <w:p>
      <w:pPr>
        <w:spacing w:after="0" w:line="89" w:lineRule="exact"/>
        <w:rPr>
          <w:rFonts w:ascii="Arial" w:cs="Arial" w:eastAsia="Arial" w:hAnsi="Arial"/>
          <w:sz w:val="18"/>
          <w:szCs w:val="18"/>
          <w:color w:val="auto"/>
        </w:rPr>
      </w:pPr>
    </w:p>
    <w:p>
      <w:pPr>
        <w:ind w:left="2084" w:right="200" w:hanging="545"/>
        <w:spacing w:after="0" w:line="277"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TSSP Holdco Management, LLC (“</w:t>
      </w:r>
      <w:r>
        <w:rPr>
          <w:rFonts w:ascii="Arial" w:cs="Arial" w:eastAsia="Arial" w:hAnsi="Arial"/>
          <w:sz w:val="18"/>
          <w:szCs w:val="18"/>
          <w:b w:val="1"/>
          <w:bCs w:val="1"/>
          <w:i w:val="1"/>
          <w:iCs w:val="1"/>
          <w:color w:val="auto"/>
        </w:rPr>
        <w:t>Sixth Street Holdco</w:t>
      </w:r>
      <w:r>
        <w:rPr>
          <w:rFonts w:ascii="Arial" w:cs="Arial" w:eastAsia="Arial" w:hAnsi="Arial"/>
          <w:sz w:val="18"/>
          <w:szCs w:val="18"/>
          <w:color w:val="auto"/>
        </w:rPr>
        <w:t>”), a Delaware limited liability company that controls each of the Existing Advisers.</w:t>
      </w:r>
    </w:p>
    <w:p>
      <w:pPr>
        <w:spacing w:after="0" w:line="170"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Applicants do not seek relief for transactions that would be permitted under other regulatory or interpretive guidance, including, for example, transactions effected consistent with Commission staff no-action positions.</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the JT No-Action Letters (as defined below).</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8" w:name="page9"/>
    <w:bookmarkEnd w:id="8"/>
    <w:p>
      <w:pPr>
        <w:ind w:left="964" w:hanging="532"/>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Terms</w:t>
      </w:r>
    </w:p>
    <w:p>
      <w:pPr>
        <w:spacing w:after="0" w:line="117"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collectively, the Existing Advisers together with any future investment adviser that (i) controls, is controlled by or is under common control with any of the Existing Advisers, (ii) is registered as an investment adviser under the Advisers Act and (iii) is not a Regulated Fund (defined below) or a subsidiary of a Regulated Fund.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Affiliated Fund</w:t>
      </w:r>
      <w:r>
        <w:rPr>
          <w:rFonts w:ascii="Arial" w:cs="Arial" w:eastAsia="Arial" w:hAnsi="Arial"/>
          <w:sz w:val="17"/>
          <w:szCs w:val="17"/>
          <w:color w:val="auto"/>
        </w:rPr>
        <w:t>” means any Existing Affiliated Fund, any Future Affiliated Fund or any Sixth Street Proprietary Account (as defined below).</w:t>
      </w:r>
    </w:p>
    <w:p>
      <w:pPr>
        <w:spacing w:after="0" w:line="237" w:lineRule="exact"/>
        <w:rPr>
          <w:sz w:val="20"/>
          <w:szCs w:val="20"/>
          <w:color w:val="auto"/>
        </w:rPr>
      </w:pPr>
    </w:p>
    <w:p>
      <w:pPr>
        <w:ind w:left="4"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 means the Company, the Existing Affiliated Funds, the Existing Advisers, and Sixth Street Holdco, each on behalf of itself and its successors.</w:t>
      </w:r>
      <w:r>
        <w:rPr>
          <w:rFonts w:ascii="Arial" w:cs="Arial" w:eastAsia="Arial" w:hAnsi="Arial"/>
          <w:sz w:val="15"/>
          <w:szCs w:val="15"/>
          <w:color w:val="auto"/>
        </w:rPr>
        <w:t>5</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 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(or the equivalent) of the applicable Regulated Fund.</w:t>
      </w:r>
    </w:p>
    <w:p>
      <w:pPr>
        <w:spacing w:after="0" w:line="225"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Board-Established Criteria</w:t>
      </w:r>
      <w:r>
        <w:rPr>
          <w:rFonts w:ascii="Arial" w:cs="Arial" w:eastAsia="Arial" w:hAnsi="Arial"/>
          <w:sz w:val="17"/>
          <w:szCs w:val="17"/>
          <w:color w:val="auto"/>
        </w:rPr>
        <w:t>” means criteria that the Board of a Regulated Fund may establish from time to time to describe the characteristics of Potential Co-Investment Transactions regarding which an Adviser to such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geographical location of the issuer, minimum EBITDA of the issuer, type of investment, asset class of the investment opportunity or required commitment size, and not on characteristics that solely involve a discretionary assessment. An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its approval of any Board-Established Criteria, though Applicants anticipate that, under normal circumstances, the Board would not modify these criteria more often than quarterly.</w:t>
      </w:r>
    </w:p>
    <w:p>
      <w:pPr>
        <w:spacing w:after="0" w:line="182"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84"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Co-Investment Transaction</w:t>
      </w:r>
      <w:r>
        <w:rPr>
          <w:rFonts w:ascii="Arial" w:cs="Arial" w:eastAsia="Arial" w:hAnsi="Arial"/>
          <w:sz w:val="17"/>
          <w:szCs w:val="17"/>
          <w:color w:val="auto"/>
        </w:rPr>
        <w:t>” means any transaction in which one or more Regulated Funds (or its Wholly-Owned Investment Sub (defined below)) participated together with one or more Affiliated Funds and/or one or more other Regulated Funds in reliance on the Order.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 of an issuer.</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 additional investment in the same issuer, including, but not limited to, through the exercise of warrants, conversion privileges or other rights to purchase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140" w:hanging="424"/>
        <w:spacing w:after="0" w:line="277" w:lineRule="auto"/>
        <w:tabs>
          <w:tab w:leader="none" w:pos="4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term successor, as applied to any Adviser, means an entity which results from a reorganization into another jurisdiction or change in the type of business organization.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Future Affiliated Fund</w:t>
      </w:r>
      <w:r>
        <w:rPr>
          <w:rFonts w:ascii="Arial" w:cs="Arial" w:eastAsia="Arial" w:hAnsi="Arial"/>
          <w:sz w:val="16"/>
          <w:szCs w:val="16"/>
          <w:color w:val="auto"/>
        </w:rPr>
        <w:t>” means any entity (a) whose investment adviser is an Adviser, (b) that would be an investment company but for Section 3(c)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(1), 3(c)(5)(C) or 3(c)(7) of the Act, and (c) that intends to participate in the Co-Investment Program.</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Future Regulated Fund</w:t>
      </w:r>
      <w:r>
        <w:rPr>
          <w:rFonts w:ascii="Arial" w:cs="Arial" w:eastAsia="Arial" w:hAnsi="Arial"/>
          <w:sz w:val="18"/>
          <w:szCs w:val="18"/>
          <w:color w:val="auto"/>
        </w:rPr>
        <w:t>” means a closed-end management investment company (a) that is registered under the Act or has elected to be regulated as a BDC; (b) whose investment adviser is an Adviser; and (c) that intends to participate in the Co-Investment Program.</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member of the Board of any relevant entity who is not an “interested person” as defined in Section 2(a)(19) of the Act. No Independent Director of a Regulated Fund will have a financial interest in any Co-Investment Transaction, other than indirectly through share ownership in one of the Regulated Funds.</w:t>
      </w:r>
    </w:p>
    <w:p>
      <w:pPr>
        <w:spacing w:after="0" w:line="184" w:lineRule="exact"/>
        <w:rPr>
          <w:sz w:val="20"/>
          <w:szCs w:val="20"/>
          <w:color w:val="auto"/>
        </w:rPr>
      </w:pPr>
    </w:p>
    <w:p>
      <w:pPr>
        <w:ind w:left="4" w:right="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jc w:val="both"/>
        <w:ind w:left="4" w:right="2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a Regulated Fund’s investment objectives and strategies, as described in its most current registration statement on Form N-2, other current filings with the Commission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its most current report to stockholders.</w:t>
      </w:r>
    </w:p>
    <w:p>
      <w:pPr>
        <w:spacing w:after="0" w:line="184"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Pre-Boarding Investments</w:t>
      </w:r>
      <w:r>
        <w:rPr>
          <w:rFonts w:ascii="Arial" w:cs="Arial" w:eastAsia="Arial" w:hAnsi="Arial"/>
          <w:sz w:val="16"/>
          <w:szCs w:val="16"/>
          <w:color w:val="auto"/>
        </w:rPr>
        <w:t>” are investments in an issuer held by a Regulated Fund as well as one or more Affiliated Funds and/or one or more other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Regulated Funds that were acquired prior to participating in any Co-Investment Transaction:</w:t>
      </w:r>
    </w:p>
    <w:p>
      <w:pPr>
        <w:sectPr>
          <w:pgSz w:w="11900" w:h="16838" w:orient="portrait"/>
          <w:cols w:equalWidth="0" w:num="1">
            <w:col w:w="11004"/>
          </w:cols>
          <w:pgMar w:left="436" w:top="274" w:right="459" w:bottom="1440" w:gutter="0" w:footer="0" w:header="0"/>
        </w:sectPr>
      </w:pPr>
    </w:p>
    <w:p>
      <w:pPr>
        <w:spacing w:after="0" w:line="11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transactions in which the only term negotiated by or on behalf of such funds was price in reliance on one of the JT No-Action Letters; or</w:t>
      </w:r>
    </w:p>
    <w:p>
      <w:pPr>
        <w:spacing w:after="0" w:line="153" w:lineRule="exact"/>
        <w:rPr>
          <w:sz w:val="20"/>
          <w:szCs w:val="20"/>
          <w:color w:val="auto"/>
        </w:rPr>
      </w:pPr>
    </w:p>
    <w:p>
      <w:pPr>
        <w:sectPr>
          <w:pgSz w:w="11900" w:h="16838" w:orient="portrait"/>
          <w:cols w:equalWidth="0" w:num="2">
            <w:col w:w="584" w:space="380"/>
            <w:col w:w="10040"/>
          </w:cols>
          <w:pgMar w:left="436" w:top="274" w:right="459" w:bottom="1440" w:gutter="0" w:footer="0" w:header="0"/>
          <w:type w:val="continuous"/>
        </w:sectPr>
      </w:pPr>
    </w:p>
    <w:p>
      <w:pPr>
        <w:ind w:left="424"/>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sectPr>
          <w:pgSz w:w="11900" w:h="16838" w:orient="portrait"/>
          <w:cols w:equalWidth="0" w:num="2">
            <w:col w:w="644" w:space="320"/>
            <w:col w:w="10040"/>
          </w:cols>
          <w:pgMar w:left="436" w:top="274" w:right="45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Company and any Future Regulated Funds.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in Affiliates that would be a Close Affiliate but for the exclusion in that definition.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defined in Section 57(o) of the Act.</w:t>
      </w:r>
      <w:r>
        <w:rPr>
          <w:rFonts w:ascii="Arial" w:cs="Arial" w:eastAsia="Arial" w:hAnsi="Arial"/>
          <w:sz w:val="15"/>
          <w:szCs w:val="15"/>
          <w:color w:val="auto"/>
        </w:rPr>
        <w:t>6</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SBIC Subsidiary</w:t>
      </w:r>
      <w:r>
        <w:rPr>
          <w:rFonts w:ascii="Arial" w:cs="Arial" w:eastAsia="Arial" w:hAnsi="Arial"/>
          <w:sz w:val="18"/>
          <w:szCs w:val="18"/>
          <w:color w:val="auto"/>
        </w:rPr>
        <w:t>” means a Wholly-Owned Investment Sub that is licensed by the Small Business Administration (the “</w:t>
      </w:r>
      <w:r>
        <w:rPr>
          <w:rFonts w:ascii="Arial" w:cs="Arial" w:eastAsia="Arial" w:hAnsi="Arial"/>
          <w:sz w:val="18"/>
          <w:szCs w:val="18"/>
          <w:b w:val="1"/>
          <w:bCs w:val="1"/>
          <w:i w:val="1"/>
          <w:iCs w:val="1"/>
          <w:color w:val="auto"/>
        </w:rPr>
        <w:t>SBA</w:t>
      </w:r>
      <w:r>
        <w:rPr>
          <w:rFonts w:ascii="Arial" w:cs="Arial" w:eastAsia="Arial" w:hAnsi="Arial"/>
          <w:sz w:val="18"/>
          <w:szCs w:val="18"/>
          <w:color w:val="auto"/>
        </w:rPr>
        <w:t>”) to operate under the Small Business Investment Act of 1958, as amended (the “</w:t>
      </w:r>
      <w:r>
        <w:rPr>
          <w:rFonts w:ascii="Arial" w:cs="Arial" w:eastAsia="Arial" w:hAnsi="Arial"/>
          <w:sz w:val="18"/>
          <w:szCs w:val="18"/>
          <w:b w:val="1"/>
          <w:bCs w:val="1"/>
          <w:i w:val="1"/>
          <w:iCs w:val="1"/>
          <w:color w:val="auto"/>
        </w:rPr>
        <w:t>SBA Act</w:t>
      </w:r>
      <w:r>
        <w:rPr>
          <w:rFonts w:ascii="Arial" w:cs="Arial" w:eastAsia="Arial" w:hAnsi="Arial"/>
          <w:sz w:val="18"/>
          <w:szCs w:val="18"/>
          <w:color w:val="auto"/>
        </w:rPr>
        <w:t>”), as a small business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20" w:hanging="424"/>
        <w:spacing w:after="0" w:line="277"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type w:val="continuous"/>
        </w:sectPr>
      </w:pPr>
    </w:p>
    <w:bookmarkStart w:id="10" w:name="page11"/>
    <w:bookmarkEnd w:id="10"/>
    <w:p>
      <w:pPr>
        <w:ind w:left="4"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Sixth Street</w:t>
      </w:r>
      <w:r>
        <w:rPr>
          <w:rFonts w:ascii="Arial" w:cs="Arial" w:eastAsia="Arial" w:hAnsi="Arial"/>
          <w:sz w:val="18"/>
          <w:szCs w:val="18"/>
          <w:color w:val="auto"/>
        </w:rPr>
        <w:t>” means the investment management platform presently referred to collectively as “SSP” or “Sixth Street Partners,” of which each of the Applicants is a part.</w:t>
      </w:r>
    </w:p>
    <w:p>
      <w:pPr>
        <w:spacing w:after="0" w:line="170"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Sixth Street Proprietary Account</w:t>
      </w:r>
      <w:r>
        <w:rPr>
          <w:rFonts w:ascii="Arial" w:cs="Arial" w:eastAsia="Arial" w:hAnsi="Arial"/>
          <w:sz w:val="18"/>
          <w:szCs w:val="18"/>
          <w:color w:val="auto"/>
        </w:rPr>
        <w:t>” means any direct or indirect, wholly- or majority-owned subsidiary of either of Sixth Street Holdco, or any entity that controls or is under common control with Sixth Street Holdco, including in each case that is formed in the future that, from time to time, may hold various financial assets in a principal capacity.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acquired in a Co-Investment Transaction that meets the following criteria at the time of Disposition:</w:t>
      </w:r>
    </w:p>
    <w:p>
      <w:pPr>
        <w:spacing w:after="0" w:line="131" w:lineRule="exact"/>
        <w:rPr>
          <w:sz w:val="20"/>
          <w:szCs w:val="20"/>
          <w:color w:val="auto"/>
        </w:rPr>
      </w:pPr>
    </w:p>
    <w:p>
      <w:pPr>
        <w:ind w:left="964" w:right="220" w:hanging="532"/>
        <w:spacing w:after="0" w:line="277"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trades on a national securities exchange or designated offshore securities market as defined in rule 902(b) under the Securities Act (an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it is not subject to restrictive agreements with the issuer or other security holders; </w:t>
      </w:r>
      <w:r>
        <w:rPr>
          <w:rFonts w:ascii="Arial" w:cs="Arial" w:eastAsia="Arial" w:hAnsi="Arial"/>
          <w:sz w:val="18"/>
          <w:szCs w:val="18"/>
          <w:u w:val="single" w:color="auto"/>
          <w:color w:val="auto"/>
        </w:rPr>
        <w:t>and</w:t>
      </w:r>
    </w:p>
    <w:p>
      <w:pPr>
        <w:spacing w:after="0" w:line="130" w:lineRule="exact"/>
        <w:rPr>
          <w:rFonts w:ascii="Arial" w:cs="Arial" w:eastAsia="Arial" w:hAnsi="Arial"/>
          <w:sz w:val="18"/>
          <w:szCs w:val="18"/>
          <w:color w:val="auto"/>
        </w:rPr>
      </w:pPr>
    </w:p>
    <w:p>
      <w:pPr>
        <w:ind w:left="964" w:right="300" w:hanging="532"/>
        <w:spacing w:after="0" w:line="279" w:lineRule="auto"/>
        <w:tabs>
          <w:tab w:leader="none" w:pos="9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trades with sufficient volume and liquidity (findings as to which are documented by an Adviser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71"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Wholly-Owned Investment Sub</w:t>
      </w:r>
      <w:r>
        <w:rPr>
          <w:rFonts w:ascii="Arial" w:cs="Arial" w:eastAsia="Arial" w:hAnsi="Arial"/>
          <w:sz w:val="16"/>
          <w:szCs w:val="16"/>
          <w:color w:val="auto"/>
        </w:rPr>
        <w:t>” means an entity (i) that is wholly owned by a Regulated Fund (with such Regulated Fund at all times holding, beneficially and of record, 100% of the voting and economic interests); (ii) whose sole business purpose is to hold one or more investments on behalf of such Regulated Fund (and, in the case of an SBIC Subsidiary, maintains a license under the SBA Act and issues debentures guaranteed by the SBA);</w:t>
      </w:r>
    </w:p>
    <w:p>
      <w:pPr>
        <w:spacing w:after="0" w:line="2" w:lineRule="exact"/>
        <w:rPr>
          <w:sz w:val="20"/>
          <w:szCs w:val="20"/>
          <w:color w:val="auto"/>
        </w:rPr>
      </w:pPr>
    </w:p>
    <w:p>
      <w:pPr>
        <w:jc w:val="both"/>
        <w:ind w:left="4" w:right="60" w:hanging="4"/>
        <w:spacing w:after="0" w:line="255"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which such Regulated Fund’s Board has the sole authority to make all determinations with respect to the entity’s participation under the Conditions to this Application; and (iv) that would be an investment company but for Section 3(c)(1), 3(c)(5)(C) or 3(c)(7) of the Act. TC Lending, LLC is a Wholly-Owned Investment Sub of the Company.</w:t>
      </w:r>
    </w:p>
    <w:p>
      <w:pPr>
        <w:spacing w:after="0" w:line="334"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135" w:lineRule="exact"/>
        <w:rPr>
          <w:sz w:val="20"/>
          <w:szCs w:val="20"/>
          <w:color w:val="auto"/>
        </w:rPr>
      </w:pPr>
    </w:p>
    <w:p>
      <w:pPr>
        <w:ind w:left="964" w:hanging="532"/>
        <w:spacing w:after="0"/>
        <w:tabs>
          <w:tab w:leader="none" w:pos="96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The Company was organized as a Delaware corporation on July 21, 2010 for the purpose of operating as an externally managed specialty finance investment company. The Company has elected to be regulated as a BDC under the Act. In connection with that election, the Company has registered its shares under the Exchange Act, and is thus subject to the periodic reporting requirements of the Exchange Act.</w:t>
      </w:r>
    </w:p>
    <w:p>
      <w:pPr>
        <w:spacing w:after="0" w:line="16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Company initially raised capital through private offerings in reliance on the exemption from the registration requirements under the Securities Act set forth under Section 4(a)(2) thereof. The Company completed the initial public offering of its shares of common stock on March 26, 2014. The Company’s common stock is traded on the New York Stock Exchange under the symbol “TSLX.” As of June 30, 2021, the Company had 72,649,683 shares of common stock outstanding.</w:t>
      </w:r>
    </w:p>
    <w:p>
      <w:pPr>
        <w:spacing w:after="0" w:line="18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Company’s current investment objective and strategy is to generate current income by targeting investments with favorable risk-adjusted returns. The Company seeks to generate current income primarily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Company has elected to be treated as a regulated investment company (“</w:t>
      </w:r>
      <w:r>
        <w:rPr>
          <w:rFonts w:ascii="Arial" w:cs="Arial" w:eastAsia="Arial" w:hAnsi="Arial"/>
          <w:sz w:val="18"/>
          <w:szCs w:val="18"/>
          <w:b w:val="1"/>
          <w:bCs w:val="1"/>
          <w:i w:val="1"/>
          <w:iCs w:val="1"/>
          <w:color w:val="auto"/>
        </w:rPr>
        <w:t>RIC</w:t>
      </w:r>
      <w:r>
        <w:rPr>
          <w:rFonts w:ascii="Arial" w:cs="Arial" w:eastAsia="Arial" w:hAnsi="Arial"/>
          <w:sz w:val="18"/>
          <w:szCs w:val="18"/>
          <w:color w:val="auto"/>
        </w:rPr>
        <w:t>”) under Subchapter M of the Internal Revenue Code of 1986, as amended, and operates in a manner so as to qualify for the tax treatment applicable to RICs.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1" w:name="page12"/>
    <w:bookmarkEnd w:id="1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the Company (the “</w:t>
      </w:r>
      <w:r>
        <w:rPr>
          <w:rFonts w:ascii="Arial" w:cs="Arial" w:eastAsia="Arial" w:hAnsi="Arial"/>
          <w:sz w:val="18"/>
          <w:szCs w:val="18"/>
          <w:b w:val="1"/>
          <w:bCs w:val="1"/>
          <w:i w:val="1"/>
          <w:iCs w:val="1"/>
          <w:color w:val="auto"/>
        </w:rPr>
        <w:t>TSLX Board</w:t>
      </w:r>
      <w:r>
        <w:rPr>
          <w:rFonts w:ascii="Arial" w:cs="Arial" w:eastAsia="Arial" w:hAnsi="Arial"/>
          <w:sz w:val="18"/>
          <w:szCs w:val="18"/>
          <w:color w:val="auto"/>
        </w:rPr>
        <w:t>”) is comprised of nine directors, five of whom are Independent Directors.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Members of the TSLX Board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Hurley Doddy (Independent Director)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Richard Higginbotham (Independent Director)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John Ross (Independent Director)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Judy Slotkin (Independent Director)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Ronald Tanemura (Independent Director)</w:t>
      </w:r>
    </w:p>
    <w:p>
      <w:pPr>
        <w:spacing w:after="0" w:line="21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 Independent Director of a Regulated Fund will have a financial interest in any Co-Investment Transaction, other than indirectly through share ownership in one of the Regulated Funds.</w:t>
      </w:r>
    </w:p>
    <w:p>
      <w:pPr>
        <w:spacing w:after="0" w:line="170"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Each of the Affiliated Funds, described in more detail below, has, or will have, investment objectives and strategies that may overlap from time to time with the Company’s Objectives and Strategies. To the extent there is an investment that falls within these Objectives and Strategies, the Company may co-invest with one or more Affiliated Funds.</w:t>
      </w:r>
    </w:p>
    <w:p>
      <w:pPr>
        <w:spacing w:after="0" w:line="184" w:lineRule="exact"/>
        <w:rPr>
          <w:sz w:val="20"/>
          <w:szCs w:val="20"/>
          <w:color w:val="auto"/>
        </w:rPr>
      </w:pPr>
    </w:p>
    <w:p>
      <w:pPr>
        <w:jc w:val="both"/>
        <w:ind w:left="4" w:right="40" w:firstLine="440"/>
        <w:spacing w:after="0" w:line="342" w:lineRule="auto"/>
        <w:rPr>
          <w:sz w:val="20"/>
          <w:szCs w:val="20"/>
          <w:color w:val="auto"/>
        </w:rPr>
      </w:pPr>
      <w:r>
        <w:rPr>
          <w:rFonts w:ascii="Arial" w:cs="Arial" w:eastAsia="Arial" w:hAnsi="Arial"/>
          <w:sz w:val="16"/>
          <w:szCs w:val="16"/>
          <w:color w:val="auto"/>
        </w:rPr>
        <w:t>TC Lending, LLC is a Wholly-Owned Investment Sub of the Company, whose sole business purpose is to hold one or more investments on behalf of the Company. TC Lending, LLC is a separate and distinct legal entity. TC Lending, LLC is exempt from registration under Section 3(c)(7) of the Act.</w:t>
      </w:r>
    </w:p>
    <w:p>
      <w:pPr>
        <w:spacing w:after="0" w:line="272" w:lineRule="exact"/>
        <w:rPr>
          <w:sz w:val="20"/>
          <w:szCs w:val="20"/>
          <w:color w:val="auto"/>
        </w:rPr>
      </w:pPr>
    </w:p>
    <w:p>
      <w:pPr>
        <w:ind w:left="964" w:hanging="532"/>
        <w:spacing w:after="0"/>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Sixth Street Specialty Lending Advisers</w:t>
      </w:r>
    </w:p>
    <w:p>
      <w:pPr>
        <w:spacing w:after="0" w:line="117"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Sixth Street Specialty Lending Advisers, a Delaware limited liability company, is registered with the Commission as an investment adviser under the Advisers Act. Sixth Street Specialty Lending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Sixth Street Specialty Lending Advisers may in the future serve as an investment adviser to one or more Future Regulated Funds or Future Affiliated Funds. Sixth Street Specialty Lending Advisers may be deemed to be controlled by Sixth Street Holdco.</w:t>
      </w:r>
    </w:p>
    <w:p>
      <w:pPr>
        <w:spacing w:after="0" w:line="341" w:lineRule="exact"/>
        <w:rPr>
          <w:sz w:val="20"/>
          <w:szCs w:val="20"/>
          <w:color w:val="auto"/>
        </w:rPr>
      </w:pPr>
    </w:p>
    <w:p>
      <w:pPr>
        <w:ind w:left="964" w:hanging="532"/>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The Existing Affiliated Funds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Opps III Funds</w:t>
      </w:r>
    </w:p>
    <w:p>
      <w:pPr>
        <w:spacing w:after="0" w:line="117"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Opps III Funds are a series of private investment vehicles formed primarily to pursue actively managed global opportunistic credit and special situations investments in corporate and real estate backed investments. The Opps III Funds are comprised of a series of parallel investment vehicles that generally invest side-by-side in each portfolio investment.</w:t>
      </w:r>
      <w:r>
        <w:rPr>
          <w:rFonts w:ascii="Arial" w:cs="Arial" w:eastAsia="Arial" w:hAnsi="Arial"/>
          <w:sz w:val="15"/>
          <w:szCs w:val="15"/>
          <w:color w:val="auto"/>
        </w:rPr>
        <w:t>7</w:t>
      </w:r>
      <w:r>
        <w:rPr>
          <w:rFonts w:ascii="Arial" w:cs="Arial" w:eastAsia="Arial" w:hAnsi="Arial"/>
          <w:sz w:val="18"/>
          <w:szCs w:val="18"/>
          <w:color w:val="auto"/>
        </w:rPr>
        <w:t xml:space="preserve"> The investors in the Opps III Funds are primarily “qualified purchasers,” as defined in the Act, including, among others, high net worth individuals, banks, thrift institutions, pension and profit sharing plans, trusts, estates, charitable organizations, corporations, limited partnerships and limited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424" w:right="60" w:hanging="424"/>
        <w:spacing w:after="0" w:line="254" w:lineRule="auto"/>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Included within the roster of Existing Affiliated Funds referenced throughout this Application are various alternative investment vehicles (individually, an “</w:t>
      </w:r>
      <w:r>
        <w:rPr>
          <w:rFonts w:ascii="Arial" w:cs="Arial" w:eastAsia="Arial" w:hAnsi="Arial"/>
          <w:sz w:val="18"/>
          <w:szCs w:val="18"/>
          <w:b w:val="1"/>
          <w:bCs w:val="1"/>
          <w:i w:val="1"/>
          <w:iCs w:val="1"/>
          <w:color w:val="auto"/>
        </w:rPr>
        <w:t>AIV</w:t>
      </w:r>
      <w:r>
        <w:rPr>
          <w:rFonts w:ascii="Arial" w:cs="Arial" w:eastAsia="Arial" w:hAnsi="Arial"/>
          <w:sz w:val="18"/>
          <w:szCs w:val="18"/>
          <w:color w:val="auto"/>
        </w:rPr>
        <w:t>”). Such AIVs are generally used if a primary fund encounters legal, tax, business, accounting or regulatory impediments to the making of a potential investment, or such primary fund’s general partner determines that having one or more main fund limited partners make a potential investment or hold an existing investment through an AIV would be more favorable to the primary fund or the limited partners from a tax, legal, business, accounting or regulatory perspective. For purposes of this Application, we do not distinguish between AIVs and traditional parallel investment vehicles that may collectively comprise a particular fund family when referencing “parallel investment vehicles” within that fund family.</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2" w:name="page13"/>
    <w:bookmarkEnd w:id="12"/>
    <w:p>
      <w:pPr>
        <w:jc w:val="both"/>
        <w:ind w:right="4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Opps III Fund relies on the exception from the definition of “investment company” under the Act provided in Section 3(c)(1) or 3(c)(7). The general partner of each Opps III Fund is Sixth Street Opportunities GenPar III, L.P., and the investment adviser to each Opps III Fund is Opps III Management. Each Opps III Fund intends to co-invest with the Company during its applicable investment period.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IV Funds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Opps IV Funds are a series of private investment vehicles that are successor vehicles to the Opps III Funds, and thus are structured similarly to the Opps III Funds and pursue a similar investment strategy. The Opps IV Funds are comprised of a series of parallel investment vehicles that generally invest side-by-side in each portfolio investment. Similar to the Opps III Funds, the Opps IV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IV Fund is TSSP Opportunities GenPar IV, L.P., and the investment adviser to each Opps IV Fund is Opps IV Management. Each Opps IV Fund intends to co-invest with the Company during its applicable investment period.</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V Funds</w:t>
      </w:r>
    </w:p>
    <w:p>
      <w:pPr>
        <w:spacing w:after="0" w:line="11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Opps V Funds are a series of private investment vehicles that are successor vehicles to the Opps III Funds and the Opps IV Funds, and thus are structured similarly to the Opps III Funds and the Opps IV Funds and pursue a similar investment strategy. The Opps V Funds are comprised of a series of parallel investment vehicles that will generally invest side-by-side in each portfolio investment. Similar to the Opps III Funds and the Opps IV Funds, the Opps V Funds intend to (i) raise capital through the private placement of interests, (ii) primarily have “qualified purchasers,” as defined in the Act, as investors, and (iii) rely on the exception from the definition of “investment company” under the Act provided in Section 3(c)(1) or 3(c)(7). The general partner of each Opps V Fund is Sixth Street Opportunities GenPar V, L.P., and the investment adviser to each Opps V Fund is Opps V Management. Each Opps IV Fund intends to co-invest with the Company during its applicable investment period.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TAO Funds</w:t>
      </w:r>
    </w:p>
    <w:p>
      <w:pPr>
        <w:spacing w:after="0" w:line="11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The TAO Funds are a series of private investment vehicles formed primarily to generate attractive returns through the purchase or origination of opportunistic special situations and middle market direct lending investments across the credit cycle. The TAO Funds may also co-invest with investment vehicles sponsored by Sixth Street on an opportunistic basis. Similar to the Opps III Funds, the Opps IV Funds and the Opps V Funds, the TAO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TAO Fund is Sixth Street TAO GenPar, L.P., and the investment adviser to each TAO Fund is TAO Management. Each TAO Fund intends to co-invest with the Company during its applicable investment period.</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Growth I Funds</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Growth I Funds are a series of private investment vehicles formed primarily to generate attractive returns through the purchase or origination of downside-protected credit and equity investments in late-stage growth companies. Similar to the Opps III Funds, the Opps IV Funds, the Opps V Funds and the TAO Funds, the Growth 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 Fund is TSSP Capital Solutions GenPar, L.P., and the investment adviser to each Growth I Fund is Growth I Management. Each Growth I Fund intends to co-invest with the Company during its applicable investment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3" w:name="page14"/>
    <w:bookmarkEnd w:id="13"/>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Growth II Funds</w:t>
      </w:r>
    </w:p>
    <w:p>
      <w:pPr>
        <w:spacing w:after="0" w:line="11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Growth II Funds are a series of private investment vehicles that are successor vehicles to the Growth I Funds, and thus are structured similarly to the Growth I Funds and pursue a similar investment strategy. Similar to the Opps III Funds, the Opps IV Funds, the Opps V Funds, the TAO Funds and the Growth I Funds, the Growth I Funds intend to (i) raise capital through the private placement of interests, (ii) primarily have “qualified purchasers,” as defined in the Act, as investors, and (iii) rely on the exception from the definition of “investment company” under the Act provided in Section 3(c)(1) or 3(c)(7). The general partner of each Growth II Fund is Sixth Street Growth GenPar II, L.P., and the investment adviser to each Growth II Fund is Growth II Management. Each Growth II Fund intends to co-invest with the Company during its applicable investment period.</w:t>
      </w:r>
    </w:p>
    <w:p>
      <w:pPr>
        <w:spacing w:after="0" w:line="27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SLE Funds</w:t>
      </w:r>
    </w:p>
    <w:p>
      <w:pPr>
        <w:spacing w:after="0" w:line="117"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The SLE Funds are a series of private investment vehicles formed primarily to generate attractive risk-adjusted returns across credit cycles primarily through the direct origination of European middle-market credit investments. Similar to the Opps III Funds, the Opps IV Funds, the Opps V Funds, the TAO Funds, Growth I Funds, the Growth II Funds, and the SLE Funds (i) raised capital through the private placement of interests,</w:t>
      </w:r>
    </w:p>
    <w:p>
      <w:pPr>
        <w:spacing w:after="0" w:line="2" w:lineRule="exact"/>
        <w:rPr>
          <w:sz w:val="20"/>
          <w:szCs w:val="20"/>
          <w:color w:val="auto"/>
        </w:rPr>
      </w:pPr>
    </w:p>
    <w:p>
      <w:pPr>
        <w:ind w:left="4" w:hanging="4"/>
        <w:spacing w:after="0" w:line="271"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primarily have “qualified purchasers,” as defined in the Act, as investors, and (iii) rely on the exception from the definition of “investment company” under the Act provided in Section 3(c)(1) or 3(c)(7). Sixth Street Specialty Lending Europe GenPar I, L.P. serves as the general partner of Sixth Street Specialty Lending Europe I, L.P., Sixth Street Specialty Lending Europe GenPar II, L.P. serves as the general partner of Sixth Street Specialty Lending Europe II, L.P., and Super TSLE GenPar, L.P. serves as the general partner of Super TSLE, L.P. The investment adviser to the SLE Funds is SLE Management. Each SLE Fund intends to co-invest with the Company during its applicable investment period.</w:t>
      </w:r>
    </w:p>
    <w:p>
      <w:pPr>
        <w:spacing w:after="0" w:line="28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FS Funds</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FS Funds are a series of private investment vehicles formed primarily to generate attractive risk-adjusted returns across credit cycles primarily through the purchase of secondary stressed credit along with other special situations investments. Similar to the Opps III Funds, the Opps IV Funds, the Opps V Funds, the TAO Funds, the Growth I Funds, the Growth II Funds, and the SLE Funds, the FS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FS Fund is Sixth Street Fundamental Strategies GenPar, L.P. The investment adviser to each FS Fund is FS Management. Each FS Fund intends to co-invest with the Company during its applicable investment period.</w:t>
      </w:r>
    </w:p>
    <w:p>
      <w:pPr>
        <w:spacing w:after="0" w:line="30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Agriculture Fund</w:t>
      </w:r>
    </w:p>
    <w:p>
      <w:pPr>
        <w:spacing w:after="0" w:line="117"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The Agriculture Fund is a private investment vehicle formed primarily to generate attractive risk-adjusted returns through long-term investments in fundamentally attractive agricultural assets. Similar to the Opps III Funds, the Opps IV Funds, the Opps V Funds, the TAO Funds, the Growth I Funds, the Growth II Funds, the SLE Funds and the FS Funds, the Agriculture Fund (i) raised capital through the private placement of interests,</w:t>
      </w:r>
    </w:p>
    <w:p>
      <w:pPr>
        <w:spacing w:after="0" w:line="2" w:lineRule="exact"/>
        <w:rPr>
          <w:sz w:val="20"/>
          <w:szCs w:val="20"/>
          <w:color w:val="auto"/>
        </w:rPr>
      </w:pPr>
    </w:p>
    <w:p>
      <w:pPr>
        <w:ind w:left="4" w:hanging="4"/>
        <w:spacing w:after="0" w:line="253" w:lineRule="auto"/>
        <w:tabs>
          <w:tab w:leader="none" w:pos="2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primarily have “qualified purchasers,” as defined in the Act, as investors, and (iii) rely on the exception from the definition of “investment company” under the Act provided in Section 3(c)(1) or 3(c)(7). Sixth Street Agriculture GenPar, L.P. serves as the general partner of the Agriculture Fund. The investment adviser to the Agriculture Fund is Agriculture Management. The Agriculture Fund intends to co-invest with the Company during its applicable investment period.</w:t>
      </w:r>
    </w:p>
    <w:p>
      <w:pPr>
        <w:spacing w:after="0" w:line="30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SH Funds</w:t>
      </w:r>
    </w:p>
    <w:p>
      <w:pPr>
        <w:spacing w:after="0" w:line="117"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The SH Funds are a series of private investment vehicles formed primarily to co-invest with Affiliated Funds on the Sixth Street platform. Similar to the Opps III Funds, the Opps IV Funds, the Opps V Funds, the TAO Funds, the Growth I Funds, the Growth II Funds, the SLE Funds, the FS Funds, and the Agriculture Fund, the SH Funds (i) raised capital through the private placement of interests, (ii) primarily have “qualified purchasers,” as defined in the Act, as investors, and (iii) rely on the exception from the definition of “investment company” under the Act provided in Section 3(c)(1) or 3(c)(7). Sixth Street Strategic Holdings GenPar, LLC serves as the general partner of the SH Funds. The investment adviser to each SH Fund is SH Management. Each SH Fund intends to co-invest with the Company during its applicable investment period.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4" w:name="page15"/>
    <w:bookmarkEnd w:id="14"/>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CMS Fund</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CMS Fund is a private investment vehicle formed primarily to generate attractive risk-adjusted returns primarily through the purchase of performing corporate credit and structured credit investments. Similar to the Opps III Funds, the Opps IV Funds, Opps V Funds, the TAO Funds, the Growth I Funds, the Growth II Funds, the SLE Funds, the FS Funds, the Agriculture Fund and the SH Funds, the CMS Fund intends to (i) raise capital through the private placement of interests, (ii) primarily have “qualified purchasers,” as defined in the Act, as investors, and (iii) rely on the exception from the definition of “investment company” under the Act provided in Section 3(c)(1) or 3(c)(7). Sixth Street CMS Dynamic Credit GenPar, LLC serves as the general partner of the CMS Fund. The investment adviser to the CMS Fund is CMS Management. The CMS Fund intends to co-invest with the Company during its applicable investment period.</w:t>
      </w:r>
    </w:p>
    <w:p>
      <w:pPr>
        <w:spacing w:after="0" w:line="30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CLO Funds</w:t>
      </w:r>
    </w:p>
    <w:p>
      <w:pPr>
        <w:spacing w:after="0" w:line="117"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The CLO Funds are a series of private investment vehicles formed primarily to issue collateralized loan obligations backed primarily by broadly syndicate bank loans, bonds and other performing credit instruments. The CLO Funds (i) raised capital through the private placement of interests,</w:t>
      </w:r>
    </w:p>
    <w:p>
      <w:pPr>
        <w:jc w:val="both"/>
        <w:ind w:left="4" w:right="20" w:hanging="4"/>
        <w:spacing w:after="0" w:line="253" w:lineRule="auto"/>
        <w:tabs>
          <w:tab w:leader="none" w:pos="2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primarily have “qualified institutional buyers,”, as defined in rule 144A under the Securities Act and “qualified purchasers,” as defined in the Act, as investors, and (iii) rely on the exception from the definition of “investment company” under the Act provided in Section 3(c)(7). The investment adviser of each CLO Fund is the applicable CLO Management entity. Each CLO Fund intends to co-invest with the Company during its applicable investment period.</w:t>
      </w:r>
    </w:p>
    <w:p>
      <w:pPr>
        <w:spacing w:after="0" w:line="30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CMS Non-Equity Funds</w:t>
      </w:r>
    </w:p>
    <w:p>
      <w:pPr>
        <w:spacing w:after="0" w:line="11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The CMS Non-Equity Funds are a series of private investment vehicles formed primarily to invest in performing corporate credit and/or and structured credit investments. Similar to the Opps III Funds, the Opps IV Funds, the Opps V Funds, the TAO Funds, the Growth I Funds, the Growth II Funds, the SLE Funds, the FS Funds, the SH Funds, and the CMS Fund, the CMS Non-Equity Funds (i) raised capital through the private placement of interests, (ii) primarily have “qualified purchasers,” as defined in the Act, as investors, and (iii) rely on the exception from the definition of “investment company” under the Act provided in Section 3(c)(1) or 3(c)(7).</w:t>
      </w:r>
    </w:p>
    <w:p>
      <w:pPr>
        <w:spacing w:after="0" w:line="188"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TSSP Rotational Credit Fund GenPar, L.P. serves as the general partner of TSSP Rotational Credit Fund, L.P., Sixth Street Rotational Credit Fund GenPar II, L.P. serves as the managing member of Sixth Street Wheeler Peak Rotational Credit Fund I, LLC, Sixth Street Rotational Credit Fund GenPar III, L.P. serves as the general partner of Sixth Street Rotational Credit Fund III, L.P., TSSP Structured Credit Opportunities Fund GenPar, L.P. serves as the general partner of TSSP Structured Credit Opportunities Fund, L.P., TSCOF SPV GP, LLC serves as the general partner of Sixth Street Structured Credit Opportunities Fund II, L.P., Sixth Street Structured Credit Opportunities GenPar III, L.P. serves as the general partner of Sixth Street Structured Credit Opportunities Fund III, L.P., Sixth Street Structured Credit Opportunities GenPar IV, LLC serves as the general partner of Sixth Street Structured Credit Opportunities Fund IV, L.P., and Sixth Street Structured Credit Opportunities GenPar V, L.P. serves as the general partner of Sixth Street Structured Credit Opportunities Fund V, L.P. The investment adviser to each CMS Non-Equity Fund is the applicable CMS Non-Equity Management entity. Each CMS Non-Equity Fund intends to co-invest with the Company during its applicable investment period.</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CMS Equity Funds</w:t>
      </w:r>
    </w:p>
    <w:p>
      <w:pPr>
        <w:spacing w:after="0" w:line="117" w:lineRule="exact"/>
        <w:rPr>
          <w:sz w:val="20"/>
          <w:szCs w:val="20"/>
          <w:color w:val="auto"/>
        </w:rPr>
      </w:pPr>
    </w:p>
    <w:p>
      <w:pPr>
        <w:ind w:left="4" w:right="140" w:firstLine="440"/>
        <w:spacing w:after="0" w:line="269" w:lineRule="auto"/>
        <w:rPr>
          <w:sz w:val="20"/>
          <w:szCs w:val="20"/>
          <w:color w:val="auto"/>
        </w:rPr>
      </w:pPr>
      <w:r>
        <w:rPr>
          <w:rFonts w:ascii="Arial" w:cs="Arial" w:eastAsia="Arial" w:hAnsi="Arial"/>
          <w:sz w:val="17"/>
          <w:szCs w:val="17"/>
          <w:color w:val="auto"/>
        </w:rPr>
        <w:t>The CMS Equity Funds are a series of private investment vehicles formed primarily to invest in the most subordinated tranches of debt or equity of collateralized loan obligation issuers, including the CLO Funds. Similar to the Opps III Funds, the Opps IV Funds, the Opps V Funds, the TAO Funds, the Growth I Funds, the Growth II Funds, the SLE Funds, the FS Funds, the SH Funds, the CMS Fund, and the CMS Non-Equity Funds, the CMS Equity Funds (i) raised capital through the private placement of interests, (ii) primarily have “qualified purchasers,” as defined in the Act, as investors, and (iii) rely on the exception from the definition of “investment company” under the Act provided in Section 3(c)(1) or 3(c)(7). TICP CLO GenPar II, LLC serves as the general partner of TICP CLO Partners II L.P., and TICP CLO Holdings, L.P., TSSP Institutional Credit GenPar III, L.P. serves as the general partner of TSSP Institutional Credit Partners III, L.P., and Sixth Street Credit Market Strategies GenPar, L.P. serves as the general partner of Sixth Street Credit Market Strategies Partners I, L.P., and Sixth Street Credit Market Strategies Partners I-A, L.P. The investment adviser to each CMS Equity Fund is the applicable CMS Equity Management entity. Each CMS Equity Fund intends to co-invest with the Company during its applicable investment period.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5" w:name="page16"/>
    <w:bookmarkEnd w:id="15"/>
    <w:p>
      <w:pPr>
        <w:ind w:left="964" w:hanging="532"/>
        <w:spacing w:after="0"/>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Advisers to Affiliated Funds</w:t>
      </w:r>
    </w:p>
    <w:p>
      <w:pPr>
        <w:spacing w:after="0" w:line="117"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Sixth Street Advisers is organized as a Delaware limited liability company and is registered with the Commission as an investment adviser pursuant to Section 203 of the Advisers Act. Sixth Street Advisers provides investment advisory services across a wide variety of asset classes and investment themes pursued by investment vehicles that are sponsored by Sixth Street,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92"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Each of the Sixth Street Management Companies is organized as a Delaware limited liability company and is a solely controlled subsidiary of Sixth Street Advisers. Each such entity is also registered with the Commission as an investment adviser pursuant to Section 203 of the Advisers Act and is listed as a relying adviser on the Form ADV of Sixth Street Advisers.</w:t>
      </w:r>
    </w:p>
    <w:p>
      <w:pPr>
        <w:spacing w:after="0" w:line="184"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Each of Opps III Management, Opps IV Management, Opps V Management, TAO Management, Growth I Management, Growth II Management, the SLE Management Entities, FS Management, Agriculture Management, SH Management, CMS Management, the CLO Management Entities, the CMS Non-Equity Management Entities, and the CMS Equity Management Entities is the investment adviser to the Opps III Funds, the Opps IV Funds, the Opps V Funds, the TAO Funds, the Growth I Funds, the Growth II Funds, the SLE Funds, the FS Funds, the Agriculture Fund, the SH Funds, the CMS Fund, the CLO Funds, the CMS Non-Equity Funds, and the CMS Equity Funds, respectively. Sixth Street Advisers and each of the Sixth Street Management Companies also provide or will provide investment advisory services to a number of other Affiliated Funds that are not registered under the Act and whose securities are not registered under the Securities Act.</w:t>
      </w:r>
    </w:p>
    <w:p>
      <w:pPr>
        <w:spacing w:after="0" w:line="326" w:lineRule="exact"/>
        <w:rPr>
          <w:sz w:val="20"/>
          <w:szCs w:val="20"/>
          <w:color w:val="auto"/>
        </w:rPr>
      </w:pPr>
    </w:p>
    <w:p>
      <w:pPr>
        <w:ind w:left="964" w:hanging="532"/>
        <w:spacing w:after="0"/>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Sixth Street Holdco</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Sixth Street Holdco is a Delaware limited liability company that controls each of the Existing Advisers and is a part of Sixth Street. Sixth Street is a global finance and investment firm with over $50 billion of assets under management as of June 30, 2021.</w:t>
      </w:r>
    </w:p>
    <w:p>
      <w:pPr>
        <w:spacing w:after="0" w:line="315"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REQUESTED</w:t>
      </w:r>
    </w:p>
    <w:p>
      <w:pPr>
        <w:spacing w:after="0" w:line="121"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Applicants respectfully request an Order of the Commission under Sections 17(d) and 57(i) and Rule 17d-1 thereunder to permit, subject to the terms and conditions set forth below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 a Regulated Fund and one or more other Regulated Funds and/or one or more Affiliated Funds to enter into Co-Investment Transactions with each other.</w:t>
      </w:r>
    </w:p>
    <w:p>
      <w:pPr>
        <w:spacing w:after="0" w:line="184"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The Regulated Funds and the Affiliated Funds seek relief to enter into Co-Investment Transactions because such Co-Investment Transactions would otherwise be prohibited by either or both of Section 17(d) or Section 57(a)(4) and the Rules under the Act.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78"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Similar to the standard precedent used for the majority of co-investment applications, including the Prior Order (collectively, the “</w:t>
      </w:r>
      <w:r>
        <w:rPr>
          <w:rFonts w:ascii="Arial" w:cs="Arial" w:eastAsia="Arial" w:hAnsi="Arial"/>
          <w:sz w:val="17"/>
          <w:szCs w:val="17"/>
          <w:b w:val="1"/>
          <w:bCs w:val="1"/>
          <w:i w:val="1"/>
          <w:iCs w:val="1"/>
          <w:color w:val="auto"/>
        </w:rPr>
        <w:t>Standard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Precedent</w:t>
      </w:r>
      <w:r>
        <w:rPr>
          <w:rFonts w:ascii="Arial" w:cs="Arial" w:eastAsia="Arial" w:hAnsi="Arial"/>
          <w:sz w:val="17"/>
          <w:szCs w:val="17"/>
          <w:color w:val="auto"/>
        </w:rPr>
        <w:t>”), Applicants seek relief that would permit Co-Investment Transactions in the form of initial investments, Follow-On Investments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investments in an issuer. In these cases, the terms and Conditions of this Application would govern the entire lifecycle of an investment with respect to a particular issuer, including both the initial investment and any subsequent transactions. Unlike the Standard Precedent, Applicants also seek the ability to make Follow-On Investments and Dispositions in issuers where the Regulated Funds and Affiliated Funds did not all make their initial investments in reliance on the Order. Applicants seek this flexibility because the Regulated Funds and Affiliated Funds may, at times, invest in the same issuer without engaging in a prohibited joint transaction but then find that subsequent transactions with that issuer would be prohibited under the Act. Through the proposed “onboarding process,” discussed below, Applicants would, under certain circumstances, be permitted to rely on the Order to complete subsequent Co-Investment Transactions. In Section III.A.1 below, Applicants first discuss the overall investment process that would apply to initial investments under the Order as well as subsequent transactions with issuers. In Sections III.A.3 and III.A.4 below, Applicants discuss additional procedures that apply to Follow-On Investments and Dispositions, including the onboarding process that applies when initial investments were made without relying on the Order.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16" w:name="page17"/>
    <w:bookmarkEnd w:id="16"/>
    <w:p>
      <w:pPr>
        <w:ind w:left="960" w:hanging="53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Overview</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Applicants include the Existing Advisers, which currently collectively manage the Company and several private funds, including the Existing Affiliated Funds, with aggregate assets under management of approximately $50 billion as of June 30, 2021. Each Existing Adviser is registered as an investment adviser with the Commission under the Advisers Act. Each Existing Adviser manages the assets entrusted to it by its clients in accordance with its fiduciary duties to those clients and, in the case of the Company, the Act.</w:t>
      </w:r>
    </w:p>
    <w:p>
      <w:pPr>
        <w:spacing w:after="0" w:line="187"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The Existing Advisers are presented with hundreds of investment opportunities each year on behalf of their respective clients and must determine how to allocate those opportunities in a manner that, over time, is fair and equitable to all of the clients of such Existing Advisers across the entirety of the Sixth Street platform, and without violating the prohibitions on joint transactions included in Rule 17d-1 and Section 57(a)(4) under the Act.</w:t>
      </w:r>
    </w:p>
    <w:p>
      <w:pPr>
        <w:spacing w:after="0" w:line="149" w:lineRule="exact"/>
        <w:rPr>
          <w:sz w:val="20"/>
          <w:szCs w:val="20"/>
          <w:color w:val="auto"/>
        </w:rPr>
      </w:pPr>
    </w:p>
    <w:p>
      <w:pPr>
        <w:ind w:right="360" w:firstLine="440"/>
        <w:spacing w:after="0" w:line="275" w:lineRule="auto"/>
        <w:rPr>
          <w:sz w:val="20"/>
          <w:szCs w:val="20"/>
          <w:color w:val="auto"/>
        </w:rPr>
      </w:pPr>
      <w:r>
        <w:rPr>
          <w:rFonts w:ascii="Arial" w:cs="Arial" w:eastAsia="Arial" w:hAnsi="Arial"/>
          <w:sz w:val="17"/>
          <w:szCs w:val="17"/>
          <w:color w:val="auto"/>
        </w:rPr>
        <w:t>Such investment opportunities may be joint transactions such that the Advisers may not include a Regulated Fund in the allocation if another Regulated Fund and/or any Affiliated Fund is participating. Once invested in a security, the Regulated Funds and Affiliated Funds often have the opportunity to either complete an additional investment in the same issuer or exit the investment in a transaction that may be a joint transaction. If a Regulated Fund and one or more Affiliated Funds are invested in an issuer, such funds may not participate in a Follow-On Investment or exit the investment if the terms of the transaction would be a prohibited joint transaction.</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a result, the Regulated Funds and Affiliated Funds are limited in the types of transactions in which they can participate with each other, and the Regulated Funds from time to time must forego transactions that would be beneficial to investors in the Regulated Funds. Applicants discuss the need for the requested relief in greater detail in section III.C below. Thus, Applicants are seeking the relief requested by the Application for certain initial investments, Follow-On Investments and Dispositions as described below.</w:t>
      </w:r>
    </w:p>
    <w:p>
      <w:pPr>
        <w:spacing w:after="0" w:line="18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An Adviser will seek to allocate investment opportunities on a fair and equitable basis, taking into account such factors as the relative amounts of capital available for new investments, the applicable investment programs and portfolio positions, the clients for which participation is appropriate and any other factors deemed appropriate.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188" w:lineRule="exact"/>
        <w:rPr>
          <w:sz w:val="20"/>
          <w:szCs w:val="20"/>
          <w:color w:val="auto"/>
        </w:rPr>
      </w:pPr>
    </w:p>
    <w:p>
      <w:pPr>
        <w:ind w:left="1160" w:hanging="173"/>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225"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7" w:name="page18"/>
    <w:bookmarkEnd w:id="17"/>
    <w:p>
      <w:pPr>
        <w:ind w:left="1684" w:hanging="252"/>
        <w:spacing w:after="0"/>
        <w:tabs>
          <w:tab w:leader="none" w:pos="16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Identification and Consideration of Investment Opportunities</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Opportunities for Potential Co-Investment Transactions may arise when investment advisory personnel of an Adviser becomes aware of investment opportunities that may be appropriate for one or more Regulated Funds and one or more Affiliated Funds. If the requested Order is granted, an Adviser will establish, maintain and implement policies and procedures reasonably designed to ensure that, when such opportunities arise, an Adviser to the relevant Regulated Funds is promptly notified and receives the same information about the opportunity as any other Adviser considering the opportunity for its clients. In particular, consistent with Condition 1, if a Potential Co-Investment Transaction falls within the then-current Objectives and Strategies and any Board-Established Criteria of a Regulated Fund, the policies and procedures will require that an Adviser to such Regulated Fund receive sufficient information to allow such Adviser to make its independent determination and recommendations under Conditions 1, 2(a), 6, 7, 8 and 9 (as applicable).</w:t>
      </w:r>
      <w:r>
        <w:rPr>
          <w:rFonts w:ascii="Arial" w:cs="Arial" w:eastAsia="Arial" w:hAnsi="Arial"/>
          <w:sz w:val="14"/>
          <w:szCs w:val="14"/>
          <w:color w:val="auto"/>
        </w:rPr>
        <w:t>8</w:t>
      </w:r>
      <w:r>
        <w:rPr>
          <w:rFonts w:ascii="Arial" w:cs="Arial" w:eastAsia="Arial" w:hAnsi="Arial"/>
          <w:sz w:val="17"/>
          <w:szCs w:val="17"/>
          <w:color w:val="auto"/>
        </w:rPr>
        <w:t xml:space="preserve"> In addition, the policies and procedures will specify the individuals or roles responsible for carrying out the policies and procedures, including ensuring that an Adviser receives such information. After receiving notification of a Potential Co-Investment Transaction under Condition 1(a), an Adviser to each applicable Regulated Fund will then make an independent determination of the appropriateness of the investment for the Regulated Fund in light of the Regulated Fund’s then-current circumstances.</w:t>
      </w:r>
    </w:p>
    <w:p>
      <w:pPr>
        <w:spacing w:after="0" w:line="182"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Applicants represent that, if the requested Order is granted, the investment advisory personnel of an Adviser to a Regulated Funds will be charged with making sure they identify, and participate in this process with respect to, each investment opportunity that falls within the Objectives and Strategies and Board Established Criteria of such Regulated Fund. Applicants assert that an Adviser’s allocation policies and procedures are structured so that the relevant investment advisory personnel for each Regulated Fund will be promptly notified of all Potential Co-Investment Transactions that fall within the then current Objectives and Strategies and Board Established Criteria of such Regulated Fund.</w:t>
      </w:r>
    </w:p>
    <w:p>
      <w:pPr>
        <w:spacing w:after="0" w:line="176" w:lineRule="exact"/>
        <w:rPr>
          <w:sz w:val="20"/>
          <w:szCs w:val="20"/>
          <w:color w:val="auto"/>
        </w:rPr>
      </w:pPr>
    </w:p>
    <w:p>
      <w:pPr>
        <w:ind w:left="1684" w:hanging="252"/>
        <w:spacing w:after="0"/>
        <w:tabs>
          <w:tab w:leader="none" w:pos="168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Order Placement and Allocation</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 Adviser to a Regulated Fund deems the Regulated Fund’s participation in any Potential Co-Investment Transaction to be appropriate, it will formulate a recommendation regarding the proposed order amount for the Regulated Fund. In doing so, an Adviser may consider such factors, among others, as investment guidelines, issuer, industry and/or geographical concentration, availability of cash and other opportunities for which cash is needed, tax considerations, leverage covenants, regulatory constraints (such as requirements under the Act), investment horizon, potential liquidity needs, and the Regulated Fund’s risk concentration policies.</w:t>
      </w:r>
    </w:p>
    <w:p>
      <w:pPr>
        <w:spacing w:after="0" w:line="188" w:lineRule="exact"/>
        <w:rPr>
          <w:sz w:val="20"/>
          <w:szCs w:val="20"/>
          <w:color w:val="auto"/>
        </w:rPr>
      </w:pPr>
    </w:p>
    <w:p>
      <w:pPr>
        <w:ind w:left="4" w:right="100" w:firstLine="440"/>
        <w:spacing w:after="0" w:line="269" w:lineRule="auto"/>
        <w:rPr>
          <w:sz w:val="20"/>
          <w:szCs w:val="20"/>
          <w:color w:val="auto"/>
        </w:rPr>
      </w:pPr>
      <w:r>
        <w:rPr>
          <w:rFonts w:ascii="Arial" w:cs="Arial" w:eastAsia="Arial" w:hAnsi="Arial"/>
          <w:sz w:val="17"/>
          <w:szCs w:val="17"/>
          <w:u w:val="single" w:color="auto"/>
          <w:color w:val="auto"/>
        </w:rPr>
        <w:t>Allocation Procedure</w:t>
      </w:r>
      <w:r>
        <w:rPr>
          <w:rFonts w:ascii="Arial" w:cs="Arial" w:eastAsia="Arial" w:hAnsi="Arial"/>
          <w:sz w:val="17"/>
          <w:szCs w:val="17"/>
          <w:color w:val="auto"/>
        </w:rPr>
        <w:t>. For each Regulated Fund and Affiliated Fund whose Adviser recommends participating in a Potential Co-Investment Transaction, such Adviser will approve an investment amount to be allocated to each Regulated Fund and/or Affiliated Fund participating in the Potential Co-Investment Transaction. Prior to the External Submission (as defined below), each proposed order amount may be reviewed and adjusted, in accordance with an Adviser’s written allocation policies and procedures.</w:t>
      </w:r>
      <w:r>
        <w:rPr>
          <w:rFonts w:ascii="Arial" w:cs="Arial" w:eastAsia="Arial" w:hAnsi="Arial"/>
          <w:sz w:val="14"/>
          <w:szCs w:val="14"/>
          <w:color w:val="auto"/>
        </w:rPr>
        <w:t>9</w:t>
      </w:r>
      <w:r>
        <w:rPr>
          <w:rFonts w:ascii="Arial" w:cs="Arial" w:eastAsia="Arial" w:hAnsi="Arial"/>
          <w:sz w:val="17"/>
          <w:szCs w:val="17"/>
          <w:color w:val="auto"/>
        </w:rPr>
        <w:t xml:space="preserve"> The order of a Regulated Fund or Affiliated Fund resulting from this process is referred to as its “</w:t>
      </w:r>
      <w:r>
        <w:rPr>
          <w:rFonts w:ascii="Arial" w:cs="Arial" w:eastAsia="Arial" w:hAnsi="Arial"/>
          <w:sz w:val="17"/>
          <w:szCs w:val="17"/>
          <w:b w:val="1"/>
          <w:bCs w:val="1"/>
          <w:i w:val="1"/>
          <w:iCs w:val="1"/>
          <w:color w:val="auto"/>
        </w:rPr>
        <w:t>Internal Order</w:t>
      </w:r>
      <w:r>
        <w:rPr>
          <w:rFonts w:ascii="Arial" w:cs="Arial" w:eastAsia="Arial" w:hAnsi="Arial"/>
          <w:sz w:val="17"/>
          <w:szCs w:val="17"/>
          <w:color w:val="auto"/>
        </w:rPr>
        <w:t>.” If the aggregate Internal Orders for a Potential Co-Investment Transaction do not exceed the size of the investment opportunity immediately prior to the submission of the orders to the underwriter, broker, dealer, borrower and/or issuer, as applicable (the “</w:t>
      </w:r>
      <w:r>
        <w:rPr>
          <w:rFonts w:ascii="Arial" w:cs="Arial" w:eastAsia="Arial" w:hAnsi="Arial"/>
          <w:sz w:val="17"/>
          <w:szCs w:val="17"/>
          <w:b w:val="1"/>
          <w:bCs w:val="1"/>
          <w:i w:val="1"/>
          <w:iCs w:val="1"/>
          <w:color w:val="auto"/>
        </w:rPr>
        <w:t>External Submission</w:t>
      </w:r>
      <w:r>
        <w:rPr>
          <w:rFonts w:ascii="Arial" w:cs="Arial" w:eastAsia="Arial" w:hAnsi="Arial"/>
          <w:sz w:val="17"/>
          <w:szCs w:val="17"/>
          <w:color w:val="auto"/>
        </w:rPr>
        <w:t xml:space="preserve">”),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size of the Internal Orders.</w:t>
      </w:r>
      <w:r>
        <w:rPr>
          <w:rFonts w:ascii="Arial" w:cs="Arial" w:eastAsia="Arial" w:hAnsi="Arial"/>
          <w:sz w:val="14"/>
          <w:szCs w:val="14"/>
          <w:color w:val="auto"/>
        </w:rPr>
        <w:t>10</w:t>
      </w:r>
      <w:r>
        <w:rPr>
          <w:rFonts w:ascii="Arial" w:cs="Arial" w:eastAsia="Arial" w:hAnsi="Arial"/>
          <w:sz w:val="17"/>
          <w:szCs w:val="17"/>
          <w:color w:val="auto"/>
        </w:rPr>
        <w:t xml:space="preserve"> The order of a Regulated Fund or Affiliated Fund resulting from this process is referred to as its “</w:t>
      </w:r>
      <w:r>
        <w:rPr>
          <w:rFonts w:ascii="Arial" w:cs="Arial" w:eastAsia="Arial" w:hAnsi="Arial"/>
          <w:sz w:val="17"/>
          <w:szCs w:val="17"/>
          <w:b w:val="1"/>
          <w:bCs w:val="1"/>
          <w:i w:val="1"/>
          <w:iCs w:val="1"/>
          <w:color w:val="auto"/>
        </w:rPr>
        <w:t>External Order</w:t>
      </w:r>
      <w:r>
        <w:rPr>
          <w:rFonts w:ascii="Arial" w:cs="Arial" w:eastAsia="Arial" w:hAnsi="Arial"/>
          <w:sz w:val="17"/>
          <w:szCs w:val="17"/>
          <w:color w:val="auto"/>
        </w:rPr>
        <w:t>.” The External Order will be submitted for approval by the Required Majority of any participating Regulated Funds in accordance with the Conditions and as discussed in section III.A.1(c)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24" w:hanging="424"/>
        <w:spacing w:after="0" w:line="291" w:lineRule="auto"/>
        <w:tabs>
          <w:tab w:leader="none" w:pos="424" w:val="left"/>
        </w:tabs>
        <w:numPr>
          <w:ilvl w:val="0"/>
          <w:numId w:val="29"/>
        </w:numPr>
        <w:rPr>
          <w:rFonts w:ascii="Arial" w:cs="Arial" w:eastAsia="Arial" w:hAnsi="Arial"/>
          <w:sz w:val="13"/>
          <w:szCs w:val="13"/>
          <w:color w:val="auto"/>
        </w:rPr>
      </w:pPr>
      <w:r>
        <w:rPr>
          <w:rFonts w:ascii="Arial" w:cs="Arial" w:eastAsia="Arial" w:hAnsi="Arial"/>
          <w:sz w:val="16"/>
          <w:szCs w:val="16"/>
          <w:color w:val="auto"/>
        </w:rPr>
        <w:t>An Adviser has the authority to approve or reject recommended investment opportunities falling within a Regulated Fund’s Objectives and Strategies and any Board-Established Criteria. Accordingly, the policies and procedures may provide, for example, that an Adviser will receive the</w:t>
      </w:r>
    </w:p>
    <w:p>
      <w:pPr>
        <w:ind w:left="424" w:right="120"/>
        <w:spacing w:after="0" w:line="280" w:lineRule="auto"/>
        <w:rPr>
          <w:sz w:val="20"/>
          <w:szCs w:val="20"/>
          <w:color w:val="auto"/>
        </w:rPr>
      </w:pPr>
      <w:r>
        <w:rPr>
          <w:rFonts w:ascii="Arial" w:cs="Arial" w:eastAsia="Arial" w:hAnsi="Arial"/>
          <w:sz w:val="16"/>
          <w:szCs w:val="16"/>
          <w:color w:val="auto"/>
        </w:rPr>
        <w:t>information required under Condition 1 in conjunction with the participation of its investment advisory personnel in any relevant meetings where an investment opportunity is discussed. For each Potential Co-Investment Transaction, an Adviser will document its recommendation.</w:t>
      </w:r>
    </w:p>
    <w:p>
      <w:pPr>
        <w:spacing w:after="0" w:line="1"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4"/>
          <w:szCs w:val="14"/>
          <w:color w:val="auto"/>
        </w:rPr>
      </w:pPr>
      <w:r>
        <w:rPr>
          <w:rFonts w:ascii="Arial" w:cs="Arial" w:eastAsia="Arial" w:hAnsi="Arial"/>
          <w:sz w:val="17"/>
          <w:szCs w:val="17"/>
          <w:color w:val="auto"/>
        </w:rPr>
        <w:t>The reason for any such adjustment to a proposed order amount will be documented in writing and preserved in the records of the Advisers.</w:t>
      </w:r>
    </w:p>
    <w:p>
      <w:pPr>
        <w:spacing w:after="0" w:line="21" w:lineRule="exact"/>
        <w:rPr>
          <w:sz w:val="20"/>
          <w:szCs w:val="20"/>
          <w:color w:val="auto"/>
        </w:rPr>
      </w:pPr>
    </w:p>
    <w:p>
      <w:pPr>
        <w:ind w:left="424" w:right="40" w:hanging="424"/>
        <w:spacing w:after="0" w:line="254" w:lineRule="auto"/>
        <w:tabs>
          <w:tab w:leader="none" w:pos="4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8" w:name="page19"/>
    <w:bookmarkEnd w:id="18"/>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size of the opportunity is decreased such that the aggregate of the original Internal Orders would exceed the amount of the remaining investment opportunity, then upon submitting any revised order amount to the Board of a Regulated Fund for approval, an Adviser to the Regulated Fund will also notify the Board promptly of the amount that the Regulated Fund would receive if the remaining investment opportunity were allocated pro rata on the basis of the size of the original Internal Orders. The Board of the Regulated Fund will then either approve or disapprove of the investment opportunity in accordance with Condition 2, 6, 7, 8 or 9, as applicable.</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Applicants represent that an Advisers’ allocation review process will be a robust process designed as part of their overall compliance policies and procedures to ensure that every client is treated fairly and that the Advisers are following their allocation policies. The allocation process will be monitored and reviewed by the Sixth Street platform’s compliance team, including each designated chief compliance officer for an Adviser or Regulated Fund, and approved by the Board of each Regulated Fund.</w:t>
      </w:r>
    </w:p>
    <w:p>
      <w:pPr>
        <w:spacing w:after="0" w:line="187" w:lineRule="exact"/>
        <w:rPr>
          <w:sz w:val="20"/>
          <w:szCs w:val="20"/>
          <w:color w:val="auto"/>
        </w:rPr>
      </w:pPr>
    </w:p>
    <w:p>
      <w:pPr>
        <w:ind w:left="1680" w:hanging="252"/>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Approval of Potential Co-Investment Transactions</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170" w:lineRule="exact"/>
        <w:rPr>
          <w:sz w:val="20"/>
          <w:szCs w:val="20"/>
          <w:color w:val="auto"/>
        </w:rPr>
      </w:pPr>
    </w:p>
    <w:p>
      <w:pPr>
        <w:ind w:left="1160" w:hanging="173"/>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22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(10) business days after the settlement date for the Regulated Fund, and vice versa, for one of two reasons. First, this may occur when the Affiliated Fund or Regulated Fund is not yet fully funded because, when the Affiliated Fund or Regulated Fund desires to make an investment, it must call capital from its investors to obtain the financing to make the investment, and in these instances, the notice requirement to call capital could be as much as ten (10) business days. Accordingly, if a fund has called committed capital from its investors but the investors have not yet funded the capital calls, it may need to delay settlement during the notice period. Second, delayed settlement may also occur where, for tax or regulatory reasons, an Affiliated Fund or Regulated Fund does not purchase new issuances immediately upon issuance but only after a short seasoning period of up to ten (10) business days.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(10) days of each other.</w:t>
      </w:r>
    </w:p>
    <w:p>
      <w:pPr>
        <w:spacing w:after="0" w:line="179"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9" w:name="page20"/>
    <w:bookmarkEnd w:id="19"/>
    <w:p>
      <w:pPr>
        <w:ind w:left="1164" w:hanging="173"/>
        <w:spacing w:after="0"/>
        <w:tabs>
          <w:tab w:leader="none" w:pos="116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Follow-On Investments and Approval of Follow-On Investments</w:t>
      </w:r>
    </w:p>
    <w:p>
      <w:pPr>
        <w:spacing w:after="0" w:line="225" w:lineRule="exact"/>
        <w:rPr>
          <w:sz w:val="20"/>
          <w:szCs w:val="20"/>
          <w:color w:val="auto"/>
        </w:rPr>
      </w:pPr>
    </w:p>
    <w:p>
      <w:pPr>
        <w:jc w:val="both"/>
        <w:ind w:left="4" w:right="380" w:firstLine="440"/>
        <w:spacing w:after="0" w:line="301" w:lineRule="auto"/>
        <w:rPr>
          <w:sz w:val="20"/>
          <w:szCs w:val="20"/>
          <w:color w:val="auto"/>
        </w:rPr>
      </w:pPr>
      <w:r>
        <w:rPr>
          <w:rFonts w:ascii="Arial" w:cs="Arial" w:eastAsia="Arial" w:hAnsi="Arial"/>
          <w:sz w:val="16"/>
          <w:szCs w:val="16"/>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w:t>
      </w:r>
    </w:p>
    <w:p>
      <w:pPr>
        <w:spacing w:after="0" w:line="15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all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w:t>
      </w:r>
      <w:r>
        <w:rPr>
          <w:rFonts w:ascii="Arial" w:cs="Arial" w:eastAsia="Arial" w:hAnsi="Arial"/>
          <w:sz w:val="17"/>
          <w:szCs w:val="17"/>
          <w:b w:val="1"/>
          <w:bCs w:val="1"/>
          <w:i w:val="1"/>
          <w:iCs w:val="1"/>
          <w:color w:val="auto"/>
        </w:rPr>
        <w:t>Standard Review Follow-Ons</w:t>
      </w:r>
      <w:r>
        <w:rPr>
          <w:rFonts w:ascii="Arial" w:cs="Arial" w:eastAsia="Arial" w:hAnsi="Arial"/>
          <w:sz w:val="17"/>
          <w:szCs w:val="17"/>
          <w:color w:val="auto"/>
        </w:rPr>
        <w:t>.”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w:t>
      </w:r>
      <w:r>
        <w:rPr>
          <w:rFonts w:ascii="Arial" w:cs="Arial" w:eastAsia="Arial" w:hAnsi="Arial"/>
          <w:sz w:val="17"/>
          <w:szCs w:val="17"/>
          <w:b w:val="1"/>
          <w:bCs w:val="1"/>
          <w:i w:val="1"/>
          <w:iCs w:val="1"/>
          <w:color w:val="auto"/>
        </w:rPr>
        <w:t>Enhanced Review Follow-Ons</w:t>
      </w:r>
      <w:r>
        <w:rPr>
          <w:rFonts w:ascii="Arial" w:cs="Arial" w:eastAsia="Arial" w:hAnsi="Arial"/>
          <w:sz w:val="17"/>
          <w:szCs w:val="17"/>
          <w:color w:val="auto"/>
        </w:rPr>
        <w:t>.”</w:t>
      </w:r>
    </w:p>
    <w:p>
      <w:pPr>
        <w:spacing w:after="0" w:line="178" w:lineRule="exact"/>
        <w:rPr>
          <w:sz w:val="20"/>
          <w:szCs w:val="20"/>
          <w:color w:val="auto"/>
        </w:rPr>
      </w:pPr>
    </w:p>
    <w:p>
      <w:pPr>
        <w:ind w:left="1684" w:hanging="252"/>
        <w:spacing w:after="0"/>
        <w:tabs>
          <w:tab w:leader="none" w:pos="168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225"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46"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70"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Follow-On Investment</w:t>
      </w:r>
      <w:r>
        <w:rPr>
          <w:rFonts w:ascii="Arial" w:cs="Arial" w:eastAsia="Arial" w:hAnsi="Arial"/>
          <w:sz w:val="18"/>
          <w:szCs w:val="18"/>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15"/>
          <w:szCs w:val="15"/>
          <w:color w:val="auto"/>
        </w:rPr>
        <w:t>11</w:t>
      </w:r>
      <w:r>
        <w:rPr>
          <w:rFonts w:ascii="Arial" w:cs="Arial" w:eastAsia="Arial" w:hAnsi="Arial"/>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its approval of Pro Rata Follow-On Investments, in which case all subsequent Follow-On Investments will be submitted to the Regulated Fund’s Eligible Directors in accordance with Condition 8(c).</w:t>
      </w:r>
    </w:p>
    <w:p>
      <w:pPr>
        <w:spacing w:after="0" w:line="192" w:lineRule="exact"/>
        <w:rPr>
          <w:sz w:val="20"/>
          <w:szCs w:val="20"/>
          <w:color w:val="auto"/>
        </w:rPr>
      </w:pPr>
    </w:p>
    <w:p>
      <w:pPr>
        <w:ind w:left="4" w:right="520" w:firstLine="440"/>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Non-Negotiated Follow-On Investment</w:t>
      </w:r>
      <w:r>
        <w:rPr>
          <w:rFonts w:ascii="Arial" w:cs="Arial" w:eastAsia="Arial" w:hAnsi="Arial"/>
          <w:sz w:val="16"/>
          <w:szCs w:val="16"/>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49"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184" w:lineRule="exact"/>
        <w:rPr>
          <w:sz w:val="20"/>
          <w:szCs w:val="20"/>
          <w:color w:val="auto"/>
        </w:rPr>
      </w:pPr>
    </w:p>
    <w:p>
      <w:pPr>
        <w:ind w:left="1684" w:hanging="252"/>
        <w:spacing w:after="0"/>
        <w:tabs>
          <w:tab w:leader="none" w:pos="168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225" w:lineRule="exact"/>
        <w:rPr>
          <w:sz w:val="20"/>
          <w:szCs w:val="20"/>
          <w:color w:val="auto"/>
        </w:rPr>
      </w:pPr>
    </w:p>
    <w:p>
      <w:pPr>
        <w:jc w:val="both"/>
        <w:ind w:left="4" w:right="620" w:firstLine="440"/>
        <w:spacing w:after="0" w:line="263" w:lineRule="auto"/>
        <w:rPr>
          <w:sz w:val="20"/>
          <w:szCs w:val="20"/>
          <w:color w:val="auto"/>
        </w:rPr>
      </w:pPr>
      <w:r>
        <w:rPr>
          <w:rFonts w:ascii="Arial" w:cs="Arial" w:eastAsia="Arial" w:hAnsi="Arial"/>
          <w:sz w:val="18"/>
          <w:szCs w:val="18"/>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note 25, below.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0" w:name="page21"/>
    <w:bookmarkEnd w:id="20"/>
    <w:p>
      <w:pPr>
        <w:ind w:left="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176" w:lineRule="exact"/>
        <w:rPr>
          <w:sz w:val="20"/>
          <w:szCs w:val="20"/>
          <w:color w:val="auto"/>
        </w:rPr>
      </w:pPr>
    </w:p>
    <w:p>
      <w:pPr>
        <w:ind w:left="1164" w:hanging="173"/>
        <w:spacing w:after="0"/>
        <w:tabs>
          <w:tab w:leader="none" w:pos="116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Dispositions</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Funds and Affiliated Funds and in accordance with procedures set forth in the proposed Conditions to the Order and discussed below.</w:t>
      </w:r>
    </w:p>
    <w:p>
      <w:pPr>
        <w:spacing w:after="0" w:line="187"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w:t>
      </w:r>
      <w:r>
        <w:rPr>
          <w:rFonts w:ascii="Arial" w:cs="Arial" w:eastAsia="Arial" w:hAnsi="Arial"/>
          <w:sz w:val="18"/>
          <w:szCs w:val="18"/>
          <w:b w:val="1"/>
          <w:bCs w:val="1"/>
          <w:i w:val="1"/>
          <w:iCs w:val="1"/>
          <w:color w:val="auto"/>
        </w:rPr>
        <w:t>Standard Review Dispositions</w:t>
      </w:r>
      <w:r>
        <w:rPr>
          <w:rFonts w:ascii="Arial" w:cs="Arial" w:eastAsia="Arial" w:hAnsi="Arial"/>
          <w:sz w:val="18"/>
          <w:szCs w:val="18"/>
          <w:color w:val="auto"/>
        </w:rPr>
        <w:t>”)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w:t>
      </w:r>
      <w:r>
        <w:rPr>
          <w:rFonts w:ascii="Arial" w:cs="Arial" w:eastAsia="Arial" w:hAnsi="Arial"/>
          <w:sz w:val="18"/>
          <w:szCs w:val="18"/>
          <w:b w:val="1"/>
          <w:bCs w:val="1"/>
          <w:i w:val="1"/>
          <w:iCs w:val="1"/>
          <w:color w:val="auto"/>
        </w:rPr>
        <w:t>Enhanced Review Dispositions</w:t>
      </w:r>
      <w:r>
        <w:rPr>
          <w:rFonts w:ascii="Arial" w:cs="Arial" w:eastAsia="Arial" w:hAnsi="Arial"/>
          <w:sz w:val="18"/>
          <w:szCs w:val="18"/>
          <w:color w:val="auto"/>
        </w:rPr>
        <w:t>”) would be subject to the same “onboarding process” discussed in Section III.A.4(b) below and governed by Condition 7.</w:t>
      </w:r>
    </w:p>
    <w:p>
      <w:pPr>
        <w:spacing w:after="0" w:line="195" w:lineRule="exact"/>
        <w:rPr>
          <w:sz w:val="20"/>
          <w:szCs w:val="20"/>
          <w:color w:val="auto"/>
        </w:rPr>
      </w:pPr>
    </w:p>
    <w:p>
      <w:pPr>
        <w:ind w:left="1684" w:hanging="252"/>
        <w:spacing w:after="0"/>
        <w:tabs>
          <w:tab w:leader="none" w:pos="168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225" w:lineRule="exact"/>
        <w:rPr>
          <w:sz w:val="20"/>
          <w:szCs w:val="20"/>
          <w:color w:val="auto"/>
        </w:rPr>
      </w:pPr>
    </w:p>
    <w:p>
      <w:pPr>
        <w:ind w:left="4" w:right="660" w:firstLine="440"/>
        <w:spacing w:after="0" w:line="342" w:lineRule="auto"/>
        <w:rPr>
          <w:sz w:val="20"/>
          <w:szCs w:val="20"/>
          <w:color w:val="auto"/>
        </w:rPr>
      </w:pPr>
      <w:r>
        <w:rPr>
          <w:rFonts w:ascii="Arial" w:cs="Arial" w:eastAsia="Arial" w:hAnsi="Arial"/>
          <w:sz w:val="16"/>
          <w:szCs w:val="16"/>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24" w:lineRule="exact"/>
        <w:rPr>
          <w:sz w:val="20"/>
          <w:szCs w:val="20"/>
          <w:color w:val="auto"/>
        </w:rPr>
      </w:pPr>
    </w:p>
    <w:p>
      <w:pPr>
        <w:jc w:val="center"/>
        <w:ind w:right="56"/>
        <w:spacing w:after="0" w:line="342" w:lineRule="auto"/>
        <w:rPr>
          <w:sz w:val="20"/>
          <w:szCs w:val="20"/>
          <w:color w:val="auto"/>
        </w:rPr>
      </w:pPr>
      <w:r>
        <w:rPr>
          <w:rFonts w:ascii="Arial" w:cs="Arial" w:eastAsia="Arial" w:hAnsi="Arial"/>
          <w:sz w:val="16"/>
          <w:szCs w:val="16"/>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24"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Pro Rata Disposition</w:t>
      </w:r>
      <w:r>
        <w:rPr>
          <w:rFonts w:ascii="Arial" w:cs="Arial" w:eastAsia="Arial" w:hAnsi="Arial"/>
          <w:sz w:val="17"/>
          <w:szCs w:val="17"/>
          <w:color w:val="auto"/>
        </w:rPr>
        <w:t>” is a Disposition (i) in which the participation of each Affiliated Fund and each Regulated Fund is proportionate to its outstanding investment in the security subject to Disposition immediately preceding the Disposition;</w:t>
      </w:r>
      <w:r>
        <w:rPr>
          <w:rFonts w:ascii="Arial" w:cs="Arial" w:eastAsia="Arial" w:hAnsi="Arial"/>
          <w:sz w:val="14"/>
          <w:szCs w:val="14"/>
          <w:color w:val="auto"/>
        </w:rPr>
        <w:t>12</w:t>
      </w:r>
      <w:r>
        <w:rPr>
          <w:rFonts w:ascii="Arial" w:cs="Arial" w:eastAsia="Arial" w:hAnsi="Arial"/>
          <w:sz w:val="17"/>
          <w:szCs w:val="17"/>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7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15"/>
          <w:szCs w:val="15"/>
          <w:color w:val="auto"/>
        </w:rPr>
        <w:t>13</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note 23, below.</w:t>
      </w:r>
    </w:p>
    <w:p>
      <w:pPr>
        <w:spacing w:after="0" w:line="23" w:lineRule="exact"/>
        <w:rPr>
          <w:rFonts w:ascii="Arial" w:cs="Arial" w:eastAsia="Arial" w:hAnsi="Arial"/>
          <w:sz w:val="15"/>
          <w:szCs w:val="15"/>
          <w:color w:val="auto"/>
        </w:rPr>
      </w:pPr>
    </w:p>
    <w:p>
      <w:pPr>
        <w:ind w:left="424" w:right="80" w:hanging="424"/>
        <w:spacing w:after="0" w:line="302" w:lineRule="auto"/>
        <w:tabs>
          <w:tab w:leader="none" w:pos="424" w:val="left"/>
        </w:tabs>
        <w:numPr>
          <w:ilvl w:val="0"/>
          <w:numId w:val="40"/>
        </w:numPr>
        <w:rPr>
          <w:rFonts w:ascii="Arial" w:cs="Arial" w:eastAsia="Arial" w:hAnsi="Arial"/>
          <w:sz w:val="13"/>
          <w:szCs w:val="13"/>
          <w:color w:val="auto"/>
        </w:rPr>
      </w:pPr>
      <w:r>
        <w:rPr>
          <w:rFonts w:ascii="Arial" w:cs="Arial" w:eastAsia="Arial" w:hAnsi="Arial"/>
          <w:sz w:val="16"/>
          <w:szCs w:val="16"/>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w:t>
      </w:r>
      <w:r>
        <w:rPr>
          <w:rFonts w:ascii="Arial" w:cs="Arial" w:eastAsia="Arial" w:hAnsi="Arial"/>
          <w:sz w:val="16"/>
          <w:szCs w:val="16"/>
          <w:i w:val="1"/>
          <w:iCs w:val="1"/>
          <w:color w:val="auto"/>
        </w:rPr>
        <w:t>i.e.</w:t>
      </w:r>
      <w:r>
        <w:rPr>
          <w:rFonts w:ascii="Arial" w:cs="Arial" w:eastAsia="Arial" w:hAnsi="Arial"/>
          <w:sz w:val="16"/>
          <w:szCs w:val="16"/>
          <w:color w:val="auto"/>
        </w:rPr>
        <w:t>, cash) to pay down long term liabilities.</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1" w:name="page22"/>
    <w:bookmarkEnd w:id="21"/>
    <w:p>
      <w:pPr>
        <w:ind w:left="1684" w:hanging="252"/>
        <w:spacing w:after="0"/>
        <w:tabs>
          <w:tab w:leader="none" w:pos="16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Enhanced Review Dispositions</w:t>
      </w:r>
    </w:p>
    <w:p>
      <w:pPr>
        <w:spacing w:after="0" w:line="225"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an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13"/>
          <w:szCs w:val="13"/>
          <w:color w:val="auto"/>
        </w:rPr>
        <w:t>14</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164" w:lineRule="exact"/>
        <w:rPr>
          <w:sz w:val="20"/>
          <w:szCs w:val="20"/>
          <w:color w:val="auto"/>
        </w:rPr>
      </w:pPr>
    </w:p>
    <w:p>
      <w:pPr>
        <w:ind w:left="1164" w:hanging="173"/>
        <w:spacing w:after="0"/>
        <w:tabs>
          <w:tab w:leader="none" w:pos="11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Use of Wholly-Owned Investment Subs</w:t>
      </w:r>
    </w:p>
    <w:p>
      <w:pPr>
        <w:spacing w:after="0" w:line="225"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1"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Applicants represent that this treatment is justified because a Wholly-Owned Investment Sub would have no purpose other than serving as a holding vehicle for the Regulated Fund’s investments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326" w:lineRule="exact"/>
        <w:rPr>
          <w:sz w:val="20"/>
          <w:szCs w:val="20"/>
          <w:color w:val="auto"/>
        </w:rPr>
      </w:pPr>
    </w:p>
    <w:p>
      <w:pPr>
        <w:ind w:left="964" w:hanging="532"/>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117" w:lineRule="exact"/>
        <w:rPr>
          <w:rFonts w:ascii="Arial" w:cs="Arial" w:eastAsia="Arial" w:hAnsi="Arial"/>
          <w:sz w:val="18"/>
          <w:szCs w:val="18"/>
          <w:color w:val="auto"/>
        </w:rPr>
      </w:pPr>
    </w:p>
    <w:p>
      <w:pPr>
        <w:ind w:left="1164" w:hanging="173"/>
        <w:spacing w:after="0"/>
        <w:tabs>
          <w:tab w:leader="none" w:pos="116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22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29" w:lineRule="exact"/>
        <w:rPr>
          <w:sz w:val="20"/>
          <w:szCs w:val="20"/>
          <w:color w:val="auto"/>
        </w:rPr>
      </w:pPr>
    </w:p>
    <w:p>
      <w:pPr>
        <w:ind w:left="964" w:right="200" w:hanging="532"/>
        <w:spacing w:after="0" w:line="277"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20" w:hanging="424"/>
        <w:spacing w:after="0" w:line="272" w:lineRule="auto"/>
        <w:tabs>
          <w:tab w:leader="none" w:pos="424" w:val="left"/>
        </w:tabs>
        <w:numPr>
          <w:ilvl w:val="0"/>
          <w:numId w:val="45"/>
        </w:numPr>
        <w:rPr>
          <w:rFonts w:ascii="Arial" w:cs="Arial" w:eastAsia="Arial" w:hAnsi="Arial"/>
          <w:sz w:val="14"/>
          <w:szCs w:val="14"/>
          <w:color w:val="auto"/>
        </w:rPr>
      </w:pPr>
      <w:r>
        <w:rPr>
          <w:rFonts w:ascii="Arial" w:cs="Arial" w:eastAsia="Arial" w:hAnsi="Arial"/>
          <w:sz w:val="17"/>
          <w:szCs w:val="17"/>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w:t>
      </w:r>
      <w:r>
        <w:rPr>
          <w:rFonts w:ascii="Arial" w:cs="Arial" w:eastAsia="Arial" w:hAnsi="Arial"/>
          <w:sz w:val="17"/>
          <w:szCs w:val="17"/>
          <w:i w:val="1"/>
          <w:iCs w:val="1"/>
          <w:color w:val="auto"/>
        </w:rPr>
        <w:t>i.e.</w:t>
      </w:r>
      <w:r>
        <w:rPr>
          <w:rFonts w:ascii="Arial" w:cs="Arial" w:eastAsia="Arial" w:hAnsi="Arial"/>
          <w:sz w:val="17"/>
          <w:szCs w:val="17"/>
          <w:color w:val="auto"/>
        </w:rPr>
        <w:t>,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2" w:name="page23"/>
    <w:bookmarkEnd w:id="22"/>
    <w:p>
      <w:pPr>
        <w:ind w:left="964" w:right="40" w:hanging="532"/>
        <w:spacing w:after="0" w:line="259" w:lineRule="auto"/>
        <w:tabs>
          <w:tab w:leader="none" w:pos="964"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15"/>
          <w:szCs w:val="15"/>
          <w:color w:val="auto"/>
        </w:rPr>
        <w:t>15</w:t>
      </w:r>
      <w:r>
        <w:rPr>
          <w:rFonts w:ascii="Arial" w:cs="Arial" w:eastAsia="Arial" w:hAnsi="Arial"/>
          <w:sz w:val="18"/>
          <w:szCs w:val="18"/>
          <w:color w:val="auto"/>
        </w:rPr>
        <w:t xml:space="preserve"> or any person who is an affiliated person of any of the forgoing within the meaning of Section 2(a)(3)(C) or (D).</w:t>
      </w:r>
    </w:p>
    <w:p>
      <w:pPr>
        <w:spacing w:after="0" w:line="18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14"/>
          <w:szCs w:val="14"/>
          <w:color w:val="auto"/>
        </w:rPr>
        <w:t>16</w:t>
      </w:r>
    </w:p>
    <w:p>
      <w:pPr>
        <w:spacing w:after="0" w:line="178" w:lineRule="exact"/>
        <w:rPr>
          <w:sz w:val="20"/>
          <w:szCs w:val="20"/>
          <w:color w:val="auto"/>
        </w:rPr>
      </w:pPr>
    </w:p>
    <w:p>
      <w:pPr>
        <w:ind w:left="1164" w:hanging="173"/>
        <w:spacing w:after="0"/>
        <w:tabs>
          <w:tab w:leader="none" w:pos="116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Rule 17d-1</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jc w:val="both"/>
        <w:ind w:left="424" w:right="500" w:hanging="424"/>
        <w:spacing w:after="0" w:line="255" w:lineRule="auto"/>
        <w:tabs>
          <w:tab w:leader="none" w:pos="424" w:val="left"/>
        </w:tabs>
        <w:numPr>
          <w:ilvl w:val="0"/>
          <w:numId w:val="48"/>
        </w:numPr>
        <w:rPr>
          <w:rFonts w:ascii="Arial" w:cs="Arial" w:eastAsia="Arial" w:hAnsi="Arial"/>
          <w:sz w:val="15"/>
          <w:szCs w:val="15"/>
          <w:color w:val="auto"/>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BDC, or (b) solely because that person is, within the meaning of Section 2(a)(3)(C) or (D) of the Act, an affiliated person of a person described in (a) above.</w:t>
      </w:r>
    </w:p>
    <w:p>
      <w:pPr>
        <w:spacing w:after="0" w:line="2" w:lineRule="exact"/>
        <w:rPr>
          <w:rFonts w:ascii="Arial" w:cs="Arial" w:eastAsia="Arial" w:hAnsi="Arial"/>
          <w:sz w:val="15"/>
          <w:szCs w:val="15"/>
          <w:color w:val="auto"/>
        </w:rPr>
      </w:pPr>
    </w:p>
    <w:p>
      <w:pPr>
        <w:ind w:left="424" w:right="120" w:hanging="424"/>
        <w:spacing w:after="0" w:line="253" w:lineRule="auto"/>
        <w:tabs>
          <w:tab w:leader="none" w:pos="424" w:val="left"/>
        </w:tabs>
        <w:numPr>
          <w:ilvl w:val="0"/>
          <w:numId w:val="48"/>
        </w:numPr>
        <w:rPr>
          <w:rFonts w:ascii="Arial" w:cs="Arial" w:eastAsia="Arial" w:hAnsi="Arial"/>
          <w:sz w:val="15"/>
          <w:szCs w:val="15"/>
          <w:color w:val="auto"/>
        </w:rPr>
      </w:pPr>
      <w:r>
        <w:rPr>
          <w:rFonts w:ascii="Arial" w:cs="Arial" w:eastAsia="Arial" w:hAnsi="Arial"/>
          <w:sz w:val="18"/>
          <w:szCs w:val="18"/>
          <w:i w:val="1"/>
          <w:iCs w:val="1"/>
          <w:color w:val="auto"/>
        </w:rPr>
        <w:t>See, e.g.</w:t>
      </w:r>
      <w:r>
        <w:rPr>
          <w:rFonts w:ascii="Arial" w:cs="Arial" w:eastAsia="Arial" w:hAnsi="Arial"/>
          <w:sz w:val="18"/>
          <w:szCs w:val="18"/>
          <w:color w:val="auto"/>
        </w:rPr>
        <w:t>, SEC Rel. No. IC-4697 (Sept. 8, 1966) (“For purposes of Section 2(a)(3)(C), affiliation based upon control would depend on the facts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given situation, including such factors as extensive interlocks of officers, directors or key personnel, common investment advisers or underwriters, etc.”); </w:t>
      </w:r>
      <w:r>
        <w:rPr>
          <w:rFonts w:ascii="Arial" w:cs="Arial" w:eastAsia="Arial" w:hAnsi="Arial"/>
          <w:sz w:val="18"/>
          <w:szCs w:val="18"/>
          <w:u w:val="single" w:color="auto"/>
          <w:color w:val="auto"/>
        </w:rPr>
        <w:t>Lazard Freres Asset Management</w:t>
      </w:r>
      <w:r>
        <w:rPr>
          <w:rFonts w:ascii="Arial" w:cs="Arial" w:eastAsia="Arial" w:hAnsi="Arial"/>
          <w:sz w:val="18"/>
          <w:szCs w:val="18"/>
          <w:color w:val="auto"/>
        </w:rPr>
        <w: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3" w:name="page24"/>
    <w:bookmarkEnd w:id="23"/>
    <w:p>
      <w:pPr>
        <w:ind w:left="4" w:right="1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14"/>
          <w:szCs w:val="14"/>
          <w:color w:val="auto"/>
        </w:rPr>
        <w:t>17</w:t>
      </w:r>
      <w:r>
        <w:rPr>
          <w:rFonts w:ascii="Arial" w:cs="Arial" w:eastAsia="Arial" w:hAnsi="Arial"/>
          <w:sz w:val="17"/>
          <w:szCs w:val="17"/>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 participants.”</w:t>
      </w:r>
      <w:r>
        <w:rPr>
          <w:rFonts w:ascii="Arial" w:cs="Arial" w:eastAsia="Arial" w:hAnsi="Arial"/>
          <w:sz w:val="14"/>
          <w:szCs w:val="14"/>
          <w:color w:val="auto"/>
        </w:rPr>
        <w:t>18</w:t>
      </w:r>
      <w:r>
        <w:rPr>
          <w:rFonts w:ascii="Arial" w:cs="Arial" w:eastAsia="Arial" w:hAnsi="Arial"/>
          <w:sz w:val="17"/>
          <w:szCs w:val="17"/>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14"/>
          <w:szCs w:val="14"/>
          <w:color w:val="auto"/>
        </w:rPr>
        <w:t>19</w:t>
      </w:r>
    </w:p>
    <w:p>
      <w:pPr>
        <w:spacing w:after="0" w:line="178"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319" w:lineRule="exact"/>
        <w:rPr>
          <w:sz w:val="20"/>
          <w:szCs w:val="20"/>
          <w:color w:val="auto"/>
        </w:rPr>
      </w:pPr>
    </w:p>
    <w:p>
      <w:pPr>
        <w:ind w:left="964" w:hanging="532"/>
        <w:spacing w:after="0"/>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117" w:lineRule="exact"/>
        <w:rPr>
          <w:sz w:val="20"/>
          <w:szCs w:val="20"/>
          <w:color w:val="auto"/>
        </w:rPr>
      </w:pPr>
    </w:p>
    <w:p>
      <w:pPr>
        <w:ind w:left="4" w:right="580" w:firstLine="440"/>
        <w:spacing w:after="0" w:line="311" w:lineRule="auto"/>
        <w:rPr>
          <w:sz w:val="20"/>
          <w:szCs w:val="20"/>
          <w:color w:val="auto"/>
        </w:rPr>
      </w:pPr>
      <w:r>
        <w:rPr>
          <w:rFonts w:ascii="Arial" w:cs="Arial" w:eastAsia="Arial" w:hAnsi="Arial"/>
          <w:sz w:val="16"/>
          <w:szCs w:val="16"/>
          <w:color w:val="auto"/>
        </w:rPr>
        <w:t>Co-Investment Transactions are prohibited by either or both of Rule 17d-1 and Section 57(a)(4) without a prior exemptive order of the Commission to the extent that the Affiliated Funds and the Regulated Funds participating in such transactions fall within the category of persons described by Rule 17d-1 and/or Section 57(b), as modified by Rule 57b-1 thereunder, as applicable vis-à-vis each participating Regulated Fund.</w:t>
      </w:r>
    </w:p>
    <w:p>
      <w:pPr>
        <w:spacing w:after="0" w:line="149"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Each of the participating Regulated Funds and Affiliated Funds may be deemed to be affiliated persons vis-à-vis a Regulated Fund within the meaning of Section 2(a)(3) by reason of common control because (i) an Adviser manages each of the Affiliated Funds and may be deemed to control any Future Regulated Fund and any Future Affiliated Fund, and (ii) an Adviser manages the Company pursuant to its investment advisory agreement. Thus, each of the Affiliated Funds could be deemed to be a person related to the Company in a manner described by Section 57(b) and related to Future Regulated Funds in a manner described by Rule 17d-1; and, therefore, the prohibitions of Rule 17d-1 and Section 57(a)(4) would apply respectively to prohibit the Company and Affiliated Funds from participating in Co-Investment Transactions with the Regulated Funds.</w:t>
      </w:r>
    </w:p>
    <w:p>
      <w:pPr>
        <w:spacing w:after="0" w:line="164" w:lineRule="exact"/>
        <w:rPr>
          <w:sz w:val="20"/>
          <w:szCs w:val="20"/>
          <w:color w:val="auto"/>
        </w:rPr>
      </w:pPr>
    </w:p>
    <w:p>
      <w:pPr>
        <w:ind w:left="4" w:right="260" w:firstLine="440"/>
        <w:spacing w:after="0" w:line="257" w:lineRule="auto"/>
        <w:rPr>
          <w:sz w:val="20"/>
          <w:szCs w:val="20"/>
          <w:color w:val="auto"/>
        </w:rPr>
      </w:pPr>
      <w:r>
        <w:rPr>
          <w:rFonts w:ascii="Arial" w:cs="Arial" w:eastAsia="Arial" w:hAnsi="Arial"/>
          <w:sz w:val="18"/>
          <w:szCs w:val="18"/>
          <w:color w:val="auto"/>
        </w:rPr>
        <w:t>In addition, because the Sixth Street Proprietary Accounts will be controlled by Sixth Street Holdco or an entity that either controls or is under common control with Sixth Street Holdco and, therefore, may be under common control with the Company, the Existing Advisers and any future Advisers, and any Future Regulated Funds, the Sixth Street Proprietary Accounts could be deemed to be persons related to the Regulated Funds (or a company controlled by the Regulated Funds) in a manner described by Section 17(d) or 57(b) and also prohibited from participating in the Co-Investment Program.</w:t>
      </w:r>
    </w:p>
    <w:p>
      <w:pPr>
        <w:spacing w:after="0" w:line="188"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The Applicants acknowledge that some of the Affiliated Funds may not be funds advised by an Adviser because they are Sixth Street Proprietary Accounts (</w:t>
      </w:r>
      <w:r>
        <w:rPr>
          <w:rFonts w:ascii="Arial" w:cs="Arial" w:eastAsia="Arial" w:hAnsi="Arial"/>
          <w:sz w:val="18"/>
          <w:szCs w:val="18"/>
          <w:i w:val="1"/>
          <w:iCs w:val="1"/>
          <w:color w:val="auto"/>
        </w:rPr>
        <w:t>i.e.</w:t>
      </w:r>
      <w:r>
        <w:rPr>
          <w:rFonts w:ascii="Arial" w:cs="Arial" w:eastAsia="Arial" w:hAnsi="Arial"/>
          <w:sz w:val="18"/>
          <w:szCs w:val="18"/>
          <w:color w:val="auto"/>
        </w:rPr>
        <w:t>, investing in a principal capacity). However, Applicants note that numerous of the previously ordered exemptive applications seeking similar co-investment relief have included proprietary accounts.</w:t>
      </w:r>
      <w:r>
        <w:rPr>
          <w:rFonts w:ascii="Arial" w:cs="Arial" w:eastAsia="Arial" w:hAnsi="Arial"/>
          <w:sz w:val="15"/>
          <w:szCs w:val="15"/>
          <w:color w:val="auto"/>
        </w:rPr>
        <w:t>20</w:t>
      </w:r>
      <w:r>
        <w:rPr>
          <w:rFonts w:ascii="Arial" w:cs="Arial" w:eastAsia="Arial" w:hAnsi="Arial"/>
          <w:sz w:val="18"/>
          <w:szCs w:val="18"/>
          <w:color w:val="auto"/>
        </w:rPr>
        <w:t xml:space="preserve"> The Applicants do not believe that the participation of the Sixth Street Proprietary Accounts in the Co-Investment Program would raise any regulatory or mechanical concerns different from those discussed with respect to Affiliated Funds that are advised by the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13"/>
          <w:szCs w:val="13"/>
          <w:color w:val="auto"/>
        </w:rPr>
      </w:pPr>
      <w:r>
        <w:rPr>
          <w:rFonts w:ascii="Arial" w:cs="Arial" w:eastAsia="Arial" w:hAnsi="Arial"/>
          <w:sz w:val="16"/>
          <w:szCs w:val="16"/>
          <w:u w:val="single" w:color="auto"/>
          <w:color w:val="auto"/>
        </w:rPr>
        <w:t>See Protecting Investors: A Half-Century of Investment Company Regulation</w:t>
      </w:r>
      <w:r>
        <w:rPr>
          <w:rFonts w:ascii="Arial" w:cs="Arial" w:eastAsia="Arial" w:hAnsi="Arial"/>
          <w:sz w:val="16"/>
          <w:szCs w:val="16"/>
          <w:color w:val="auto"/>
        </w:rPr>
        <w:t xml:space="preserve">, 1504 Fed. Sec. L. Rep., Extra Edition (May 29, 1992) at 488 </w:t>
      </w:r>
      <w:r>
        <w:rPr>
          <w:rFonts w:ascii="Arial" w:cs="Arial" w:eastAsia="Arial" w:hAnsi="Arial"/>
          <w:sz w:val="16"/>
          <w:szCs w:val="16"/>
          <w:i w:val="1"/>
          <w:iCs w:val="1"/>
          <w:color w:val="auto"/>
        </w:rPr>
        <w:t>et seq</w:t>
      </w:r>
      <w:r>
        <w:rPr>
          <w:rFonts w:ascii="Arial" w:cs="Arial" w:eastAsia="Arial" w:hAnsi="Arial"/>
          <w:sz w:val="16"/>
          <w:szCs w:val="16"/>
          <w:color w:val="auto"/>
        </w:rPr>
        <w:t>.</w:t>
      </w:r>
    </w:p>
    <w:p>
      <w:pPr>
        <w:spacing w:after="0" w:line="46" w:lineRule="exact"/>
        <w:rPr>
          <w:rFonts w:ascii="Arial" w:cs="Arial" w:eastAsia="Arial" w:hAnsi="Arial"/>
          <w:sz w:val="13"/>
          <w:szCs w:val="13"/>
          <w:color w:val="auto"/>
        </w:rPr>
      </w:pPr>
    </w:p>
    <w:p>
      <w:pPr>
        <w:ind w:left="424" w:hanging="424"/>
        <w:spacing w:after="0"/>
        <w:tabs>
          <w:tab w:leader="none" w:pos="424" w:val="left"/>
        </w:tabs>
        <w:numPr>
          <w:ilvl w:val="0"/>
          <w:numId w:val="50"/>
        </w:numPr>
        <w:rPr>
          <w:rFonts w:ascii="Arial" w:cs="Arial" w:eastAsia="Arial" w:hAnsi="Arial"/>
          <w:sz w:val="14"/>
          <w:szCs w:val="14"/>
          <w:color w:val="auto"/>
        </w:rPr>
      </w:pPr>
      <w:r>
        <w:rPr>
          <w:rFonts w:ascii="Arial" w:cs="Arial" w:eastAsia="Arial" w:hAnsi="Arial"/>
          <w:sz w:val="17"/>
          <w:szCs w:val="17"/>
          <w:u w:val="single" w:color="auto"/>
          <w:color w:val="auto"/>
        </w:rPr>
        <w:t>Securities and Exchange Commission v. Talley Industries, Inc.</w:t>
      </w:r>
      <w:r>
        <w:rPr>
          <w:rFonts w:ascii="Arial" w:cs="Arial" w:eastAsia="Arial" w:hAnsi="Arial"/>
          <w:sz w:val="17"/>
          <w:szCs w:val="17"/>
          <w:color w:val="auto"/>
        </w:rPr>
        <w:t xml:space="preserve">, 399 F.2d 396, 405 (2d Cir. 1968), </w:t>
      </w:r>
      <w:r>
        <w:rPr>
          <w:rFonts w:ascii="Arial" w:cs="Arial" w:eastAsia="Arial" w:hAnsi="Arial"/>
          <w:sz w:val="17"/>
          <w:szCs w:val="17"/>
          <w:u w:val="single" w:color="auto"/>
          <w:color w:val="auto"/>
        </w:rPr>
        <w:t>cert. denied</w:t>
      </w:r>
      <w:r>
        <w:rPr>
          <w:rFonts w:ascii="Arial" w:cs="Arial" w:eastAsia="Arial" w:hAnsi="Arial"/>
          <w:sz w:val="17"/>
          <w:szCs w:val="17"/>
          <w:color w:val="auto"/>
        </w:rPr>
        <w:t>, 393 U.S. 1015 (1969).</w:t>
      </w:r>
    </w:p>
    <w:p>
      <w:pPr>
        <w:spacing w:after="0" w:line="20" w:lineRule="exact"/>
        <w:rPr>
          <w:rFonts w:ascii="Arial" w:cs="Arial" w:eastAsia="Arial" w:hAnsi="Arial"/>
          <w:sz w:val="14"/>
          <w:szCs w:val="14"/>
          <w:color w:val="auto"/>
        </w:rPr>
      </w:pPr>
    </w:p>
    <w:p>
      <w:pPr>
        <w:ind w:left="424" w:hanging="424"/>
        <w:spacing w:after="0"/>
        <w:tabs>
          <w:tab w:leader="none" w:pos="4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 xml:space="preserve">H.Rep. No. 96-1341, 96th Cong., 2d Sess. 45 (1980) </w:t>
      </w:r>
      <w:r>
        <w:rPr>
          <w:rFonts w:ascii="Arial" w:cs="Arial" w:eastAsia="Arial" w:hAnsi="Arial"/>
          <w:sz w:val="18"/>
          <w:szCs w:val="18"/>
          <w:i w:val="1"/>
          <w:iCs w:val="1"/>
          <w:color w:val="auto"/>
        </w:rPr>
        <w:t>reprinted in</w:t>
      </w:r>
      <w:r>
        <w:rPr>
          <w:rFonts w:ascii="Arial" w:cs="Arial" w:eastAsia="Arial" w:hAnsi="Arial"/>
          <w:sz w:val="18"/>
          <w:szCs w:val="18"/>
          <w:color w:val="auto"/>
        </w:rPr>
        <w:t xml:space="preserve"> 1980 U.S.C.C.A.N. 4827.</w:t>
      </w:r>
    </w:p>
    <w:p>
      <w:pPr>
        <w:spacing w:after="0" w:line="9" w:lineRule="exact"/>
        <w:rPr>
          <w:rFonts w:ascii="Arial" w:cs="Arial" w:eastAsia="Arial" w:hAnsi="Arial"/>
          <w:sz w:val="15"/>
          <w:szCs w:val="15"/>
          <w:color w:val="auto"/>
        </w:rPr>
      </w:pPr>
    </w:p>
    <w:p>
      <w:pPr>
        <w:ind w:left="424" w:hanging="424"/>
        <w:spacing w:after="0" w:line="268" w:lineRule="auto"/>
        <w:tabs>
          <w:tab w:leader="none" w:pos="424" w:val="left"/>
        </w:tabs>
        <w:numPr>
          <w:ilvl w:val="0"/>
          <w:numId w:val="50"/>
        </w:numPr>
        <w:rPr>
          <w:rFonts w:ascii="Arial" w:cs="Arial" w:eastAsia="Arial" w:hAnsi="Arial"/>
          <w:sz w:val="14"/>
          <w:szCs w:val="14"/>
          <w:color w:val="auto"/>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Blackstone / GSO Floating Rate Enhanced Income Fund, et al.</w:t>
      </w:r>
      <w:r>
        <w:rPr>
          <w:rFonts w:ascii="Arial" w:cs="Arial" w:eastAsia="Arial" w:hAnsi="Arial"/>
          <w:sz w:val="17"/>
          <w:szCs w:val="17"/>
          <w:i w:val="1"/>
          <w:iCs w:val="1"/>
          <w:color w:val="auto"/>
        </w:rPr>
        <w:t xml:space="preserve"> </w:t>
      </w:r>
      <w:r>
        <w:rPr>
          <w:rFonts w:ascii="Arial" w:cs="Arial" w:eastAsia="Arial" w:hAnsi="Arial"/>
          <w:sz w:val="17"/>
          <w:szCs w:val="17"/>
          <w:color w:val="auto"/>
        </w:rPr>
        <w:t>(File No. 812-14835) Investment Company Act Rel. Nos. 33149 (July 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2018) (notice) and 33186 (July 31, 2018); </w:t>
      </w:r>
      <w:r>
        <w:rPr>
          <w:rFonts w:ascii="Arial" w:cs="Arial" w:eastAsia="Arial" w:hAnsi="Arial"/>
          <w:sz w:val="17"/>
          <w:szCs w:val="17"/>
          <w:u w:val="single" w:color="auto"/>
          <w:color w:val="auto"/>
        </w:rPr>
        <w:t>Corporate Capital Trust, Inc., et al.</w:t>
      </w:r>
      <w:r>
        <w:rPr>
          <w:rFonts w:ascii="Arial" w:cs="Arial" w:eastAsia="Arial" w:hAnsi="Arial"/>
          <w:sz w:val="17"/>
          <w:szCs w:val="17"/>
          <w:color w:val="auto"/>
        </w:rPr>
        <w:t xml:space="preserve"> (File No. 812-14882) Investment Company Act Rel. Nos. 33043 (March 8, 2018) (notice) and 33064 (April 3, 2018) (order); </w:t>
      </w:r>
      <w:r>
        <w:rPr>
          <w:rFonts w:ascii="Arial" w:cs="Arial" w:eastAsia="Arial" w:hAnsi="Arial"/>
          <w:sz w:val="17"/>
          <w:szCs w:val="17"/>
          <w:u w:val="single" w:color="auto"/>
          <w:color w:val="auto"/>
        </w:rPr>
        <w:t>TriplePoint Venture Growth BDC Corp., et al.</w:t>
      </w:r>
      <w:r>
        <w:rPr>
          <w:rFonts w:ascii="Arial" w:cs="Arial" w:eastAsia="Arial" w:hAnsi="Arial"/>
          <w:sz w:val="17"/>
          <w:szCs w:val="17"/>
          <w:color w:val="auto"/>
        </w:rPr>
        <w:t xml:space="preserve"> (File No. 812-14773) Investment Company Act Rel. Nos. 33037 (February 28, 2018) (notice) and 33060 (March 28, 2018) (order); </w:t>
      </w:r>
      <w:r>
        <w:rPr>
          <w:rFonts w:ascii="Arial" w:cs="Arial" w:eastAsia="Arial" w:hAnsi="Arial"/>
          <w:sz w:val="17"/>
          <w:szCs w:val="17"/>
          <w:u w:val="single" w:color="auto"/>
          <w:color w:val="auto"/>
        </w:rPr>
        <w:t>TCG BDC, Inc., et al.</w:t>
      </w:r>
      <w:r>
        <w:rPr>
          <w:rFonts w:ascii="Arial" w:cs="Arial" w:eastAsia="Arial" w:hAnsi="Arial"/>
          <w:sz w:val="17"/>
          <w:szCs w:val="17"/>
          <w:color w:val="auto"/>
        </w:rPr>
        <w:t xml:space="preserve"> (File No. 812-14798) Investment Company Act Rel. Nos. 32945 (December 20, 2017) (notice) and 32969 (January 17, 2018) (order); </w:t>
      </w: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812-14778) Investment Company Act Rel. Nos. 32809 (September 8, 2017) (notice) and 32850 (October 4, 2017) (order); and </w:t>
      </w:r>
      <w:r>
        <w:rPr>
          <w:rFonts w:ascii="Arial" w:cs="Arial" w:eastAsia="Arial" w:hAnsi="Arial"/>
          <w:sz w:val="17"/>
          <w:szCs w:val="17"/>
          <w:u w:val="single" w:color="auto"/>
          <w:color w:val="auto"/>
        </w:rPr>
        <w:t>Harvest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Credit Corporation, et al.</w:t>
      </w:r>
      <w:r>
        <w:rPr>
          <w:rFonts w:ascii="Arial" w:cs="Arial" w:eastAsia="Arial" w:hAnsi="Arial"/>
          <w:sz w:val="17"/>
          <w:szCs w:val="17"/>
          <w:color w:val="auto"/>
        </w:rPr>
        <w:t xml:space="preserve"> (File No. 812-14365) Investment Company Act Rel. Nos. 31860 (October 5, 2015) (notice) and 31930 (December 10, 2015) (order), all of which included relief for proprietary accounts.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4" w:name="page25"/>
    <w:bookmarkEnd w:id="24"/>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the allocation policies and procedures, Potential Co-Investment Transactions will be offered to, and allocated among, the Affiliated Funds (including the Sixth Street Proprietary Accounts) and Regulated Funds, based on each client’s particular Objectives and Strategies and in accordance with the Conditions.</w:t>
      </w:r>
    </w:p>
    <w:p>
      <w:pPr>
        <w:spacing w:after="0" w:line="184" w:lineRule="exact"/>
        <w:rPr>
          <w:sz w:val="20"/>
          <w:szCs w:val="20"/>
          <w:color w:val="auto"/>
        </w:rPr>
      </w:pPr>
    </w:p>
    <w:p>
      <w:pPr>
        <w:ind w:left="4" w:right="140" w:firstLine="440"/>
        <w:spacing w:after="0" w:line="293" w:lineRule="auto"/>
        <w:rPr>
          <w:sz w:val="20"/>
          <w:szCs w:val="20"/>
          <w:color w:val="auto"/>
        </w:rPr>
      </w:pPr>
      <w:r>
        <w:rPr>
          <w:rFonts w:ascii="Arial" w:cs="Arial" w:eastAsia="Arial" w:hAnsi="Arial"/>
          <w:sz w:val="16"/>
          <w:szCs w:val="16"/>
          <w:color w:val="auto"/>
        </w:rPr>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an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313" w:lineRule="exact"/>
        <w:rPr>
          <w:sz w:val="20"/>
          <w:szCs w:val="20"/>
          <w:color w:val="auto"/>
        </w:rPr>
      </w:pPr>
    </w:p>
    <w:p>
      <w:pPr>
        <w:ind w:left="964" w:hanging="532"/>
        <w:spacing w:after="0"/>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Precedents</w:t>
      </w:r>
    </w:p>
    <w:p>
      <w:pPr>
        <w:spacing w:after="0" w:line="117"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The Commission has issued numerous exemptive orders under the Act permitting registered investment companies and BDCs to co-invest with affiliated persons.</w:t>
      </w:r>
      <w:r>
        <w:rPr>
          <w:rFonts w:ascii="Arial" w:cs="Arial" w:eastAsia="Arial" w:hAnsi="Arial"/>
          <w:sz w:val="15"/>
          <w:szCs w:val="15"/>
          <w:color w:val="auto"/>
        </w:rPr>
        <w:t>21</w:t>
      </w:r>
      <w:r>
        <w:rPr>
          <w:rFonts w:ascii="Arial" w:cs="Arial" w:eastAsia="Arial" w:hAnsi="Arial"/>
          <w:sz w:val="18"/>
          <w:szCs w:val="18"/>
          <w:color w:val="auto"/>
        </w:rPr>
        <w:t xml:space="preserve"> Although the various precedents involved somewhat different formulae, the Commission has accepted, as a basis for relief from the prohibitions on joint transactions, use of allocation and approval procedures to protect the interests of investors in the BDCs and registered investment companies. Applicants submit that the allocation procedures set forth in the Conditions for relief are consistent with and expand the range of investor protections found in the orders we cite.</w:t>
      </w:r>
    </w:p>
    <w:p>
      <w:pPr>
        <w:spacing w:after="0" w:line="18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Applicants propose to limit the Potential Co-Investment Transactions of which each Adviser would be notified of to those investments that would be consistent with each fund’s then-current Objectives and Strategies and any Board-Established Criteria, thus reducing unnecessary burdens that would otherwise be imposed on Applicants. In addition, Applicants seek to obtain exemptive relief to permit Applicants to participate in Enhanced Review Follow-Ons and Enhanced Review Dispositions.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Ares Capital Corporation and its affiliates, Apollo Investment Corporation and its affiliates, Oaktree Strategic Income, LLC and its affiliates, and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Stellus Capital Investment Corporation and its affiliates each previously received exemptive relief consistent with the relief Applicants are requesting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herein. Thus, Applicants based the Application on the applications of Ares Capital Corporation and its affiliates, for which an order was issued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January 18, 2017 (the “</w:t>
      </w:r>
      <w:r>
        <w:rPr>
          <w:rFonts w:ascii="Arial" w:cs="Arial" w:eastAsia="Arial" w:hAnsi="Arial"/>
          <w:sz w:val="17"/>
          <w:szCs w:val="17"/>
          <w:b w:val="1"/>
          <w:bCs w:val="1"/>
          <w:i w:val="1"/>
          <w:iCs w:val="1"/>
          <w:color w:val="auto"/>
        </w:rPr>
        <w:t>Ares Order</w:t>
      </w:r>
      <w:r>
        <w:rPr>
          <w:rFonts w:ascii="Arial" w:cs="Arial" w:eastAsia="Arial" w:hAnsi="Arial"/>
          <w:sz w:val="17"/>
          <w:szCs w:val="17"/>
          <w:color w:val="auto"/>
        </w:rPr>
        <w:t>”),</w:t>
      </w:r>
      <w:r>
        <w:rPr>
          <w:rFonts w:ascii="Arial" w:cs="Arial" w:eastAsia="Arial" w:hAnsi="Arial"/>
          <w:sz w:val="14"/>
          <w:szCs w:val="14"/>
          <w:color w:val="auto"/>
        </w:rPr>
        <w:t>22</w:t>
      </w:r>
      <w:r>
        <w:rPr>
          <w:rFonts w:ascii="Arial" w:cs="Arial" w:eastAsia="Arial" w:hAnsi="Arial"/>
          <w:sz w:val="17"/>
          <w:szCs w:val="17"/>
          <w:color w:val="auto"/>
        </w:rPr>
        <w:t xml:space="preserve"> Apollo Investment Corporation and its affiliates, for which an order was granted on March 29, 2016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Apollo Order</w:t>
      </w:r>
      <w:r>
        <w:rPr>
          <w:rFonts w:ascii="Arial" w:cs="Arial" w:eastAsia="Arial" w:hAnsi="Arial"/>
          <w:sz w:val="17"/>
          <w:szCs w:val="17"/>
          <w:color w:val="auto"/>
        </w:rPr>
        <w:t>”)</w:t>
      </w:r>
      <w:r>
        <w:rPr>
          <w:rFonts w:ascii="Arial" w:cs="Arial" w:eastAsia="Arial" w:hAnsi="Arial"/>
          <w:sz w:val="14"/>
          <w:szCs w:val="14"/>
          <w:color w:val="auto"/>
        </w:rPr>
        <w:t>23</w:t>
      </w:r>
      <w:r>
        <w:rPr>
          <w:rFonts w:ascii="Arial" w:cs="Arial" w:eastAsia="Arial" w:hAnsi="Arial"/>
          <w:sz w:val="17"/>
          <w:szCs w:val="17"/>
          <w:color w:val="auto"/>
        </w:rPr>
        <w:t>, Oaktree Strategic Income, LLC and its affiliates, for which an order was granted on October 18, 2017 (the “</w:t>
      </w:r>
      <w:r>
        <w:rPr>
          <w:rFonts w:ascii="Arial" w:cs="Arial" w:eastAsia="Arial" w:hAnsi="Arial"/>
          <w:sz w:val="17"/>
          <w:szCs w:val="17"/>
          <w:b w:val="1"/>
          <w:bCs w:val="1"/>
          <w:i w:val="1"/>
          <w:iCs w:val="1"/>
          <w:color w:val="auto"/>
        </w:rPr>
        <w:t>Oaktree Order</w:t>
      </w:r>
      <w:r>
        <w:rPr>
          <w:rFonts w:ascii="Arial" w:cs="Arial" w:eastAsia="Arial" w:hAnsi="Arial"/>
          <w:sz w:val="17"/>
          <w:szCs w:val="17"/>
          <w:color w:val="auto"/>
        </w:rPr>
        <w:t>”)</w:t>
      </w:r>
      <w:r>
        <w:rPr>
          <w:rFonts w:ascii="Arial" w:cs="Arial" w:eastAsia="Arial" w:hAnsi="Arial"/>
          <w:sz w:val="14"/>
          <w:szCs w:val="14"/>
          <w:color w:val="auto"/>
        </w:rPr>
        <w:t>24</w:t>
      </w:r>
      <w:r>
        <w:rPr>
          <w:rFonts w:ascii="Arial" w:cs="Arial" w:eastAsia="Arial" w:hAnsi="Arial"/>
          <w:sz w:val="17"/>
          <w:szCs w:val="17"/>
          <w:color w:val="auto"/>
        </w:rPr>
        <w: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Stellus Capital Investment Corporation and its affiliates, for which an order was granted on December 4, 2018 (the “</w:t>
      </w:r>
      <w:r>
        <w:rPr>
          <w:rFonts w:ascii="Arial" w:cs="Arial" w:eastAsia="Arial" w:hAnsi="Arial"/>
          <w:sz w:val="16"/>
          <w:szCs w:val="16"/>
          <w:b w:val="1"/>
          <w:bCs w:val="1"/>
          <w:i w:val="1"/>
          <w:iCs w:val="1"/>
          <w:color w:val="auto"/>
        </w:rPr>
        <w:t>Stellus Order</w:t>
      </w:r>
      <w:r>
        <w:rPr>
          <w:rFonts w:ascii="Arial" w:cs="Arial" w:eastAsia="Arial" w:hAnsi="Arial"/>
          <w:sz w:val="16"/>
          <w:szCs w:val="16"/>
          <w:color w:val="auto"/>
        </w:rPr>
        <w:t>”)</w:t>
      </w:r>
      <w:r>
        <w:rPr>
          <w:rFonts w:ascii="Arial" w:cs="Arial" w:eastAsia="Arial" w:hAnsi="Arial"/>
          <w:sz w:val="13"/>
          <w:szCs w:val="13"/>
          <w:color w:val="auto"/>
        </w:rPr>
        <w:t>25</w:t>
      </w:r>
      <w:r>
        <w:rPr>
          <w:rFonts w:ascii="Arial" w:cs="Arial" w:eastAsia="Arial" w:hAnsi="Arial"/>
          <w:sz w:val="16"/>
          <w:szCs w:val="16"/>
          <w:color w:val="auto"/>
        </w:rPr>
        <w:t>, FS Global Credit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Opportunities Fund and its affiliates, for which an order was granted on August 11, 2020 (the “</w:t>
      </w:r>
      <w:r>
        <w:rPr>
          <w:rFonts w:ascii="Arial" w:cs="Arial" w:eastAsia="Arial" w:hAnsi="Arial"/>
          <w:sz w:val="16"/>
          <w:szCs w:val="16"/>
          <w:b w:val="1"/>
          <w:bCs w:val="1"/>
          <w:i w:val="1"/>
          <w:iCs w:val="1"/>
          <w:color w:val="auto"/>
        </w:rPr>
        <w:t>FS Order</w:t>
      </w:r>
      <w:r>
        <w:rPr>
          <w:rFonts w:ascii="Arial" w:cs="Arial" w:eastAsia="Arial" w:hAnsi="Arial"/>
          <w:sz w:val="16"/>
          <w:szCs w:val="16"/>
          <w:color w:val="auto"/>
        </w:rPr>
        <w:t>”)</w:t>
      </w:r>
      <w:r>
        <w:rPr>
          <w:rFonts w:ascii="Arial" w:cs="Arial" w:eastAsia="Arial" w:hAnsi="Arial"/>
          <w:sz w:val="13"/>
          <w:szCs w:val="13"/>
          <w:color w:val="auto"/>
        </w:rPr>
        <w:t>26</w:t>
      </w:r>
      <w:r>
        <w:rPr>
          <w:rFonts w:ascii="Arial" w:cs="Arial" w:eastAsia="Arial" w:hAnsi="Arial"/>
          <w:sz w:val="16"/>
          <w:szCs w:val="16"/>
          <w:color w:val="auto"/>
        </w:rPr>
        <w:t>, and Yieldstreet Prism Fund Inc. and 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affiliates, for which an order was granted on November 10, 2020 (the “</w:t>
      </w:r>
      <w:r>
        <w:rPr>
          <w:rFonts w:ascii="Arial" w:cs="Arial" w:eastAsia="Arial" w:hAnsi="Arial"/>
          <w:sz w:val="18"/>
          <w:szCs w:val="18"/>
          <w:b w:val="1"/>
          <w:bCs w:val="1"/>
          <w:i w:val="1"/>
          <w:iCs w:val="1"/>
          <w:color w:val="auto"/>
        </w:rPr>
        <w:t>Yieldstreet Order</w:t>
      </w:r>
      <w:r>
        <w:rPr>
          <w:rFonts w:ascii="Arial" w:cs="Arial" w:eastAsia="Arial" w:hAnsi="Arial"/>
          <w:sz w:val="18"/>
          <w:szCs w:val="18"/>
          <w:color w:val="auto"/>
        </w:rPr>
        <w:t>”)</w:t>
      </w:r>
      <w:r>
        <w:rPr>
          <w:rFonts w:ascii="Arial" w:cs="Arial" w:eastAsia="Arial" w:hAnsi="Arial"/>
          <w:sz w:val="15"/>
          <w:szCs w:val="15"/>
          <w:color w:val="auto"/>
        </w:rPr>
        <w:t>27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0" w:hanging="424"/>
        <w:spacing w:after="0" w:line="284" w:lineRule="auto"/>
        <w:tabs>
          <w:tab w:leader="none" w:pos="424" w:val="left"/>
        </w:tabs>
        <w:numPr>
          <w:ilvl w:val="0"/>
          <w:numId w:val="52"/>
        </w:numPr>
        <w:rPr>
          <w:rFonts w:ascii="Arial" w:cs="Arial" w:eastAsia="Arial" w:hAnsi="Arial"/>
          <w:sz w:val="13"/>
          <w:szCs w:val="13"/>
          <w:color w:val="auto"/>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CM Finance Inc., et al.</w:t>
      </w:r>
      <w:r>
        <w:rPr>
          <w:rFonts w:ascii="Arial" w:cs="Arial" w:eastAsia="Arial" w:hAnsi="Arial"/>
          <w:sz w:val="16"/>
          <w:szCs w:val="16"/>
          <w:i w:val="1"/>
          <w:iCs w:val="1"/>
          <w:color w:val="auto"/>
        </w:rPr>
        <w:t xml:space="preserve"> </w:t>
      </w:r>
      <w:r>
        <w:rPr>
          <w:rFonts w:ascii="Arial" w:cs="Arial" w:eastAsia="Arial" w:hAnsi="Arial"/>
          <w:sz w:val="16"/>
          <w:szCs w:val="16"/>
          <w:color w:val="auto"/>
        </w:rPr>
        <w:t>(File No. 812-14850) Release No. IC-33377 (notice) (Feb. 19, 2019), Release No. IC-33401 (order) (Mar. 19,</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 </w:t>
      </w:r>
      <w:r>
        <w:rPr>
          <w:rFonts w:ascii="Arial" w:cs="Arial" w:eastAsia="Arial" w:hAnsi="Arial"/>
          <w:sz w:val="16"/>
          <w:szCs w:val="16"/>
          <w:u w:val="single" w:color="auto"/>
          <w:color w:val="auto"/>
        </w:rPr>
        <w:t>Pharos Capital BDC, Inc., et al.</w:t>
      </w:r>
      <w:r>
        <w:rPr>
          <w:rFonts w:ascii="Arial" w:cs="Arial" w:eastAsia="Arial" w:hAnsi="Arial"/>
          <w:sz w:val="16"/>
          <w:szCs w:val="16"/>
          <w:color w:val="auto"/>
        </w:rPr>
        <w:t xml:space="preserve">, (File No. 812-14891) Release No. IC-33372 (notice) (February 8, 2019), Release No. IC-33394 (order) (March 11,2019); </w:t>
      </w:r>
      <w:r>
        <w:rPr>
          <w:rFonts w:ascii="Arial" w:cs="Arial" w:eastAsia="Arial" w:hAnsi="Arial"/>
          <w:sz w:val="16"/>
          <w:szCs w:val="16"/>
          <w:u w:val="single" w:color="auto"/>
          <w:color w:val="auto"/>
        </w:rPr>
        <w:t>AB Private Credit Investors Corp., et al.</w:t>
      </w:r>
      <w:r>
        <w:rPr>
          <w:rFonts w:ascii="Arial" w:cs="Arial" w:eastAsia="Arial" w:hAnsi="Arial"/>
          <w:sz w:val="16"/>
          <w:szCs w:val="16"/>
          <w:color w:val="auto"/>
        </w:rPr>
        <w:t xml:space="preserve"> (File No. 812-14925) Investment Company Act Rel. Nos. 33152 (July 9, 2018) (notice) and 33191 (August 6, 2018) (order); </w:t>
      </w:r>
      <w:r>
        <w:rPr>
          <w:rFonts w:ascii="Arial" w:cs="Arial" w:eastAsia="Arial" w:hAnsi="Arial"/>
          <w:sz w:val="16"/>
          <w:szCs w:val="16"/>
          <w:u w:val="single" w:color="auto"/>
          <w:color w:val="auto"/>
        </w:rPr>
        <w:t>Blackstone / GSO Floating Rate Enhanced Income Fund, et al.</w:t>
      </w:r>
      <w:r>
        <w:rPr>
          <w:rFonts w:ascii="Arial" w:cs="Arial" w:eastAsia="Arial" w:hAnsi="Arial"/>
          <w:sz w:val="16"/>
          <w:szCs w:val="16"/>
          <w:color w:val="auto"/>
        </w:rPr>
        <w:t xml:space="preserve"> (File No. 812-14835) Investment Company Act Rel. Nos. 33149 (July 6, 2018) (notice) and 33186 (July 31,2018); </w:t>
      </w:r>
      <w:r>
        <w:rPr>
          <w:rFonts w:ascii="Arial" w:cs="Arial" w:eastAsia="Arial" w:hAnsi="Arial"/>
          <w:sz w:val="16"/>
          <w:szCs w:val="16"/>
          <w:u w:val="single" w:color="auto"/>
          <w:color w:val="auto"/>
        </w:rPr>
        <w:t>Benefit Street Partners BDC, Inc., et al.</w:t>
      </w:r>
      <w:r>
        <w:rPr>
          <w:rFonts w:ascii="Arial" w:cs="Arial" w:eastAsia="Arial" w:hAnsi="Arial"/>
          <w:sz w:val="16"/>
          <w:szCs w:val="16"/>
          <w:color w:val="auto"/>
        </w:rPr>
        <w:t xml:space="preserve"> (File No. 812-14601) Investment Company Act Rel. Nos. 33068 (April 6, 2018) (notice) and 33090 (May 1, 2018) (order); </w:t>
      </w:r>
      <w:r>
        <w:rPr>
          <w:rFonts w:ascii="Arial" w:cs="Arial" w:eastAsia="Arial" w:hAnsi="Arial"/>
          <w:sz w:val="16"/>
          <w:szCs w:val="16"/>
          <w:u w:val="single" w:color="auto"/>
          <w:color w:val="auto"/>
        </w:rPr>
        <w:t>Triloma EIG Energy Income Fund, et al.</w:t>
      </w:r>
      <w:r>
        <w:rPr>
          <w:rFonts w:ascii="Arial" w:cs="Arial" w:eastAsia="Arial" w:hAnsi="Arial"/>
          <w:sz w:val="16"/>
          <w:szCs w:val="16"/>
          <w:color w:val="auto"/>
        </w:rPr>
        <w:t xml:space="preserve"> (File</w:t>
      </w:r>
    </w:p>
    <w:p>
      <w:pPr>
        <w:spacing w:after="0" w:line="4" w:lineRule="exact"/>
        <w:rPr>
          <w:rFonts w:ascii="Arial" w:cs="Arial" w:eastAsia="Arial" w:hAnsi="Arial"/>
          <w:sz w:val="13"/>
          <w:szCs w:val="13"/>
          <w:color w:val="auto"/>
        </w:rPr>
      </w:pPr>
    </w:p>
    <w:p>
      <w:pPr>
        <w:ind w:left="424"/>
        <w:spacing w:after="0" w:line="250" w:lineRule="auto"/>
        <w:rPr>
          <w:rFonts w:ascii="Arial" w:cs="Arial" w:eastAsia="Arial" w:hAnsi="Arial"/>
          <w:sz w:val="13"/>
          <w:szCs w:val="13"/>
          <w:color w:val="auto"/>
        </w:rPr>
      </w:pPr>
      <w:r>
        <w:rPr>
          <w:rFonts w:ascii="Arial" w:cs="Arial" w:eastAsia="Arial" w:hAnsi="Arial"/>
          <w:sz w:val="18"/>
          <w:szCs w:val="18"/>
          <w:color w:val="auto"/>
        </w:rPr>
        <w:t xml:space="preserve">No. 812-14848) Investment Company Act Rel. Nos. 33047 (March 14, 2018) (notice) and 33070 (April 10, 2018) (order); </w:t>
      </w:r>
      <w:r>
        <w:rPr>
          <w:rFonts w:ascii="Arial" w:cs="Arial" w:eastAsia="Arial" w:hAnsi="Arial"/>
          <w:sz w:val="18"/>
          <w:szCs w:val="18"/>
          <w:u w:val="single" w:color="auto"/>
          <w:color w:val="auto"/>
        </w:rPr>
        <w:t>Corporate Capital 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 et al.</w:t>
      </w:r>
      <w:r>
        <w:rPr>
          <w:rFonts w:ascii="Arial" w:cs="Arial" w:eastAsia="Arial" w:hAnsi="Arial"/>
          <w:sz w:val="18"/>
          <w:szCs w:val="18"/>
          <w:color w:val="auto"/>
        </w:rPr>
        <w:t xml:space="preserve"> (File No. 812-14882) Investment Company Act Rel. Nos. 33043 (March 8, 2018) (notice) and 33064 (April 3, 2018) (order); </w:t>
      </w:r>
      <w:r>
        <w:rPr>
          <w:rFonts w:ascii="Arial" w:cs="Arial" w:eastAsia="Arial" w:hAnsi="Arial"/>
          <w:sz w:val="18"/>
          <w:szCs w:val="18"/>
          <w:u w:val="single" w:color="auto"/>
          <w:color w:val="auto"/>
        </w:rPr>
        <w:t>Alcentra</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 Corporation, et al.</w:t>
      </w:r>
      <w:r>
        <w:rPr>
          <w:rFonts w:ascii="Arial" w:cs="Arial" w:eastAsia="Arial" w:hAnsi="Arial"/>
          <w:sz w:val="18"/>
          <w:szCs w:val="18"/>
          <w:color w:val="auto"/>
        </w:rPr>
        <w:t xml:space="preserve"> (File No. 812-14760) Investment Company Act Rel. Nos. 33038 (February 28, 2018) (notice) and 33059 (March 27, 2018) (order); </w:t>
      </w:r>
      <w:r>
        <w:rPr>
          <w:rFonts w:ascii="Arial" w:cs="Arial" w:eastAsia="Arial" w:hAnsi="Arial"/>
          <w:sz w:val="18"/>
          <w:szCs w:val="18"/>
          <w:u w:val="single" w:color="auto"/>
          <w:color w:val="auto"/>
        </w:rPr>
        <w:t>TriplePoint Venture Growth BDC Corp., et al.</w:t>
      </w:r>
      <w:r>
        <w:rPr>
          <w:rFonts w:ascii="Arial" w:cs="Arial" w:eastAsia="Arial" w:hAnsi="Arial"/>
          <w:sz w:val="18"/>
          <w:szCs w:val="18"/>
          <w:color w:val="auto"/>
        </w:rPr>
        <w:t xml:space="preserve"> (File No. 812-14773) Investment Company Act Rel. Nos. 33037 (February 28, 2018) (notice) and 33060 (March 28, 2018) (order); </w:t>
      </w:r>
      <w:r>
        <w:rPr>
          <w:rFonts w:ascii="Arial" w:cs="Arial" w:eastAsia="Arial" w:hAnsi="Arial"/>
          <w:sz w:val="18"/>
          <w:szCs w:val="18"/>
          <w:u w:val="single" w:color="auto"/>
          <w:color w:val="auto"/>
        </w:rPr>
        <w:t>Bain Capital Specialty Finance, Inc., et al.</w:t>
      </w:r>
      <w:r>
        <w:rPr>
          <w:rFonts w:ascii="Arial" w:cs="Arial" w:eastAsia="Arial" w:hAnsi="Arial"/>
          <w:sz w:val="18"/>
          <w:szCs w:val="18"/>
          <w:color w:val="auto"/>
        </w:rPr>
        <w:t xml:space="preserve"> (File No. 812-14766) Investment Company Act Rel. Nos. 33031 (February 23, 2018) (notice) and 33051 (March 22, 2018) (order); </w:t>
      </w:r>
      <w:r>
        <w:rPr>
          <w:rFonts w:ascii="Arial" w:cs="Arial" w:eastAsia="Arial" w:hAnsi="Arial"/>
          <w:sz w:val="18"/>
          <w:szCs w:val="18"/>
          <w:u w:val="single" w:color="auto"/>
          <w:color w:val="auto"/>
        </w:rPr>
        <w:t>Guggenheim Credit Income Fund, et al.</w:t>
      </w:r>
      <w:r>
        <w:rPr>
          <w:rFonts w:ascii="Arial" w:cs="Arial" w:eastAsia="Arial" w:hAnsi="Arial"/>
          <w:sz w:val="18"/>
          <w:szCs w:val="18"/>
          <w:color w:val="auto"/>
        </w:rPr>
        <w:t xml:space="preserve"> (File No. 812-14831) Investment Company Act Rel. Nos. 32960 (January 3, 2018) (notice) and 32996 (January 30, 2018) (order); </w:t>
      </w:r>
      <w:r>
        <w:rPr>
          <w:rFonts w:ascii="Arial" w:cs="Arial" w:eastAsia="Arial" w:hAnsi="Arial"/>
          <w:sz w:val="18"/>
          <w:szCs w:val="18"/>
          <w:u w:val="single" w:color="auto"/>
          <w:color w:val="auto"/>
        </w:rPr>
        <w:t>TCG BDC, Inc., et al.</w:t>
      </w:r>
      <w:r>
        <w:rPr>
          <w:rFonts w:ascii="Arial" w:cs="Arial" w:eastAsia="Arial" w:hAnsi="Arial"/>
          <w:sz w:val="18"/>
          <w:szCs w:val="18"/>
          <w:color w:val="auto"/>
        </w:rPr>
        <w:t xml:space="preserve"> (File No. 812-14798) Investment Company Act Rel. Nos. 32945 (December 20, 2017) (notice) and 32969 (January 17, 2018) (order); </w:t>
      </w:r>
      <w:r>
        <w:rPr>
          <w:rFonts w:ascii="Arial" w:cs="Arial" w:eastAsia="Arial" w:hAnsi="Arial"/>
          <w:sz w:val="18"/>
          <w:szCs w:val="18"/>
          <w:u w:val="single" w:color="auto"/>
          <w:color w:val="auto"/>
        </w:rPr>
        <w:t>BlackRock Capital 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 et al.</w:t>
      </w:r>
      <w:r>
        <w:rPr>
          <w:rFonts w:ascii="Arial" w:cs="Arial" w:eastAsia="Arial" w:hAnsi="Arial"/>
          <w:sz w:val="18"/>
          <w:szCs w:val="18"/>
          <w:color w:val="auto"/>
        </w:rPr>
        <w:t xml:space="preserve"> (File No. 812-14582) Investment Company Act Rel. Nos. 32943 (December 19, 2017) (notice) and 32968 (January 16, 2018) (order).</w:t>
      </w:r>
    </w:p>
    <w:p>
      <w:pPr>
        <w:spacing w:after="0" w:line="3" w:lineRule="exact"/>
        <w:rPr>
          <w:rFonts w:ascii="Arial" w:cs="Arial" w:eastAsia="Arial" w:hAnsi="Arial"/>
          <w:sz w:val="13"/>
          <w:szCs w:val="13"/>
          <w:color w:val="auto"/>
        </w:rPr>
      </w:pPr>
    </w:p>
    <w:p>
      <w:pPr>
        <w:ind w:left="424" w:right="280" w:hanging="424"/>
        <w:spacing w:after="0" w:line="250" w:lineRule="auto"/>
        <w:tabs>
          <w:tab w:leader="none" w:pos="424" w:val="left"/>
        </w:tabs>
        <w:numPr>
          <w:ilvl w:val="0"/>
          <w:numId w:val="52"/>
        </w:numPr>
        <w:rPr>
          <w:rFonts w:ascii="Arial" w:cs="Arial" w:eastAsia="Arial" w:hAnsi="Arial"/>
          <w:sz w:val="15"/>
          <w:szCs w:val="15"/>
          <w:color w:val="auto"/>
        </w:rPr>
      </w:pPr>
      <w:r>
        <w:rPr>
          <w:rFonts w:ascii="Arial" w:cs="Arial" w:eastAsia="Arial" w:hAnsi="Arial"/>
          <w:sz w:val="18"/>
          <w:szCs w:val="18"/>
          <w:u w:val="single" w:color="auto"/>
          <w:color w:val="auto"/>
        </w:rPr>
        <w:t>Ares Capital Corporation, et al.</w:t>
      </w:r>
      <w:r>
        <w:rPr>
          <w:rFonts w:ascii="Arial" w:cs="Arial" w:eastAsia="Arial" w:hAnsi="Arial"/>
          <w:sz w:val="18"/>
          <w:szCs w:val="18"/>
          <w:color w:val="auto"/>
        </w:rPr>
        <w:t>, (File No. 812-13603) Release No. IC-32427 (January 18, 2017) (order), Release No. IC-32399 (December 21, 2016) (notice).</w:t>
      </w:r>
    </w:p>
    <w:p>
      <w:pPr>
        <w:ind w:left="424" w:right="220" w:hanging="424"/>
        <w:spacing w:after="0" w:line="250" w:lineRule="auto"/>
        <w:tabs>
          <w:tab w:leader="none" w:pos="424" w:val="left"/>
        </w:tabs>
        <w:numPr>
          <w:ilvl w:val="0"/>
          <w:numId w:val="5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Apollo Investment Corporation, et al.</w:t>
      </w:r>
      <w:r>
        <w:rPr>
          <w:rFonts w:ascii="Arial" w:cs="Arial" w:eastAsia="Arial" w:hAnsi="Arial"/>
          <w:sz w:val="18"/>
          <w:szCs w:val="18"/>
          <w:color w:val="auto"/>
        </w:rPr>
        <w:t>, (File No. 812-13754) Investment Company Act Rel. Nos. 32019 (March 2, 2016) (notice) and 32057</w:t>
      </w:r>
      <w:r>
        <w:rPr>
          <w:rFonts w:ascii="Arial" w:cs="Arial" w:eastAsia="Arial" w:hAnsi="Arial"/>
          <w:sz w:val="18"/>
          <w:szCs w:val="18"/>
          <w:i w:val="1"/>
          <w:iCs w:val="1"/>
          <w:color w:val="auto"/>
        </w:rPr>
        <w:t xml:space="preserve"> </w:t>
      </w:r>
      <w:r>
        <w:rPr>
          <w:rFonts w:ascii="Arial" w:cs="Arial" w:eastAsia="Arial" w:hAnsi="Arial"/>
          <w:sz w:val="18"/>
          <w:szCs w:val="18"/>
          <w:color w:val="auto"/>
        </w:rPr>
        <w:t>(March 29, 2016) (order).</w:t>
      </w:r>
    </w:p>
    <w:p>
      <w:pPr>
        <w:ind w:left="424" w:right="320" w:hanging="424"/>
        <w:spacing w:after="0" w:line="250" w:lineRule="auto"/>
        <w:tabs>
          <w:tab w:leader="none" w:pos="424" w:val="left"/>
        </w:tabs>
        <w:numPr>
          <w:ilvl w:val="0"/>
          <w:numId w:val="5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Oaktree Strategic Income, LLC, et al.</w:t>
      </w:r>
      <w:r>
        <w:rPr>
          <w:rFonts w:ascii="Arial" w:cs="Arial" w:eastAsia="Arial" w:hAnsi="Arial"/>
          <w:sz w:val="18"/>
          <w:szCs w:val="18"/>
          <w:color w:val="auto"/>
        </w:rPr>
        <w:t>, (File No. 812-14758) Investment Company Act Rel. Nos. 32831 (September 22, 2017) (notice) and</w:t>
      </w:r>
      <w:r>
        <w:rPr>
          <w:rFonts w:ascii="Arial" w:cs="Arial" w:eastAsia="Arial" w:hAnsi="Arial"/>
          <w:sz w:val="18"/>
          <w:szCs w:val="18"/>
          <w:i w:val="1"/>
          <w:iCs w:val="1"/>
          <w:color w:val="auto"/>
        </w:rPr>
        <w:t xml:space="preserve"> </w:t>
      </w:r>
      <w:r>
        <w:rPr>
          <w:rFonts w:ascii="Arial" w:cs="Arial" w:eastAsia="Arial" w:hAnsi="Arial"/>
          <w:sz w:val="18"/>
          <w:szCs w:val="18"/>
          <w:color w:val="auto"/>
        </w:rPr>
        <w:t>32862 (October 18, 2017) (order).</w:t>
      </w:r>
    </w:p>
    <w:p>
      <w:pPr>
        <w:ind w:left="424" w:right="180" w:hanging="424"/>
        <w:spacing w:after="0" w:line="250" w:lineRule="auto"/>
        <w:tabs>
          <w:tab w:leader="none" w:pos="424" w:val="left"/>
        </w:tabs>
        <w:numPr>
          <w:ilvl w:val="0"/>
          <w:numId w:val="5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Stellus Capital Investment Corporation, et al.</w:t>
      </w:r>
      <w:r>
        <w:rPr>
          <w:rFonts w:ascii="Arial" w:cs="Arial" w:eastAsia="Arial" w:hAnsi="Arial"/>
          <w:sz w:val="18"/>
          <w:szCs w:val="18"/>
          <w:color w:val="auto"/>
        </w:rPr>
        <w:t>, (File No. 812-14855) Investment Company Act Rel. Nos. 33289 (November 6, 2018) (notice)</w:t>
      </w:r>
      <w:r>
        <w:rPr>
          <w:rFonts w:ascii="Arial" w:cs="Arial" w:eastAsia="Arial" w:hAnsi="Arial"/>
          <w:sz w:val="18"/>
          <w:szCs w:val="18"/>
          <w:i w:val="1"/>
          <w:iCs w:val="1"/>
          <w:color w:val="auto"/>
        </w:rPr>
        <w:t xml:space="preserve"> </w:t>
      </w:r>
      <w:r>
        <w:rPr>
          <w:rFonts w:ascii="Arial" w:cs="Arial" w:eastAsia="Arial" w:hAnsi="Arial"/>
          <w:sz w:val="18"/>
          <w:szCs w:val="18"/>
          <w:color w:val="auto"/>
        </w:rPr>
        <w:t>and 33316 (December 4, 2018) (order).</w:t>
      </w:r>
    </w:p>
    <w:p>
      <w:pPr>
        <w:ind w:left="424" w:right="380" w:hanging="424"/>
        <w:spacing w:after="0" w:line="250" w:lineRule="auto"/>
        <w:tabs>
          <w:tab w:leader="none" w:pos="424" w:val="left"/>
        </w:tabs>
        <w:numPr>
          <w:ilvl w:val="0"/>
          <w:numId w:val="5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FS Global Credit Opportunities Fund, et al.</w:t>
      </w:r>
      <w:r>
        <w:rPr>
          <w:rFonts w:ascii="Arial" w:cs="Arial" w:eastAsia="Arial" w:hAnsi="Arial"/>
          <w:sz w:val="18"/>
          <w:szCs w:val="18"/>
          <w:color w:val="auto"/>
        </w:rPr>
        <w:t>, (File No. 812-14987) Investment Company Act Rel. Nos. 33927 (July 15, 2020) (notice) and</w:t>
      </w:r>
      <w:r>
        <w:rPr>
          <w:rFonts w:ascii="Arial" w:cs="Arial" w:eastAsia="Arial" w:hAnsi="Arial"/>
          <w:sz w:val="18"/>
          <w:szCs w:val="18"/>
          <w:i w:val="1"/>
          <w:iCs w:val="1"/>
          <w:color w:val="auto"/>
        </w:rPr>
        <w:t xml:space="preserve"> </w:t>
      </w:r>
      <w:r>
        <w:rPr>
          <w:rFonts w:ascii="Arial" w:cs="Arial" w:eastAsia="Arial" w:hAnsi="Arial"/>
          <w:sz w:val="18"/>
          <w:szCs w:val="18"/>
          <w:color w:val="auto"/>
        </w:rPr>
        <w:t>33968 (August 11, 2020) (order).</w:t>
      </w:r>
    </w:p>
    <w:p>
      <w:pPr>
        <w:ind w:left="424" w:right="300" w:hanging="424"/>
        <w:spacing w:after="0" w:line="260" w:lineRule="auto"/>
        <w:tabs>
          <w:tab w:leader="none" w:pos="424" w:val="left"/>
        </w:tabs>
        <w:numPr>
          <w:ilvl w:val="0"/>
          <w:numId w:val="5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Yieldstreet Prism Fund Inc., et al.,</w:t>
      </w:r>
      <w:r>
        <w:rPr>
          <w:rFonts w:ascii="Arial" w:cs="Arial" w:eastAsia="Arial" w:hAnsi="Arial"/>
          <w:sz w:val="18"/>
          <w:szCs w:val="18"/>
          <w:i w:val="1"/>
          <w:iCs w:val="1"/>
          <w:color w:val="auto"/>
        </w:rPr>
        <w:t xml:space="preserve"> </w:t>
      </w:r>
      <w:r>
        <w:rPr>
          <w:rFonts w:ascii="Arial" w:cs="Arial" w:eastAsia="Arial" w:hAnsi="Arial"/>
          <w:sz w:val="18"/>
          <w:szCs w:val="18"/>
          <w:color w:val="auto"/>
        </w:rPr>
        <w:t>(File No. 812-15038) Investment Company Act Rel. Nos. 34050 (October 15, 2020) (notice) and 34090</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10, 2020) (order).</w:t>
      </w:r>
    </w:p>
    <w:p>
      <w:pPr>
        <w:sectPr>
          <w:pgSz w:w="11900" w:h="16838" w:orient="portrait"/>
          <w:cols w:equalWidth="0" w:num="1">
            <w:col w:w="11004"/>
          </w:cols>
          <w:pgMar w:left="436" w:top="274" w:right="459" w:bottom="1440" w:gutter="0" w:footer="0" w:header="0"/>
        </w:sectPr>
      </w:pP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04"/>
          </w:cols>
          <w:pgMar w:left="436" w:top="274" w:right="459" w:bottom="1440" w:gutter="0" w:footer="0" w:header="0"/>
          <w:type w:val="continuous"/>
        </w:sectPr>
      </w:pPr>
    </w:p>
    <w:bookmarkStart w:id="25" w:name="page26"/>
    <w:bookmarkEnd w:id="25"/>
    <w:p>
      <w:pPr>
        <w:ind w:left="4"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believe that the relief requested herein is consistent with the policy underlying the Ares Order, the Apollo Order, the Oaktree Order, the Stellus Order, the FS Order, and the Yieldstreet Order as well as co-investment relief granted by the Commission to other BDCs and to registered closed-end funds.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Commission also has issued orders extending co-investment relief to proprietary accounts.</w:t>
      </w:r>
      <w:r>
        <w:rPr>
          <w:rFonts w:ascii="Arial" w:cs="Arial" w:eastAsia="Arial" w:hAnsi="Arial"/>
          <w:sz w:val="15"/>
          <w:szCs w:val="15"/>
          <w:color w:val="auto"/>
        </w:rPr>
        <w:t>28</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STATEMENT IN SUPPORT OF RELIEF REQUESTED</w:t>
      </w:r>
    </w:p>
    <w:p>
      <w:pPr>
        <w:spacing w:after="0" w:line="12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184" w:lineRule="exact"/>
        <w:rPr>
          <w:sz w:val="20"/>
          <w:szCs w:val="20"/>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Potential Benefits</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hanging="424"/>
        <w:spacing w:after="0" w:line="270" w:lineRule="auto"/>
        <w:tabs>
          <w:tab w:leader="none" w:pos="424" w:val="left"/>
        </w:tabs>
        <w:numPr>
          <w:ilvl w:val="0"/>
          <w:numId w:val="54"/>
        </w:numPr>
        <w:rPr>
          <w:rFonts w:ascii="Arial" w:cs="Arial" w:eastAsia="Arial" w:hAnsi="Arial"/>
          <w:sz w:val="14"/>
          <w:szCs w:val="14"/>
          <w:color w:val="auto"/>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auto"/>
        </w:rPr>
        <w:t>Kayne Anderson MLP/Midstream Investment Company, et al.</w:t>
      </w:r>
      <w:r>
        <w:rPr>
          <w:rFonts w:ascii="Arial" w:cs="Arial" w:eastAsia="Arial" w:hAnsi="Arial"/>
          <w:sz w:val="17"/>
          <w:szCs w:val="17"/>
          <w:color w:val="auto"/>
        </w:rPr>
        <w:t>, (File No. 812-14940) Investment Company Act Rel. Nos. 33742 (Jan. 8, 2020)</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and 33798 (Feb. 4, 2020) (order)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Fundrise Real Estate Interval Fund, LLC, et al.</w:t>
      </w:r>
      <w:r>
        <w:rPr>
          <w:rFonts w:ascii="Arial" w:cs="Arial" w:eastAsia="Arial" w:hAnsi="Arial"/>
          <w:sz w:val="17"/>
          <w:szCs w:val="17"/>
          <w:color w:val="auto"/>
        </w:rPr>
        <w:t>, (File No. 812-15040) Investment Company Act Rel. Nos. 33739 (Dec. 31, 2019) (notice) and 33793 (Jan. 28, 2020) (order)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Pharos Capital BDC, Inc., et al.</w:t>
      </w:r>
      <w:r>
        <w:rPr>
          <w:rFonts w:ascii="Arial" w:cs="Arial" w:eastAsia="Arial" w:hAnsi="Arial"/>
          <w:sz w:val="17"/>
          <w:szCs w:val="17"/>
          <w:color w:val="auto"/>
        </w:rPr>
        <w:t xml:space="preserve">, (File No. 812-14891) Release No. IC-33372 (February 8, 2019) (notice), Release No. IC-33394 (March 11, 2019) (order); </w:t>
      </w:r>
      <w:r>
        <w:rPr>
          <w:rFonts w:ascii="Arial" w:cs="Arial" w:eastAsia="Arial" w:hAnsi="Arial"/>
          <w:sz w:val="17"/>
          <w:szCs w:val="17"/>
          <w:u w:val="single" w:color="auto"/>
          <w:color w:val="auto"/>
        </w:rPr>
        <w:t>Blackstone / GSO Floating Rate Enhanced Income Fund,</w:t>
      </w:r>
      <w:r>
        <w:rPr>
          <w:rFonts w:ascii="Arial" w:cs="Arial" w:eastAsia="Arial" w:hAnsi="Arial"/>
          <w:sz w:val="17"/>
          <w:szCs w:val="17"/>
          <w:color w:val="auto"/>
        </w:rPr>
        <w:t xml:space="preserve"> </w:t>
      </w:r>
      <w:r>
        <w:rPr>
          <w:rFonts w:ascii="Arial" w:cs="Arial" w:eastAsia="Arial" w:hAnsi="Arial"/>
          <w:sz w:val="17"/>
          <w:szCs w:val="17"/>
          <w:u w:val="single" w:color="auto"/>
          <w:color w:val="auto"/>
        </w:rPr>
        <w:t>et al.</w:t>
      </w:r>
      <w:r>
        <w:rPr>
          <w:rFonts w:ascii="Arial" w:cs="Arial" w:eastAsia="Arial" w:hAnsi="Arial"/>
          <w:sz w:val="17"/>
          <w:szCs w:val="17"/>
          <w:color w:val="auto"/>
        </w:rPr>
        <w:t xml:space="preserve"> (File No. 812-14835) Investment Company Act Rel. Nos. 33149 (July 6, 2018) (notice) and 33186 (July 31,2018); </w:t>
      </w:r>
      <w:r>
        <w:rPr>
          <w:rFonts w:ascii="Arial" w:cs="Arial" w:eastAsia="Arial" w:hAnsi="Arial"/>
          <w:sz w:val="17"/>
          <w:szCs w:val="17"/>
          <w:u w:val="single" w:color="auto"/>
          <w:color w:val="auto"/>
        </w:rPr>
        <w:t>Corporate Capital Trust,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et al.</w:t>
      </w:r>
      <w:r>
        <w:rPr>
          <w:rFonts w:ascii="Arial" w:cs="Arial" w:eastAsia="Arial" w:hAnsi="Arial"/>
          <w:sz w:val="17"/>
          <w:szCs w:val="17"/>
          <w:color w:val="auto"/>
        </w:rPr>
        <w:t xml:space="preserve"> (File No. 812-14882) Inv. Co. Act Rel. Nos. 33043 (March 8, 2018) (notice) and 33064 (April 3, 2018) (order); </w:t>
      </w:r>
      <w:r>
        <w:rPr>
          <w:rFonts w:ascii="Arial" w:cs="Arial" w:eastAsia="Arial" w:hAnsi="Arial"/>
          <w:sz w:val="17"/>
          <w:szCs w:val="17"/>
          <w:u w:val="single" w:color="auto"/>
          <w:color w:val="auto"/>
        </w:rPr>
        <w:t>Medley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et al.</w:t>
      </w:r>
      <w:r>
        <w:rPr>
          <w:rFonts w:ascii="Arial" w:cs="Arial" w:eastAsia="Arial" w:hAnsi="Arial"/>
          <w:sz w:val="17"/>
          <w:szCs w:val="17"/>
          <w:color w:val="auto"/>
        </w:rPr>
        <w:t xml:space="preserve"> (File No. 812-14778) Investment Company Act Rel. Nos. 32809 (September 8, 2017) (notice) and 32850 (October 4, 2017) (order); and </w:t>
      </w:r>
      <w:r>
        <w:rPr>
          <w:rFonts w:ascii="Arial" w:cs="Arial" w:eastAsia="Arial" w:hAnsi="Arial"/>
          <w:sz w:val="17"/>
          <w:szCs w:val="17"/>
          <w:u w:val="single" w:color="auto"/>
          <w:color w:val="auto"/>
        </w:rPr>
        <w:t>Harvest Capital Credit Corporation, et al.</w:t>
      </w:r>
      <w:r>
        <w:rPr>
          <w:rFonts w:ascii="Arial" w:cs="Arial" w:eastAsia="Arial" w:hAnsi="Arial"/>
          <w:sz w:val="17"/>
          <w:szCs w:val="17"/>
          <w:color w:val="auto"/>
        </w:rPr>
        <w:t xml:space="preserve"> (File No. 812-14365) Investment Company Act Rel. No. 31860 (October 5, 2015) (notice) and 31930 (December 10, 2015) (order).</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26" w:name="page27"/>
    <w:bookmarkEnd w:id="26"/>
    <w:p>
      <w:pPr>
        <w:ind w:left="4" w:right="2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Regulated Fund and its shareholders will benefit from the ability to participate in Co-Investment Transactions. The Board, including the Required Majority, of each Regulated Fund will determine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ind w:left="4" w:right="60" w:hanging="4"/>
        <w:spacing w:after="0" w:line="290" w:lineRule="auto"/>
        <w:tabs>
          <w:tab w:leader="none" w:pos="26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191" w:lineRule="exact"/>
        <w:rPr>
          <w:sz w:val="20"/>
          <w:szCs w:val="20"/>
          <w:color w:val="auto"/>
        </w:rPr>
      </w:pPr>
    </w:p>
    <w:p>
      <w:pPr>
        <w:ind w:left="964" w:hanging="532"/>
        <w:spacing w:after="0"/>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Protective Representations and Conditions</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(10)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65"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92"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in Pro-Rata Dispositions and Dispositions of Tradable Securities without the approval of a Required Majority is consistent with the provisions, policies and purposes of the Act as there is no opportunity for overreaching by affiliates.</w:t>
      </w:r>
    </w:p>
    <w:p>
      <w:pPr>
        <w:spacing w:after="0" w:line="184"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If the Advisers, their principals, any person controlling, controlled by, or under common control with the Advisers or their principals, and the Affiliated Funds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own in the aggregate more than 25% of the outstanding voting shares of a Regulated Fund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then the Holders will vote such Shares as required under Condition 15. 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95"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7" w:name="page28"/>
    <w:bookmarkEnd w:id="27"/>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225" w:lineRule="exact"/>
        <w:rPr>
          <w:rFonts w:ascii="Arial" w:cs="Arial" w:eastAsia="Arial" w:hAnsi="Arial"/>
          <w:sz w:val="18"/>
          <w:szCs w:val="18"/>
          <w:b w:val="1"/>
          <w:bCs w:val="1"/>
          <w:color w:val="auto"/>
        </w:rPr>
      </w:pPr>
    </w:p>
    <w:p>
      <w:pPr>
        <w:ind w:left="1164" w:hanging="173"/>
        <w:spacing w:after="0"/>
        <w:tabs>
          <w:tab w:leader="none" w:pos="11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225" w:lineRule="exact"/>
        <w:rPr>
          <w:rFonts w:ascii="Arial" w:cs="Arial" w:eastAsia="Arial" w:hAnsi="Arial"/>
          <w:sz w:val="18"/>
          <w:szCs w:val="18"/>
          <w:color w:val="auto"/>
        </w:rPr>
      </w:pPr>
    </w:p>
    <w:p>
      <w:pPr>
        <w:jc w:val="both"/>
        <w:ind w:left="4" w:right="60" w:firstLine="1428"/>
        <w:spacing w:after="0" w:line="263" w:lineRule="auto"/>
        <w:tabs>
          <w:tab w:leader="none" w:pos="1681"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83" w:lineRule="exact"/>
        <w:rPr>
          <w:rFonts w:ascii="Arial" w:cs="Arial" w:eastAsia="Arial" w:hAnsi="Arial"/>
          <w:sz w:val="18"/>
          <w:szCs w:val="18"/>
          <w:color w:val="auto"/>
        </w:rPr>
      </w:pPr>
    </w:p>
    <w:p>
      <w:pPr>
        <w:jc w:val="both"/>
        <w:ind w:left="4" w:right="180" w:firstLine="1428"/>
        <w:spacing w:after="0" w:line="263" w:lineRule="auto"/>
        <w:tabs>
          <w:tab w:leader="none" w:pos="1691" w:val="left"/>
        </w:tabs>
        <w:numPr>
          <w:ilvl w:val="2"/>
          <w:numId w:val="57"/>
        </w:numPr>
        <w:rPr>
          <w:rFonts w:ascii="Arial" w:cs="Arial" w:eastAsia="Arial" w:hAnsi="Arial"/>
          <w:sz w:val="18"/>
          <w:szCs w:val="18"/>
          <w:color w:val="auto"/>
        </w:rPr>
      </w:pPr>
      <w:r>
        <w:rPr>
          <w:rFonts w:ascii="Arial" w:cs="Arial" w:eastAsia="Arial" w:hAnsi="Arial"/>
          <w:sz w:val="18"/>
          <w:szCs w:val="18"/>
          <w:color w:val="auto"/>
        </w:rPr>
        <w:t>When the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183" w:lineRule="exact"/>
        <w:rPr>
          <w:rFonts w:ascii="Arial" w:cs="Arial" w:eastAsia="Arial" w:hAnsi="Arial"/>
          <w:sz w:val="18"/>
          <w:szCs w:val="18"/>
          <w:color w:val="auto"/>
        </w:rPr>
      </w:pPr>
    </w:p>
    <w:p>
      <w:pPr>
        <w:ind w:left="1164" w:hanging="173"/>
        <w:spacing w:after="0"/>
        <w:tabs>
          <w:tab w:leader="none" w:pos="11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Board Approvals of Co-Investment Transactions</w:t>
      </w:r>
    </w:p>
    <w:p>
      <w:pPr>
        <w:spacing w:after="0" w:line="225" w:lineRule="exact"/>
        <w:rPr>
          <w:rFonts w:ascii="Arial" w:cs="Arial" w:eastAsia="Arial" w:hAnsi="Arial"/>
          <w:sz w:val="18"/>
          <w:szCs w:val="18"/>
          <w:color w:val="auto"/>
        </w:rPr>
      </w:pPr>
    </w:p>
    <w:p>
      <w:pPr>
        <w:ind w:left="4" w:right="440" w:firstLine="1428"/>
        <w:spacing w:after="0" w:line="277" w:lineRule="auto"/>
        <w:tabs>
          <w:tab w:leader="none" w:pos="1681"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auto"/>
        </w:rPr>
      </w:pPr>
    </w:p>
    <w:p>
      <w:pPr>
        <w:ind w:left="4" w:right="140" w:firstLine="1428"/>
        <w:spacing w:after="0" w:line="255" w:lineRule="auto"/>
        <w:tabs>
          <w:tab w:leader="none" w:pos="1691"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If the aggregate amount recommended by the Advisers to be invested in the Potential Co-Investment Transaction by the participating Regulated Funds and any participating Affiliated Fund, collectively, exceeds the amount of the investment opportunity, the investment opportunity will be allocated among them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92" w:lineRule="exact"/>
        <w:rPr>
          <w:rFonts w:ascii="Arial" w:cs="Arial" w:eastAsia="Arial" w:hAnsi="Arial"/>
          <w:sz w:val="18"/>
          <w:szCs w:val="18"/>
          <w:color w:val="auto"/>
        </w:rPr>
      </w:pPr>
    </w:p>
    <w:p>
      <w:pPr>
        <w:ind w:left="4" w:firstLine="1428"/>
        <w:spacing w:after="0" w:line="275" w:lineRule="auto"/>
        <w:tabs>
          <w:tab w:leader="none" w:pos="1681" w:val="left"/>
        </w:tabs>
        <w:numPr>
          <w:ilvl w:val="2"/>
          <w:numId w:val="57"/>
        </w:numPr>
        <w:rPr>
          <w:rFonts w:ascii="Arial" w:cs="Arial" w:eastAsia="Arial" w:hAnsi="Arial"/>
          <w:sz w:val="17"/>
          <w:szCs w:val="17"/>
          <w:color w:val="auto"/>
        </w:rPr>
      </w:pPr>
      <w:r>
        <w:rPr>
          <w:rFonts w:ascii="Arial" w:cs="Arial" w:eastAsia="Arial" w:hAnsi="Arial"/>
          <w:sz w:val="17"/>
          <w:szCs w:val="17"/>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176" w:lineRule="exact"/>
        <w:rPr>
          <w:rFonts w:ascii="Arial" w:cs="Arial" w:eastAsia="Arial" w:hAnsi="Arial"/>
          <w:sz w:val="17"/>
          <w:szCs w:val="17"/>
          <w:color w:val="auto"/>
        </w:rPr>
      </w:pPr>
    </w:p>
    <w:p>
      <w:pPr>
        <w:ind w:left="4" w:right="120" w:firstLine="1979"/>
        <w:spacing w:after="0" w:line="342" w:lineRule="auto"/>
        <w:tabs>
          <w:tab w:leader="none" w:pos="2202" w:val="left"/>
        </w:tabs>
        <w:numPr>
          <w:ilvl w:val="3"/>
          <w:numId w:val="57"/>
        </w:numPr>
        <w:rPr>
          <w:rFonts w:ascii="Arial" w:cs="Arial" w:eastAsia="Arial" w:hAnsi="Arial"/>
          <w:sz w:val="16"/>
          <w:szCs w:val="16"/>
          <w:color w:val="auto"/>
        </w:rPr>
      </w:pPr>
      <w:r>
        <w:rPr>
          <w:rFonts w:ascii="Arial" w:cs="Arial" w:eastAsia="Arial" w:hAnsi="Arial"/>
          <w:sz w:val="16"/>
          <w:szCs w:val="16"/>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123" w:lineRule="exact"/>
        <w:rPr>
          <w:rFonts w:ascii="Arial" w:cs="Arial" w:eastAsia="Arial" w:hAnsi="Arial"/>
          <w:sz w:val="16"/>
          <w:szCs w:val="16"/>
          <w:color w:val="auto"/>
        </w:rPr>
      </w:pPr>
    </w:p>
    <w:p>
      <w:pPr>
        <w:ind w:left="2244" w:hanging="261"/>
        <w:spacing w:after="0"/>
        <w:tabs>
          <w:tab w:leader="none" w:pos="2244" w:val="left"/>
        </w:tabs>
        <w:numPr>
          <w:ilvl w:val="3"/>
          <w:numId w:val="57"/>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644" w:hanging="300"/>
        <w:spacing w:after="0"/>
        <w:tabs>
          <w:tab w:leader="none" w:pos="2644" w:val="left"/>
        </w:tabs>
        <w:numPr>
          <w:ilvl w:val="4"/>
          <w:numId w:val="57"/>
        </w:numPr>
        <w:rPr>
          <w:rFonts w:ascii="Arial" w:cs="Arial" w:eastAsia="Arial" w:hAnsi="Arial"/>
          <w:sz w:val="18"/>
          <w:szCs w:val="18"/>
          <w:color w:val="auto"/>
        </w:rPr>
      </w:pPr>
      <w:r>
        <w:rPr>
          <w:rFonts w:ascii="Arial" w:cs="Arial" w:eastAsia="Arial" w:hAnsi="Arial"/>
          <w:sz w:val="18"/>
          <w:szCs w:val="18"/>
          <w:color w:val="auto"/>
        </w:rPr>
        <w:t xml:space="preserve">the interests of the Regulated Fund’s equity holders; </w:t>
      </w:r>
      <w:r>
        <w:rPr>
          <w:rFonts w:ascii="Arial" w:cs="Arial" w:eastAsia="Arial" w:hAnsi="Arial"/>
          <w:sz w:val="18"/>
          <w:szCs w:val="18"/>
          <w:u w:val="single" w:color="auto"/>
          <w:color w:val="auto"/>
        </w:rPr>
        <w:t>and</w:t>
      </w:r>
    </w:p>
    <w:p>
      <w:pPr>
        <w:spacing w:after="0" w:line="117" w:lineRule="exact"/>
        <w:rPr>
          <w:rFonts w:ascii="Arial" w:cs="Arial" w:eastAsia="Arial" w:hAnsi="Arial"/>
          <w:sz w:val="18"/>
          <w:szCs w:val="18"/>
          <w:color w:val="auto"/>
        </w:rPr>
      </w:pPr>
    </w:p>
    <w:p>
      <w:pPr>
        <w:ind w:left="2624" w:hanging="280"/>
        <w:spacing w:after="0"/>
        <w:tabs>
          <w:tab w:leader="none" w:pos="2624" w:val="left"/>
        </w:tabs>
        <w:numPr>
          <w:ilvl w:val="4"/>
          <w:numId w:val="57"/>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0" w:right="499" w:bottom="1440" w:gutter="0" w:footer="0" w:header="0"/>
        </w:sectPr>
      </w:pPr>
    </w:p>
    <w:bookmarkStart w:id="28" w:name="page29"/>
    <w:bookmarkEnd w:id="28"/>
    <w:p>
      <w:pPr>
        <w:ind w:left="4" w:right="100" w:firstLine="1979"/>
        <w:spacing w:after="0" w:line="259" w:lineRule="auto"/>
        <w:tabs>
          <w:tab w:leader="none" w:pos="2302" w:val="left"/>
        </w:tabs>
        <w:numPr>
          <w:ilvl w:val="2"/>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investment by any other Regulated Fund(s) or Affiliated Fund(s) would not disadvantage the Regulated Fund, and participation by the Regulated Fund would not be on a basis different from, or less advantageous than, that of any other Regulated Fund(s) or Affiliated Fund(s) participating in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78" w:lineRule="exact"/>
        <w:rPr>
          <w:rFonts w:ascii="Arial" w:cs="Arial" w:eastAsia="Arial" w:hAnsi="Arial"/>
          <w:sz w:val="18"/>
          <w:szCs w:val="18"/>
          <w:color w:val="auto"/>
        </w:rPr>
      </w:pPr>
    </w:p>
    <w:p>
      <w:pPr>
        <w:ind w:left="1984" w:right="140" w:firstLine="360"/>
        <w:spacing w:after="0" w:line="255" w:lineRule="auto"/>
        <w:tabs>
          <w:tab w:leader="none" w:pos="2640" w:val="left"/>
        </w:tabs>
        <w:numPr>
          <w:ilvl w:val="3"/>
          <w:numId w:val="58"/>
        </w:numPr>
        <w:rPr>
          <w:rFonts w:ascii="Arial" w:cs="Arial" w:eastAsia="Arial" w:hAnsi="Arial"/>
          <w:sz w:val="18"/>
          <w:szCs w:val="18"/>
          <w:color w:val="auto"/>
        </w:rPr>
      </w:pPr>
      <w:r>
        <w:rPr>
          <w:rFonts w:ascii="Arial" w:cs="Arial" w:eastAsia="Arial" w:hAnsi="Arial"/>
          <w:sz w:val="18"/>
          <w:szCs w:val="18"/>
          <w:color w:val="auto"/>
        </w:rPr>
        <w:t>the settlement date for another Regulated Fund or an Affiliated Fund in a Co-Investment Transaction is later than the settlement date for the Regulated Fund by no more than ten (10) business days or earlier than the settlement date for the Regulated Fund by no more than ten (10)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(10) business days of each other; or</w:t>
      </w:r>
    </w:p>
    <w:p>
      <w:pPr>
        <w:spacing w:after="0" w:line="84" w:lineRule="exact"/>
        <w:rPr>
          <w:rFonts w:ascii="Arial" w:cs="Arial" w:eastAsia="Arial" w:hAnsi="Arial"/>
          <w:sz w:val="18"/>
          <w:szCs w:val="18"/>
          <w:color w:val="auto"/>
        </w:rPr>
      </w:pPr>
    </w:p>
    <w:p>
      <w:pPr>
        <w:ind w:left="1984" w:firstLine="360"/>
        <w:spacing w:after="0" w:line="269" w:lineRule="auto"/>
        <w:tabs>
          <w:tab w:leader="none" w:pos="2630" w:val="left"/>
        </w:tabs>
        <w:numPr>
          <w:ilvl w:val="3"/>
          <w:numId w:val="58"/>
        </w:numPr>
        <w:rPr>
          <w:rFonts w:ascii="Arial" w:cs="Arial" w:eastAsia="Arial" w:hAnsi="Arial"/>
          <w:sz w:val="17"/>
          <w:szCs w:val="17"/>
          <w:color w:val="auto"/>
        </w:rPr>
      </w:pPr>
      <w:r>
        <w:rPr>
          <w:rFonts w:ascii="Arial" w:cs="Arial" w:eastAsia="Arial" w:hAnsi="Arial"/>
          <w:sz w:val="17"/>
          <w:szCs w:val="17"/>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w:t>
      </w:r>
    </w:p>
    <w:p>
      <w:pPr>
        <w:spacing w:after="0" w:line="178" w:lineRule="exact"/>
        <w:rPr>
          <w:rFonts w:ascii="Arial" w:cs="Arial" w:eastAsia="Arial" w:hAnsi="Arial"/>
          <w:sz w:val="17"/>
          <w:szCs w:val="17"/>
          <w:color w:val="auto"/>
        </w:rPr>
      </w:pPr>
    </w:p>
    <w:p>
      <w:pPr>
        <w:jc w:val="both"/>
        <w:ind w:left="4" w:right="280" w:firstLine="1979"/>
        <w:spacing w:after="0" w:line="287" w:lineRule="auto"/>
        <w:tabs>
          <w:tab w:leader="none" w:pos="2292"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proposed investment by the Regulated Fund will not involve compensation, remuneration or a direct or indirect</w:t>
      </w:r>
      <w:r>
        <w:rPr>
          <w:rFonts w:ascii="Arial" w:cs="Arial" w:eastAsia="Arial" w:hAnsi="Arial"/>
          <w:sz w:val="13"/>
          <w:szCs w:val="13"/>
          <w:color w:val="auto"/>
        </w:rPr>
        <w:t>29</w:t>
      </w:r>
      <w:r>
        <w:rPr>
          <w:rFonts w:ascii="Arial" w:cs="Arial" w:eastAsia="Arial" w:hAnsi="Arial"/>
          <w:sz w:val="16"/>
          <w:szCs w:val="16"/>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spacing w:after="0" w:line="2" w:lineRule="exact"/>
        <w:rPr>
          <w:rFonts w:ascii="Arial" w:cs="Arial" w:eastAsia="Arial" w:hAnsi="Arial"/>
          <w:sz w:val="16"/>
          <w:szCs w:val="16"/>
          <w:color w:val="auto"/>
        </w:rPr>
      </w:pPr>
    </w:p>
    <w:p>
      <w:pPr>
        <w:ind w:left="4" w:right="140" w:hanging="4"/>
        <w:spacing w:after="0" w:line="260" w:lineRule="auto"/>
        <w:tabs>
          <w:tab w:leader="none" w:pos="2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indirectly, as a result of an interest in the securities issued by one of the parties to the Co-Investment Transaction, or (D) in the case of fees or other compensation described in Condition 2(c)(iii)(B)(z).</w:t>
      </w:r>
    </w:p>
    <w:p>
      <w:pPr>
        <w:spacing w:after="0" w:line="185" w:lineRule="exact"/>
        <w:rPr>
          <w:rFonts w:ascii="Arial" w:cs="Arial" w:eastAsia="Arial" w:hAnsi="Arial"/>
          <w:sz w:val="18"/>
          <w:szCs w:val="18"/>
          <w:color w:val="auto"/>
        </w:rPr>
      </w:pPr>
    </w:p>
    <w:p>
      <w:pPr>
        <w:ind w:left="4" w:right="300" w:firstLine="987"/>
        <w:spacing w:after="0" w:line="277" w:lineRule="auto"/>
        <w:tabs>
          <w:tab w:leader="none" w:pos="117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Right to Decline</w:t>
      </w:r>
      <w:r>
        <w:rPr>
          <w:rFonts w:ascii="Arial" w:cs="Arial" w:eastAsia="Arial" w:hAnsi="Arial"/>
          <w:sz w:val="18"/>
          <w:szCs w:val="18"/>
          <w:color w:val="auto"/>
        </w:rPr>
        <w:t>. Each Regulated Fund has the right to decline to participate in any Potential Co-Investment Transaction or to invest less than the amount proposed.</w:t>
      </w:r>
    </w:p>
    <w:p>
      <w:pPr>
        <w:spacing w:after="0" w:line="170" w:lineRule="exact"/>
        <w:rPr>
          <w:rFonts w:ascii="Arial" w:cs="Arial" w:eastAsia="Arial" w:hAnsi="Arial"/>
          <w:sz w:val="18"/>
          <w:szCs w:val="18"/>
          <w:color w:val="auto"/>
        </w:rPr>
      </w:pPr>
    </w:p>
    <w:p>
      <w:pPr>
        <w:ind w:left="4" w:right="40" w:firstLine="987"/>
        <w:spacing w:after="0" w:line="277" w:lineRule="auto"/>
        <w:tabs>
          <w:tab w:leader="none" w:pos="117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r>
        <w:rPr>
          <w:rFonts w:ascii="Arial" w:cs="Arial" w:eastAsia="Arial" w:hAnsi="Arial"/>
          <w:sz w:val="18"/>
          <w:szCs w:val="18"/>
          <w:color w:val="auto"/>
        </w:rPr>
        <w:t>. Except for Follow-On Investments made in accordance with Conditions 8 and 9 below,</w:t>
      </w:r>
      <w:r>
        <w:rPr>
          <w:rFonts w:ascii="Arial" w:cs="Arial" w:eastAsia="Arial" w:hAnsi="Arial"/>
          <w:sz w:val="15"/>
          <w:szCs w:val="15"/>
          <w:color w:val="auto"/>
        </w:rPr>
        <w:t>30</w:t>
      </w:r>
      <w:r>
        <w:rPr>
          <w:rFonts w:ascii="Arial" w:cs="Arial" w:eastAsia="Arial" w:hAnsi="Arial"/>
          <w:sz w:val="18"/>
          <w:szCs w:val="18"/>
          <w:color w:val="auto"/>
        </w:rPr>
        <w:t xml:space="preserve"> a Regulated Fund will not invest in reliance on the Order in any issuer in which a Related Party has an investment.</w:t>
      </w:r>
    </w:p>
    <w:p>
      <w:pPr>
        <w:spacing w:after="0" w:line="170" w:lineRule="exact"/>
        <w:rPr>
          <w:rFonts w:ascii="Arial" w:cs="Arial" w:eastAsia="Arial" w:hAnsi="Arial"/>
          <w:sz w:val="18"/>
          <w:szCs w:val="18"/>
          <w:color w:val="auto"/>
        </w:rPr>
      </w:pPr>
    </w:p>
    <w:p>
      <w:pPr>
        <w:ind w:left="4" w:right="200" w:firstLine="987"/>
        <w:spacing w:after="0" w:line="272" w:lineRule="auto"/>
        <w:tabs>
          <w:tab w:leader="none" w:pos="1175"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Same Terms and Conditions</w:t>
      </w:r>
      <w:r>
        <w:rPr>
          <w:rFonts w:ascii="Arial" w:cs="Arial" w:eastAsia="Arial" w:hAnsi="Arial"/>
          <w:sz w:val="17"/>
          <w:szCs w:val="17"/>
          <w:color w:val="auto"/>
        </w:rPr>
        <w:t>.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(10)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424" w:right="380" w:hanging="424"/>
        <w:spacing w:after="0" w:line="258" w:lineRule="auto"/>
        <w:tabs>
          <w:tab w:leader="none" w:pos="4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60"/>
        </w:numPr>
        <w:rPr>
          <w:rFonts w:ascii="Arial" w:cs="Arial" w:eastAsia="Arial" w:hAnsi="Arial"/>
          <w:sz w:val="13"/>
          <w:szCs w:val="13"/>
          <w:color w:val="auto"/>
        </w:rPr>
      </w:pPr>
      <w:r>
        <w:rPr>
          <w:rFonts w:ascii="Arial" w:cs="Arial" w:eastAsia="Arial" w:hAnsi="Arial"/>
          <w:sz w:val="16"/>
          <w:szCs w:val="16"/>
          <w:color w:val="auto"/>
        </w:rPr>
        <w:t>This exception applies only to Follow-On Investments by a Regulated Fund in issuers in which that Regulated Fund already holds investments.</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9" w:name="page30"/>
    <w:bookmarkEnd w:id="29"/>
    <w:p>
      <w:pPr>
        <w:ind w:left="1164" w:hanging="173"/>
        <w:spacing w:after="0"/>
        <w:tabs>
          <w:tab w:leader="none" w:pos="116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Dispositions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0" w:firstLine="1428"/>
        <w:spacing w:after="0" w:line="342" w:lineRule="auto"/>
        <w:tabs>
          <w:tab w:leader="none" w:pos="1681"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any Regulated Fund or Affiliated Fund elects to sell, exchange or otherwise dispose of an interest in a security and one or more Regulated Funds and Affiliated Funds have previously participated in a Co-Investment Transaction with respect to the issuer, then:</w:t>
      </w:r>
    </w:p>
    <w:p>
      <w:pPr>
        <w:spacing w:after="0" w:line="123" w:lineRule="exact"/>
        <w:rPr>
          <w:rFonts w:ascii="Arial" w:cs="Arial" w:eastAsia="Arial" w:hAnsi="Arial"/>
          <w:sz w:val="16"/>
          <w:szCs w:val="16"/>
          <w:color w:val="auto"/>
        </w:rPr>
      </w:pPr>
    </w:p>
    <w:p>
      <w:pPr>
        <w:ind w:left="4" w:right="40" w:firstLine="1979"/>
        <w:spacing w:after="0" w:line="277" w:lineRule="auto"/>
        <w:tabs>
          <w:tab w:leader="none" w:pos="2202" w:val="left"/>
        </w:tabs>
        <w:numPr>
          <w:ilvl w:val="3"/>
          <w:numId w:val="61"/>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15"/>
          <w:szCs w:val="15"/>
          <w:color w:val="auto"/>
        </w:rPr>
        <w:t>31</w:t>
      </w:r>
      <w:r>
        <w:rPr>
          <w:rFonts w:ascii="Arial" w:cs="Arial" w:eastAsia="Arial" w:hAnsi="Arial"/>
          <w:sz w:val="18"/>
          <w:szCs w:val="18"/>
          <w:color w:val="auto"/>
        </w:rPr>
        <w:t xml:space="preserve"> will notify each Regulated Fund that holds an investment in the issuer of the proposed Disposition at the earliest practical time;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right="580" w:firstLine="1979"/>
        <w:spacing w:after="0" w:line="277" w:lineRule="auto"/>
        <w:tabs>
          <w:tab w:leader="none" w:pos="2252" w:val="left"/>
        </w:tabs>
        <w:numPr>
          <w:ilvl w:val="3"/>
          <w:numId w:val="61"/>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w:t>
      </w:r>
    </w:p>
    <w:p>
      <w:pPr>
        <w:spacing w:after="0" w:line="170" w:lineRule="exact"/>
        <w:rPr>
          <w:rFonts w:ascii="Arial" w:cs="Arial" w:eastAsia="Arial" w:hAnsi="Arial"/>
          <w:sz w:val="18"/>
          <w:szCs w:val="18"/>
          <w:color w:val="auto"/>
        </w:rPr>
      </w:pPr>
    </w:p>
    <w:p>
      <w:pPr>
        <w:ind w:left="4" w:firstLine="1428"/>
        <w:spacing w:after="0" w:line="308" w:lineRule="auto"/>
        <w:tabs>
          <w:tab w:leader="none" w:pos="1691" w:val="left"/>
        </w:tabs>
        <w:numPr>
          <w:ilvl w:val="2"/>
          <w:numId w:val="61"/>
        </w:numPr>
        <w:rPr>
          <w:rFonts w:ascii="Arial" w:cs="Arial" w:eastAsia="Arial" w:hAnsi="Arial"/>
          <w:sz w:val="17"/>
          <w:szCs w:val="17"/>
          <w:color w:val="auto"/>
        </w:rPr>
      </w:pPr>
      <w:r>
        <w:rPr>
          <w:rFonts w:ascii="Arial" w:cs="Arial" w:eastAsia="Arial" w:hAnsi="Arial"/>
          <w:sz w:val="17"/>
          <w:szCs w:val="17"/>
          <w:u w:val="single" w:color="auto"/>
          <w:color w:val="auto"/>
        </w:rPr>
        <w:t>Same Terms and Conditions</w:t>
      </w:r>
      <w:r>
        <w:rPr>
          <w:rFonts w:ascii="Arial" w:cs="Arial" w:eastAsia="Arial" w:hAnsi="Arial"/>
          <w:sz w:val="17"/>
          <w:szCs w:val="17"/>
          <w:color w:val="auto"/>
        </w:rPr>
        <w:t>. Each Regulated Fund will have the right to participate in such Disposition on a proportionate basis, at the same price and on the same terms and conditions as those applicable to the Affiliated Funds and any other Regulated Fund.</w:t>
      </w:r>
    </w:p>
    <w:p>
      <w:pPr>
        <w:spacing w:after="0" w:line="146" w:lineRule="exact"/>
        <w:rPr>
          <w:rFonts w:ascii="Arial" w:cs="Arial" w:eastAsia="Arial" w:hAnsi="Arial"/>
          <w:sz w:val="17"/>
          <w:szCs w:val="17"/>
          <w:color w:val="auto"/>
        </w:rPr>
      </w:pPr>
    </w:p>
    <w:p>
      <w:pPr>
        <w:ind w:left="1684" w:hanging="252"/>
        <w:spacing w:after="0"/>
        <w:tabs>
          <w:tab w:leader="none" w:pos="1684"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No Board Approval Required</w:t>
      </w:r>
      <w:r>
        <w:rPr>
          <w:rFonts w:ascii="Arial" w:cs="Arial" w:eastAsia="Arial" w:hAnsi="Arial"/>
          <w:sz w:val="16"/>
          <w:szCs w:val="16"/>
          <w:color w:val="auto"/>
        </w:rPr>
        <w:t>. A Regulated Fund may participate in such a Disposition without obtaining prior approval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Required Majority if:</w:t>
      </w:r>
    </w:p>
    <w:p>
      <w:pPr>
        <w:spacing w:after="0" w:line="210" w:lineRule="exact"/>
        <w:rPr>
          <w:rFonts w:ascii="Arial" w:cs="Arial" w:eastAsia="Arial" w:hAnsi="Arial"/>
          <w:sz w:val="16"/>
          <w:szCs w:val="16"/>
          <w:color w:val="auto"/>
        </w:rPr>
      </w:pPr>
    </w:p>
    <w:p>
      <w:pPr>
        <w:ind w:left="4" w:right="60" w:firstLine="1979"/>
        <w:spacing w:after="0" w:line="257" w:lineRule="auto"/>
        <w:tabs>
          <w:tab w:leader="none" w:pos="2202" w:val="left"/>
        </w:tabs>
        <w:numPr>
          <w:ilvl w:val="3"/>
          <w:numId w:val="61"/>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15"/>
          <w:szCs w:val="15"/>
          <w:color w:val="auto"/>
        </w:rPr>
        <w:t>32</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187" w:lineRule="exact"/>
        <w:rPr>
          <w:rFonts w:ascii="Arial" w:cs="Arial" w:eastAsia="Arial" w:hAnsi="Arial"/>
          <w:sz w:val="18"/>
          <w:szCs w:val="18"/>
          <w:color w:val="auto"/>
        </w:rPr>
      </w:pPr>
    </w:p>
    <w:p>
      <w:pPr>
        <w:ind w:left="2244" w:hanging="261"/>
        <w:spacing w:after="0"/>
        <w:tabs>
          <w:tab w:leader="none" w:pos="2244" w:val="left"/>
        </w:tabs>
        <w:numPr>
          <w:ilvl w:val="3"/>
          <w:numId w:val="61"/>
        </w:numPr>
        <w:rPr>
          <w:rFonts w:ascii="Arial" w:cs="Arial" w:eastAsia="Arial" w:hAnsi="Arial"/>
          <w:sz w:val="16"/>
          <w:szCs w:val="16"/>
          <w:color w:val="auto"/>
        </w:rPr>
      </w:pPr>
      <w:r>
        <w:rPr>
          <w:rFonts w:ascii="Arial" w:cs="Arial" w:eastAsia="Arial" w:hAnsi="Arial"/>
          <w:sz w:val="16"/>
          <w:szCs w:val="16"/>
          <w:color w:val="auto"/>
        </w:rPr>
        <w:t>each security is a Tradable Security and (A) the Disposition is not to the issuer or any affiliated person of the issuer and</w:t>
      </w:r>
    </w:p>
    <w:p>
      <w:pPr>
        <w:spacing w:after="0" w:line="46" w:lineRule="exact"/>
        <w:rPr>
          <w:rFonts w:ascii="Arial" w:cs="Arial" w:eastAsia="Arial" w:hAnsi="Arial"/>
          <w:sz w:val="16"/>
          <w:szCs w:val="16"/>
          <w:color w:val="auto"/>
        </w:rPr>
      </w:pPr>
    </w:p>
    <w:p>
      <w:pPr>
        <w:ind w:left="4" w:right="220" w:hanging="4"/>
        <w:spacing w:after="0" w:line="260" w:lineRule="auto"/>
        <w:tabs>
          <w:tab w:leader="none" w:pos="2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security is sold for cash in a transaction in which the only term negotiated by or on behalf of the participating Regulated Funds and Affiliated Funds is price.</w:t>
      </w:r>
    </w:p>
    <w:p>
      <w:pPr>
        <w:spacing w:after="0" w:line="185" w:lineRule="exact"/>
        <w:rPr>
          <w:rFonts w:ascii="Arial" w:cs="Arial" w:eastAsia="Arial" w:hAnsi="Arial"/>
          <w:sz w:val="18"/>
          <w:szCs w:val="18"/>
          <w:color w:val="auto"/>
        </w:rPr>
      </w:pPr>
    </w:p>
    <w:p>
      <w:pPr>
        <w:ind w:left="4" w:right="40" w:firstLine="1428"/>
        <w:spacing w:after="0" w:line="263" w:lineRule="auto"/>
        <w:tabs>
          <w:tab w:leader="none" w:pos="1691"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Standard Board Approval</w:t>
      </w:r>
      <w:r>
        <w:rPr>
          <w:rFonts w:ascii="Arial" w:cs="Arial" w:eastAsia="Arial" w:hAnsi="Arial"/>
          <w:sz w:val="18"/>
          <w:szCs w:val="18"/>
          <w:color w:val="auto"/>
        </w:rPr>
        <w:t>. In all other cases, the applicable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83" w:lineRule="exact"/>
        <w:rPr>
          <w:rFonts w:ascii="Arial" w:cs="Arial" w:eastAsia="Arial" w:hAnsi="Arial"/>
          <w:sz w:val="18"/>
          <w:szCs w:val="18"/>
          <w:color w:val="auto"/>
        </w:rPr>
      </w:pPr>
    </w:p>
    <w:p>
      <w:pPr>
        <w:ind w:left="1164" w:hanging="173"/>
        <w:spacing w:after="0"/>
        <w:tabs>
          <w:tab w:leader="none" w:pos="116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1428"/>
        <w:spacing w:after="0" w:line="263" w:lineRule="auto"/>
        <w:tabs>
          <w:tab w:leader="none" w:pos="1681"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any Regulated Fund or Affiliated Fund elects to sell, exchange or otherwise dispose of a Pre-Boarding Investment in a Potential Co-Investment Transaction and the Regulated Funds and Affiliated Funds have not previously participated in a Co-Investment Transaction with respect to the issuer:</w:t>
      </w:r>
    </w:p>
    <w:p>
      <w:pPr>
        <w:spacing w:after="0" w:line="183" w:lineRule="exact"/>
        <w:rPr>
          <w:rFonts w:ascii="Arial" w:cs="Arial" w:eastAsia="Arial" w:hAnsi="Arial"/>
          <w:sz w:val="18"/>
          <w:szCs w:val="18"/>
          <w:color w:val="auto"/>
        </w:rPr>
      </w:pPr>
    </w:p>
    <w:p>
      <w:pPr>
        <w:ind w:left="4" w:right="200" w:firstLine="1979"/>
        <w:spacing w:after="0" w:line="277" w:lineRule="auto"/>
        <w:tabs>
          <w:tab w:leader="none" w:pos="2202"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170" w:lineRule="exact"/>
        <w:rPr>
          <w:rFonts w:ascii="Arial" w:cs="Arial" w:eastAsia="Arial" w:hAnsi="Arial"/>
          <w:sz w:val="18"/>
          <w:szCs w:val="18"/>
          <w:color w:val="auto"/>
        </w:rPr>
      </w:pPr>
    </w:p>
    <w:p>
      <w:pPr>
        <w:ind w:left="4" w:right="580" w:firstLine="1979"/>
        <w:spacing w:after="0" w:line="277" w:lineRule="auto"/>
        <w:tabs>
          <w:tab w:leader="none" w:pos="2252" w:val="left"/>
        </w:tabs>
        <w:numPr>
          <w:ilvl w:val="3"/>
          <w:numId w:val="63"/>
        </w:numPr>
        <w:rPr>
          <w:rFonts w:ascii="Arial" w:cs="Arial" w:eastAsia="Arial" w:hAnsi="Arial"/>
          <w:sz w:val="18"/>
          <w:szCs w:val="18"/>
          <w:color w:val="auto"/>
        </w:rPr>
      </w:pPr>
      <w:r>
        <w:rPr>
          <w:rFonts w:ascii="Arial" w:cs="Arial" w:eastAsia="Arial" w:hAnsi="Arial"/>
          <w:sz w:val="18"/>
          <w:szCs w:val="18"/>
          <w:color w:val="auto"/>
        </w:rPr>
        <w:t xml:space="preserve">the Adviser to each Regulated Fund that holds an investment in the issuer will formulate a recommendation as to participation by such Regulated Fund in the Disposition;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jc w:val="both"/>
        <w:ind w:left="4" w:right="300" w:firstLine="1979"/>
        <w:spacing w:after="0" w:line="263" w:lineRule="auto"/>
        <w:tabs>
          <w:tab w:leader="none" w:pos="2302"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40" w:hanging="424"/>
        <w:spacing w:after="0" w:line="258" w:lineRule="auto"/>
        <w:tabs>
          <w:tab w:leader="none" w:pos="424" w:val="left"/>
        </w:tabs>
        <w:numPr>
          <w:ilvl w:val="0"/>
          <w:numId w:val="64"/>
        </w:numPr>
        <w:rPr>
          <w:rFonts w:ascii="Arial" w:cs="Arial" w:eastAsia="Arial" w:hAnsi="Arial"/>
          <w:sz w:val="15"/>
          <w:szCs w:val="15"/>
          <w:color w:val="auto"/>
        </w:rPr>
      </w:pPr>
      <w:r>
        <w:rPr>
          <w:rFonts w:ascii="Arial" w:cs="Arial" w:eastAsia="Arial" w:hAnsi="Arial"/>
          <w:sz w:val="18"/>
          <w:szCs w:val="18"/>
          <w:color w:val="auto"/>
        </w:rPr>
        <w:t>Any Sixth Street Proprietary Account that is not advised by the Adviser is itself deemed to be the Adviser for purposes of Conditions 6(a)(i), 7(a) (i), 8(a)(i) and 9(a)(i).</w:t>
      </w:r>
    </w:p>
    <w:p>
      <w:pPr>
        <w:spacing w:after="0" w:line="1" w:lineRule="exact"/>
        <w:rPr>
          <w:rFonts w:ascii="Arial" w:cs="Arial" w:eastAsia="Arial" w:hAnsi="Arial"/>
          <w:sz w:val="15"/>
          <w:szCs w:val="15"/>
          <w:color w:val="auto"/>
        </w:rPr>
      </w:pPr>
    </w:p>
    <w:p>
      <w:pPr>
        <w:ind w:left="424" w:right="600" w:hanging="424"/>
        <w:spacing w:after="0" w:line="260" w:lineRule="auto"/>
        <w:tabs>
          <w:tab w:leader="none" w:pos="424" w:val="left"/>
        </w:tabs>
        <w:numPr>
          <w:ilvl w:val="0"/>
          <w:numId w:val="64"/>
        </w:numPr>
        <w:rPr>
          <w:rFonts w:ascii="Arial" w:cs="Arial" w:eastAsia="Arial" w:hAnsi="Arial"/>
          <w:sz w:val="15"/>
          <w:szCs w:val="15"/>
          <w:color w:val="auto"/>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4"/>
          </w:cols>
          <w:pgMar w:left="436" w:top="274" w:right="519" w:bottom="1440" w:gutter="0" w:footer="0" w:header="0"/>
        </w:sectPr>
      </w:pPr>
    </w:p>
    <w:bookmarkStart w:id="30" w:name="page31"/>
    <w:bookmarkEnd w:id="30"/>
    <w:p>
      <w:pPr>
        <w:jc w:val="both"/>
        <w:ind w:left="4" w:right="680" w:firstLine="1428"/>
        <w:spacing w:after="0" w:line="263" w:lineRule="auto"/>
        <w:tabs>
          <w:tab w:leader="none" w:pos="169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Enhanced Board Approval</w:t>
      </w:r>
      <w:r>
        <w:rPr>
          <w:rFonts w:ascii="Arial" w:cs="Arial" w:eastAsia="Arial" w:hAnsi="Arial"/>
          <w:sz w:val="18"/>
          <w:szCs w:val="18"/>
          <w:color w:val="auto"/>
        </w:rPr>
        <w:t>. The applicable Adviser will provide its written recommendation as to the Regulated Fund’s participation to the Eligible Directors, and the Regulated Fund will participate in such Disposition solely to the extent that a Required Majority determines that:</w:t>
      </w:r>
    </w:p>
    <w:p>
      <w:pPr>
        <w:spacing w:after="0" w:line="183" w:lineRule="exact"/>
        <w:rPr>
          <w:rFonts w:ascii="Arial" w:cs="Arial" w:eastAsia="Arial" w:hAnsi="Arial"/>
          <w:sz w:val="18"/>
          <w:szCs w:val="18"/>
          <w:color w:val="auto"/>
        </w:rPr>
      </w:pPr>
    </w:p>
    <w:p>
      <w:pPr>
        <w:ind w:left="2204" w:hanging="221"/>
        <w:spacing w:after="0"/>
        <w:tabs>
          <w:tab w:leader="none" w:pos="22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Disposition complies with Condition 2(c)(i), (ii), (iii)(A), (iv); </w:t>
      </w:r>
      <w:r>
        <w:rPr>
          <w:rFonts w:ascii="Arial" w:cs="Arial" w:eastAsia="Arial" w:hAnsi="Arial"/>
          <w:sz w:val="18"/>
          <w:szCs w:val="18"/>
          <w:u w:val="single" w:color="auto"/>
          <w:color w:val="auto"/>
        </w:rPr>
        <w:t>and</w:t>
      </w:r>
    </w:p>
    <w:p>
      <w:pPr>
        <w:spacing w:after="0" w:line="225" w:lineRule="exact"/>
        <w:rPr>
          <w:rFonts w:ascii="Arial" w:cs="Arial" w:eastAsia="Arial" w:hAnsi="Arial"/>
          <w:sz w:val="18"/>
          <w:szCs w:val="18"/>
          <w:color w:val="auto"/>
        </w:rPr>
      </w:pPr>
    </w:p>
    <w:p>
      <w:pPr>
        <w:ind w:left="4" w:right="20" w:firstLine="1979"/>
        <w:spacing w:after="0" w:line="277" w:lineRule="auto"/>
        <w:tabs>
          <w:tab w:leader="none" w:pos="225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Section 57 or Rule 17d-1, as applicable, and records the basis for the finding in the Board minutes.</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Disposition may only be completed in reliance on the Order if:</w:t>
      </w:r>
    </w:p>
    <w:p>
      <w:pPr>
        <w:spacing w:after="0" w:line="225" w:lineRule="exact"/>
        <w:rPr>
          <w:rFonts w:ascii="Arial" w:cs="Arial" w:eastAsia="Arial" w:hAnsi="Arial"/>
          <w:sz w:val="18"/>
          <w:szCs w:val="18"/>
          <w:color w:val="auto"/>
        </w:rPr>
      </w:pPr>
    </w:p>
    <w:p>
      <w:pPr>
        <w:ind w:left="4" w:right="380" w:firstLine="1979"/>
        <w:spacing w:after="0" w:line="342" w:lineRule="auto"/>
        <w:tabs>
          <w:tab w:leader="none" w:pos="2202"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Same Terms and Conditions</w:t>
      </w:r>
      <w:r>
        <w:rPr>
          <w:rFonts w:ascii="Arial" w:cs="Arial" w:eastAsia="Arial" w:hAnsi="Arial"/>
          <w:sz w:val="16"/>
          <w:szCs w:val="16"/>
          <w:color w:val="auto"/>
        </w:rPr>
        <w:t>. Each Regulated Fund has the right to participate in such Disposition on a 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basis, at the same price and on the same terms and Conditions as those applicable to the Affiliated Fund and any other Regulated Fund;</w:t>
      </w:r>
    </w:p>
    <w:p>
      <w:pPr>
        <w:spacing w:after="0" w:line="123" w:lineRule="exact"/>
        <w:rPr>
          <w:rFonts w:ascii="Arial" w:cs="Arial" w:eastAsia="Arial" w:hAnsi="Arial"/>
          <w:sz w:val="16"/>
          <w:szCs w:val="16"/>
          <w:color w:val="auto"/>
        </w:rPr>
      </w:pPr>
    </w:p>
    <w:p>
      <w:pPr>
        <w:ind w:left="2244" w:hanging="261"/>
        <w:spacing w:after="0"/>
        <w:tabs>
          <w:tab w:leader="none" w:pos="2244"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10" w:lineRule="exact"/>
        <w:rPr>
          <w:rFonts w:ascii="Arial" w:cs="Arial" w:eastAsia="Arial" w:hAnsi="Arial"/>
          <w:sz w:val="17"/>
          <w:szCs w:val="17"/>
          <w:color w:val="auto"/>
        </w:rPr>
      </w:pPr>
    </w:p>
    <w:p>
      <w:pPr>
        <w:ind w:left="2304" w:hanging="321"/>
        <w:spacing w:after="0"/>
        <w:tabs>
          <w:tab w:leader="none" w:pos="2304"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Advice of counsel</w:t>
      </w:r>
      <w:r>
        <w:rPr>
          <w:rFonts w:ascii="Arial" w:cs="Arial" w:eastAsia="Arial" w:hAnsi="Arial"/>
          <w:sz w:val="17"/>
          <w:szCs w:val="17"/>
          <w:color w:val="auto"/>
        </w:rPr>
        <w:t>. Independent counsel to the Board advises that the making and holding of the investments in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Pre-Boarding Investments were not prohibited by Section 57 (as modified by Rule 57b-1) or Rule 17d-1, as applicable;</w:t>
      </w:r>
    </w:p>
    <w:p>
      <w:pPr>
        <w:spacing w:after="0" w:line="211" w:lineRule="exact"/>
        <w:rPr>
          <w:sz w:val="20"/>
          <w:szCs w:val="20"/>
          <w:color w:val="auto"/>
        </w:rPr>
      </w:pPr>
    </w:p>
    <w:p>
      <w:pPr>
        <w:ind w:left="4" w:right="40" w:firstLine="1979"/>
        <w:spacing w:after="0" w:line="286" w:lineRule="auto"/>
        <w:tabs>
          <w:tab w:leader="none" w:pos="2291"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Multiple Classes of Securities. </w:t>
      </w:r>
      <w:r>
        <w:rPr>
          <w:rFonts w:ascii="Arial" w:cs="Arial" w:eastAsia="Arial" w:hAnsi="Arial"/>
          <w:sz w:val="16"/>
          <w:szCs w:val="16"/>
          <w:color w:val="auto"/>
        </w:rPr>
        <w:t>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ind w:left="4" w:right="180" w:hanging="4"/>
        <w:spacing w:after="0" w:line="302" w:lineRule="auto"/>
        <w:tabs>
          <w:tab w:leader="none" w:pos="2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Regulated Fund’s or Affiliated Fund’s holding of a different class of securities (including, for this purpose, a security with a different maturity date) is immaterial</w:t>
      </w:r>
      <w:r>
        <w:rPr>
          <w:rFonts w:ascii="Arial" w:cs="Arial" w:eastAsia="Arial" w:hAnsi="Arial"/>
          <w:sz w:val="13"/>
          <w:szCs w:val="13"/>
          <w:color w:val="auto"/>
        </w:rPr>
        <w:t>33</w:t>
      </w:r>
      <w:r>
        <w:rPr>
          <w:rFonts w:ascii="Arial" w:cs="Arial" w:eastAsia="Arial" w:hAnsi="Arial"/>
          <w:sz w:val="16"/>
          <w:szCs w:val="16"/>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6"/>
          <w:szCs w:val="16"/>
          <w:u w:val="single" w:color="auto"/>
          <w:color w:val="auto"/>
        </w:rPr>
        <w:t>and</w:t>
      </w:r>
    </w:p>
    <w:p>
      <w:pPr>
        <w:spacing w:after="0" w:line="155" w:lineRule="exact"/>
        <w:rPr>
          <w:rFonts w:ascii="Arial" w:cs="Arial" w:eastAsia="Arial" w:hAnsi="Arial"/>
          <w:sz w:val="16"/>
          <w:szCs w:val="16"/>
          <w:color w:val="auto"/>
        </w:rPr>
      </w:pPr>
    </w:p>
    <w:p>
      <w:pPr>
        <w:ind w:left="2244" w:hanging="261"/>
        <w:spacing w:after="0"/>
        <w:tabs>
          <w:tab w:leader="none" w:pos="2244"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No control</w:t>
      </w:r>
      <w:r>
        <w:rPr>
          <w:rFonts w:ascii="Arial" w:cs="Arial" w:eastAsia="Arial" w:hAnsi="Arial"/>
          <w:sz w:val="17"/>
          <w:szCs w:val="17"/>
          <w:color w:val="auto"/>
        </w:rPr>
        <w:t>. The Affiliated Funds, the other Regulated Funds and their affiliated persons (within the meaning of</w:t>
      </w:r>
    </w:p>
    <w:p>
      <w:pPr>
        <w:spacing w:after="0" w:line="35" w:lineRule="exact"/>
        <w:rPr>
          <w:sz w:val="20"/>
          <w:szCs w:val="20"/>
          <w:color w:val="auto"/>
        </w:rPr>
      </w:pPr>
    </w:p>
    <w:p>
      <w:pPr>
        <w:ind w:left="4" w:right="180"/>
        <w:spacing w:after="0" w:line="260" w:lineRule="auto"/>
        <w:rPr>
          <w:sz w:val="20"/>
          <w:szCs w:val="20"/>
          <w:color w:val="auto"/>
        </w:rPr>
      </w:pP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185" w:lineRule="exact"/>
        <w:rPr>
          <w:sz w:val="20"/>
          <w:szCs w:val="20"/>
          <w:color w:val="auto"/>
        </w:rPr>
      </w:pPr>
    </w:p>
    <w:p>
      <w:pPr>
        <w:ind w:left="1164" w:hanging="173"/>
        <w:spacing w:after="0"/>
        <w:tabs>
          <w:tab w:leader="none" w:pos="11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1428"/>
        <w:spacing w:after="0" w:line="308" w:lineRule="auto"/>
        <w:tabs>
          <w:tab w:leader="none" w:pos="1681"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If any Regulated Fund or Affiliated Fund desires to make a Follow-On Investment in an issuer and the Regulated Funds and Affiliated Fund holding investments in the issuer previously participated in a Co-Investment Transaction with respect to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71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9" w:lineRule="exact"/>
        <w:rPr>
          <w:sz w:val="20"/>
          <w:szCs w:val="20"/>
          <w:color w:val="auto"/>
        </w:rPr>
      </w:pPr>
    </w:p>
    <w:p>
      <w:pPr>
        <w:ind w:left="424" w:right="80" w:hanging="424"/>
        <w:spacing w:after="0" w:line="286" w:lineRule="auto"/>
        <w:tabs>
          <w:tab w:leader="none" w:pos="424" w:val="left"/>
        </w:tabs>
        <w:numPr>
          <w:ilvl w:val="0"/>
          <w:numId w:val="69"/>
        </w:numPr>
        <w:rPr>
          <w:rFonts w:ascii="Arial" w:cs="Arial" w:eastAsia="Arial" w:hAnsi="Arial"/>
          <w:sz w:val="14"/>
          <w:szCs w:val="14"/>
          <w:color w:val="auto"/>
        </w:rPr>
      </w:pPr>
      <w:r>
        <w:rPr>
          <w:rFonts w:ascii="Arial" w:cs="Arial" w:eastAsia="Arial" w:hAnsi="Arial"/>
          <w:sz w:val="17"/>
          <w:szCs w:val="17"/>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31" w:name="page32"/>
    <w:bookmarkEnd w:id="31"/>
    <w:p>
      <w:pPr>
        <w:ind w:left="4" w:right="200" w:firstLine="1979"/>
        <w:spacing w:after="0" w:line="277" w:lineRule="auto"/>
        <w:tabs>
          <w:tab w:leader="none" w:pos="2202" w:val="left"/>
        </w:tabs>
        <w:numPr>
          <w:ilvl w:val="2"/>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Adviser to each such Regulated Fund or Affiliated Fund will notify each Regulated Fund that holds securities of the portfolio company of the proposed transaction at the earliest practical time;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right="200" w:firstLine="1979"/>
        <w:spacing w:after="0" w:line="277" w:lineRule="auto"/>
        <w:tabs>
          <w:tab w:leader="none" w:pos="2252" w:val="left"/>
        </w:tabs>
        <w:numPr>
          <w:ilvl w:val="2"/>
          <w:numId w:val="70"/>
        </w:numPr>
        <w:rPr>
          <w:rFonts w:ascii="Arial" w:cs="Arial" w:eastAsia="Arial" w:hAnsi="Arial"/>
          <w:sz w:val="18"/>
          <w:szCs w:val="18"/>
          <w:color w:val="auto"/>
        </w:rPr>
      </w:pPr>
      <w:r>
        <w:rPr>
          <w:rFonts w:ascii="Arial" w:cs="Arial" w:eastAsia="Arial" w:hAnsi="Arial"/>
          <w:sz w:val="18"/>
          <w:szCs w:val="18"/>
          <w:color w:val="auto"/>
        </w:rPr>
        <w:t>athen Adviser to each Regulated Fund that holds an investment in the issuer will formulate a recommendation as to the proposed participation, including the amount of the proposed investment, by such Regulated Fund.</w:t>
      </w:r>
    </w:p>
    <w:p>
      <w:pPr>
        <w:spacing w:after="0" w:line="170" w:lineRule="exact"/>
        <w:rPr>
          <w:rFonts w:ascii="Arial" w:cs="Arial" w:eastAsia="Arial" w:hAnsi="Arial"/>
          <w:sz w:val="18"/>
          <w:szCs w:val="18"/>
          <w:color w:val="auto"/>
        </w:rPr>
      </w:pPr>
    </w:p>
    <w:p>
      <w:pPr>
        <w:ind w:left="4" w:right="100" w:firstLine="1428"/>
        <w:spacing w:after="0" w:line="277" w:lineRule="auto"/>
        <w:tabs>
          <w:tab w:leader="none" w:pos="169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No Board Approval Required</w:t>
      </w:r>
      <w:r>
        <w:rPr>
          <w:rFonts w:ascii="Arial" w:cs="Arial" w:eastAsia="Arial" w:hAnsi="Arial"/>
          <w:sz w:val="18"/>
          <w:szCs w:val="18"/>
          <w:color w:val="auto"/>
        </w:rPr>
        <w:t>. A Regulated Fund may participate in the Follow-On Investment without obtaining prior approval of the Required Majority if:</w:t>
      </w:r>
    </w:p>
    <w:p>
      <w:pPr>
        <w:spacing w:after="0" w:line="170" w:lineRule="exact"/>
        <w:rPr>
          <w:rFonts w:ascii="Arial" w:cs="Arial" w:eastAsia="Arial" w:hAnsi="Arial"/>
          <w:sz w:val="18"/>
          <w:szCs w:val="18"/>
          <w:color w:val="auto"/>
        </w:rPr>
      </w:pPr>
    </w:p>
    <w:p>
      <w:pPr>
        <w:ind w:left="4" w:right="80" w:firstLine="1979"/>
        <w:spacing w:after="0" w:line="259" w:lineRule="auto"/>
        <w:tabs>
          <w:tab w:leader="none" w:pos="2202" w:val="left"/>
        </w:tabs>
        <w:numPr>
          <w:ilvl w:val="2"/>
          <w:numId w:val="71"/>
        </w:numPr>
        <w:rPr>
          <w:rFonts w:ascii="Arial" w:cs="Arial" w:eastAsia="Arial" w:hAnsi="Arial"/>
          <w:sz w:val="18"/>
          <w:szCs w:val="18"/>
          <w:color w:val="auto"/>
        </w:rPr>
      </w:pPr>
      <w:r>
        <w:rPr>
          <w:rFonts w:ascii="Arial" w:cs="Arial" w:eastAsia="Arial" w:hAnsi="Arial"/>
          <w:sz w:val="18"/>
          <w:szCs w:val="18"/>
          <w:color w:val="auto"/>
        </w:rPr>
        <w:t>(A) the proposed participation of each Regulated Fund and each Affiliated Fund in such investment is proportionate to its outstanding investments in the issuer or the security at issue, as appropriate,</w:t>
      </w:r>
      <w:r>
        <w:rPr>
          <w:rFonts w:ascii="Arial" w:cs="Arial" w:eastAsia="Arial" w:hAnsi="Arial"/>
          <w:sz w:val="15"/>
          <w:szCs w:val="15"/>
          <w:color w:val="auto"/>
        </w:rPr>
        <w:t>34</w:t>
      </w:r>
      <w:r>
        <w:rPr>
          <w:rFonts w:ascii="Arial" w:cs="Arial" w:eastAsia="Arial" w:hAnsi="Arial"/>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186" w:lineRule="exact"/>
        <w:rPr>
          <w:rFonts w:ascii="Arial" w:cs="Arial" w:eastAsia="Arial" w:hAnsi="Arial"/>
          <w:sz w:val="18"/>
          <w:szCs w:val="18"/>
          <w:color w:val="auto"/>
        </w:rPr>
      </w:pPr>
    </w:p>
    <w:p>
      <w:pPr>
        <w:ind w:left="2244" w:hanging="261"/>
        <w:spacing w:after="0"/>
        <w:tabs>
          <w:tab w:leader="none" w:pos="2244" w:val="left"/>
        </w:tabs>
        <w:numPr>
          <w:ilvl w:val="2"/>
          <w:numId w:val="71"/>
        </w:numPr>
        <w:rPr>
          <w:rFonts w:ascii="Arial" w:cs="Arial" w:eastAsia="Arial" w:hAnsi="Arial"/>
          <w:sz w:val="18"/>
          <w:szCs w:val="18"/>
          <w:color w:val="auto"/>
        </w:rPr>
      </w:pPr>
      <w:r>
        <w:rPr>
          <w:rFonts w:ascii="Arial" w:cs="Arial" w:eastAsia="Arial" w:hAnsi="Arial"/>
          <w:sz w:val="18"/>
          <w:szCs w:val="18"/>
          <w:color w:val="auto"/>
        </w:rPr>
        <w:t>it is a Non-Negotiated Follow-On Investment.</w:t>
      </w:r>
    </w:p>
    <w:p>
      <w:pPr>
        <w:spacing w:after="0" w:line="225" w:lineRule="exact"/>
        <w:rPr>
          <w:rFonts w:ascii="Arial" w:cs="Arial" w:eastAsia="Arial" w:hAnsi="Arial"/>
          <w:sz w:val="18"/>
          <w:szCs w:val="18"/>
          <w:color w:val="auto"/>
        </w:rPr>
      </w:pPr>
    </w:p>
    <w:p>
      <w:pPr>
        <w:ind w:left="4" w:right="60" w:firstLine="1428"/>
        <w:spacing w:after="0" w:line="275" w:lineRule="auto"/>
        <w:tabs>
          <w:tab w:leader="none" w:pos="1681"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Standard Board Approval</w:t>
      </w:r>
      <w:r>
        <w:rPr>
          <w:rFonts w:ascii="Arial" w:cs="Arial" w:eastAsia="Arial" w:hAnsi="Arial"/>
          <w:sz w:val="17"/>
          <w:szCs w:val="17"/>
          <w:color w:val="auto"/>
        </w:rPr>
        <w:t>. In all other cases, the applicable Adviser will provide its written recommendation as to the Regulated Fund’s participation to 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then the Eligible Directors must complete this review of the proposed Follow-On Investment both on a stand-alone basis and together with the Pre-Boarding Investments in relation to the total economic exposure and other terms of the investment.</w:t>
      </w:r>
    </w:p>
    <w:p>
      <w:pPr>
        <w:spacing w:after="0" w:line="176" w:lineRule="exact"/>
        <w:rPr>
          <w:rFonts w:ascii="Arial" w:cs="Arial" w:eastAsia="Arial" w:hAnsi="Arial"/>
          <w:sz w:val="17"/>
          <w:szCs w:val="17"/>
          <w:color w:val="auto"/>
        </w:rPr>
      </w:pPr>
    </w:p>
    <w:p>
      <w:pPr>
        <w:ind w:left="1684" w:hanging="252"/>
        <w:spacing w:after="0"/>
        <w:tabs>
          <w:tab w:leader="none" w:pos="168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If, with respect to any such Follow-On Investment:</w:t>
      </w:r>
    </w:p>
    <w:p>
      <w:pPr>
        <w:spacing w:after="0" w:line="225" w:lineRule="exact"/>
        <w:rPr>
          <w:rFonts w:ascii="Arial" w:cs="Arial" w:eastAsia="Arial" w:hAnsi="Arial"/>
          <w:sz w:val="18"/>
          <w:szCs w:val="18"/>
          <w:color w:val="auto"/>
        </w:rPr>
      </w:pPr>
    </w:p>
    <w:p>
      <w:pPr>
        <w:jc w:val="both"/>
        <w:ind w:left="4" w:firstLine="1979"/>
        <w:spacing w:after="0" w:line="263" w:lineRule="auto"/>
        <w:tabs>
          <w:tab w:leader="none" w:pos="2202"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183" w:lineRule="exact"/>
        <w:rPr>
          <w:rFonts w:ascii="Arial" w:cs="Arial" w:eastAsia="Arial" w:hAnsi="Arial"/>
          <w:sz w:val="18"/>
          <w:szCs w:val="18"/>
          <w:color w:val="auto"/>
        </w:rPr>
      </w:pPr>
    </w:p>
    <w:p>
      <w:pPr>
        <w:ind w:left="4" w:right="60" w:firstLine="1979"/>
        <w:spacing w:after="0" w:line="311" w:lineRule="auto"/>
        <w:tabs>
          <w:tab w:leader="none" w:pos="2252"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size of the Internal Orders, as described in section III.A.1(b) above.</w:t>
      </w:r>
    </w:p>
    <w:p>
      <w:pPr>
        <w:spacing w:after="0" w:line="148" w:lineRule="exact"/>
        <w:rPr>
          <w:rFonts w:ascii="Arial" w:cs="Arial" w:eastAsia="Arial" w:hAnsi="Arial"/>
          <w:sz w:val="16"/>
          <w:szCs w:val="16"/>
          <w:color w:val="auto"/>
        </w:rPr>
      </w:pPr>
    </w:p>
    <w:p>
      <w:pPr>
        <w:ind w:left="4" w:right="100" w:firstLine="1428"/>
        <w:spacing w:after="0" w:line="277" w:lineRule="auto"/>
        <w:tabs>
          <w:tab w:leader="none" w:pos="168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170" w:lineRule="exact"/>
        <w:rPr>
          <w:rFonts w:ascii="Arial" w:cs="Arial" w:eastAsia="Arial" w:hAnsi="Arial"/>
          <w:sz w:val="18"/>
          <w:szCs w:val="18"/>
          <w:color w:val="auto"/>
        </w:rPr>
      </w:pPr>
    </w:p>
    <w:p>
      <w:pPr>
        <w:ind w:left="1164" w:hanging="173"/>
        <w:spacing w:after="0"/>
        <w:tabs>
          <w:tab w:leader="none" w:pos="116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84" w:hanging="252"/>
        <w:spacing w:after="0"/>
        <w:tabs>
          <w:tab w:leader="none" w:pos="1684"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If any Regulated Fund or Affiliated Fund desires to make a Follow-On Investment in an issuer that is a Potential</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Co-Investment Transaction and the Regulated Funds and Affiliated Fund holding investments in the issuer have not previously participated in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Co-Investment Transaction with respect to the issuer:</w:t>
      </w:r>
    </w:p>
    <w:p>
      <w:pPr>
        <w:spacing w:after="0" w:line="211" w:lineRule="exact"/>
        <w:rPr>
          <w:sz w:val="20"/>
          <w:szCs w:val="20"/>
          <w:color w:val="auto"/>
        </w:rPr>
      </w:pPr>
    </w:p>
    <w:p>
      <w:pPr>
        <w:ind w:left="4" w:right="200" w:firstLine="1979"/>
        <w:spacing w:after="0" w:line="277" w:lineRule="auto"/>
        <w:tabs>
          <w:tab w:leader="none" w:pos="22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right="20" w:hanging="424"/>
        <w:spacing w:after="0" w:line="293" w:lineRule="auto"/>
        <w:tabs>
          <w:tab w:leader="none" w:pos="424" w:val="left"/>
        </w:tabs>
        <w:numPr>
          <w:ilvl w:val="0"/>
          <w:numId w:val="74"/>
        </w:numPr>
        <w:rPr>
          <w:rFonts w:ascii="Arial" w:cs="Arial" w:eastAsia="Arial" w:hAnsi="Arial"/>
          <w:sz w:val="13"/>
          <w:szCs w:val="13"/>
          <w:color w:val="auto"/>
        </w:rPr>
      </w:pPr>
      <w:r>
        <w:rPr>
          <w:rFonts w:ascii="Arial" w:cs="Arial" w:eastAsia="Arial" w:hAnsi="Arial"/>
          <w:sz w:val="16"/>
          <w:szCs w:val="16"/>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2" w:name="page33"/>
    <w:bookmarkEnd w:id="32"/>
    <w:p>
      <w:pPr>
        <w:ind w:left="4" w:right="360" w:firstLine="1979"/>
        <w:spacing w:after="0" w:line="277" w:lineRule="auto"/>
        <w:tabs>
          <w:tab w:leader="none" w:pos="2252"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Adviser to each Regulated Fund that holds an investment in the issuer will formulate a recommendation as to the proposed participation, including the amount of the proposed investment, by such Regulated Fund;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right="20" w:firstLine="1979"/>
        <w:spacing w:after="0" w:line="263" w:lineRule="auto"/>
        <w:tabs>
          <w:tab w:leader="none" w:pos="230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ind w:left="4" w:firstLine="1428"/>
        <w:spacing w:after="0" w:line="254" w:lineRule="auto"/>
        <w:tabs>
          <w:tab w:leader="none" w:pos="169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Enhanced Board Approval</w:t>
      </w:r>
      <w:r>
        <w:rPr>
          <w:rFonts w:ascii="Arial" w:cs="Arial" w:eastAsia="Arial" w:hAnsi="Arial"/>
          <w:sz w:val="18"/>
          <w:szCs w:val="18"/>
          <w:color w:val="auto"/>
        </w:rPr>
        <w:t>. The applicable Adviser will provide its written recommendation as to the Regulated Fund’s participation to the Eligible 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94" w:lineRule="exact"/>
        <w:rPr>
          <w:rFonts w:ascii="Arial" w:cs="Arial" w:eastAsia="Arial" w:hAnsi="Arial"/>
          <w:sz w:val="18"/>
          <w:szCs w:val="18"/>
          <w:color w:val="auto"/>
        </w:rPr>
      </w:pPr>
    </w:p>
    <w:p>
      <w:pPr>
        <w:ind w:left="1684" w:hanging="252"/>
        <w:spacing w:after="0"/>
        <w:tabs>
          <w:tab w:leader="none" w:pos="168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Follow-On Investment may only be completed in reliance on the Order if:</w:t>
      </w:r>
    </w:p>
    <w:p>
      <w:pPr>
        <w:spacing w:after="0" w:line="225" w:lineRule="exact"/>
        <w:rPr>
          <w:rFonts w:ascii="Arial" w:cs="Arial" w:eastAsia="Arial" w:hAnsi="Arial"/>
          <w:sz w:val="18"/>
          <w:szCs w:val="18"/>
          <w:color w:val="auto"/>
        </w:rPr>
      </w:pPr>
    </w:p>
    <w:p>
      <w:pPr>
        <w:ind w:left="2204" w:hanging="221"/>
        <w:spacing w:after="0"/>
        <w:tabs>
          <w:tab w:leader="none" w:pos="2204"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10" w:lineRule="exact"/>
        <w:rPr>
          <w:rFonts w:ascii="Arial" w:cs="Arial" w:eastAsia="Arial" w:hAnsi="Arial"/>
          <w:sz w:val="17"/>
          <w:szCs w:val="17"/>
          <w:color w:val="auto"/>
        </w:rPr>
      </w:pPr>
    </w:p>
    <w:p>
      <w:pPr>
        <w:ind w:left="2244" w:hanging="261"/>
        <w:spacing w:after="0"/>
        <w:tabs>
          <w:tab w:leader="none" w:pos="2244"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Advice of counsel</w:t>
      </w:r>
      <w:r>
        <w:rPr>
          <w:rFonts w:ascii="Arial" w:cs="Arial" w:eastAsia="Arial" w:hAnsi="Arial"/>
          <w:sz w:val="17"/>
          <w:szCs w:val="17"/>
          <w:color w:val="auto"/>
        </w:rPr>
        <w:t>. Independent counsel to the Board advises that the making and holding of the investments in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Pre-Boarding Investments were not prohibited by Section 57 (as modified by Rule 57b-1) or Rule 17d-1, as applicable;</w:t>
      </w:r>
    </w:p>
    <w:p>
      <w:pPr>
        <w:spacing w:after="0" w:line="211" w:lineRule="exact"/>
        <w:rPr>
          <w:sz w:val="20"/>
          <w:szCs w:val="20"/>
          <w:color w:val="auto"/>
        </w:rPr>
      </w:pPr>
    </w:p>
    <w:p>
      <w:pPr>
        <w:ind w:left="4" w:right="80" w:firstLine="1979"/>
        <w:spacing w:after="0" w:line="286" w:lineRule="auto"/>
        <w:tabs>
          <w:tab w:leader="none" w:pos="2302"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Multiple Classes of Securities</w:t>
      </w:r>
      <w:r>
        <w:rPr>
          <w:rFonts w:ascii="Arial" w:cs="Arial" w:eastAsia="Arial" w:hAnsi="Arial"/>
          <w:sz w:val="16"/>
          <w:szCs w:val="16"/>
          <w:color w:val="auto"/>
        </w:rPr>
        <w:t>. 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ind w:left="4" w:right="220" w:hanging="4"/>
        <w:spacing w:after="0" w:line="302" w:lineRule="auto"/>
        <w:tabs>
          <w:tab w:leader="none" w:pos="2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6"/>
          <w:szCs w:val="16"/>
          <w:u w:val="single" w:color="auto"/>
          <w:color w:val="auto"/>
        </w:rPr>
        <w:t>and</w:t>
      </w:r>
    </w:p>
    <w:p>
      <w:pPr>
        <w:spacing w:after="0" w:line="155" w:lineRule="exact"/>
        <w:rPr>
          <w:rFonts w:ascii="Arial" w:cs="Arial" w:eastAsia="Arial" w:hAnsi="Arial"/>
          <w:sz w:val="16"/>
          <w:szCs w:val="16"/>
          <w:color w:val="auto"/>
        </w:rPr>
      </w:pPr>
    </w:p>
    <w:p>
      <w:pPr>
        <w:ind w:left="2284" w:hanging="301"/>
        <w:spacing w:after="0"/>
        <w:tabs>
          <w:tab w:leader="none" w:pos="2284"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No control</w:t>
      </w:r>
      <w:r>
        <w:rPr>
          <w:rFonts w:ascii="Arial" w:cs="Arial" w:eastAsia="Arial" w:hAnsi="Arial"/>
          <w:sz w:val="18"/>
          <w:szCs w:val="18"/>
          <w:color w:val="auto"/>
        </w:rPr>
        <w:t>. The Affiliated Fund, the other Regulated Funds and their affiliated persons (within the meaning of</w:t>
      </w:r>
    </w:p>
    <w:p>
      <w:pPr>
        <w:spacing w:after="0" w:line="23" w:lineRule="exact"/>
        <w:rPr>
          <w:sz w:val="20"/>
          <w:szCs w:val="20"/>
          <w:color w:val="auto"/>
        </w:rPr>
      </w:pPr>
    </w:p>
    <w:p>
      <w:pPr>
        <w:ind w:left="4" w:right="220"/>
        <w:spacing w:after="0" w:line="260" w:lineRule="auto"/>
        <w:rPr>
          <w:sz w:val="20"/>
          <w:szCs w:val="20"/>
          <w:color w:val="auto"/>
        </w:rPr>
      </w:pP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3" w:name="page34"/>
    <w:bookmarkEnd w:id="33"/>
    <w:p>
      <w:pPr>
        <w:ind w:left="1680" w:hanging="252"/>
        <w:spacing w:after="0"/>
        <w:tabs>
          <w:tab w:leader="none" w:pos="16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w:t>
      </w:r>
      <w:r>
        <w:rPr>
          <w:rFonts w:ascii="Arial" w:cs="Arial" w:eastAsia="Arial" w:hAnsi="Arial"/>
          <w:sz w:val="18"/>
          <w:szCs w:val="18"/>
          <w:color w:val="auto"/>
        </w:rPr>
        <w:t>. If, with respect to any such Follow-On Investment:</w:t>
      </w:r>
    </w:p>
    <w:p>
      <w:pPr>
        <w:spacing w:after="0" w:line="225" w:lineRule="exact"/>
        <w:rPr>
          <w:rFonts w:ascii="Arial" w:cs="Arial" w:eastAsia="Arial" w:hAnsi="Arial"/>
          <w:sz w:val="18"/>
          <w:szCs w:val="18"/>
          <w:color w:val="auto"/>
        </w:rPr>
      </w:pPr>
    </w:p>
    <w:p>
      <w:pPr>
        <w:jc w:val="both"/>
        <w:ind w:firstLine="1979"/>
        <w:spacing w:after="0" w:line="263" w:lineRule="auto"/>
        <w:tabs>
          <w:tab w:leader="none" w:pos="2198"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183" w:lineRule="exact"/>
        <w:rPr>
          <w:rFonts w:ascii="Arial" w:cs="Arial" w:eastAsia="Arial" w:hAnsi="Arial"/>
          <w:sz w:val="18"/>
          <w:szCs w:val="18"/>
          <w:color w:val="auto"/>
        </w:rPr>
      </w:pPr>
    </w:p>
    <w:p>
      <w:pPr>
        <w:ind w:right="60" w:firstLine="1979"/>
        <w:spacing w:after="0" w:line="311" w:lineRule="auto"/>
        <w:tabs>
          <w:tab w:leader="none" w:pos="2248" w:val="left"/>
        </w:tabs>
        <w:numPr>
          <w:ilvl w:val="2"/>
          <w:numId w:val="79"/>
        </w:numPr>
        <w:rPr>
          <w:rFonts w:ascii="Arial" w:cs="Arial" w:eastAsia="Arial" w:hAnsi="Arial"/>
          <w:sz w:val="16"/>
          <w:szCs w:val="16"/>
          <w:color w:val="auto"/>
        </w:rPr>
      </w:pPr>
      <w:r>
        <w:rPr>
          <w:rFonts w:ascii="Arial" w:cs="Arial" w:eastAsia="Arial" w:hAnsi="Arial"/>
          <w:sz w:val="16"/>
          <w:szCs w:val="16"/>
          <w:color w:val="auto"/>
        </w:rPr>
        <w:t xml:space="preserve">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w:t>
      </w:r>
      <w:r>
        <w:rPr>
          <w:rFonts w:ascii="Arial" w:cs="Arial" w:eastAsia="Arial" w:hAnsi="Arial"/>
          <w:sz w:val="16"/>
          <w:szCs w:val="16"/>
          <w:i w:val="1"/>
          <w:iCs w:val="1"/>
          <w:color w:val="auto"/>
        </w:rPr>
        <w:t>pro-rata</w:t>
      </w:r>
      <w:r>
        <w:rPr>
          <w:rFonts w:ascii="Arial" w:cs="Arial" w:eastAsia="Arial" w:hAnsi="Arial"/>
          <w:sz w:val="16"/>
          <w:szCs w:val="16"/>
          <w:color w:val="auto"/>
        </w:rPr>
        <w:t xml:space="preserve"> based on the size of the Internal Orders, as described in section III.A.1(b) above.</w:t>
      </w:r>
    </w:p>
    <w:p>
      <w:pPr>
        <w:spacing w:after="0" w:line="148" w:lineRule="exact"/>
        <w:rPr>
          <w:rFonts w:ascii="Arial" w:cs="Arial" w:eastAsia="Arial" w:hAnsi="Arial"/>
          <w:sz w:val="16"/>
          <w:szCs w:val="16"/>
          <w:color w:val="auto"/>
        </w:rPr>
      </w:pPr>
    </w:p>
    <w:p>
      <w:pPr>
        <w:ind w:right="100" w:firstLine="1428"/>
        <w:spacing w:after="0" w:line="277" w:lineRule="auto"/>
        <w:tabs>
          <w:tab w:leader="none" w:pos="167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Board Reporting, Compliance and Annual Re-Approval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28"/>
        <w:spacing w:after="0" w:line="269" w:lineRule="auto"/>
        <w:tabs>
          <w:tab w:leader="none" w:pos="1677" w:val="left"/>
        </w:tabs>
        <w:numPr>
          <w:ilvl w:val="1"/>
          <w:numId w:val="80"/>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Affiliated Fund during the preceding quarter that fell within the Regulated Fund’s then-current Objectives and Strategies and any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any Affiliated Fund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5" w:lineRule="exact"/>
        <w:rPr>
          <w:rFonts w:ascii="Arial" w:cs="Arial" w:eastAsia="Arial" w:hAnsi="Arial"/>
          <w:sz w:val="17"/>
          <w:szCs w:val="17"/>
          <w:color w:val="auto"/>
        </w:rPr>
      </w:pPr>
    </w:p>
    <w:p>
      <w:pPr>
        <w:ind w:right="360" w:firstLine="1428"/>
        <w:spacing w:after="0" w:line="277" w:lineRule="auto"/>
        <w:tabs>
          <w:tab w:leader="none" w:pos="1687"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70" w:lineRule="exact"/>
        <w:rPr>
          <w:rFonts w:ascii="Arial" w:cs="Arial" w:eastAsia="Arial" w:hAnsi="Arial"/>
          <w:sz w:val="18"/>
          <w:szCs w:val="18"/>
          <w:color w:val="auto"/>
        </w:rPr>
      </w:pPr>
    </w:p>
    <w:p>
      <w:pPr>
        <w:jc w:val="both"/>
        <w:ind w:right="120" w:firstLine="1428"/>
        <w:spacing w:after="0" w:line="263" w:lineRule="auto"/>
        <w:tabs>
          <w:tab w:leader="none" w:pos="16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w:t>
      </w:r>
    </w:p>
    <w:p>
      <w:pPr>
        <w:spacing w:after="0" w:line="183" w:lineRule="exact"/>
        <w:rPr>
          <w:rFonts w:ascii="Arial" w:cs="Arial" w:eastAsia="Arial" w:hAnsi="Arial"/>
          <w:sz w:val="18"/>
          <w:szCs w:val="18"/>
          <w:color w:val="auto"/>
        </w:rPr>
      </w:pPr>
    </w:p>
    <w:p>
      <w:pPr>
        <w:ind w:right="300" w:firstLine="1428"/>
        <w:spacing w:after="0" w:line="277" w:lineRule="auto"/>
        <w:tabs>
          <w:tab w:leader="none" w:pos="168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Independent Directors will consider at least annually whether continued participation in new and existing Co-Investment Transactions is in the Regulated Fund’s best interests.</w:t>
      </w:r>
    </w:p>
    <w:p>
      <w:pPr>
        <w:spacing w:after="0" w:line="170" w:lineRule="exact"/>
        <w:rPr>
          <w:rFonts w:ascii="Arial" w:cs="Arial" w:eastAsia="Arial" w:hAnsi="Arial"/>
          <w:sz w:val="18"/>
          <w:szCs w:val="18"/>
          <w:color w:val="auto"/>
        </w:rPr>
      </w:pPr>
    </w:p>
    <w:p>
      <w:pPr>
        <w:ind w:right="300" w:firstLine="987"/>
        <w:spacing w:after="0" w:line="342" w:lineRule="auto"/>
        <w:tabs>
          <w:tab w:leader="none" w:pos="1254"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Record Keeping</w:t>
      </w:r>
      <w:r>
        <w:rPr>
          <w:rFonts w:ascii="Arial" w:cs="Arial" w:eastAsia="Arial" w:hAnsi="Arial"/>
          <w:sz w:val="16"/>
          <w:szCs w:val="16"/>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23" w:lineRule="exact"/>
        <w:rPr>
          <w:rFonts w:ascii="Arial" w:cs="Arial" w:eastAsia="Arial" w:hAnsi="Arial"/>
          <w:sz w:val="16"/>
          <w:szCs w:val="16"/>
          <w:color w:val="auto"/>
        </w:rPr>
      </w:pPr>
    </w:p>
    <w:p>
      <w:pPr>
        <w:ind w:right="300" w:firstLine="987"/>
        <w:spacing w:after="0" w:line="277" w:lineRule="auto"/>
        <w:tabs>
          <w:tab w:leader="none" w:pos="126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r>
        <w:rPr>
          <w:rFonts w:ascii="Arial" w:cs="Arial" w:eastAsia="Arial" w:hAnsi="Arial"/>
          <w:sz w:val="18"/>
          <w:szCs w:val="18"/>
          <w:color w:val="auto"/>
        </w:rPr>
        <w:t>. No Independent Director of a Regulated Fund will also be a director, general partner, managing member or principal, or otherwise be an “affiliated person” (as defined in the Act) of any Affiliated Fund.</w:t>
      </w:r>
    </w:p>
    <w:p>
      <w:pPr>
        <w:spacing w:after="0" w:line="170" w:lineRule="exact"/>
        <w:rPr>
          <w:rFonts w:ascii="Arial" w:cs="Arial" w:eastAsia="Arial" w:hAnsi="Arial"/>
          <w:sz w:val="18"/>
          <w:szCs w:val="18"/>
          <w:color w:val="auto"/>
        </w:rPr>
      </w:pPr>
    </w:p>
    <w:p>
      <w:pPr>
        <w:ind w:right="60" w:firstLine="987"/>
        <w:spacing w:after="0" w:line="257" w:lineRule="auto"/>
        <w:tabs>
          <w:tab w:leader="none" w:pos="126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4" w:name="page35"/>
    <w:bookmarkEnd w:id="34"/>
    <w:p>
      <w:pPr>
        <w:ind w:left="4" w:firstLine="987"/>
        <w:spacing w:after="0" w:line="283" w:lineRule="auto"/>
        <w:tabs>
          <w:tab w:leader="none" w:pos="1265"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Fees</w:t>
      </w:r>
      <w:r>
        <w:rPr>
          <w:rFonts w:ascii="Arial" w:cs="Arial" w:eastAsia="Arial" w:hAnsi="Arial"/>
          <w:sz w:val="16"/>
          <w:szCs w:val="16"/>
          <w:color w:val="auto"/>
        </w:rPr>
        <w:t>.</w:t>
      </w:r>
      <w:r>
        <w:rPr>
          <w:rFonts w:ascii="Arial" w:cs="Arial" w:eastAsia="Arial" w:hAnsi="Arial"/>
          <w:sz w:val="13"/>
          <w:szCs w:val="13"/>
          <w:color w:val="auto"/>
        </w:rPr>
        <w:t>35</w:t>
      </w:r>
      <w:r>
        <w:rPr>
          <w:rFonts w:ascii="Arial" w:cs="Arial" w:eastAsia="Arial" w:hAnsi="Arial"/>
          <w:sz w:val="16"/>
          <w:szCs w:val="16"/>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pro rata transaction fees described above and fees or other compensation described in Condition 2(c)(iii)(B)(z), (ii) brokerage or underwriting compensation permitted by Section 17(e) or 57(k) or</w:t>
      </w:r>
    </w:p>
    <w:p>
      <w:pPr>
        <w:spacing w:after="0" w:line="5" w:lineRule="exact"/>
        <w:rPr>
          <w:rFonts w:ascii="Arial" w:cs="Arial" w:eastAsia="Arial" w:hAnsi="Arial"/>
          <w:sz w:val="16"/>
          <w:szCs w:val="16"/>
          <w:color w:val="auto"/>
        </w:rPr>
      </w:pPr>
    </w:p>
    <w:p>
      <w:pPr>
        <w:ind w:left="4" w:right="380" w:hanging="4"/>
        <w:spacing w:after="0" w:line="260" w:lineRule="auto"/>
        <w:tabs>
          <w:tab w:leader="none" w:pos="3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the Adviser, investment advisory compensation paid in accordance with investment advisory agreements between the applicable Regulated Fund(s) or Affiliated Fund(s) and its Adviser.</w:t>
      </w:r>
    </w:p>
    <w:p>
      <w:pPr>
        <w:spacing w:after="0" w:line="185" w:lineRule="exact"/>
        <w:rPr>
          <w:rFonts w:ascii="Arial" w:cs="Arial" w:eastAsia="Arial" w:hAnsi="Arial"/>
          <w:sz w:val="18"/>
          <w:szCs w:val="18"/>
          <w:color w:val="auto"/>
        </w:rPr>
      </w:pPr>
    </w:p>
    <w:p>
      <w:pPr>
        <w:ind w:left="4" w:right="60" w:firstLine="987"/>
        <w:spacing w:after="0" w:line="291" w:lineRule="auto"/>
        <w:tabs>
          <w:tab w:leader="none" w:pos="1265"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Independence</w:t>
      </w:r>
      <w:r>
        <w:rPr>
          <w:rFonts w:ascii="Arial" w:cs="Arial" w:eastAsia="Arial" w:hAnsi="Arial"/>
          <w:sz w:val="16"/>
          <w:szCs w:val="16"/>
          <w:color w:val="auto"/>
        </w:rPr>
        <w:t>. If the Holders own in the aggregate more than 25% of the Shares of a Regulated Fund, then the Holders will vote such Shares in the same percentages as the Regulated Fund’s other shareholders (not including the Holders) when voting on (1) the election of directors;</w:t>
      </w:r>
    </w:p>
    <w:p>
      <w:pPr>
        <w:ind w:left="4" w:right="120"/>
        <w:spacing w:after="0" w:line="260" w:lineRule="auto"/>
        <w:rPr>
          <w:rFonts w:ascii="Arial" w:cs="Arial" w:eastAsia="Arial" w:hAnsi="Arial"/>
          <w:sz w:val="16"/>
          <w:szCs w:val="16"/>
          <w:color w:val="auto"/>
        </w:rPr>
      </w:pPr>
      <w:r>
        <w:rPr>
          <w:rFonts w:ascii="Arial" w:cs="Arial" w:eastAsia="Arial" w:hAnsi="Arial"/>
          <w:sz w:val="18"/>
          <w:szCs w:val="18"/>
          <w:color w:val="auto"/>
        </w:rPr>
        <w:t>(2) the removal of one or more directors; or (3) any other matter under either the Act or applicable state law affecting the Board’s composition, size or manner of election.</w:t>
      </w:r>
    </w:p>
    <w:p>
      <w:pPr>
        <w:spacing w:after="0" w:line="33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PROCEDURAL MATTERS</w:t>
      </w:r>
    </w:p>
    <w:p>
      <w:pPr>
        <w:spacing w:after="0" w:line="135" w:lineRule="exact"/>
        <w:rPr>
          <w:sz w:val="20"/>
          <w:szCs w:val="20"/>
          <w:color w:val="auto"/>
        </w:rPr>
      </w:pPr>
    </w:p>
    <w:p>
      <w:pPr>
        <w:ind w:left="964" w:hanging="532"/>
        <w:spacing w:after="0"/>
        <w:tabs>
          <w:tab w:leader="none" w:pos="96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Tel: (415) 743-1500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Fax: (202) 730-4520</w:t>
      </w:r>
    </w:p>
    <w:p>
      <w:pPr>
        <w:spacing w:after="0" w:line="238" w:lineRule="exact"/>
        <w:rPr>
          <w:sz w:val="20"/>
          <w:szCs w:val="20"/>
          <w:color w:val="auto"/>
        </w:rPr>
      </w:pPr>
    </w:p>
    <w:p>
      <w:pPr>
        <w:ind w:left="964" w:hanging="532"/>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July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right="60" w:hanging="424"/>
        <w:spacing w:after="0" w:line="277" w:lineRule="auto"/>
        <w:tabs>
          <w:tab w:leader="none" w:pos="424" w:val="left"/>
        </w:tabs>
        <w:numPr>
          <w:ilvl w:val="0"/>
          <w:numId w:val="85"/>
        </w:numPr>
        <w:rPr>
          <w:rFonts w:ascii="Arial" w:cs="Arial" w:eastAsia="Arial" w:hAnsi="Arial"/>
          <w:sz w:val="15"/>
          <w:szCs w:val="15"/>
          <w:color w:val="auto"/>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4"/>
          </w:cols>
          <w:pgMar w:left="436" w:top="274" w:right="539" w:bottom="1440" w:gutter="0" w:footer="0" w:header="0"/>
        </w:sectPr>
      </w:pPr>
    </w:p>
    <w:bookmarkStart w:id="35" w:name="page36"/>
    <w:bookmarkEnd w:id="3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SPECIALTY LENDING,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ADVISERS,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HOLDCO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III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III (B),</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III (C),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III DELAWARE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III DELAWARE AIV I-B,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OPPORTUNITIES GENPAR III,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OPPORTUNITIES GENPAR III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OPPORTUNITIES PARTNERS IV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OPPORTUNITIES PARTNERS IV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OPPORTUNITIES PARTNERS IV (C),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IV DELAWARE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IV DELAWARE AIV I-B,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TSSP OPPORTUNITIES GENPAR IV,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TSSP OPPORTUNITIES GENPAR IV ADVISERS,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980"/>
          </w:cols>
          <w:pgMar w:left="1440" w:top="274" w:right="479" w:bottom="1440" w:gutter="0" w:footer="0" w:header="0"/>
        </w:sectPr>
      </w:pPr>
    </w:p>
    <w:bookmarkStart w:id="36" w:name="page37"/>
    <w:bookmarkEnd w:id="3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OPPORTUNITIES PARTNERS V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V (B),</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V (C),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OPPS V DELAWARE AIV I-B,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SIXTH STREET OPPORTUNITIES GENPAR V, L.P.,</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OPPORTUNITIES GENPAR V</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(E) AIV II-A,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TAO GENPAR, L.P., </w:t>
      </w:r>
      <w:r>
        <w:rPr>
          <w:rFonts w:ascii="Arial" w:cs="Arial" w:eastAsia="Arial" w:hAnsi="Arial"/>
          <w:sz w:val="18"/>
          <w:szCs w:val="18"/>
          <w:i w:val="1"/>
          <w:iCs w:val="1"/>
          <w:color w:val="auto"/>
        </w:rPr>
        <w:t>as general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TAO GENPAR ADVISERS, LLC, </w:t>
      </w:r>
      <w:r>
        <w:rPr>
          <w:rFonts w:ascii="Arial" w:cs="Arial" w:eastAsia="Arial" w:hAnsi="Arial"/>
          <w:sz w:val="17"/>
          <w:szCs w:val="17"/>
          <w:i w:val="1"/>
          <w:iCs w:val="1"/>
          <w:color w:val="auto"/>
        </w:rPr>
        <w:t>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(A) AIV,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(B) AIV,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TSSP CAPITAL SOLUTIONS GENPAR, L.P.,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TSSP CAPITAL SOLUTIONS GENPAR ADVISERS,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60"/>
          </w:cols>
          <w:pgMar w:left="1440" w:top="274" w:right="49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960"/>
          </w:cols>
          <w:pgMar w:left="1440" w:top="274" w:right="499" w:bottom="1440" w:gutter="0" w:footer="0" w:header="0"/>
          <w:type w:val="continuous"/>
        </w:sectPr>
      </w:pPr>
    </w:p>
    <w:bookmarkStart w:id="37" w:name="page38"/>
    <w:bookmarkEnd w:id="3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GROWTH PARTNERS II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II (B) AIV,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GROWTH GENPAR II, L.P.,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SIXTH STREET GROWTH GENPAR II ADVISERS,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FUNDAMENTAL STRATEGIES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 (A),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FUNDAMENTAL STRATEGIES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FS AIV I-B, L.P.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Fundamental Strategies GenPar, L.P., </w:t>
      </w:r>
      <w:r>
        <w:rPr>
          <w:rFonts w:ascii="Arial" w:cs="Arial" w:eastAsia="Arial" w:hAnsi="Arial"/>
          <w:sz w:val="17"/>
          <w:szCs w:val="17"/>
          <w:i w:val="1"/>
          <w:iCs w:val="1"/>
          <w:color w:val="auto"/>
        </w:rPr>
        <w:t>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SPECIALTY LENDING EUROPE 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SPECIALTY LENDING EUROPE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GENPAR I, 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SPECIALTY LENDING EUROPE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GENPAR I 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SPECIALTY LENDING EUROPE 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Specialty Lending Europe GenPar II, L.P.,</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TSLE,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SUPER TSLE GENPAR, L.P.,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SPECIALTY LENDING EUROPE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GENPAR I 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60"/>
          </w:cols>
          <w:pgMar w:left="1440" w:top="274" w:right="49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960"/>
          </w:cols>
          <w:pgMar w:left="1440" w:top="274" w:right="499" w:bottom="1440" w:gutter="0" w:footer="0" w:header="0"/>
          <w:type w:val="continuous"/>
        </w:sectPr>
      </w:pPr>
    </w:p>
    <w:bookmarkStart w:id="38" w:name="page39"/>
    <w:bookmarkEnd w:id="3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PARTNERS (A),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Agriculture GenPar, L.P., </w:t>
      </w:r>
      <w:r>
        <w:rPr>
          <w:rFonts w:ascii="Arial" w:cs="Arial" w:eastAsia="Arial" w:hAnsi="Arial"/>
          <w:sz w:val="18"/>
          <w:szCs w:val="18"/>
          <w:i w:val="1"/>
          <w:iCs w:val="1"/>
          <w:color w:val="auto"/>
        </w:rPr>
        <w:t>as general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BLUEGRASS STRATEGIC HOLDINGS</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WILLOW STRATEGIC HOLDINGS 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COTTONWOOD STRATEGIC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HOLDINGS 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DOGWOOD STRATEGIC HOLDINGS I,</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RED PINE STRATEGIC HOLDINGS I,</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960"/>
          </w:cols>
          <w:pgMar w:left="1440" w:top="274" w:right="499" w:bottom="1440" w:gutter="0" w:footer="0" w:header="0"/>
        </w:sectPr>
      </w:pPr>
    </w:p>
    <w:bookmarkStart w:id="39" w:name="page40"/>
    <w:bookmarkEnd w:id="3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CMS DYNAMIC CREDIT FUND, L.P.</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CMS Dynamic Credit GenPar, LLC, </w:t>
      </w:r>
      <w:r>
        <w:rPr>
          <w:rFonts w:ascii="Arial" w:cs="Arial" w:eastAsia="Arial" w:hAnsi="Arial"/>
          <w:sz w:val="17"/>
          <w:szCs w:val="17"/>
          <w:i w:val="1"/>
          <w:iCs w:val="1"/>
          <w:color w:val="auto"/>
        </w:rPr>
        <w:t>as</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TCS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TDL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IV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OPPS V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FS I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ADVISERS,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 of the Collateral Manager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780"/>
          </w:cols>
          <w:pgMar w:left="1440" w:top="274" w:right="67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VI 2016-2,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IX,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XIV,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XV,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Title:Vice President of the Collateral Manager</w:t>
      </w:r>
    </w:p>
    <w:p>
      <w:pPr>
        <w:sectPr>
          <w:pgSz w:w="11900" w:h="16838" w:orient="portrait"/>
          <w:cols w:equalWidth="0" w:num="1">
            <w:col w:w="9300"/>
          </w:cols>
          <w:pgMar w:left="1440" w:top="274" w:right="1159" w:bottom="1440" w:gutter="0" w:footer="0" w:header="0"/>
        </w:sectPr>
      </w:pP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300"/>
          </w:cols>
          <w:pgMar w:left="1440" w:top="274" w:right="1159" w:bottom="1440" w:gutter="0" w:footer="0" w:header="0"/>
          <w:type w:val="continuous"/>
        </w:sectPr>
      </w:pPr>
    </w:p>
    <w:bookmarkStart w:id="41" w:name="page42"/>
    <w:bookmarkEnd w:id="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CLO XVI,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XIX,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ROTATIONAL CREDIT FUND,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TSSP Rotational Credit Fund GenPar,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WHEELER PEAK ROTATIONAL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FUND I,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ROTATIONAL CREDIT FUND III,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Sixth Street Rotational Credit Fund III GenPar, L.P., </w:t>
      </w:r>
      <w:r>
        <w:rPr>
          <w:rFonts w:ascii="Arial" w:cs="Arial" w:eastAsia="Arial" w:hAnsi="Arial"/>
          <w:sz w:val="16"/>
          <w:szCs w:val="16"/>
          <w:i w:val="1"/>
          <w:iCs w:val="1"/>
          <w:color w:val="auto"/>
        </w:rPr>
        <w:t>as</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TRCF SPV GP, LLC, 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940"/>
          </w:cols>
          <w:pgMar w:left="1440" w:top="274" w:right="519" w:bottom="1440" w:gutter="0" w:footer="0" w:header="0"/>
        </w:sectPr>
      </w:pPr>
    </w:p>
    <w:bookmarkStart w:id="42" w:name="page43"/>
    <w:bookmarkEnd w:id="4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STRUCTURED CREDIT OPPORTUNITIES FUND,</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TSSP Structured Credit Opportunities Fund GenPar,</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II,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III,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Structured Credit Opportunities GenPar III,</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IV,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Structured Credit Opportunities GenPar IV,</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Structured Credit Opportunities GenPar V,</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00"/>
          </w:cols>
          <w:pgMar w:left="1440" w:top="274" w:right="459"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PARTNERS 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HOLDINGS,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INSTITUTIONAL CREDIT PARTNERS III,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TSSP Institutional Credit GenPar III, L.P., as </w:t>
      </w:r>
      <w:r>
        <w:rPr>
          <w:rFonts w:ascii="Arial" w:cs="Arial" w:eastAsia="Arial" w:hAnsi="Arial"/>
          <w:sz w:val="17"/>
          <w:szCs w:val="17"/>
          <w:i w:val="1"/>
          <w:iCs w:val="1"/>
          <w:color w:val="auto"/>
        </w:rPr>
        <w:t>general</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TICP SPV GP,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CREDIT MARKET STRATEGIES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PARTNERS 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Sixth Street Credit Market Strategies GenPar, L.P., </w:t>
      </w:r>
      <w:r>
        <w:rPr>
          <w:rFonts w:ascii="Arial" w:cs="Arial" w:eastAsia="Arial" w:hAnsi="Arial"/>
          <w:sz w:val="16"/>
          <w:szCs w:val="16"/>
          <w:i w:val="1"/>
          <w:iCs w:val="1"/>
          <w:color w:val="auto"/>
        </w:rPr>
        <w:t>as</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CREDIT MARKET STRATEGIES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PARTNERS I-A,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Credit Market Strategies GenPar, L.P., as</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III CAYMAN,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III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880"/>
          </w:cols>
          <w:pgMar w:left="1440" w:top="274" w:right="57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880"/>
          </w:cols>
          <w:pgMar w:left="1440" w:top="274" w:right="579" w:bottom="1440" w:gutter="0" w:footer="0" w:header="0"/>
          <w:type w:val="continuous"/>
        </w:sectPr>
      </w:pPr>
    </w:p>
    <w:bookmarkStart w:id="44" w:name="page45"/>
    <w:bookmarkEnd w:id="4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OPPORTUNITIES IV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V MANAGEMENT,</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Joshua Peck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CAPITAL SOLUTIONS I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FUNDAMENTAL STRATEGIES 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EUROPE 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EUROPE II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820"/>
          </w:cols>
          <w:pgMar w:left="1440" w:top="274" w:right="639" w:bottom="1440" w:gutter="0" w:footer="0" w:header="0"/>
        </w:sectPr>
      </w:pPr>
    </w:p>
    <w:bookmarkStart w:id="45" w:name="page46"/>
    <w:bookmarkEnd w:id="4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STRATEGIC HOLDINGS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CMS DYNAMIC CREDIT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 2016-2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IX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900"/>
          </w:cols>
          <w:pgMar w:left="1440" w:top="274" w:right="559" w:bottom="1440" w:gutter="0" w:footer="0" w:header="0"/>
        </w:sectPr>
      </w:pPr>
    </w:p>
    <w:bookmarkStart w:id="46" w:name="page47"/>
    <w:bookmarkEnd w:id="4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XI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XIV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XV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CLO XVIII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XIX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500"/>
          </w:cols>
          <w:pgMar w:left="1440" w:top="274" w:right="959" w:bottom="1440" w:gutter="0" w:footer="0" w:header="0"/>
        </w:sectPr>
      </w:pPr>
    </w:p>
    <w:bookmarkStart w:id="47" w:name="page48"/>
    <w:bookmarkEnd w:id="4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ROTATIONAL CREDIT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ROTATIONAL CREDIT II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ROTATIONAL CREDIT III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STRUCTURED CREDIT OPPORTUNITIES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OPPORTUNITIES II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OPPORTUNITIES III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OPPORTUNITIES IV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OPPORTUNITIES V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ADVISERS II,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640"/>
          </w:cols>
          <w:pgMar w:left="1440" w:top="274" w:right="81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640"/>
          </w:cols>
          <w:pgMar w:left="1440" w:top="274" w:right="819" w:bottom="1440" w:gutter="0" w:footer="0" w:header="0"/>
          <w:type w:val="continuous"/>
        </w:sectPr>
      </w:pPr>
    </w:p>
    <w:bookmarkStart w:id="48" w:name="page49"/>
    <w:bookmarkEnd w:id="4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INSTITUTIONAL CREDIT III MANAGEMENT,</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CREDIT MARKET STRATEGIES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740"/>
          </w:cols>
          <w:pgMar w:left="1440" w:top="274" w:right="7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The undersigned states that he has duly executed the attached application, dated as of July 20, 2021,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14605</wp:posOffset>
            </wp:positionV>
            <wp:extent cx="26828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July 20,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0"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 Sixth Street Specialty Lending, Inc.</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has reviewed the Company’s Co-Investment Exemptive Application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“Exemptive Application”</w:t>
      </w:r>
      <w:r>
        <w:rPr>
          <w:rFonts w:ascii="Arial" w:cs="Arial" w:eastAsia="Arial" w:hAnsi="Arial"/>
          <w:sz w:val="18"/>
          <w:szCs w:val="18"/>
          <w:color w:val="auto"/>
        </w:rPr>
        <w:t>), a copy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for an order of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Rule 17d-1 under the Act to permit certain joint transactions otherwise prohibited by Sections 17(d) and 57(a)(4) of the Act and Rule 17d-l under the Act;</w:t>
      </w:r>
    </w:p>
    <w:p>
      <w:pPr>
        <w:spacing w:after="0" w:line="180" w:lineRule="exact"/>
        <w:rPr>
          <w:sz w:val="20"/>
          <w:szCs w:val="20"/>
          <w:color w:val="auto"/>
        </w:rPr>
      </w:pPr>
    </w:p>
    <w:p>
      <w:pPr>
        <w:jc w:val="both"/>
        <w:ind w:right="780" w:firstLine="440"/>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Authorized Officers, shall be, and each of them individually hereby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Authorized Officers shall be, and each of them individually hereby is, authorized, empowered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w:t>
      </w:r>
      <w:r>
        <w:rPr>
          <w:rFonts w:ascii="Arial" w:cs="Arial" w:eastAsia="Arial" w:hAnsi="Arial"/>
          <w:sz w:val="17"/>
          <w:szCs w:val="17"/>
          <w:u w:val="single" w:color="auto"/>
          <w:color w:val="auto"/>
        </w:rPr>
        <w:t>and</w:t>
      </w:r>
    </w:p>
    <w:p>
      <w:pPr>
        <w:spacing w:after="0" w:line="165"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on behalf of the Company in connection with the foregoing resolutions are in all respects authorized, ratified, approved, confirmed and adopted as the acts and deeds by and on behalf of the Company;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be, and each of them hereby is, authorized, empowered and directed to certify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w:t>
      </w:r>
      <w:r>
        <w:rPr>
          <w:rFonts w:ascii="Arial" w:cs="Arial" w:eastAsia="Arial" w:hAnsi="Arial"/>
          <w:sz w:val="18"/>
          <w:szCs w:val="18"/>
          <w:u w:val="single" w:color="auto"/>
          <w:color w:val="auto"/>
        </w:rPr>
        <w:t>and</w:t>
      </w:r>
    </w:p>
    <w:p>
      <w:pPr>
        <w:spacing w:after="0" w:line="183"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for purposes of the foregoing resolutions, the Authorized Officers of the Company shall be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President, Chief Financial Officer, Secretary and any Vice President of the Company (collectively, the “</w:t>
      </w:r>
      <w:r>
        <w:rPr>
          <w:rFonts w:ascii="Arial" w:cs="Arial" w:eastAsia="Arial" w:hAnsi="Arial"/>
          <w:sz w:val="16"/>
          <w:szCs w:val="16"/>
          <w:b w:val="1"/>
          <w:bCs w:val="1"/>
          <w:i w:val="1"/>
          <w:iCs w:val="1"/>
          <w:color w:val="auto"/>
        </w:rPr>
        <w:t>Authorized Officers</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(Approved by unanimous written consent of the Board of Directors on January 9, 2020.)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upperLetter"/>
      <w:start w:val="9"/>
    </w:lvl>
  </w:abstractNum>
  <w:abstractNum w:abstractNumId="1">
    <w:nsid w:val="1D4ED43B"/>
    <w:multiLevelType w:val="hybridMultilevel"/>
    <w:lvl w:ilvl="0">
      <w:lvlJc w:val="left"/>
      <w:lvlText w:val="1"/>
      <w:numFmt w:val="bullet"/>
      <w:start w:val="1"/>
    </w:lvl>
  </w:abstractNum>
  <w:abstractNum w:abstractNumId="2">
    <w:nsid w:val="725A06FB"/>
    <w:multiLevelType w:val="hybridMultilevel"/>
    <w:lvl w:ilvl="0">
      <w:lvlJc w:val="left"/>
      <w:lvlText w:val="2"/>
      <w:numFmt w:val="bullet"/>
      <w:start w:val="1"/>
    </w:lvl>
  </w:abstractNum>
  <w:abstractNum w:abstractNumId="3">
    <w:nsid w:val="2CD89A32"/>
    <w:multiLevelType w:val="hybridMultilevel"/>
    <w:lvl w:ilvl="0">
      <w:lvlJc w:val="left"/>
      <w:lvlText w:val="3"/>
      <w:numFmt w:val="bullet"/>
      <w:start w:val="1"/>
    </w:lvl>
  </w:abstractNum>
  <w:abstractNum w:abstractNumId="4">
    <w:nsid w:val="57E4CCAF"/>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5">
    <w:nsid w:val="7A6D8D3C"/>
    <w:multiLevelType w:val="hybridMultilevel"/>
    <w:lvl w:ilvl="0">
      <w:lvlJc w:val="left"/>
      <w:lvlText w:val="•"/>
      <w:numFmt w:val="bullet"/>
      <w:start w:val="1"/>
    </w:lvl>
    <w:lvl w:ilvl="1">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4"/>
      <w:numFmt w:val="bullet"/>
      <w:start w:val="1"/>
    </w:lvl>
  </w:abstractNum>
  <w:abstractNum w:abstractNumId="8">
    <w:nsid w:val="6DE91B18"/>
    <w:multiLevelType w:val="hybridMultilevel"/>
    <w:lvl w:ilvl="0">
      <w:lvlJc w:val="left"/>
      <w:lvlText w:val="%1."/>
      <w:numFmt w:val="upperLetter"/>
      <w:start w:val="3"/>
    </w:lvl>
  </w:abstractNum>
  <w:abstractNum w:abstractNumId="9">
    <w:nsid w:val="38437FDB"/>
    <w:multiLevelType w:val="hybridMultilevel"/>
    <w:lvl w:ilvl="0">
      <w:lvlJc w:val="left"/>
      <w:lvlText w:val="5"/>
      <w:numFmt w:val="bullet"/>
      <w:start w:val="1"/>
    </w:lvl>
  </w:abstractNum>
  <w:abstractNum w:abstractNumId="10">
    <w:nsid w:val="7644A45C"/>
    <w:multiLevelType w:val="hybridMultilevel"/>
    <w:lvl w:ilvl="0">
      <w:lvlJc w:val="left"/>
      <w:lvlText w:val="6"/>
      <w:numFmt w:val="bullet"/>
      <w:start w:val="1"/>
    </w:lvl>
  </w:abstractNum>
  <w:abstractNum w:abstractNumId="11">
    <w:nsid w:val="32FFF902"/>
    <w:multiLevelType w:val="hybridMultilevel"/>
    <w:lvl w:ilvl="0">
      <w:lvlJc w:val="left"/>
      <w:lvlText w:val="(%1)"/>
      <w:numFmt w:val="lowerRoman"/>
      <w:start w:val="1"/>
    </w:lvl>
  </w:abstractNum>
  <w:abstractNum w:abstractNumId="12">
    <w:nsid w:val="684A481A"/>
    <w:multiLevelType w:val="hybridMultilevel"/>
    <w:lvl w:ilvl="0">
      <w:lvlJc w:val="left"/>
      <w:lvlText w:val="(%1)"/>
      <w:numFmt w:val="lowerRoman"/>
      <w:start w:val="3"/>
    </w:lvl>
  </w:abstractNum>
  <w:abstractNum w:abstractNumId="13">
    <w:nsid w:val="579478FE"/>
    <w:multiLevelType w:val="hybridMultilevel"/>
    <w:lvl w:ilvl="0">
      <w:lvlJc w:val="left"/>
      <w:lvlText w:val="%1."/>
      <w:numFmt w:val="upperLetter"/>
      <w:start w:val="35"/>
    </w:lvl>
  </w:abstractNum>
  <w:abstractNum w:abstractNumId="14">
    <w:nsid w:val="749ABB43"/>
    <w:multiLevelType w:val="hybridMultilevel"/>
    <w:lvl w:ilvl="0">
      <w:lvlJc w:val="left"/>
      <w:lvlText w:val="%1."/>
      <w:numFmt w:val="upperLetter"/>
      <w:start w:val="1"/>
    </w:lvl>
  </w:abstractNum>
  <w:abstractNum w:abstractNumId="15">
    <w:nsid w:val="3DC240FB"/>
    <w:multiLevelType w:val="hybridMultilevel"/>
    <w:lvl w:ilvl="0">
      <w:lvlJc w:val="left"/>
      <w:lvlText w:val="%1."/>
      <w:numFmt w:val="upperLetter"/>
      <w:start w:val="2"/>
    </w:lvl>
  </w:abstractNum>
  <w:abstractNum w:abstractNumId="16">
    <w:nsid w:val="1BA026FA"/>
    <w:multiLevelType w:val="hybridMultilevel"/>
    <w:lvl w:ilvl="0">
      <w:lvlJc w:val="left"/>
      <w:lvlText w:val="%1."/>
      <w:numFmt w:val="upperLetter"/>
      <w:start w:val="3"/>
    </w:lvl>
  </w:abstractNum>
  <w:abstractNum w:abstractNumId="17">
    <w:nsid w:val="79A1DEAA"/>
    <w:multiLevelType w:val="hybridMultilevel"/>
    <w:lvl w:ilvl="0">
      <w:lvlJc w:val="left"/>
      <w:lvlText w:val="7"/>
      <w:numFmt w:val="bullet"/>
      <w:start w:val="1"/>
    </w:lvl>
  </w:abstractNum>
  <w:abstractNum w:abstractNumId="18">
    <w:nsid w:val="75C6C33A"/>
    <w:multiLevelType w:val="hybridMultilevel"/>
    <w:lvl w:ilvl="0">
      <w:lvlJc w:val="left"/>
      <w:lvlText w:val="(%1)"/>
      <w:numFmt w:val="lowerRoman"/>
      <w:start w:val="2"/>
    </w:lvl>
  </w:abstractNum>
  <w:abstractNum w:abstractNumId="19">
    <w:nsid w:val="12E685FB"/>
    <w:multiLevelType w:val="hybridMultilevel"/>
    <w:lvl w:ilvl="0">
      <w:lvlJc w:val="left"/>
      <w:lvlText w:val="(%1)"/>
      <w:numFmt w:val="lowerRoman"/>
      <w:start w:val="2"/>
    </w:lvl>
  </w:abstractNum>
  <w:abstractNum w:abstractNumId="20">
    <w:nsid w:val="70C6A529"/>
    <w:multiLevelType w:val="hybridMultilevel"/>
    <w:lvl w:ilvl="0">
      <w:lvlJc w:val="left"/>
      <w:lvlText w:val="(%1)"/>
      <w:numFmt w:val="lowerRoman"/>
      <w:start w:val="2"/>
    </w:lvl>
  </w:abstractNum>
  <w:abstractNum w:abstractNumId="21">
    <w:nsid w:val="520EEDD1"/>
    <w:multiLevelType w:val="hybridMultilevel"/>
    <w:lvl w:ilvl="0">
      <w:lvlJc w:val="left"/>
      <w:lvlText w:val="%1."/>
      <w:numFmt w:val="upperLetter"/>
      <w:start w:val="4"/>
    </w:lvl>
  </w:abstractNum>
  <w:abstractNum w:abstractNumId="22">
    <w:nsid w:val="374A3FE6"/>
    <w:multiLevelType w:val="hybridMultilevel"/>
    <w:lvl w:ilvl="0">
      <w:lvlJc w:val="left"/>
      <w:lvlText w:val="%1."/>
      <w:numFmt w:val="upperLetter"/>
      <w:start w:val="5"/>
    </w:lvl>
  </w:abstractNum>
  <w:abstractNum w:abstractNumId="23">
    <w:nsid w:val="4F4EF005"/>
    <w:multiLevelType w:val="hybridMultilevel"/>
    <w:lvl w:ilvl="0">
      <w:lvlJc w:val="left"/>
      <w:lvlText w:val="%1."/>
      <w:numFmt w:val="upperLetter"/>
      <w:start w:val="61"/>
    </w:lvl>
  </w:abstractNum>
  <w:abstractNum w:abstractNumId="24">
    <w:nsid w:val="23F9C13C"/>
    <w:multiLevelType w:val="hybridMultilevel"/>
    <w:lvl w:ilvl="0">
      <w:lvlJc w:val="left"/>
      <w:lvlText w:val="%1."/>
      <w:numFmt w:val="upperLetter"/>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lowerLetter"/>
      <w:start w:val="2"/>
    </w:lvl>
  </w:abstractNum>
  <w:abstractNum w:abstractNumId="28">
    <w:nsid w:val="1CF10FD8"/>
    <w:multiLevelType w:val="hybridMultilevel"/>
    <w:lvl w:ilvl="0">
      <w:lvlJc w:val="left"/>
      <w:lvlText w:val="8"/>
      <w:numFmt w:val="bullet"/>
      <w:start w:val="1"/>
    </w:lvl>
  </w:abstractNum>
  <w:abstractNum w:abstractNumId="29">
    <w:nsid w:val="180115BE"/>
    <w:multiLevelType w:val="hybridMultilevel"/>
    <w:lvl w:ilvl="0">
      <w:lvlJc w:val="left"/>
      <w:lvlText w:val="9"/>
      <w:numFmt w:val="bullet"/>
      <w:start w:val="1"/>
    </w:lvl>
  </w:abstractNum>
  <w:abstractNum w:abstractNumId="30">
    <w:nsid w:val="235BA861"/>
    <w:multiLevelType w:val="hybridMultilevel"/>
    <w:lvl w:ilvl="0">
      <w:lvlJc w:val="left"/>
      <w:lvlText w:val="%1"/>
      <w:numFmt w:val="decimal"/>
      <w:start w:val="10"/>
    </w:lvl>
  </w:abstractNum>
  <w:abstractNum w:abstractNumId="31">
    <w:nsid w:val="47398C89"/>
    <w:multiLevelType w:val="hybridMultilevel"/>
    <w:lvl w:ilvl="0">
      <w:lvlJc w:val="left"/>
      <w:lvlText w:val="(%1)"/>
      <w:numFmt w:val="lowerLetter"/>
      <w:start w:val="3"/>
    </w:lvl>
  </w:abstractNum>
  <w:abstractNum w:abstractNumId="32">
    <w:nsid w:val="354FE9F9"/>
    <w:multiLevelType w:val="hybridMultilevel"/>
    <w:lvl w:ilvl="0">
      <w:lvlJc w:val="left"/>
      <w:lvlText w:val="%1."/>
      <w:numFmt w:val="decimal"/>
      <w:start w:val="2"/>
    </w:lvl>
  </w:abstractNum>
  <w:abstractNum w:abstractNumId="33">
    <w:nsid w:val="15B5AF5C"/>
    <w:multiLevelType w:val="hybridMultilevel"/>
    <w:lvl w:ilvl="0">
      <w:lvlJc w:val="left"/>
      <w:lvlText w:val="%1."/>
      <w:numFmt w:val="decimal"/>
      <w:start w:val="3"/>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2"/>
    </w:lvl>
  </w:abstractNum>
  <w:abstractNum w:abstractNumId="36">
    <w:nsid w:val="10233C99"/>
    <w:multiLevelType w:val="hybridMultilevel"/>
    <w:lvl w:ilvl="0">
      <w:lvlJc w:val="left"/>
      <w:lvlText w:val="%1"/>
      <w:numFmt w:val="decimal"/>
      <w:start w:val="11"/>
    </w:lvl>
  </w:abstractNum>
  <w:abstractNum w:abstractNumId="37">
    <w:nsid w:val="3F6AB60F"/>
    <w:multiLevelType w:val="hybridMultilevel"/>
    <w:lvl w:ilvl="0">
      <w:lvlJc w:val="left"/>
      <w:lvlText w:val="%1."/>
      <w:numFmt w:val="decimal"/>
      <w:start w:val="4"/>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decimal"/>
      <w:start w:val="12"/>
    </w:lvl>
  </w:abstractNum>
  <w:abstractNum w:abstractNumId="40">
    <w:nsid w:val="77AE35EB"/>
    <w:multiLevelType w:val="hybridMultilevel"/>
    <w:lvl w:ilvl="0">
      <w:lvlJc w:val="left"/>
      <w:lvlText w:val="(%1)"/>
      <w:numFmt w:val="lowerLetter"/>
      <w:start w:val="2"/>
    </w:lvl>
  </w:abstractNum>
  <w:abstractNum w:abstractNumId="41">
    <w:nsid w:val="579BE4F1"/>
    <w:multiLevelType w:val="hybridMultilevel"/>
    <w:lvl w:ilvl="0">
      <w:lvlJc w:val="left"/>
      <w:lvlText w:val="%1."/>
      <w:numFmt w:val="decimal"/>
      <w:start w:val="5"/>
    </w:lvl>
  </w:abstractNum>
  <w:abstractNum w:abstractNumId="42">
    <w:nsid w:val="310C50B3"/>
    <w:multiLevelType w:val="hybridMultilevel"/>
    <w:lvl w:ilvl="0">
      <w:lvlJc w:val="left"/>
      <w:lvlText w:val="%1."/>
      <w:numFmt w:val="upperLetter"/>
      <w:start w:val="2"/>
    </w:lvl>
    <w:lvl w:ilvl="1">
      <w:lvlJc w:val="left"/>
      <w:lvlText w:val="%2."/>
      <w:numFmt w:val="decimal"/>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decimal"/>
      <w:start w:val="14"/>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2"/>
    </w:lvl>
  </w:abstractNum>
  <w:abstractNum w:abstractNumId="47">
    <w:nsid w:val="4AD084E9"/>
    <w:multiLevelType w:val="hybridMultilevel"/>
    <w:lvl w:ilvl="0">
      <w:lvlJc w:val="left"/>
      <w:lvlText w:val="%1"/>
      <w:numFmt w:val="decimal"/>
      <w:start w:val="15"/>
    </w:lvl>
  </w:abstractNum>
  <w:abstractNum w:abstractNumId="48">
    <w:nsid w:val="1F48EAA1"/>
    <w:multiLevelType w:val="hybridMultilevel"/>
    <w:lvl w:ilvl="0">
      <w:lvlJc w:val="left"/>
      <w:lvlText w:val="%1."/>
      <w:numFmt w:val="upperLetter"/>
      <w:start w:val="3"/>
    </w:lvl>
  </w:abstractNum>
  <w:abstractNum w:abstractNumId="49">
    <w:nsid w:val="1381823A"/>
    <w:multiLevelType w:val="hybridMultilevel"/>
    <w:lvl w:ilvl="0">
      <w:lvlJc w:val="left"/>
      <w:lvlText w:val="%1"/>
      <w:numFmt w:val="decimal"/>
      <w:start w:val="17"/>
    </w:lvl>
  </w:abstractNum>
  <w:abstractNum w:abstractNumId="50">
    <w:nsid w:val="5DB70AE5"/>
    <w:multiLevelType w:val="hybridMultilevel"/>
    <w:lvl w:ilvl="0">
      <w:lvlJc w:val="left"/>
      <w:lvlText w:val="%1."/>
      <w:numFmt w:val="upperLetter"/>
      <w:start w:val="4"/>
    </w:lvl>
  </w:abstractNum>
  <w:abstractNum w:abstractNumId="51">
    <w:nsid w:val="100F8FCA"/>
    <w:multiLevelType w:val="hybridMultilevel"/>
    <w:lvl w:ilvl="0">
      <w:lvlJc w:val="left"/>
      <w:lvlText w:val="%1"/>
      <w:numFmt w:val="decimal"/>
      <w:start w:val="21"/>
    </w:lvl>
  </w:abstractNum>
  <w:abstractNum w:abstractNumId="52">
    <w:nsid w:val="6590700B"/>
    <w:multiLevelType w:val="hybridMultilevel"/>
    <w:lvl w:ilvl="0">
      <w:lvlJc w:val="left"/>
      <w:lvlText w:val="%1."/>
      <w:numFmt w:val="upperLetter"/>
      <w:start w:val="1"/>
    </w:lvl>
  </w:abstractNum>
  <w:abstractNum w:abstractNumId="53">
    <w:nsid w:val="15014ACB"/>
    <w:multiLevelType w:val="hybridMultilevel"/>
    <w:lvl w:ilvl="0">
      <w:lvlJc w:val="left"/>
      <w:lvlText w:val="%1"/>
      <w:numFmt w:val="decimal"/>
      <w:start w:val="28"/>
    </w:lvl>
  </w:abstractNum>
  <w:abstractNum w:abstractNumId="54">
    <w:nsid w:val="5F5E7FD0"/>
    <w:multiLevelType w:val="hybridMultilevel"/>
    <w:lvl w:ilvl="0">
      <w:lvlJc w:val="left"/>
      <w:lvlText w:val="(%1)"/>
      <w:numFmt w:val="lowerRoman"/>
      <w:start w:val="2"/>
    </w:lvl>
  </w:abstractNum>
  <w:abstractNum w:abstractNumId="55">
    <w:nsid w:val="98A3148"/>
    <w:multiLevelType w:val="hybridMultilevel"/>
    <w:lvl w:ilvl="0">
      <w:lvlJc w:val="left"/>
      <w:lvlText w:val="%1."/>
      <w:numFmt w:val="upperLetter"/>
      <w:start w:val="2"/>
    </w:lvl>
  </w:abstractNum>
  <w:abstractNum w:abstractNumId="56">
    <w:nsid w:val="799D0247"/>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7">
    <w:nsid w:val="6B9476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58">
    <w:nsid w:val="42C296BD"/>
    <w:multiLevelType w:val="hybridMultilevel"/>
    <w:lvl w:ilvl="0">
      <w:lvlJc w:val="left"/>
      <w:lvlText w:val="(%1)"/>
      <w:numFmt w:val="upperLetter"/>
      <w:start w:val="3"/>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59">
    <w:nsid w:val="168E121F"/>
    <w:multiLevelType w:val="hybridMultilevel"/>
    <w:lvl w:ilvl="0">
      <w:lvlJc w:val="left"/>
      <w:lvlText w:val="%1"/>
      <w:numFmt w:val="decimal"/>
      <w:start w:val="29"/>
    </w:lvl>
  </w:abstractNum>
  <w:abstractNum w:abstractNumId="60">
    <w:nsid w:val="1EBA5D23"/>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61">
    <w:nsid w:val="661E3F1E"/>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4"/>
    </w:lvl>
    <w:lvl w:ilvl="3">
      <w:lvlJc w:val="left"/>
      <w:lvlText w:val="%4"/>
      <w:numFmt w:val="lowerRoman"/>
      <w:start w:val="1"/>
    </w:lvl>
  </w:abstractNum>
  <w:abstractNum w:abstractNumId="62">
    <w:nsid w:val="5DC79E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3">
    <w:nsid w:val="540A471C"/>
    <w:multiLevelType w:val="hybridMultilevel"/>
    <w:lvl w:ilvl="0">
      <w:lvlJc w:val="left"/>
      <w:lvlText w:val="%1"/>
      <w:numFmt w:val="decimal"/>
      <w:start w:val="31"/>
    </w:lvl>
  </w:abstractNum>
  <w:abstractNum w:abstractNumId="64">
    <w:nsid w:val="7BD3EE7B"/>
    <w:multiLevelType w:val="hybridMultilevel"/>
    <w:lvl w:ilvl="0">
      <w:lvlJc w:val="left"/>
      <w:lvlText w:val="(%1)"/>
      <w:numFmt w:val="lowerLetter"/>
      <w:start w:val="2"/>
    </w:lvl>
    <w:lvl w:ilvl="1">
      <w:lvlJc w:val="left"/>
      <w:lvlText w:val="(%2)"/>
      <w:numFmt w:val="lowerRoman"/>
      <w:start w:val="1"/>
    </w:lvl>
  </w:abstractNum>
  <w:abstractNum w:abstractNumId="65">
    <w:nsid w:val="51D9C564"/>
    <w:multiLevelType w:val="hybridMultilevel"/>
    <w:lvl w:ilvl="0">
      <w:lvlJc w:val="left"/>
      <w:lvlText w:val="%1"/>
      <w:numFmt w:val="lowerRoman"/>
      <w:start w:val="1"/>
    </w:lvl>
    <w:lvl w:ilvl="1">
      <w:lvlJc w:val="left"/>
      <w:lvlText w:val="(%2)"/>
      <w:numFmt w:val="lowerRoman"/>
      <w:start w:val="4"/>
    </w:lvl>
  </w:abstractNum>
  <w:abstractNum w:abstractNumId="66">
    <w:nsid w:val="613EFDC5"/>
    <w:multiLevelType w:val="hybridMultilevel"/>
    <w:lvl w:ilvl="0">
      <w:lvlJc w:val="left"/>
      <w:lvlText w:val="(%1)"/>
      <w:numFmt w:val="lowerRoman"/>
      <w:start w:val="10"/>
    </w:lvl>
    <w:lvl w:ilvl="1">
      <w:lvlJc w:val="left"/>
      <w:lvlText w:val="(%2)"/>
      <w:numFmt w:val="lowerRoman"/>
      <w:start w:val="5"/>
    </w:lvl>
  </w:abstractNum>
  <w:abstractNum w:abstractNumId="67">
    <w:nsid w:val="BF72B14"/>
    <w:multiLevelType w:val="hybridMultilevel"/>
    <w:lvl w:ilvl="0">
      <w:lvlJc w:val="left"/>
      <w:lvlText w:val="%1."/>
      <w:numFmt w:val="decimal"/>
      <w:start w:val="8"/>
    </w:lvl>
    <w:lvl w:ilvl="1">
      <w:lvlJc w:val="left"/>
      <w:lvlText w:val="(%2)"/>
      <w:numFmt w:val="lowerLetter"/>
      <w:start w:val="1"/>
    </w:lvl>
  </w:abstractNum>
  <w:abstractNum w:abstractNumId="68">
    <w:nsid w:val="11447B73"/>
    <w:multiLevelType w:val="hybridMultilevel"/>
    <w:lvl w:ilvl="0">
      <w:lvlJc w:val="left"/>
      <w:lvlText w:val="%1"/>
      <w:numFmt w:val="decimal"/>
      <w:start w:val="33"/>
    </w:lvl>
  </w:abstractNum>
  <w:abstractNum w:abstractNumId="69">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A0382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
    <w:nsid w:val="8F2B15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2">
    <w:nsid w:val="1A32234B"/>
    <w:multiLevelType w:val="hybridMultilevel"/>
    <w:lvl w:ilvl="0">
      <w:lvlJc w:val="left"/>
      <w:lvlText w:val="(%1)"/>
      <w:numFmt w:val="lowerRoman"/>
      <w:start w:val="1"/>
    </w:lvl>
  </w:abstractNum>
  <w:abstractNum w:abstractNumId="73">
    <w:nsid w:val="3B0FD379"/>
    <w:multiLevelType w:val="hybridMultilevel"/>
    <w:lvl w:ilvl="0">
      <w:lvlJc w:val="left"/>
      <w:lvlText w:val="%1"/>
      <w:numFmt w:val="decimal"/>
      <w:start w:val="34"/>
    </w:lvl>
  </w:abstractNum>
  <w:abstractNum w:abstractNumId="74">
    <w:nsid w:val="68EB2F63"/>
    <w:multiLevelType w:val="hybridMultilevel"/>
    <w:lvl w:ilvl="0">
      <w:lvlJc w:val="left"/>
      <w:lvlText w:val="%1"/>
      <w:numFmt w:val="lowerLetter"/>
      <w:start w:val="1"/>
    </w:lvl>
    <w:lvl w:ilvl="1">
      <w:lvlJc w:val="left"/>
      <w:lvlText w:val="(%2)"/>
      <w:numFmt w:val="lowerRoman"/>
      <w:start w:val="2"/>
    </w:lvl>
  </w:abstractNum>
  <w:abstractNum w:abstractNumId="75">
    <w:nsid w:val="4962813B"/>
    <w:multiLevelType w:val="hybridMultilevel"/>
    <w:lvl w:ilvl="0">
      <w:lvlJc w:val="left"/>
      <w:lvlText w:val="(%1)"/>
      <w:numFmt w:val="lowerLetter"/>
      <w:start w:val="2"/>
    </w:lvl>
    <w:lvl w:ilvl="1">
      <w:lvlJc w:val="left"/>
      <w:lvlText w:val="(%2)"/>
      <w:numFmt w:val="lowerRoman"/>
      <w:start w:val="1"/>
    </w:lvl>
  </w:abstractNum>
  <w:abstractNum w:abstractNumId="76">
    <w:nsid w:val="60B6DF70"/>
    <w:multiLevelType w:val="hybridMultilevel"/>
    <w:lvl w:ilvl="0">
      <w:lvlJc w:val="left"/>
      <w:lvlText w:val="%1"/>
      <w:numFmt w:val="lowerRoman"/>
      <w:start w:val="1"/>
    </w:lvl>
    <w:lvl w:ilvl="1">
      <w:lvlJc w:val="left"/>
      <w:lvlText w:val="(%2)"/>
      <w:numFmt w:val="lowerRoman"/>
      <w:start w:val="3"/>
    </w:lvl>
  </w:abstractNum>
  <w:abstractNum w:abstractNumId="77">
    <w:nsid w:val="6A5EE64"/>
    <w:multiLevelType w:val="hybridMultilevel"/>
    <w:lvl w:ilvl="0">
      <w:lvlJc w:val="left"/>
      <w:lvlText w:val="(%1)"/>
      <w:numFmt w:val="lowerRoman"/>
      <w:start w:val="10"/>
    </w:lvl>
    <w:lvl w:ilvl="1">
      <w:lvlJc w:val="left"/>
      <w:lvlText w:val="(%2)"/>
      <w:numFmt w:val="lowerRoman"/>
      <w:start w:val="4"/>
    </w:lvl>
  </w:abstractNum>
  <w:abstractNum w:abstractNumId="78">
    <w:nsid w:val="1433062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9">
    <w:nsid w:val="7FFFCA1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0">
    <w:nsid w:val="1A27709E"/>
    <w:multiLevelType w:val="hybridMultilevel"/>
    <w:lvl w:ilvl="0">
      <w:lvlJc w:val="left"/>
      <w:lvlText w:val="%1"/>
      <w:numFmt w:val="lowerRoman"/>
      <w:start w:val="1"/>
    </w:lvl>
    <w:lvl w:ilvl="1">
      <w:lvlJc w:val="left"/>
      <w:lvlText w:val="%2."/>
      <w:numFmt w:val="decimal"/>
      <w:start w:val="14"/>
    </w:lvl>
  </w:abstractNum>
  <w:abstractNum w:abstractNumId="81">
    <w:nsid w:val="71EA1109"/>
    <w:multiLevelType w:val="hybridMultilevel"/>
    <w:lvl w:ilvl="0">
      <w:lvlJc w:val="left"/>
      <w:lvlText w:val="(%1)"/>
      <w:numFmt w:val="lowerRoman"/>
      <w:start w:val="3"/>
    </w:lvl>
    <w:lvl w:ilvl="1">
      <w:lvlJc w:val="left"/>
      <w:lvlText w:val="%2."/>
      <w:numFmt w:val="decimal"/>
      <w:start w:val="15"/>
    </w:lvl>
  </w:abstractNum>
  <w:abstractNum w:abstractNumId="82">
    <w:nsid w:val="100F59DC"/>
    <w:multiLevelType w:val="hybridMultilevel"/>
    <w:lvl w:ilvl="0">
      <w:lvlJc w:val="left"/>
      <w:lvlText w:val="%1."/>
      <w:numFmt w:val="upperLetter"/>
      <w:start w:val="1"/>
    </w:lvl>
  </w:abstractNum>
  <w:abstractNum w:abstractNumId="83">
    <w:nsid w:val="7FB7E0AA"/>
    <w:multiLevelType w:val="hybridMultilevel"/>
    <w:lvl w:ilvl="0">
      <w:lvlJc w:val="left"/>
      <w:lvlText w:val="%1."/>
      <w:numFmt w:val="upperLetter"/>
      <w:start w:val="2"/>
    </w:lvl>
  </w:abstractNum>
  <w:abstractNum w:abstractNumId="84">
    <w:nsid w:val="6EB5BD4"/>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2021-07-20T13:28:19Z</dcterms:created>
  <dcterms:modified xsi:type="dcterms:W3CDTF">2021-07-20T13:28:19Z</dcterms:modified>
</cp:coreProperties>
</file>