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7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pleased to invite you to attend the 2012 Annual Meeting of Stockholders of TPG Specialty Lending, Inc. to be held on June 11, 2012, at 1:00 p.m., local time, at the offices of TPG, 888 7</w:t>
      </w:r>
      <w:r>
        <w:rPr>
          <w:rFonts w:ascii="Arial" w:cs="Arial" w:eastAsia="Arial" w:hAnsi="Arial"/>
          <w:sz w:val="11"/>
          <w:szCs w:val="11"/>
          <w:color w:val="auto"/>
        </w:rPr>
        <w:t>th</w:t>
      </w:r>
      <w:r>
        <w:rPr>
          <w:rFonts w:ascii="Arial" w:cs="Arial" w:eastAsia="Arial" w:hAnsi="Arial"/>
          <w:sz w:val="18"/>
          <w:szCs w:val="18"/>
          <w:color w:val="auto"/>
        </w:rPr>
        <w:t xml:space="preserve"> Avenue (between 56</w:t>
      </w:r>
      <w:r>
        <w:rPr>
          <w:rFonts w:ascii="Arial" w:cs="Arial" w:eastAsia="Arial" w:hAnsi="Arial"/>
          <w:sz w:val="11"/>
          <w:szCs w:val="11"/>
          <w:color w:val="auto"/>
        </w:rPr>
        <w:t>th</w:t>
      </w:r>
      <w:r>
        <w:rPr>
          <w:rFonts w:ascii="Arial" w:cs="Arial" w:eastAsia="Arial" w:hAnsi="Arial"/>
          <w:sz w:val="18"/>
          <w:szCs w:val="18"/>
          <w:color w:val="auto"/>
        </w:rPr>
        <w:t xml:space="preserve"> and 57</w:t>
      </w:r>
      <w:r>
        <w:rPr>
          <w:rFonts w:ascii="Arial" w:cs="Arial" w:eastAsia="Arial" w:hAnsi="Arial"/>
          <w:sz w:val="11"/>
          <w:szCs w:val="11"/>
          <w:color w:val="auto"/>
        </w:rPr>
        <w:t>th</w:t>
      </w:r>
      <w:r>
        <w:rPr>
          <w:rFonts w:ascii="Arial" w:cs="Arial" w:eastAsia="Arial" w:hAnsi="Arial"/>
          <w:sz w:val="18"/>
          <w:szCs w:val="18"/>
          <w:color w:val="auto"/>
        </w:rPr>
        <w:t xml:space="preserve">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10106.</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pages include a formal notice of the meeting and our proxy statement. The proxy statement describes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this proxy statement.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1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Joshua Easterly</w:t>
      </w:r>
    </w:p>
    <w:p>
      <w:pPr>
        <w:spacing w:after="0" w:line="13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Joshua Easterly</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 for the Annual Meeting of Stockholders to Be Held on June 11, 2012.</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Our proxy statement and annual report from Form 10-K for the year ended December 31, 2011, are available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0720"/>
          </w:cols>
          <w:pgMar w:left="240" w:top="459" w:right="9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Fort Worth, Texas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the 2012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2012 Annual Meeting of Stockholders of TPG Specialty Lending, Inc. will be held at the offices of TPG, 888 7</w:t>
      </w:r>
      <w:r>
        <w:rPr>
          <w:rFonts w:ascii="Arial" w:cs="Arial" w:eastAsia="Arial" w:hAnsi="Arial"/>
          <w:sz w:val="11"/>
          <w:szCs w:val="11"/>
          <w:color w:val="auto"/>
        </w:rPr>
        <w:t>th</w:t>
      </w:r>
      <w:r>
        <w:rPr>
          <w:rFonts w:ascii="Arial" w:cs="Arial" w:eastAsia="Arial" w:hAnsi="Arial"/>
          <w:sz w:val="18"/>
          <w:szCs w:val="18"/>
          <w:color w:val="auto"/>
        </w:rPr>
        <w:t xml:space="preserve"> Avenue (between 56</w:t>
      </w:r>
      <w:r>
        <w:rPr>
          <w:rFonts w:ascii="Arial" w:cs="Arial" w:eastAsia="Arial" w:hAnsi="Arial"/>
          <w:sz w:val="11"/>
          <w:szCs w:val="11"/>
          <w:color w:val="auto"/>
        </w:rPr>
        <w:t>th</w:t>
      </w:r>
      <w:r>
        <w:rPr>
          <w:rFonts w:ascii="Arial" w:cs="Arial" w:eastAsia="Arial" w:hAnsi="Arial"/>
          <w:sz w:val="18"/>
          <w:szCs w:val="18"/>
          <w:color w:val="auto"/>
        </w:rPr>
        <w:t xml:space="preserve"> and 57</w:t>
      </w:r>
      <w:r>
        <w:rPr>
          <w:rFonts w:ascii="Arial" w:cs="Arial" w:eastAsia="Arial" w:hAnsi="Arial"/>
          <w:sz w:val="11"/>
          <w:szCs w:val="11"/>
          <w:color w:val="auto"/>
        </w:rPr>
        <w:t>th</w:t>
      </w:r>
      <w:r>
        <w:rPr>
          <w:rFonts w:ascii="Arial" w:cs="Arial" w:eastAsia="Arial" w:hAnsi="Arial"/>
          <w:sz w:val="18"/>
          <w:szCs w:val="18"/>
          <w:color w:val="auto"/>
        </w:rPr>
        <w:t xml:space="preserve">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10106 on June 11, 2012, at 1:00 p.m., local time. The 2012 Annual Meeting of Stockholders is being held for the following purposes:</w:t>
      </w:r>
    </w:p>
    <w:p>
      <w:pPr>
        <w:spacing w:after="0" w:line="59" w:lineRule="exact"/>
        <w:rPr>
          <w:sz w:val="20"/>
          <w:szCs w:val="20"/>
          <w:color w:val="auto"/>
        </w:rPr>
      </w:pPr>
    </w:p>
    <w:p>
      <w:pPr>
        <w:ind w:left="460" w:right="160" w:firstLine="443"/>
        <w:spacing w:after="0" w:line="268" w:lineRule="auto"/>
        <w:tabs>
          <w:tab w:leader="none" w:pos="10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Class I directors, each to serve for a three-year term and until a successor has been duly elected and qualified or until the director’s earlier resignation or removal.</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the fiscal year ending December 31, 2012.</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2012 Annual Meeting of Stockholders or any postponement or adjournment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Only stockholders of record at the close of business on April 26, 2012, are entitled to notice of and to vote at the 2012 Annual Meeting of Stockholders or any postponement or adjournment thereof.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Reintjes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 and Chief Compliance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15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420" w:type="dxa"/>
            <w:vAlign w:val="bottom"/>
            <w:gridSpan w:val="7"/>
            <w:vMerge w:val="restart"/>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Proxy Statement for the 2012 Annual Meeting of Stockholders</w:t>
              </w:r>
            </w:hyperlink>
          </w:p>
        </w:tc>
        <w:tc>
          <w:tcPr>
            <w:tcW w:w="6560" w:type="dxa"/>
            <w:vAlign w:val="bottom"/>
            <w:gridSpan w:val="4"/>
            <w:vMerge w:val="restart"/>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4420" w:type="dxa"/>
            <w:vAlign w:val="bottom"/>
            <w:tcBorders>
              <w:bottom w:val="single" w:sz="8" w:color="0000EE"/>
            </w:tcBorders>
            <w:gridSpan w:val="7"/>
            <w:vMerge w:val="continue"/>
          </w:tcPr>
          <w:p>
            <w:pPr>
              <w:spacing w:after="0"/>
              <w:rPr>
                <w:sz w:val="13"/>
                <w:szCs w:val="13"/>
                <w:color w:val="auto"/>
              </w:rPr>
            </w:pPr>
          </w:p>
        </w:tc>
        <w:tc>
          <w:tcPr>
            <w:tcW w:w="6560" w:type="dxa"/>
            <w:vAlign w:val="bottom"/>
            <w:gridSpan w:val="4"/>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Security Ownership of Certain Beneficial Owners and Management</w:t>
              </w:r>
            </w:hyperlink>
          </w:p>
        </w:tc>
        <w:tc>
          <w:tcPr>
            <w:tcW w:w="620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1—Election of Directors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82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Proposal No. 2—Ratification of Selection of Independent Registered Public Accounting Firm</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Audit Committee Report</w:t>
              </w:r>
            </w:hyperlink>
          </w:p>
        </w:tc>
        <w:tc>
          <w:tcPr>
            <w:tcW w:w="4780" w:type="dxa"/>
            <w:vAlign w:val="bottom"/>
            <w:tcBorders>
              <w:top w:val="single" w:sz="8" w:color="0000EE"/>
            </w:tcBorders>
            <w:gridSpan w:val="5"/>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Other Business</w:t>
              </w:r>
            </w:hyperlink>
          </w:p>
        </w:tc>
        <w:tc>
          <w:tcPr>
            <w:tcW w:w="990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Stockholders Proposals and Nominations for 2013 Annual Meeting</w:t>
              </w:r>
            </w:hyperlink>
          </w:p>
        </w:tc>
        <w:tc>
          <w:tcPr>
            <w:tcW w:w="62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Annual Reports</w:t>
              </w:r>
            </w:hyperlink>
          </w:p>
        </w:tc>
        <w:tc>
          <w:tcPr>
            <w:tcW w:w="98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Privacy Principles</w:t>
              </w:r>
            </w:hyperlink>
          </w:p>
        </w:tc>
        <w:tc>
          <w:tcPr>
            <w:tcW w:w="96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980" w:type="dxa"/>
            <w:vAlign w:val="bottom"/>
            <w:gridSpan w:val="11"/>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Audit Committee Charter</w:t>
              </w:r>
            </w:hyperlink>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“we”, “us”, “our”, or the “Company,” for use at the 2012 Annual Meeting of Stockholders (the “Meeting”) to be held at the offices of TPG, 888 7</w:t>
      </w:r>
      <w:r>
        <w:rPr>
          <w:rFonts w:ascii="Arial" w:cs="Arial" w:eastAsia="Arial" w:hAnsi="Arial"/>
          <w:sz w:val="10"/>
          <w:szCs w:val="10"/>
          <w:color w:val="auto"/>
        </w:rPr>
        <w:t>th</w:t>
      </w:r>
      <w:r>
        <w:rPr>
          <w:rFonts w:ascii="Arial" w:cs="Arial" w:eastAsia="Arial" w:hAnsi="Arial"/>
          <w:sz w:val="16"/>
          <w:szCs w:val="16"/>
          <w:color w:val="auto"/>
        </w:rPr>
        <w:t xml:space="preserve"> Avenue (between 56</w:t>
      </w:r>
      <w:r>
        <w:rPr>
          <w:rFonts w:ascii="Arial" w:cs="Arial" w:eastAsia="Arial" w:hAnsi="Arial"/>
          <w:sz w:val="10"/>
          <w:szCs w:val="10"/>
          <w:color w:val="auto"/>
        </w:rPr>
        <w:t>th</w:t>
      </w:r>
      <w:r>
        <w:rPr>
          <w:rFonts w:ascii="Arial" w:cs="Arial" w:eastAsia="Arial" w:hAnsi="Arial"/>
          <w:sz w:val="16"/>
          <w:szCs w:val="16"/>
          <w:color w:val="auto"/>
        </w:rPr>
        <w:t xml:space="preserve"> and 57</w:t>
      </w:r>
      <w:r>
        <w:rPr>
          <w:rFonts w:ascii="Arial" w:cs="Arial" w:eastAsia="Arial" w:hAnsi="Arial"/>
          <w:sz w:val="10"/>
          <w:szCs w:val="10"/>
          <w:color w:val="auto"/>
        </w:rPr>
        <w:t>th</w:t>
      </w:r>
      <w:r>
        <w:rPr>
          <w:rFonts w:ascii="Arial" w:cs="Arial" w:eastAsia="Arial" w:hAnsi="Arial"/>
          <w:sz w:val="16"/>
          <w:szCs w:val="16"/>
          <w:color w:val="auto"/>
        </w:rPr>
        <w:t xml:space="preserve"> Streets), 38</w:t>
      </w:r>
      <w:r>
        <w:rPr>
          <w:rFonts w:ascii="Arial" w:cs="Arial" w:eastAsia="Arial" w:hAnsi="Arial"/>
          <w:sz w:val="10"/>
          <w:szCs w:val="10"/>
          <w:color w:val="auto"/>
        </w:rPr>
        <w:t>th</w:t>
      </w:r>
      <w:r>
        <w:rPr>
          <w:rFonts w:ascii="Arial" w:cs="Arial" w:eastAsia="Arial" w:hAnsi="Arial"/>
          <w:sz w:val="16"/>
          <w:szCs w:val="16"/>
          <w:color w:val="auto"/>
        </w:rPr>
        <w:t xml:space="preserve"> Floor, New York, NY 10106 on June 11, 2012, at 1:00 p.m., local time. Only holders of record of our common stock at the close of business on April 26, 2012, which is the record date, will be entitled to vote at the Meeting. At the close of business on the record date, we had 295,059 shares of common stock outstanding and entitled to vote. This proxy statement, including the accompanying form of proxy (collectively, the “Proxy Statement”), and the Company’s Annual Report for the fiscal year ended December 31, 2011, are first being sent to stockholders on or about April 30, 2012. The Annual Report and Proxy Statement can both be accessed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118" w:lineRule="exact"/>
        <w:rPr>
          <w:sz w:val="20"/>
          <w:szCs w:val="20"/>
          <w:color w:val="auto"/>
        </w:rPr>
      </w:pPr>
    </w:p>
    <w:p>
      <w:pPr>
        <w:jc w:val="both"/>
        <w:ind w:right="240" w:firstLine="456"/>
        <w:spacing w:after="0" w:line="294"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TSL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two Class I director candidates nominated by the Board and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our independent registered public accounting firm for the fiscal year ending December 31, 2012. Should any matter not described above be properly presented at the Meeting, the named proxies will vote in accordance with their best judgment as permitted.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2012 Annual Meeting of Stockholders is being held for the following purposes:</w:t>
      </w:r>
    </w:p>
    <w:p>
      <w:pPr>
        <w:spacing w:after="0" w:line="171" w:lineRule="exact"/>
        <w:rPr>
          <w:sz w:val="20"/>
          <w:szCs w:val="20"/>
          <w:color w:val="auto"/>
        </w:rPr>
      </w:pPr>
    </w:p>
    <w:p>
      <w:pPr>
        <w:ind w:right="18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two Class I directors, each to serve for a three-year term and until a successor has been duly elected and qualified or until the director’s earlier resignation or removal.</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the fiscal year ending December 31, 2012.</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2012 Annual Meeting of Stockholders or any postponement or adjournment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via mail, you will 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our independent registered public accounting firm. For each of these proposals, “abstain” votes and broker non-votes, if any, though counted for purposes of establishing a quorum, will have no effect on the outcome of the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inspector of elections appointed for the Meeting will separately tabulate affirmative and “withhold” votes, “abstain” votes and broker non-votes.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named proxies for the Meeting are David Reintjes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TSL will pay the expenses of soliciting proxies to be voted at the Meeting. TSL has retained Broadridge Investor Communications Solutions, Inc. to assist with the solicitation of proxies for a fee of approximately $6,000, plus reimbursement of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stockholder may revoke any proxy that is not irrevocable by attending the Meeting and voting in person or by delivering a proxy in accordance with applicable law bearing a later date to the Secretary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96"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 xml:space="preserve">You can contact us by mail sent to the attention of the Secretary of the Company, David Reintjes, at our principal executive offices located at 301 Commerce Street, Suite 3300, Fort Worth, Texas 76102. You can call us by dialing (817) 871-4000. You can access our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as of April 16, 2012, the beneficial ownership as indicated in the Company’s books and records of each current director, the nominees for director, the Company’s executive officers, the executive officers and directors as a group, and each person known to us to beneficially own 5% or more of the outstanding shares of our common stock.</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percentage ownership is based on 295,059 shares of common stock outstanding as of April 16, 2012.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98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7"/>
              </w:rPr>
              <w:t>Number of Shares of</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 Common</w:t>
            </w: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of Individual or Identity of Group</w:t>
            </w:r>
          </w:p>
        </w:tc>
        <w:tc>
          <w:tcPr>
            <w:tcW w:w="4580" w:type="dxa"/>
            <w:vAlign w:val="bottom"/>
            <w:vMerge w:val="restart"/>
          </w:tcPr>
          <w:p>
            <w:pPr>
              <w:spacing w:after="0"/>
              <w:rPr>
                <w:sz w:val="12"/>
                <w:szCs w:val="12"/>
                <w:color w:val="auto"/>
              </w:rPr>
            </w:pPr>
          </w:p>
        </w:tc>
        <w:tc>
          <w:tcPr>
            <w:tcW w:w="2980" w:type="dxa"/>
            <w:vAlign w:val="bottom"/>
            <w:gridSpan w:val="2"/>
          </w:tcPr>
          <w:p>
            <w:pPr>
              <w:jc w:val="center"/>
              <w:ind w:right="1380"/>
              <w:spacing w:after="0" w:line="149" w:lineRule="exact"/>
              <w:rPr>
                <w:sz w:val="20"/>
                <w:szCs w:val="20"/>
                <w:color w:val="auto"/>
              </w:rPr>
            </w:pPr>
            <w:r>
              <w:rPr>
                <w:rFonts w:ascii="Arial" w:cs="Arial" w:eastAsia="Arial" w:hAnsi="Arial"/>
                <w:sz w:val="14"/>
                <w:szCs w:val="14"/>
                <w:b w:val="1"/>
                <w:bCs w:val="1"/>
                <w:color w:val="auto"/>
                <w:w w:val="86"/>
              </w:rPr>
              <w:t>Common Stock Beneficially</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2980" w:type="dxa"/>
            <w:vAlign w:val="bottom"/>
            <w:gridSpan w:val="2"/>
          </w:tcPr>
          <w:p>
            <w:pPr>
              <w:jc w:val="center"/>
              <w:ind w:right="1380"/>
              <w:spacing w:after="0" w:line="148" w:lineRule="exact"/>
              <w:rPr>
                <w:sz w:val="20"/>
                <w:szCs w:val="20"/>
                <w:color w:val="auto"/>
              </w:rPr>
            </w:pPr>
            <w:r>
              <w:rPr>
                <w:rFonts w:ascii="Arial" w:cs="Arial" w:eastAsia="Arial" w:hAnsi="Arial"/>
                <w:sz w:val="14"/>
                <w:szCs w:val="14"/>
                <w:b w:val="1"/>
                <w:bCs w:val="1"/>
                <w:color w:val="auto"/>
                <w:w w:val="88"/>
              </w:rPr>
              <w:t>Owned (1)</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Owned (1)</w:t>
            </w:r>
          </w:p>
        </w:tc>
        <w:tc>
          <w:tcPr>
            <w:tcW w:w="0" w:type="dxa"/>
            <w:vAlign w:val="bottom"/>
          </w:tcPr>
          <w:p>
            <w:pPr>
              <w:spacing w:after="0"/>
              <w:rPr>
                <w:sz w:val="1"/>
                <w:szCs w:val="1"/>
                <w:color w:val="auto"/>
              </w:rPr>
            </w:pPr>
          </w:p>
        </w:tc>
      </w:tr>
      <w:tr>
        <w:trPr>
          <w:trHeight w:val="190"/>
        </w:trPr>
        <w:tc>
          <w:tcPr>
            <w:tcW w:w="7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Joshua Easterly (2)</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58.8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Michael Fishman (3)</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235.4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Richard Higginbotham (Director Nominee)</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Ross</w:t>
            </w:r>
          </w:p>
        </w:tc>
        <w:tc>
          <w:tcPr>
            <w:tcW w:w="29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Ronald Tanemura (</w:t>
            </w:r>
            <w:r>
              <w:rPr>
                <w:rFonts w:ascii="Arial" w:cs="Arial" w:eastAsia="Arial" w:hAnsi="Arial"/>
                <w:sz w:val="18"/>
                <w:szCs w:val="18"/>
                <w:i w:val="1"/>
                <w:iCs w:val="1"/>
                <w:color w:val="auto"/>
              </w:rPr>
              <w:t>Director Nominee</w:t>
            </w:r>
            <w:r>
              <w:rPr>
                <w:rFonts w:ascii="Arial" w:cs="Arial" w:eastAsia="Arial" w:hAnsi="Arial"/>
                <w:sz w:val="18"/>
                <w:szCs w:val="18"/>
                <w:color w:val="auto"/>
              </w:rPr>
              <w:t>)</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Executive Officers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Ronald Cami (4)</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Alan Kirshenbaum (5)</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35.1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David Reintjes (6)</w:t>
            </w:r>
          </w:p>
        </w:tc>
        <w:tc>
          <w:tcPr>
            <w:tcW w:w="29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David Stiepleman (7)</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23.5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John Viola (8)</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117.5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Alan Waxman (10)</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18,883.0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080" w:type="dxa"/>
            <w:vAlign w:val="bottom"/>
            <w:gridSpan w:val="2"/>
          </w:tcPr>
          <w:p>
            <w:pPr>
              <w:ind w:left="440"/>
              <w:spacing w:after="0"/>
              <w:rPr>
                <w:sz w:val="20"/>
                <w:szCs w:val="20"/>
                <w:color w:val="auto"/>
              </w:rPr>
            </w:pPr>
            <w:r>
              <w:rPr>
                <w:rFonts w:ascii="Arial" w:cs="Arial" w:eastAsia="Arial" w:hAnsi="Arial"/>
                <w:sz w:val="18"/>
                <w:szCs w:val="18"/>
                <w:b w:val="1"/>
                <w:bCs w:val="1"/>
                <w:color w:val="auto"/>
              </w:rPr>
              <w:t>All Directors and Named Executive Officers as a Group</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19,353.3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 (9)</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53,976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 B</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47,159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Universities Superannuation Scheme Ltd.</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35,286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23,577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w:t>
            </w:r>
          </w:p>
        </w:tc>
        <w:tc>
          <w:tcPr>
            <w:tcW w:w="2980" w:type="dxa"/>
            <w:vAlign w:val="bottom"/>
            <w:gridSpan w:val="2"/>
          </w:tcPr>
          <w:p>
            <w:pPr>
              <w:jc w:val="right"/>
              <w:ind w:right="1380"/>
              <w:spacing w:after="0"/>
              <w:rPr>
                <w:sz w:val="20"/>
                <w:szCs w:val="20"/>
                <w:color w:val="auto"/>
              </w:rPr>
            </w:pPr>
            <w:r>
              <w:rPr>
                <w:rFonts w:ascii="Arial" w:cs="Arial" w:eastAsia="Arial" w:hAnsi="Arial"/>
                <w:sz w:val="18"/>
                <w:szCs w:val="18"/>
                <w:color w:val="auto"/>
              </w:rPr>
              <w:t>23,403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Funds (10)</w:t>
            </w:r>
          </w:p>
        </w:tc>
        <w:tc>
          <w:tcPr>
            <w:tcW w:w="29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22,583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ind w:left="460" w:right="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this table, a person or group is deemed to have “beneficial ownership” of any shares of common stock as of a given date which such person has or shares the power to vote or direct the voting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 w:lineRule="exact"/>
        <w:rPr>
          <w:sz w:val="20"/>
          <w:szCs w:val="20"/>
          <w:color w:val="auto"/>
        </w:rPr>
      </w:pPr>
    </w:p>
    <w:p>
      <w:pPr>
        <w:ind w:left="460" w:right="2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Easterly is Managing Director of TPG Opportunities Partners (“TOP”), which is affiliated with Tarrant and Group Advisors. Mr. Easterly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Fishman is employed by TSL Advisers, LLC (the “Adviser” or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Cami is a partner of TPG. Mr. Cami disclaims beneficial ownership of the shares that are or may be beneficially owned by Tarrant, Group Advisors or any of its affiliates.</w:t>
      </w:r>
    </w:p>
    <w:p>
      <w:pPr>
        <w:ind w:left="460" w:right="5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Kirshenbaum is the Chief Financial Officer of TOP, which is affiliated with Tarrant and Group Advisors. Mr. Kirshenbaum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5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Reintjes is TPG’s Chief Compliance Officer. Mr. Reintjes disclaims beneficial ownership of the shares that are or may be beneficially owned by Tarrant, Group Advisors or any of its affiliates.</w:t>
      </w:r>
    </w:p>
    <w:p>
      <w:pPr>
        <w:ind w:left="460" w:right="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Stiepleman is a Managing Director of TOP, which is affiliated with Tarrant and Group Advisors. Mr. Stiepleman disclaims beneficial ownership of the shares that are or may be beneficially owned by Tarrant, Group Advisors or any of its affiliates.</w:t>
      </w:r>
    </w:p>
    <w:p>
      <w:pPr>
        <w:ind w:left="460" w:right="1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Viola is a partner of TPG. Mr. Viola disclaims beneficial ownership of the shares that are or may be beneficially owned by Tarrant, Group Advisors or any of its affiliates.</w:t>
      </w: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(“MSSB Onshore Feeder Fund”) on March 20, 2012, although MSSB Onshore Feeder Fund beneficially owns 53,976 shares of common stock and would otherwise be entitled to vote such shares, MSSB Onshore Feeder Fund has contractually agreed to pass such voting rights through to its underlying investors (each an “MSSB Unitholder” and collectively, the “MSSB Unitholders”) pro rata in accordance with each MSSB Unitholder’s relative ownership of units of the MSSB Onshore Feeder Fund. Each MSSB Unitholder will make its own determination as to how to vote with respect to its portion of the MSSB Onshore Feeder Fund’s shares of the Company,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w:t>
      </w:r>
    </w:p>
    <w:p>
      <w:pPr>
        <w:spacing w:after="0" w:line="5"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common stock beneficially owned by the TPG Funds (as defined below) reflects an aggregate beneficial ownership as of April 16, 2012 of (i) 18,883 shares of common stock (the “TSL Shares”) held by TSL Advisers; (ii) 3,699 shares of common stock (the “TSL FOF Shares”) held by TSL FOF, L.P., a Delaware limited partnership (“TSL FOF”); and, (iii) 1 share of common stock held by Tarrant Advisers, Inc., a Delaware corporation (“Tarrant” and, together with TSL Advisors and TSL FOF, the “TPG Funds”).</w:t>
      </w:r>
    </w:p>
    <w:p>
      <w:pPr>
        <w:spacing w:after="0" w:line="143"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TPG Group Holdings (SBS) Advisors, Inc., a Delaware corporation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(“Holdings II Sub”), which is a member of TSL Advisers. Because of the relationship between Holdings II Sub and TSL Advisers, Group Advisors may be deemed to beneficially own the TSL Shares.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Tarrant Capital Advisors, Inc., a Delaware corporation (“Tarrant Capital”) is the sole stockholder of Tarrant, which is the general partner of TSL Equity Partners, L.P., a Delaware limited partnership (“Equity Partners”), which is a member of TSL Advisers. Because of the investment by Equity Partners in TSL Advisers, Tarrant Capital may be deemed to beneficially own 15,350 of the TSL Shares (the “Tarrant TSL Shares”). Tarrant is also the general partner of TSL FOF. Because of the relationship between Tarrant and TSL FOF, Tarrant Capital may be deemed to beneficially own the TSL FOF Shares. In addition, Tarrant directly holds a share of common stock of the Company (the “Tarrant Share” and, together with the Tarrant TSL Shares and the TSL FOF Shares, the “Tarrant Shares”).</w:t>
      </w:r>
    </w:p>
    <w:p>
      <w:pPr>
        <w:spacing w:after="0" w:line="144"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is presently composed of five directors, divided into three classes, designated as Class I, Class II and Class III, each serving staggered three-year terms. The term of our Class I directors expire at the Meeting; the terms of our Class II directors will expire at the 2013 annual meeting of stockholders; and the terms of our Class III directors will expire at the 2014 annual meeting of stockholders.</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has nominated Richard Higginbotham and Ronald Tanemura, as Class I directors, each to serve until his successor is duly elected and qualified at the annual meeting of stockholders held in 2015 or until his earlier death, resignation or removal. Messrs. Higginbotham and Tanemura are currently directors of TSL.</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Messrs. Higginbotham and Tanemura have consented to being named in this proxy statement and to serving as directors if elected at the Meeting. If for any reason, either or both of them become unable or unwilling to serve at the time of the Meeting, the persons named as proxies in the proxy will have the authority to vote for a substitute nominee or nominees. We do not anticipate that either Mr. Higginbotham or Mr. Tanemura will be unable or unwilling to serve.</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board has determined that Messrs. Higginbotham and Tanemura are not “interested persons” of the Company, of the Adviser, or of any of their respective affiliates as defined in Section 2(a)(19) of the Investment Company Act of 1940 (the “1940 Act”). Under the terms of an agreement between TSL and Universities Superannuation Scheme Ltd. (“USS”), USS has the right to nominate one director to our Board. This right to nominate has not been exercised by USS for this election, and can only be exercised through written notice to TSL. We cannot assure you that USS will not exercise this right in the future.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Set forth below are brief biographies of Messrs. Higginbotham and Tanemura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Nominees for Election as Class I Directors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is certain information relating to our directors, including details on each director/nominee’s specific experience, qualifications, attributes or skills that led the Board to conclude that the person should serve as a director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5"/>
              </w:rPr>
              <w:t>Age</w:t>
            </w:r>
          </w:p>
        </w:tc>
        <w:tc>
          <w:tcPr>
            <w:tcW w:w="2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Position</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Expiration of Term</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 Since</w:t>
            </w: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6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(Independent)</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2015</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322"/>
        </w:trPr>
        <w:tc>
          <w:tcPr>
            <w:tcW w:w="5200" w:type="dxa"/>
            <w:vAlign w:val="bottom"/>
          </w:tcPr>
          <w:p>
            <w:pPr>
              <w:spacing w:after="0"/>
              <w:rPr>
                <w:sz w:val="20"/>
                <w:szCs w:val="20"/>
                <w:color w:val="auto"/>
              </w:rPr>
            </w:pPr>
            <w:r>
              <w:rPr>
                <w:rFonts w:ascii="Arial" w:cs="Arial" w:eastAsia="Arial" w:hAnsi="Arial"/>
                <w:sz w:val="18"/>
                <w:szCs w:val="18"/>
                <w:color w:val="auto"/>
              </w:rPr>
              <w:t>Ronald Tanemura</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680" w:type="dxa"/>
            <w:vAlign w:val="bottom"/>
          </w:tcPr>
          <w:p>
            <w:pPr>
              <w:spacing w:after="0"/>
              <w:rPr>
                <w:sz w:val="24"/>
                <w:szCs w:val="24"/>
                <w:color w:val="auto"/>
              </w:rPr>
            </w:pPr>
          </w:p>
        </w:tc>
        <w:tc>
          <w:tcPr>
            <w:tcW w:w="27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Director (Independent)</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6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2011</w:t>
            </w:r>
          </w:p>
        </w:tc>
      </w:tr>
    </w:tbl>
    <w:p>
      <w:pPr>
        <w:spacing w:after="0" w:line="150"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Since September 2010, he has been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July 2008 and March 2010, he was a director and then chairman of Tygris Commercial Finance Group, Inc., a TPG portfolio company.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Loans and Banks, Non-Controlled Affiliates and Finance committees of LBHI. In addition, he serves as a board member of the following companies currently managed by LBHI under its plan of reorganization: Lehman Brothers Special Financing Inc., Lehman Brothers Commodity Services Inc., Lehman Brothers OTC Derivatives Inc., Lehman Brothers Commercial Corporation, Lehman Brothers Financial Products Inc., Lehman Brothers Derivative Products Inc., and Merit, LLC. Also, since 2009, he has served as a non-executive director of ICE Clear Europe in London.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 Director: Term Expiring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75"/>
              </w:rPr>
              <w:t>Age</w:t>
            </w:r>
          </w:p>
        </w:tc>
        <w:tc>
          <w:tcPr>
            <w:tcW w:w="2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Position</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Expiration of Term</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 Since</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John Ross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7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(Independent)</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auto"/>
              </w:rPr>
              <w:t>2013</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2011</w:t>
            </w:r>
          </w:p>
        </w:tc>
      </w:tr>
    </w:tbl>
    <w:p>
      <w:pPr>
        <w:spacing w:after="0" w:line="14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Mr. Ross was a director and member of the board risk management committee of DBS Bank Ltd.,</w:t>
      </w:r>
      <w:r>
        <w:rPr>
          <w:rFonts w:ascii="Arial" w:cs="Arial" w:eastAsia="Arial" w:hAnsi="Arial"/>
          <w:sz w:val="16"/>
          <w:szCs w:val="16"/>
          <w:b w:val="1"/>
          <w:bCs w:val="1"/>
          <w:color w:val="auto"/>
        </w:rPr>
        <w:t xml:space="preserve"> </w:t>
      </w:r>
      <w:r>
        <w:rPr>
          <w:rFonts w:ascii="Arial" w:cs="Arial" w:eastAsia="Arial" w:hAnsi="Arial"/>
          <w:sz w:val="16"/>
          <w:szCs w:val="16"/>
          <w:color w:val="auto"/>
        </w:rPr>
        <w:t>Singapore from 2003 to 2011, was its Non-executive Chairman between 2009 and 2011 and Chairman of its Nominating Committee between 2008 and 2011.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III Directors: Term Expiring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Age</w:t>
            </w:r>
          </w:p>
        </w:tc>
        <w:tc>
          <w:tcPr>
            <w:tcW w:w="2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Position</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Expiration of Term</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Director Since</w:t>
            </w:r>
          </w:p>
        </w:tc>
      </w:tr>
      <w:tr>
        <w:trPr>
          <w:trHeight w:val="210"/>
        </w:trPr>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Joshua Easterly</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8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(Interested)</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2014</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322"/>
        </w:trPr>
        <w:tc>
          <w:tcPr>
            <w:tcW w:w="5380" w:type="dxa"/>
            <w:vAlign w:val="bottom"/>
          </w:tcPr>
          <w:p>
            <w:pPr>
              <w:spacing w:after="0"/>
              <w:rPr>
                <w:sz w:val="20"/>
                <w:szCs w:val="20"/>
                <w:color w:val="auto"/>
              </w:rPr>
            </w:pPr>
            <w:r>
              <w:rPr>
                <w:rFonts w:ascii="Arial" w:cs="Arial" w:eastAsia="Arial" w:hAnsi="Arial"/>
                <w:sz w:val="18"/>
                <w:szCs w:val="18"/>
                <w:color w:val="auto"/>
              </w:rPr>
              <w:t>Michael Fishman</w:t>
            </w: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rPr>
              <w:t>49</w:t>
            </w:r>
          </w:p>
        </w:tc>
        <w:tc>
          <w:tcPr>
            <w:tcW w:w="256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Director (Interested)</w:t>
            </w:r>
          </w:p>
        </w:tc>
        <w:tc>
          <w:tcPr>
            <w:tcW w:w="1120" w:type="dxa"/>
            <w:vAlign w:val="bottom"/>
          </w:tcPr>
          <w:p>
            <w:pPr>
              <w:jc w:val="center"/>
              <w:spacing w:after="0"/>
              <w:rPr>
                <w:sz w:val="20"/>
                <w:szCs w:val="20"/>
                <w:color w:val="auto"/>
              </w:rPr>
            </w:pPr>
            <w:r>
              <w:rPr>
                <w:rFonts w:ascii="Arial" w:cs="Arial" w:eastAsia="Arial" w:hAnsi="Arial"/>
                <w:sz w:val="18"/>
                <w:szCs w:val="18"/>
                <w:color w:val="auto"/>
                <w:w w:val="84"/>
              </w:rPr>
              <w:t>2014</w:t>
            </w:r>
          </w:p>
        </w:tc>
        <w:tc>
          <w:tcPr>
            <w:tcW w:w="6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2011</w:t>
            </w:r>
          </w:p>
        </w:tc>
      </w:tr>
    </w:tbl>
    <w:p>
      <w:pPr>
        <w:spacing w:after="0" w:line="15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a Vice President and elected a director of TSL in March 2011. Mr. Easterly is a Managing Director of TOP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Foothill,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TOP provides the Board with valuable insight and expertise.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Mr. Fishman has been an executive in corporate lending for</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20 years with senior management experience in credit, portfolio management and primary loan originations. Prior to joining TSL, Mr. Fishman was the Executive Vice President and National Director of Loan Originations for Wells Fargo Capital Finance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the Record Date. The Company is not part of a “family of investment companies,” as that term is defined in the 1940 Act.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our Common</w:t>
            </w:r>
          </w:p>
        </w:tc>
      </w:tr>
      <w:tr>
        <w:trPr>
          <w:trHeight w:val="149"/>
        </w:trPr>
        <w:tc>
          <w:tcPr>
            <w:tcW w:w="78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61"/>
        </w:trPr>
        <w:tc>
          <w:tcPr>
            <w:tcW w:w="78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Beneficially Owned (1) (2)</w:t>
            </w:r>
          </w:p>
        </w:tc>
      </w:tr>
      <w:tr>
        <w:trPr>
          <w:trHeight w:val="196"/>
        </w:trPr>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760" w:type="dxa"/>
            <w:vAlign w:val="bottom"/>
            <w:shd w:val="clear" w:color="auto" w:fill="CCEEFF"/>
          </w:tcPr>
          <w:p>
            <w:pPr>
              <w:spacing w:after="0"/>
              <w:rPr>
                <w:sz w:val="17"/>
                <w:szCs w:val="17"/>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Joshua Easterly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$50,001 - $100,000</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Michael Fishman</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782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1760" w:type="dxa"/>
            <w:vAlign w:val="bottom"/>
          </w:tcPr>
          <w:p>
            <w:pPr>
              <w:spacing w:after="0"/>
              <w:rPr>
                <w:sz w:val="18"/>
                <w:szCs w:val="18"/>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Richard Higginbotham (Director Nominee)</w:t>
            </w:r>
          </w:p>
        </w:tc>
        <w:tc>
          <w:tcPr>
            <w:tcW w:w="17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John Ross</w:t>
            </w:r>
          </w:p>
        </w:tc>
        <w:tc>
          <w:tcPr>
            <w:tcW w:w="176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Ronald Tanemura (Director Nominee)</w:t>
            </w:r>
          </w:p>
        </w:tc>
        <w:tc>
          <w:tcPr>
            <w:tcW w:w="17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bl>
    <w:p>
      <w:pPr>
        <w:spacing w:after="0" w:line="19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April 16, 2012, multiplied by the Company’s net asset value per share as of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5"/>
              </w:rPr>
              <w:t>Age</w:t>
            </w:r>
          </w:p>
        </w:tc>
        <w:tc>
          <w:tcPr>
            <w:tcW w:w="4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Position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Officer Since</w:t>
            </w: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Ronald Cami</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44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Vice President</w:t>
            </w: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Alan Kirshenbaum</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40</w:t>
            </w:r>
          </w:p>
        </w:tc>
        <w:tc>
          <w:tcPr>
            <w:tcW w:w="48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Vice President</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David Reintjes</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40</w:t>
            </w:r>
          </w:p>
        </w:tc>
        <w:tc>
          <w:tcPr>
            <w:tcW w:w="4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Chief Compliance Officer and Secretary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David Stiepleman</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40</w:t>
            </w:r>
          </w:p>
        </w:tc>
        <w:tc>
          <w:tcPr>
            <w:tcW w:w="48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Vice President</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John Viola</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46</w:t>
            </w:r>
          </w:p>
        </w:tc>
        <w:tc>
          <w:tcPr>
            <w:tcW w:w="4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Chief Financial Officer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Alan Waxman</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37</w:t>
            </w:r>
          </w:p>
        </w:tc>
        <w:tc>
          <w:tcPr>
            <w:tcW w:w="48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Vice President</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2011</w:t>
            </w:r>
          </w:p>
        </w:tc>
      </w:tr>
    </w:tbl>
    <w:p>
      <w:pPr>
        <w:spacing w:after="0" w:line="141"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Ronald Cami </w:t>
      </w:r>
      <w:r>
        <w:rPr>
          <w:rFonts w:ascii="Arial" w:cs="Arial" w:eastAsia="Arial" w:hAnsi="Arial"/>
          <w:sz w:val="18"/>
          <w:szCs w:val="18"/>
          <w:color w:val="auto"/>
        </w:rPr>
        <w:t>is a Vice President of the Company. Mr. Cami joined TPG as partner and General Counsel in June 2010. From 2000 until he joined TPG in</w:t>
      </w:r>
      <w:r>
        <w:rPr>
          <w:rFonts w:ascii="Arial" w:cs="Arial" w:eastAsia="Arial" w:hAnsi="Arial"/>
          <w:sz w:val="18"/>
          <w:szCs w:val="18"/>
          <w:b w:val="1"/>
          <w:bCs w:val="1"/>
          <w:color w:val="auto"/>
        </w:rPr>
        <w:t xml:space="preserve"> </w:t>
      </w:r>
      <w:r>
        <w:rPr>
          <w:rFonts w:ascii="Arial" w:cs="Arial" w:eastAsia="Arial" w:hAnsi="Arial"/>
          <w:sz w:val="18"/>
          <w:szCs w:val="18"/>
          <w:color w:val="auto"/>
        </w:rPr>
        <w:t>2010, Mr. Cami was a partner at the law firm Cravath, Swaine &amp; Moore LLP, in New York, where his practice focused on mergers and acquisitions, leveraged transactions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3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Alan Kirshenbaum </w:t>
      </w:r>
      <w:r>
        <w:rPr>
          <w:rFonts w:ascii="Arial" w:cs="Arial" w:eastAsia="Arial" w:hAnsi="Arial"/>
          <w:sz w:val="16"/>
          <w:szCs w:val="16"/>
          <w:color w:val="auto"/>
        </w:rPr>
        <w:t>is a Vice President of the Company. Mr. Kirshenbaum has also been the Chief Financial Officer and an Executive Director of TOP</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2011.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(“BSAM”) in 1999 and was BSAM’s Chief Financial Officer from 2003 to 2006. Prior to working at BSAM, Mr. Kirshenbaum worked in public accounting at KPMG from 1996 to 1999 and J.H. Cohn from 1994 to 1996. Mr. Kirshenbaum is a Certified Public Accountant. Mr. Kirshenbaum received a B.S. from Rutgers University in 1994 and an M.B.A. from New York University’s Stern School of Business in 2003.</w:t>
      </w:r>
    </w:p>
    <w:p>
      <w:pPr>
        <w:spacing w:after="0" w:line="111"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Secretary of the Company. He is also TPG’s Chief Compliance Officer and Deputy General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joining TPG in 2007, Mr. Reintjes was a member of the corporate practice group at Sonnenschein Nath &amp; Rosenthal LLP (now SNR Denton), and, from 1997 to 2005, he was a member of the corporate and securities practice group at Kelly, Hart &amp; Hallman LLP. Mr. Reintjes received a J.D. from the University of Kansas and a B.A. from the University of Notre Dame.</w:t>
      </w:r>
    </w:p>
    <w:p>
      <w:pPr>
        <w:spacing w:after="0" w:line="13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the Company. He has also served as the Chief Operating Officer and a Managing Director of TOP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John Viola </w:t>
      </w:r>
      <w:r>
        <w:rPr>
          <w:rFonts w:ascii="Arial" w:cs="Arial" w:eastAsia="Arial" w:hAnsi="Arial"/>
          <w:sz w:val="18"/>
          <w:szCs w:val="18"/>
          <w:color w:val="auto"/>
        </w:rPr>
        <w:t>is Chief Financial Officer of the Company. He is also a TPG partner, TPG’s Chief Financial Officer and a member of TPG’s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Prior to joining TPG in 2001, Mr. Viola was Vice President of Colony Capital, LLC, responsible for the general management of Colony Capital, LLC’s operations and for certain financial matters, including investor reporting and deal structuring. Prior to joining Colony Capital, LLC in 1993, Mr. Viola was controller for the California Community Reinvestment Corporation (“CCRC”). Before joining CCRC, Mr. Viola spent five years in the Los Angeles office of Ernst &amp; Young LLP, where he worked with a number of public and private entrepreneurial clients. Mr. Viola received a B.S. from Loyola Marymount University and an M.B.A. from the UCLA Anderson School of Management. Mr. Viola is a Certified Public Accountant and a member of the American Institute of Certified Public Accountants.</w:t>
      </w:r>
    </w:p>
    <w:p>
      <w:pPr>
        <w:spacing w:after="0" w:line="14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has served as a Vice President of the Company since 2011. Mr. Waxman is a TPG partner and is a member of the TPG’s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He has been the Chief Investment Officer of TOP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and where he currently serves on their board of the School of Arts and Sciences.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Pursuant to our amended and restated certificate of incorporation, (the “Amended and Restated Certificate of Incorporation”), our Board consists of five members. The Board is divided into three classes, with the members of each class each serving staggered, three-year terms; however, the initial members of the three classes have initial terms of one, two and three years, respectively. The terms of our Class I directors will expire at the Meeting; the term of our Class II director will expire at the 2013 annual meeting of stockholders; and the terms of our Class III directors will expire at the 2014 annual meeting of stockholders.</w:t>
      </w:r>
    </w:p>
    <w:p>
      <w:pPr>
        <w:spacing w:after="0" w:line="9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Messrs. Higginbotham and Tanemura serve as Class I directors (with a term expiring at the Meeting). Mr. Ross serves as a Class II director (with a term expiring in 2014). Messrs. Easterly and Fishman serve as Class III directors (with a term expiring in 2014).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Pursuant to the Amended and Restated Certificate of Incorporation, a majority of the Board will at all times consist of directors who are not “interested persons” of the Company, of the Adviser, or of any of their respective affiliates, as defined in the 1940 Act (“Independent Directors”).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the Company, the Adviser, or of any of their respective affiliates, the Board has determined that Messrs. Higginbotham, Ross and Tanemura qualify as Independent Directors. Each director who serves on the Audit Committee is an independent director for purposes of Rule 10A-3 under the Securities Exchange Act of 1934, as amended (the “1934 Act”).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 Biographical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Rights and Observers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Under the terms of an agreement between TSL and Universities Superannuation Scheme Ltd. (“USS”), USS has the right to nominate one director to our Board of Directors. This right to nominate has not been exercised by USS for this election, and can only be exercised through written notice to TSL. We cannot assure you that USS will not exercise this right in the future.</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the terms of agreements between TSL and Oregon Public Employees Retirement Fund, State Teachers Retirement System of Ohio, State of New Jersey Common Pension Fund B, and USS, TSL shall invite a representative from each to attend the meetings of the Board (including any meeting of the IPO Committee) in a nonvoting observer capacity. The USS observer right will terminate upon election of its representative.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Our Board met six times during 2011 and acted on various occasions by written consent. No incumbent director attended fewer than 75 percent of the aggregate of the total number of meetings of the Board (held during the period for which he has been a director) and the total number of meetings held by all committees of the Board on which he or she served (during the periods that he or she served).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however, such attendance is not required at this time.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investment adviser and our officers, reviews and monitors the services and activities performed by our investment adviser and our executive officers, and approves the engagement, and reviews the performance of, our independent registered public accounting firm.</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such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the Company’s investment platform and extensive knowledge of the financial services industry qualifies him to serve as the chairman of our Board.</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the establishment of an Audit Committee, comprised solely of independent directors for the purposes of Rule 10A-3 under the 1934 Act and the appointment of our Chief Compliance Officer, with whom the Independent Directors meet with in executive session,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 its committees; and, (ii) monitoring by the Company’s Chief Compliance Officer in accordance with its compliance policies and procedures.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described below in more detail under “Audit Committee”, the Audit Committee assists the Board in fulfilling its risk oversight responsibilities. The Audit Committee’s risk oversight responsibilities include overseeing the Company’s accounting and financial reporting processes, the Company’s systems of internal controls regarding finance and accounting, and audits of the Company’s financial statements. The Audit Committee also discusses with management the Company’s major financial risk exposures and the steps management has taken to monitor and control such exposures, including the Company’s risk assessment and risk management policies. The Audit Committee consists solely of independent directors for the purposes of Rule 10A-3 under the 1934 Act.</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The Company’s Chief Compliance Officer prepares a written report annually discussing the adequacy and effectiveness of the compliance policies and procedures of the Company. The Chief Compliance Officer’s report, which is reviewed by the Board, addresses (i) the adequacy of the compliance policies and procedures of the Company and certain of its service providers since the last report; (ii) any material changes to such policies and procedures or recommended changes; and, (iii) any compliance matter that has occurred about which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Board would reasonably need to know to oversee the Company’s compliance activities and risks. In addition, the Chief Compliance Officer meets separately in executive session with the Independent Directors periodically, typically every quarter, but in no event less than once each year.</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believes that the Board’s role in risk oversight is effective and appropriate given the extensive regulation to which it is already subject as a BDC. Specifically, as a BDC, the Company must comply with certain regulatory requirements that control the levels of risk in its business and operations. For example, the Company’s ability to incur indebtedness is limited such that its asset coverage must equal at least 200% immediately after each time it incurs indebtedness, the Company generally has to invest at least 70% of its total assets in “qualifying assets” and, subject to certain exceptions, the Company is not generally permitted to invest in any portfolio company in which its affiliates currently has an investment. In addition, the Company intends to elect to be treated as a regulated investment company (“RIC”) under Subchapter M of the Internal Revenue Code. As a RIC, the Company must, among other things, meet certain source of income and asset diversification requirements.</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Further, the Company believes that the Board’s structure and practices enhance its risk oversight in that the Company’s Independent Directors separately meet in executive sessions with the Chief Compliance Officer and auditor without any conflict that could be perceived to discourage critical review.</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believes that board roles in risk oversight must be evaluated on a case-by-case basis and that its existing board role in risk oversight is appropriate.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David Reintjes, TPG Specialty Lending, Inc., 301 Commerce Street, Suite 3300, Fort Worth, Texas 76102. Such communications should specify the intended recipient or recipients. All such communications, other than unsolicited commercial solicitations, will be forwarded to the appropriate director, or directors, for review.</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have two standing committees: the Audit Committee and the IPO Committee.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operates pursuant to the Audit Committee Charter; a copy of which is included in Appendix A. The Audit Committee Charter sets forth the responsibilities of the Audit Committee. The primary function of the Audit Committee is to serve as an independent and objective party to assist the Board in fulfilling its responsibilities for the Company’s accounting and reporting processes and the audits of its financial statements by overseeing and monitoring: the quality and integrity of our financial statements, the adequacy of our system of internal controls, the financial reporting process, including the valuation of investments, the review of the independence and performance of, as well as communicate openly with, our independent registered public accounting firm and our compliance with legal and regulatory requirements. Our Board has designated Mr. Ross as an “Audit Committee financial expert” pursuant to the provisions of Item 407(d)(5) of Regulation S-K, and pursuant to the Audit Committee Charter our Audit Committee is comprised solely of members who are independent directors for the purposes of Rule 10A-3 under the 1934 Act.</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four meetings in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IPO Committee</w:t>
      </w:r>
    </w:p>
    <w:p>
      <w:pPr>
        <w:spacing w:after="0" w:line="90"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6"/>
          <w:szCs w:val="16"/>
          <w:color w:val="auto"/>
        </w:rPr>
        <w:t>The Bylaws also establish an IPO Committee. The IPO Committee’s primary function is to advise the Board regarding matters relating to a possible initial public offering (an “IPO”) of the Company’s common stock, including (i) the preparation of any registration statement and prospectus in connection with an IPO;</w:t>
      </w: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issuance and sale of the Company’s common stock; (iii) the negotiation of the terms and conditions of any underwriting agreements relating to an IPO;</w:t>
      </w:r>
    </w:p>
    <w:p>
      <w:pPr>
        <w:spacing w:after="0" w:line="32" w:lineRule="exact"/>
        <w:rPr>
          <w:rFonts w:ascii="Arial" w:cs="Arial" w:eastAsia="Arial" w:hAnsi="Arial"/>
          <w:sz w:val="16"/>
          <w:szCs w:val="16"/>
          <w:color w:val="auto"/>
        </w:rPr>
      </w:pPr>
    </w:p>
    <w:p>
      <w:pPr>
        <w:ind w:firstLine="8"/>
        <w:spacing w:after="0" w:line="255"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determination that all common stock is validly issued; and, (v) the authorization of certain of the Company’s officers to execute and deliver the documents relevant to an IPO. The IPO Committee acts solely in an advisory capacity to the Board and is not authorized to take any actions on behalf of the Board or the Company.</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Messrs. Easterly and Tanemura are members of the IPO Committee. The IPO Committee did not hold any meetings in 2011 and currently does not have a designated chairman.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does not have a compensation committee because our executive officers do not receive any direct compensation from the Company.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Nominations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Board or by stockholders in compliance with the procedures set forth in our Bylaws. The Company does not have a standing nominating committee.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In order for a stockholder to properly bring any item of business before a meeting of stockholders, including nominations to serve as a director, such stockholder must give timely notice thereof in writing to our Secretary in compliance with the requirements of our bylaws. Stockholder notices or nominations for director should be made in writing to the Secretary of the Company, David Reintjes, TPG Specialty Lending, Inc., 301 Commerce Street, Suite 3300, Fort Worth, Texas 76102. Please refer to the text of our Bylaws (including Article II, paragraph (K)) which are on file with the SEC, and “Bylaw Requirements for Stockholder Submission of Nominations and Proposals” in this proxy statement for additional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our Board considers, among others, the following factors:</w:t>
      </w:r>
    </w:p>
    <w:p>
      <w:pPr>
        <w:spacing w:after="0" w:line="90"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Board’s goal is to assemble a board that brings to TSL a variety of perspectives and skills derived from high-quality business and professional experience.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our Board may also consider such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Board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Board decides not to re-nominate a member for re-election, the independent members of the Board identify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 party search firm, if necessary.</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Board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shareholders.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 Code of Business Conduct and Ethics which applies to, among others, our executive officers, including our Principal Executive Officer and Principal Financial Officer, as well as every officer, director and employee of the Company. There have been no material changes to our corporate code of ethics or material waivers of the code that apply to our Chief Executive Officer or Chief Financial Officer.</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hereby undertake to provide a copy of this code to any person, without charge, upon request. Requests for a copy of this code may be made in writing addressed to the Secretary of the Company, David Reintjes, TPG Specialty Lending, Inc., 301 Commerce Street, Suite 3300, Fort Worth, Texas 76102.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pay each Independent Director the following amounts for serving as a director (i) a $75,000 annual retainer; (ii) $2,500 for each meeting of the Board attended; (iii) $1,000 for each committee meeting of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 attended; (iv) an additional fee of $5,000 per year for the chairman of the Audit Committee; and, (v) an additional fee of $5,000 per year for the chairman of the IPO Committee, to the extent such chairman is an Independent Director. For the year ended December 31, 2011, the annual retainer and chairman fees were prorated from the date of the formation of the Board. The Company also reimbursed directors for certain out-of-pocket expenses each Independent Director incurred in connection with the fulfillment of his duties as an Independent Director. In each case such amounts were under $1,500 in the aggregate per Independent Director.</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 Paid</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97"/>
              <w:spacing w:after="0"/>
              <w:rPr>
                <w:sz w:val="20"/>
                <w:szCs w:val="20"/>
                <w:color w:val="auto"/>
              </w:rPr>
            </w:pPr>
            <w:r>
              <w:rPr>
                <w:rFonts w:ascii="Arial" w:cs="Arial" w:eastAsia="Arial" w:hAnsi="Arial"/>
                <w:sz w:val="14"/>
                <w:szCs w:val="14"/>
                <w:b w:val="1"/>
                <w:bCs w:val="1"/>
                <w:color w:val="auto"/>
              </w:rPr>
              <w:t>in Cash</w:t>
            </w:r>
          </w:p>
        </w:tc>
        <w:tc>
          <w:tcPr>
            <w:tcW w:w="10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80,250</w:t>
            </w:r>
          </w:p>
        </w:tc>
        <w:tc>
          <w:tcPr>
            <w:tcW w:w="1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$80,250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John Ross</w:t>
            </w:r>
          </w:p>
        </w:tc>
        <w:tc>
          <w:tcPr>
            <w:tcW w:w="2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84,333</w:t>
            </w:r>
          </w:p>
        </w:tc>
        <w:tc>
          <w:tcPr>
            <w:tcW w:w="1600" w:type="dxa"/>
            <w:vAlign w:val="bottom"/>
            <w:gridSpan w:val="2"/>
          </w:tcPr>
          <w:p>
            <w:pPr>
              <w:jc w:val="center"/>
              <w:ind w:left="932"/>
              <w:spacing w:after="0"/>
              <w:rPr>
                <w:sz w:val="20"/>
                <w:szCs w:val="20"/>
                <w:color w:val="auto"/>
              </w:rPr>
            </w:pPr>
            <w:r>
              <w:rPr>
                <w:rFonts w:ascii="Arial" w:cs="Arial" w:eastAsia="Arial" w:hAnsi="Arial"/>
                <w:sz w:val="18"/>
                <w:szCs w:val="18"/>
                <w:color w:val="auto"/>
                <w:w w:val="89"/>
              </w:rPr>
              <w:t>$84,333</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80,250</w:t>
            </w:r>
          </w:p>
        </w:tc>
        <w:tc>
          <w:tcPr>
            <w:tcW w:w="1600" w:type="dxa"/>
            <w:vAlign w:val="bottom"/>
            <w:gridSpan w:val="2"/>
            <w:shd w:val="clear" w:color="auto" w:fill="CCEEFF"/>
          </w:tcPr>
          <w:p>
            <w:pPr>
              <w:jc w:val="center"/>
              <w:ind w:left="932"/>
              <w:spacing w:after="0"/>
              <w:rPr>
                <w:sz w:val="20"/>
                <w:szCs w:val="20"/>
                <w:color w:val="auto"/>
              </w:rPr>
            </w:pPr>
            <w:r>
              <w:rPr>
                <w:rFonts w:ascii="Arial" w:cs="Arial" w:eastAsia="Arial" w:hAnsi="Arial"/>
                <w:sz w:val="18"/>
                <w:szCs w:val="18"/>
                <w:color w:val="auto"/>
                <w:w w:val="89"/>
              </w:rPr>
              <w:t>$80,250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pursuant to the terms of the investment advisory agreement entered into by and between the Company and the Adviser, as amended (the “Amended Advisory Agreement”) and the administration agreement entered into by and between the Company and the Adviser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the Company’s Chief Compliance Officer and Chief Financial Officer and their respective staffs (based on the percentage of time such individuals devote, on an estimated basis, to the business and affairs of the Company).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Amended Advisory Agreement, less expenses incurred by the Adviser in performing its services under our Amended Advisory Agreement. The Adviser or such affiliates may pay additional salaries, bonuses, and individual performance awards and/or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Adviser is affiliated with TPG. “TPG” refers to TPG Capital, L.P. together with its affiliates. TPG is a leading global diversified alternative investment firm with total assets under management of approximately $49 billion as of December 31, 2011.</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Adviser is a registered investment adviser with the SEC under the Advisers Act. The Adviser sources and manages our portfolio through a team of investment professionals (the “Investment Team”), led by our Chief Executive Officer, Michael Fishman, and our Co-Chief Investment Officers, Alan Waxman and Joshua Easterly, all of whom have substantial experience in credit origination, underwriting, and asset management. Our investments are also made in coordination with an investment review committee (the “Investment Review Committee”) that includes senior partners of TPG.</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Formed in 2009, TOP is TPG’s dedicated special situations and credit investment platform. Management of the Adviser consists primarily of senior executives of TOP. Along with Messrs. Waxman, Easterly and Fishman,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TOP has a team of over 35 dedicated professionals and collectively brings extensive experience in the credit markets and special situations investing; 15 of these professionals dedicate the majority of their time to the Company’s operations as of December 31,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Texas 76102.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Relationship with TPG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the Company and to our portfolio companies as required.</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Adviser is registered under the Advisers Act and is an affiliate of TPG. Other affiliates of TPG are also registered investment advisers and provide investment advisory services to a number of private investment funds. In addition, TPG and its affiliates engage in a broad range of other investment activities, including pursuing investments for their own account and for the account of associated funds and providing other services to these funds and their portfolio companies. The Adviser also holds 18,883 shares of our common stock as of April 16, 2012.</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consider that we benefit from the Adviser’s relationships with TPG, since the Adviser has access to the contacts and industry knowledge of TPG’s investment professionals, and is also able to consult with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the Company, TPG and other private investment funds affiliated with TPG, including conflicts in the allocation of investment opportunities among the Company and other TPG-affiliated funds as well as in their time and attention requirements as to these other funds. Additionally, various potential and actual conflicts of interest may arise from the overall advisory, investment and other activities of the Adviser, its affiliates, including TPG, and their respective clients.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Allocations of Investment Opportunities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the ordinary course of conducting its activities, the Adviser and members of the Adviser’s Investment Review Committee are expected to encounter situations in which it must be determined how investment opportunities are allocated among the Company and other investment funds affiliated with TPG. The Adviser, TOP and TPG expect to make all loan origination opportunities to middle-market borrowers (including any equity or equity-like interests connected to such opportunities) available to the Company first.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Obligations to TPG-Affiliated Funds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Members of the Adviser’s senior management and Investment Review Committee are and will continue to be active in other investment funds affiliated with TPG that pursue investment opportunities that could overlap with those pursued by the Company. Under the agreements governing these other investment funds, such investment opportunities may be required to be offered to these funds first. While the investment strategy pursued by these funds may overlap with the investment objective pursued by the Company in certain respects, members of the Adviser’s senior management and Investment Review Committee are generally not required to offer investment opportunities in middle-market loan originations, which is the Company’s primary investment focus, to TPG’s existing funds.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Loan Origination Investment Opportunities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Subject to the above, TPG intends to conduct all middle-market loan origination activities through the Company, unless it would not be permissible, advisable or otherwise suitable for the Company to pursue a particular investment opportunity. For example, certain loan origination investment opportunities may not be appropriate for the Company if they might cause the Company to violate asset coverage or concentration limitations imposed by the 1940 Act or the Internal Revenue Code of 1986, as amended (the “Code”), would be ineligible for financing under the Company’s financing arrangements, pose adverse legal, regulatory or tax risks, constrain the Company’s resources to make future investments or would otherwise be inappropriate or inadvisable as an investment for the Company. TPG or TOP may in the future organize a separate investment vehicle aimed specifically at non-U.S. middle-market loan originations or other loan origination opportunities that are inappropriate for the Company. Any such loan origination opportunities not pursued by the Company may then be presented to other TPG-managed or sponsored vehicles, including vehicles managed by TOP investment professionals. Pursuant to certain agreements with our stockholders, the Adviser and its affiliates are not permitted to act as manager of, or the primary source of transactions for, other pooled investment funds, the principal objective of which is to source, originate and manage loans to middle-market companies whose principal business operations are in the United States until the first to occur of (i) April 15, 2015; (ii) the date of an IPO that results in an unaffiliated public float of at least $75 million (a “Qualified IPO”); and, (iii) the time that at least 75% of the investors’ aggregate capital commitments have been contributed to the Company. This restriction will not prevent the Adviser from acting as manager of, or the primary source of transactions for, investment vehicles in which the Company invests or otherwise holds an economic interest.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While our primary focus is to generate current income and capital appreciation through direct lending to eligible portfolio companies (i.e., U.S. domiciled, middle-market issuers in which a BDC must invest at least 70% of its total assets), we also may invest up to 30% of our portfolio opportunistically in non-eligible portfolio companies. These non-eligible assets may include, among other things, debt issued by companies located outside the United States, publicly and privately traded debt and equity securities, high yield bonds and other instruments or assets (including consumer and commercial loans).</w:t>
      </w:r>
    </w:p>
    <w:p>
      <w:pPr>
        <w:spacing w:after="0" w:line="11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event that TPG is not required to forward a particular investment opportunity to an affiliated fund, then the Company may be permitted to take up such opportunity. The decision to allocate any such opportunity as between the Company and other TPG-managed or TPG-sponsored vehicles will take into account various factors that TPG and the Adviser deem appropriate. It is possible that the Company may not be given the opportunity to participate in certain investments made by other TPG-affiliated funds that would otherwise be suitable for the Company.</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TPG and the Adviser were to determine that an investment is appropriate both for the Company and for one or more other TPG-managed or TPG-sponsored vehicles, the Company would only be able to make any such investments subject to compliance with applicable regulations and interpretations and in accordance with TPG’s allocation procedures. In certain circumstances, co-investments with affiliates may be made only if the Company requests and receives an order from the SEC permitting us to do so.</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November 23, 2011, TSL, the Adviser and certain other TPG affiliates filed an application with the SEC for exemptive relief that if granted would allow TSL to co-invest in certain transactions with affiliates of TPG if certain conditions are met, including prior approval by a majority of the Independent Directors of the Board and the requirement that the terms and conditions of the investment applicable to any affiliates of TPG be the same as those applicable to the Company. There can be no assurance that the SEC will grant the requested exemptive relief or any other relief to allow TSL to co-invest with TPG affiliates.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Adviser also serves as our administrator. The administrator, on behalf of and at the expense of the Company, may retain one or more service providers that may also be affiliates of TPG to serve 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sub-administrator, custodian, accounting agent, investor services agent, transfer agent or other service provider for the Company. Any fees paid by the Company, or indemnification obligations undertaken by the Company, in respect of the administrator and such other service providers that are TPG affiliates will be set at arm’s length and approved by the Independent Directors.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will reimburse the Adviser for certain expenses it incurs.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Certain Business Relationships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Certain of the current directors and officers of the Company are directors or officers of the Adviser. See “Proposal No. 1 Election Of Directors – Biographical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Indebtedness of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Amended Advisory Agreement and Administration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an Amended Advisory Agreement with our Adviser under which the Adviser:</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equityholder; and,</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provides us such other investment advisory, research and related services as we may, from time to time, reasonably require for the investment of its funds, including providing operating and managerial assistance to the Company and its portfolio companies, as required.</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Adviser’s services under the Amended Advisory Agreement are not exclusive, and it is free to furnish similar or other services to others so long as its services to us are not impaired.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 terms of the Amended Advisory Agreement, we pay the Adviser a base management fee (the “Management Fee”) and may also pay certain incentive fees (the “Incentive Fee”).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the Company’s gross assets at the end of such calendar quarter, adjusted for share issuances and repurchases during such period. Beginning October 1, 2011, and until an initial public offering of our common stock (an “IPO”), 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16" w:lineRule="exact"/>
        <w:rPr>
          <w:sz w:val="20"/>
          <w:szCs w:val="20"/>
          <w:color w:val="auto"/>
        </w:rPr>
      </w:pPr>
    </w:p>
    <w:p>
      <w:pPr>
        <w:jc w:val="right"/>
        <w:ind w:right="5580"/>
        <w:spacing w:after="0"/>
        <w:rPr>
          <w:sz w:val="20"/>
          <w:szCs w:val="20"/>
          <w:color w:val="auto"/>
        </w:rPr>
      </w:pPr>
      <w:r>
        <w:rPr>
          <w:rFonts w:ascii="Arial" w:cs="Arial" w:eastAsia="Arial" w:hAnsi="Arial"/>
          <w:sz w:val="16"/>
          <w:szCs w:val="16"/>
          <w:color w:val="auto"/>
        </w:rPr>
        <w:t>For the year ended December 31, 2011, Management Fees were $1,592,601.</w:t>
      </w:r>
    </w:p>
    <w:p>
      <w:pPr>
        <w:spacing w:after="0" w:line="181"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Until such time that we have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2011, Management Fees of $6,685 were waived.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jc w:val="both"/>
        <w:ind w:left="900" w:right="2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accrues Incentive Fees taking into account unrealized gains and losses; however, Section 205(b)(3) of the Advisers Act prohibits the Adviser from receiving the payment of fees until such gains are realized. For the year ended December 31, 2011, Incentive Fees were $346,789.</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December 12, 2011, amendment to the initial advisory agreement was approved by the Company’s Board and its stockholders and December 12, 2011, is the new effective date for the Amended Advisory agreement. The amendment revised the base against which the 1.5% hurdle rate is measured when calculating the Adviser’s entitlement to receive a portion of the Company’s pre-incentive fee net investment income in any given calendar quarter. The amendment applies retroactively to October 1, 2011, and will continue to apply until an IPO.</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March 15, 2011, we entered into an Administration Agreement (the “Administration Agreement”) with our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Including initial organization and operating costs, for the year ended December 31, 2011, the Company incurred expenses of $1,826,183 for administrative services payable to the Adviser under the terms of the Administration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the Adviser is permitted to delegate its duties under the Administration Agreement to affiliates or third parties and we will pay or reimburse to the Adviser the expenses incurred by any such affiliates or third parties for work done on our behalf. Expenses incurred by the Adviser on behalf of the Company for the year ended December 31, 2011, were $2,255,690.</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Unless earlier terminated as described below, the Amended Advisory Agreement and the Administration Agreement will remain in effect for a period of two years from their respective effective dates and will remain in effect from year to year thereafter if approved annually by (i) the vote of our Board, or by the vote of a majority of our outstanding voting securities; and, (ii) the vote of a majority of our Independent Directors. The Amended Advisory Agreement and the Administration Agreement will also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its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Amended Advisory Agreement and the Administration Agreement, and is not responsible for any action of our Board in declining to follow the advice or recommendations of the Adviser. Under the terms of the Amended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Amended Advisory Agreement, the Administration Agreement or otherwise as an investment adviser of the Company (except to the extent specified in Section 36(b) of the 1940 Act concerning loss resulting from a breach of fiduciary duty (as the same is finally determined by judicial proceedings) with respect to the receipt of compensation for services).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12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United States federal and state securities laws may impose liability under certain circumstances on persons who act in good faith. Nothing in the Amended Advisory Agreement will constitute a waiver or limitation of any rights that the Company may have under any applicable federal or state securities laws.</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also have a license agreement (the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2011.</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Audit Committee has selected KPMG LLP to serve as our independent registered public accounting firm to audit our consolidated financial statements for the year ending December 31, 2012. While the Audit Committee is responsible for the appointment, compensation, retention, termination and oversight of the independent auditor, we are requesting, as a matter of good corporate governance, that the stockholders ratify the appointment of KPMG LLP as our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26"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our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During the year ended December 31, 2011, the aggregate fees billed by KPMG LLP for the audit of our consolidated financial statements, review of our interim financial statements and other professional services related to SEC registration statements were $310,000. In addition, we reimbursed KPMG LLP $18,076 for out-of-pocket expenses incurred in the performance of the audit.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Audit-Related Fees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year ended December 31, 2011, KPMG LLP was not engaged to provide any services related to the performance of the audit or review of our financial statements, but which are not reportable as Audit Fees.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2011, no amounts were billed by KPMG LLP for tax compliance, tax advice and tax planning services.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year ended December 31, 2011, there were no other fees billed for services rendered by KPMG LLP not reportable as Audit Fees, Audit-Related Fees or Tax Fees.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has considered whether the provision of the above-noted services is compatible with maintaining the independence of the</w:t>
      </w:r>
    </w:p>
    <w:p>
      <w:pPr>
        <w:spacing w:after="0" w:line="38" w:lineRule="exact"/>
        <w:rPr>
          <w:sz w:val="20"/>
          <w:szCs w:val="20"/>
          <w:color w:val="auto"/>
        </w:rPr>
      </w:pPr>
    </w:p>
    <w:p>
      <w:pPr>
        <w:jc w:val="center"/>
        <w:ind w:right="380"/>
        <w:spacing w:after="0" w:line="433" w:lineRule="auto"/>
        <w:rPr>
          <w:sz w:val="20"/>
          <w:szCs w:val="20"/>
          <w:color w:val="auto"/>
        </w:rPr>
      </w:pPr>
      <w:r>
        <w:rPr>
          <w:rFonts w:ascii="Arial" w:cs="Arial" w:eastAsia="Arial" w:hAnsi="Arial"/>
          <w:sz w:val="18"/>
          <w:szCs w:val="18"/>
          <w:color w:val="auto"/>
        </w:rPr>
        <w:t>independent registered public accounting firm and has determined that the provision of such services has not adversely affected KPMG LLP’s independence. 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of our Board operates under a written charter adopted by the Board. The Audit Committee is currently composed of Messrs. Ross, Higginbotham and Tanemura.</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with Management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Audit Committee has reviewed the audited financial statements and met and held discussions with management regarding the audited financial statements. Management has represented to the Audit Committee that the Company’s financial statements were prepared in accordance with accounting principles generally accepted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Discussion with Independent Registered Public Accounting Firm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and KPMG LLP, the Company’s independent registered public accounting firm, with and without management present. The Audit Committee included in its review results of KPMG’s examinations,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Audit Committee also has discussed with KPMG matters relating to KPMG’s judgments about the quality, as well as the acceptability, of the Company’s accounting principles as applied in its financial reporting as required by Statement of Auditing Standards No. 114 (Auditor’s Communication With Those Charged With Governance). In addition, the Audit Committee has discussed with KPMG their independence from management and the Company, as well as the matters in the written disclosures received from KPMG and required by Public Company Accounting Oversight Board Rule 3520 (Auditor Independence). The Audit Committee received a letter from KPMG confirming their independence and discussed it with them. The Audit Committee discussed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and reviewed with KPMG the Company’s critical accounting policies and practices, internal controls,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2011 for filing with the Securities and Exchange Commission. The Audit Committee also recommended the selection of KPMG LLP to serve as the independent registered public accounting firm for the year ending December 31, 2012.</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Ronald Tanemura</w:t>
      </w:r>
    </w:p>
    <w:p>
      <w:pPr>
        <w:spacing w:after="0" w:line="159"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independent registered public accounting firm of the Company for the year ending December 31, 2012.</w:t>
      </w:r>
    </w:p>
    <w:p>
      <w:pPr>
        <w:spacing w:after="0" w:line="7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The material contained in the foregoing Audit Committee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the enclosed form of proxy generally will have discretionary authority to vote the shares thereby represented in accordance with their judgment.</w:t>
      </w:r>
    </w:p>
    <w:p>
      <w:pPr>
        <w:spacing w:after="0" w:line="241" w:lineRule="exact"/>
        <w:rPr>
          <w:sz w:val="20"/>
          <w:szCs w:val="20"/>
          <w:color w:val="auto"/>
        </w:rPr>
      </w:pPr>
    </w:p>
    <w:p>
      <w:pPr>
        <w:ind w:right="2340" w:firstLine="2346"/>
        <w:spacing w:after="0" w:line="394" w:lineRule="auto"/>
        <w:rPr>
          <w:sz w:val="20"/>
          <w:szCs w:val="20"/>
          <w:color w:val="auto"/>
        </w:rPr>
      </w:pPr>
      <w:r>
        <w:rPr>
          <w:rFonts w:ascii="Arial" w:cs="Arial" w:eastAsia="Arial" w:hAnsi="Arial"/>
          <w:sz w:val="18"/>
          <w:szCs w:val="18"/>
          <w:b w:val="1"/>
          <w:bCs w:val="1"/>
          <w:color w:val="auto"/>
        </w:rPr>
        <w:t>STOCKHOLDER PROPOSALS AND NOMINATIONS FOR 2013 ANNUAL MEETING Inclusion of Proposals in Our Proxy Statement and Proxy Card Under the SEC’s Rules</w:t>
      </w:r>
    </w:p>
    <w:p>
      <w:pPr>
        <w:spacing w:after="0" w:line="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Any proposal of a stockholder intended to be included in our proxy statement and form of proxy/voting instruction card for the 2013 annual meeting of stockholders pursuant to Rule 14a-8 of the SEC’s rules must be received by us no later than December 31, 2012. Such proposals must also comply with the requirements as to form and substance established by the SEC if such proposals are to be included in the proxy statement and form of proxy. All proposals should be addressed to the Secretary of the Company, David Reintjes, TPG Specialty Lending, Inc., 301 Commerce Street, Suite 3300, Fort Worth, Texas 76102.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stockholder recommendation for nomination of a person for election to our board or a proposal for consideration at our 2013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the proposal or recommendation for nomination must be received by our Secretary at the above address no later than March 13, 2013, unless the date of our 2013 annual meeting is more than 30 days before or more than 60 days after June 11, 2013, the anniversary of our 2012 annual meeting, in which case notice by the stockholder to be timely must be so received not later than the later of the close of business ninety (90) days prior to such annual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copy of our Annual Report on Form 10-K for the fiscal year ended December 31, 2011, which includes financial statements, is being furnished with this proxy statement.</w:t>
      </w:r>
    </w:p>
    <w:p>
      <w:pPr>
        <w:spacing w:after="0" w:line="12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WHETHER OR NOT YOU PLAN TO ATTEND THE MEETING, WE URGE YOU TO VOTE BY TELEPHONE, OVER THE INTERNET OR BY MARKING, SIGNING AND RETURNING YOUR PROXY OR VOTING INSTRUCTION CARD AS SOON AS POSSIBLE. NO POSTAGE IS NECESSARY IF MAILED IN THE UNITED STATES.</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Reintjes</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Reintjes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 and Chief Compliance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AUDIT COMMITTEE CHARTER</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Board of Directors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determined that the Audit Committee of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assist the Board in fulfilling certain of the Board’s oversight responsibilities. The Board hereby adopts this charter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to establish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governing principles of the Committee.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 Purpose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function of the Committee is to serve as an independent and objective party to assist the Board in fulfilling its oversight responsibilities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accounting and reporting processes and the audits of its financial statements by overseeing and monitoring:</w:t>
      </w:r>
    </w:p>
    <w:p>
      <w:pPr>
        <w:spacing w:after="0" w:line="84" w:lineRule="exact"/>
        <w:rPr>
          <w:sz w:val="20"/>
          <w:szCs w:val="20"/>
          <w:color w:val="auto"/>
        </w:rPr>
      </w:pPr>
    </w:p>
    <w:p>
      <w:pPr>
        <w:ind w:left="1480" w:right="80" w:hanging="567"/>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quality and integrity of financial reports and other financial information provided by the Company to governmental bodies or the public and the independent audit thereof.</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system of internal controls regarding finance, accounting and regulatory compliance.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material aspects of the Company’s accounting and financial reporting process generally.</w:t>
      </w:r>
    </w:p>
    <w:p>
      <w:pPr>
        <w:spacing w:after="0" w:line="90" w:lineRule="exact"/>
        <w:rPr>
          <w:rFonts w:ascii="Arial" w:cs="Arial" w:eastAsia="Arial" w:hAnsi="Arial"/>
          <w:sz w:val="18"/>
          <w:szCs w:val="18"/>
          <w:color w:val="auto"/>
        </w:rPr>
      </w:pPr>
    </w:p>
    <w:p>
      <w:pPr>
        <w:ind w:left="1480" w:right="860" w:hanging="567"/>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independence, qualifications and performance of the Company’s independent registered public accounting firm (independent accountants), including the lead audit partner.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compliance by the Company with legal and regulatory requirements.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performance of the Company’s internal audit function.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will primarily fulfill these responsibilities by carrying out the responsibilities and duties enumerated in Section V of this Charter.</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 Scope</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While the Committee has the responsibilities and powers set forth in this Charter, it is not the duty of the Committee to plan or conduct audits or to determine that the Company’s financial statements are complete and accurate or are in accordance with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The responsibility to plan and conduct audits is that of the Company’s independent accountants. In fulfilling this responsibility, the independent accountants are ultimately accountable to the Board of the Company and this Committee. The Company’s management has the responsibility to determine that the Company’s financial statements are complete and accurate and in accordance with GAAP. It is also not the duty of the Committee to assure the Company’s compliance with laws and regulations or compliance with the Company’s Code of Ethics or Code of Business Conduct and Ethics. The primary responsibility for these matters also rests with the Company’s management.</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In order to fulfill its oversight responsibility, the Committee must be capable of conducting free and open discussions with the valuation committee, management, independent accountants, internal auditors, employees, and others regarding the quality of the financial statements and the system of internal controls.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III. Membership Requirements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Committee shall be comprised of three (3) or more directors or members who are not “interested persons” of the Company or of the Adviser as defined in Section 2(a)(19) of the 1940 Act, as determined by the Board, each of whom:</w:t>
      </w:r>
    </w:p>
    <w:p>
      <w:pPr>
        <w:spacing w:after="0" w:line="51" w:lineRule="exact"/>
        <w:rPr>
          <w:sz w:val="20"/>
          <w:szCs w:val="20"/>
          <w:color w:val="auto"/>
        </w:rPr>
      </w:pPr>
    </w:p>
    <w:p>
      <w:pPr>
        <w:ind w:left="1480" w:right="220" w:hanging="567"/>
        <w:spacing w:after="0" w:line="25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Shall be independent directors or members who are not “interested persons” of the Company or of the Adviser, and free from any material relationship that, in the opinion of the Board, would interfere with the exercise of his or her independent judgment as a member of the Committee.</w:t>
      </w:r>
    </w:p>
    <w:p>
      <w:pPr>
        <w:spacing w:after="0" w:line="59" w:lineRule="exact"/>
        <w:rPr>
          <w:rFonts w:ascii="Arial" w:cs="Arial" w:eastAsia="Arial" w:hAnsi="Arial"/>
          <w:sz w:val="18"/>
          <w:szCs w:val="18"/>
          <w:color w:val="auto"/>
        </w:rPr>
      </w:pPr>
    </w:p>
    <w:p>
      <w:pPr>
        <w:ind w:left="1480" w:right="460" w:hanging="567"/>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Shall be or shall become (within a reasonable period of time after his or her appointment) “financially literate,” as such qualification is interpreted by the Board.</w:t>
      </w:r>
    </w:p>
    <w:p>
      <w:pPr>
        <w:spacing w:after="0" w:line="5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Shall have a basic understanding of finance and accounting practices and shall be able to read and understand financial statements. Committee members may enhance their familiarity with finance and accounting by participating in educational programs conducted by the Company or an outside consultant.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members of the Committee shall meet the requirements of all applicable laws, rules or regulations, in each case, when, as and to the extent applicable to the Company. Though the Company does not currently anticipate listing its shares on a national securities exchange, if and when the Company does list its shares on a national securities exchange, the members of the Committee shall meet the requirements of such exchange. In addition, at least one member of the Committee shall have accounting or related financial management experience.</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members of the Committee shall be elected by the Board annually or until their successors shall be duly elected and qualified. Unless a Chairman is elected by the full Board, the members of the Committee may designate a Chairman by majority vote of the full Committee membership.</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IV. Meetings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Committee shall meet at least four times each year, or more frequently as circumstances require. The Chairman of the Committee may call a Committee meeting whenever deemed necessary and shall be responsible for meeting with the independent accountants at their request to discuss the interim financial results. The Committee may request any officer or employee of the Company or the Company’s outside counsel or independent accountants to attend a meeting of the Committee or to meet with any members of, or consultants to, the Committee.</w:t>
      </w:r>
    </w:p>
    <w:p>
      <w:pPr>
        <w:spacing w:after="0" w:line="188"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and Duties</w:t>
      </w:r>
    </w:p>
    <w:p>
      <w:pPr>
        <w:spacing w:after="0" w:line="96"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t>
      </w:r>
      <w:r>
        <w:rPr>
          <w:rFonts w:ascii="Arial" w:cs="Arial" w:eastAsia="Arial" w:hAnsi="Arial"/>
          <w:sz w:val="16"/>
          <w:szCs w:val="16"/>
          <w:i w:val="1"/>
          <w:iCs w:val="1"/>
          <w:color w:val="auto"/>
        </w:rPr>
        <w:t>General Responsibilities</w:t>
      </w:r>
    </w:p>
    <w:p>
      <w:pPr>
        <w:spacing w:after="0" w:line="90"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color w:val="auto"/>
        </w:rPr>
        <w:t>To carry out its purposes, the responsibilities of the Committee shall be as follows:</w:t>
      </w:r>
    </w:p>
    <w:p>
      <w:pPr>
        <w:spacing w:after="0" w:line="90" w:lineRule="exact"/>
        <w:rPr>
          <w:rFonts w:ascii="Arial" w:cs="Arial" w:eastAsia="Arial" w:hAnsi="Arial"/>
          <w:sz w:val="18"/>
          <w:szCs w:val="18"/>
          <w:b w:val="1"/>
          <w:bCs w:val="1"/>
          <w:color w:val="auto"/>
        </w:rPr>
      </w:pPr>
    </w:p>
    <w:p>
      <w:pPr>
        <w:ind w:left="2160" w:hanging="450"/>
        <w:spacing w:after="0"/>
        <w:tabs>
          <w:tab w:leader="none" w:pos="21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Maintain open communications with the independent accountants, internal auditors, executive management, and the Board.</w:t>
      </w:r>
    </w:p>
    <w:p>
      <w:pPr>
        <w:spacing w:after="0" w:line="113" w:lineRule="exact"/>
        <w:rPr>
          <w:rFonts w:ascii="Arial" w:cs="Arial" w:eastAsia="Arial" w:hAnsi="Arial"/>
          <w:sz w:val="16"/>
          <w:szCs w:val="16"/>
          <w:color w:val="auto"/>
        </w:rPr>
      </w:pPr>
    </w:p>
    <w:p>
      <w:pPr>
        <w:ind w:left="2160" w:right="180" w:hanging="450"/>
        <w:spacing w:after="0" w:line="268" w:lineRule="auto"/>
        <w:tabs>
          <w:tab w:leader="none" w:pos="21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Meet separately, from time to time, with management and the independent accountants to discuss matters warranting attention by the Committee.</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Regularly report Committee actions to the Board and make recommendations as the Committee deems appropriate.</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Review the financial results presented in all reports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160" w:right="40" w:hanging="450"/>
        <w:spacing w:after="0" w:line="268" w:lineRule="auto"/>
        <w:tabs>
          <w:tab w:leader="none" w:pos="2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reports issued by regulatory examinations and consider the results of those reviews to determine if any findings could have a material effect on the Company’s financial statements.</w:t>
      </w:r>
    </w:p>
    <w:p>
      <w:pPr>
        <w:spacing w:after="0" w:line="50" w:lineRule="exact"/>
        <w:rPr>
          <w:rFonts w:ascii="Arial" w:cs="Arial" w:eastAsia="Arial" w:hAnsi="Arial"/>
          <w:sz w:val="18"/>
          <w:szCs w:val="18"/>
          <w:color w:val="auto"/>
        </w:rPr>
      </w:pPr>
    </w:p>
    <w:p>
      <w:pPr>
        <w:ind w:left="2160" w:right="340" w:hanging="450"/>
        <w:spacing w:after="0" w:line="259" w:lineRule="auto"/>
        <w:tabs>
          <w:tab w:leader="none" w:pos="2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Discuss the Company’s disclosure, oversight of and conformity with the Company’s Code of Business Conduct and Ethics and Code of Ethics, and matters that may have a material effect on the Company’s financial statements, operations, compliance policies, and programs.</w:t>
      </w:r>
    </w:p>
    <w:p>
      <w:pPr>
        <w:spacing w:after="0" w:line="59" w:lineRule="exact"/>
        <w:rPr>
          <w:rFonts w:ascii="Arial" w:cs="Arial" w:eastAsia="Arial" w:hAnsi="Arial"/>
          <w:sz w:val="18"/>
          <w:szCs w:val="18"/>
          <w:color w:val="auto"/>
        </w:rPr>
      </w:pPr>
    </w:p>
    <w:p>
      <w:pPr>
        <w:ind w:left="2160" w:right="220" w:hanging="450"/>
        <w:spacing w:after="0" w:line="268" w:lineRule="auto"/>
        <w:tabs>
          <w:tab w:leader="none" w:pos="2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reassess the adequacy of the Committee’s Charter at least annually and recommend any changes to the full Board of Directors.</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other actions required of the Committee by law, applicable regulations, or as requested by the Board.</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discharging its duties hereunder, the Committee shall have the authority, to the extent it deems necessary or appropriate, to retain independent legal, accounting, or other advisors. The Company shall provide for appropriate funding, as determined by the Committee, for payment of compensation to the independent accountants for the purpose of rendering or issuing an audit report and to any advisors employed by the Committee, and for ordinary administrative expenses of the Committee that are necessary or appropriate in carrying out its duties.</w:t>
      </w:r>
    </w:p>
    <w:p>
      <w:pPr>
        <w:spacing w:after="0" w:line="153"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Responsibilities Regarding the Engagement of the Independent Accountants</w:t>
      </w:r>
    </w:p>
    <w:p>
      <w:pPr>
        <w:spacing w:after="0" w:line="90" w:lineRule="exact"/>
        <w:rPr>
          <w:rFonts w:ascii="Arial" w:cs="Arial" w:eastAsia="Arial" w:hAnsi="Arial"/>
          <w:sz w:val="18"/>
          <w:szCs w:val="18"/>
          <w:i w:val="1"/>
          <w:iCs w:val="1"/>
          <w:color w:val="auto"/>
        </w:rPr>
      </w:pPr>
    </w:p>
    <w:p>
      <w:pPr>
        <w:ind w:left="2160" w:hanging="450"/>
        <w:spacing w:after="0" w:line="323" w:lineRule="auto"/>
        <w:tabs>
          <w:tab w:leader="none" w:pos="216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Committee shall have the sole authority to appoint or replace the independent auditor (subject, if applicable, to shareholder ratification). The Committee shall be directly responsible for the compensation and oversight of the independent accountants (including resolution of disagreements between management and the independent accountants regarding financial reporting) for the purpose of preparing or issuing an audit report or related work. The independent accountant shall report directly to the Committee.</w:t>
      </w:r>
    </w:p>
    <w:p>
      <w:pPr>
        <w:spacing w:after="0" w:line="16" w:lineRule="exact"/>
        <w:rPr>
          <w:rFonts w:ascii="Arial" w:cs="Arial" w:eastAsia="Arial" w:hAnsi="Arial"/>
          <w:sz w:val="15"/>
          <w:szCs w:val="15"/>
          <w:color w:val="auto"/>
        </w:rPr>
      </w:pPr>
    </w:p>
    <w:p>
      <w:pPr>
        <w:ind w:left="2160" w:hanging="450"/>
        <w:spacing w:after="0"/>
        <w:tabs>
          <w:tab w:leader="none" w:pos="2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Ensure the independence of the independent accountants by:</w:t>
      </w:r>
    </w:p>
    <w:p>
      <w:pPr>
        <w:spacing w:after="0" w:line="90" w:lineRule="exact"/>
        <w:rPr>
          <w:rFonts w:ascii="Arial" w:cs="Arial" w:eastAsia="Arial" w:hAnsi="Arial"/>
          <w:sz w:val="18"/>
          <w:szCs w:val="18"/>
          <w:color w:val="auto"/>
        </w:rPr>
      </w:pPr>
    </w:p>
    <w:p>
      <w:pPr>
        <w:ind w:left="2960" w:right="40" w:hanging="562"/>
        <w:spacing w:after="0" w:line="294" w:lineRule="auto"/>
        <w:tabs>
          <w:tab w:leader="none" w:pos="29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Having the independent accountant deliver to the Committee at least annually a formal written statement delineating all relationships between the independent accountants and the Company and addressing at least the matters set forth in the Public Company Accounting Oversight Board’s Rule No. 3526; actively engaging in dialogue with the independent accountants about any relationships or services disclosed in such statement that may impact the objectivity and independence of the Company’s independent accountants.</w:t>
      </w:r>
    </w:p>
    <w:p>
      <w:pPr>
        <w:spacing w:after="0" w:line="34" w:lineRule="exact"/>
        <w:rPr>
          <w:rFonts w:ascii="Arial" w:cs="Arial" w:eastAsia="Arial" w:hAnsi="Arial"/>
          <w:sz w:val="16"/>
          <w:szCs w:val="16"/>
          <w:color w:val="auto"/>
        </w:rPr>
      </w:pPr>
    </w:p>
    <w:p>
      <w:pPr>
        <w:ind w:left="2960" w:right="40" w:hanging="562"/>
        <w:spacing w:after="0" w:line="254" w:lineRule="auto"/>
        <w:tabs>
          <w:tab w:leader="none" w:pos="2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Pre-approving all auditing services and permitted non-audit services (including fees and terms thereof) to be performed for the Company by its independent accountants. See the Policy on Pre-Approval of Audit and Non-Audit Services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The Committee may form and delegate authority to subcommittees consisting of one or more members when appropriate, including the authority to grant pre-approvals of audit and permitted non-audit services, provided that decisions of such subcommittee to grant pre-approvals shall be presented to the full Committee at its next scheduled meeting.</w:t>
      </w:r>
    </w:p>
    <w:p>
      <w:pPr>
        <w:spacing w:after="0" w:line="63" w:lineRule="exact"/>
        <w:rPr>
          <w:rFonts w:ascii="Arial" w:cs="Arial" w:eastAsia="Arial" w:hAnsi="Arial"/>
          <w:sz w:val="18"/>
          <w:szCs w:val="18"/>
          <w:color w:val="auto"/>
        </w:rPr>
      </w:pPr>
    </w:p>
    <w:p>
      <w:pPr>
        <w:ind w:left="2960" w:right="80" w:hanging="562"/>
        <w:spacing w:after="0" w:line="259" w:lineRule="auto"/>
        <w:tabs>
          <w:tab w:leader="none" w:pos="2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Ensuring the rotation of the lead (or coordinating) audit partner (or, if required by the rules and regulations of the SEC, other employees of the independent accountants) having primary responsibility for the audit and the audit partner responsible for reviewing the audit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960" w:right="380" w:hanging="562"/>
        <w:spacing w:after="0" w:line="332" w:lineRule="auto"/>
        <w:tabs>
          <w:tab w:leader="none" w:pos="29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 xml:space="preserve">Overseeing compliance with the guidelines set forth in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relating to the Company’s hiring of employees or former employees of the independent accountants who participated in any capacity in the audit of the Company.</w:t>
      </w:r>
    </w:p>
    <w:p>
      <w:pPr>
        <w:spacing w:after="0" w:line="4" w:lineRule="exact"/>
        <w:rPr>
          <w:rFonts w:ascii="Arial" w:cs="Arial" w:eastAsia="Arial" w:hAnsi="Arial"/>
          <w:sz w:val="16"/>
          <w:szCs w:val="16"/>
          <w:color w:val="auto"/>
        </w:rPr>
      </w:pPr>
    </w:p>
    <w:p>
      <w:pPr>
        <w:ind w:left="2160" w:right="20" w:hanging="450"/>
        <w:spacing w:after="0" w:line="294" w:lineRule="auto"/>
        <w:tabs>
          <w:tab w:leader="none" w:pos="21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independent accountants describing: the firm’s internal control procedures; any material issues raised by the most recent internal quality control review or peer review of the firm, or by any inquiry or investigation by governmental or professional authorities, within the preceding five years with respect to one or more independent audits carried out by the firm, and any steps taken to deal with any such issues; and all relationships between the independent accountants and the Company to assess the auditor’s independence.</w:t>
      </w:r>
    </w:p>
    <w:p>
      <w:pPr>
        <w:spacing w:after="0" w:line="34" w:lineRule="exact"/>
        <w:rPr>
          <w:rFonts w:ascii="Arial" w:cs="Arial" w:eastAsia="Arial" w:hAnsi="Arial"/>
          <w:sz w:val="16"/>
          <w:szCs w:val="16"/>
          <w:color w:val="auto"/>
        </w:rPr>
      </w:pPr>
    </w:p>
    <w:p>
      <w:pPr>
        <w:ind w:left="2160" w:hanging="450"/>
        <w:spacing w:after="0" w:line="332" w:lineRule="auto"/>
        <w:tabs>
          <w:tab w:leader="none" w:pos="21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Committee shall review and present its conclusions regarding the independent accountants’ qualifications, performance and, if applicable, its conclusions regarding the rotation of the independent accountants to the Board at least annually.</w:t>
      </w:r>
    </w:p>
    <w:p>
      <w:pPr>
        <w:spacing w:after="0" w:line="125" w:lineRule="exact"/>
        <w:rPr>
          <w:rFonts w:ascii="Arial" w:cs="Arial" w:eastAsia="Arial" w:hAnsi="Arial"/>
          <w:sz w:val="16"/>
          <w:szCs w:val="16"/>
          <w:color w:val="auto"/>
        </w:rPr>
      </w:pPr>
    </w:p>
    <w:p>
      <w:pPr>
        <w:ind w:left="1500" w:right="3760" w:hanging="587"/>
        <w:spacing w:after="0" w:line="344" w:lineRule="auto"/>
        <w:tabs>
          <w:tab w:leader="none" w:pos="1489"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Responsibilities for Reviewing the Annual External Audit and the Financial Statements </w:t>
      </w:r>
      <w:r>
        <w:rPr>
          <w:rFonts w:ascii="Arial" w:cs="Arial" w:eastAsia="Arial" w:hAnsi="Arial"/>
          <w:sz w:val="18"/>
          <w:szCs w:val="18"/>
          <w:color w:val="auto"/>
        </w:rPr>
        <w:t>The Committee will:</w:t>
      </w:r>
    </w:p>
    <w:p>
      <w:pPr>
        <w:ind w:left="2160" w:right="660" w:hanging="450"/>
        <w:spacing w:after="0" w:line="268"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Request the independent accountants to confirm that they are accountable to the Committee and that they will provide the Committee with timely analyses of significant financial reporting and internal control issues.</w:t>
      </w:r>
    </w:p>
    <w:p>
      <w:pPr>
        <w:spacing w:after="0" w:line="50" w:lineRule="exact"/>
        <w:rPr>
          <w:rFonts w:ascii="Arial" w:cs="Arial" w:eastAsia="Arial" w:hAnsi="Arial"/>
          <w:sz w:val="18"/>
          <w:szCs w:val="18"/>
          <w:color w:val="auto"/>
        </w:rPr>
      </w:pPr>
    </w:p>
    <w:p>
      <w:pPr>
        <w:ind w:left="2160" w:hanging="450"/>
        <w:spacing w:after="0"/>
        <w:tabs>
          <w:tab w:leader="none" w:pos="2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Review with management significant risks and exposures identified by management and management’s steps to minimize them.</w:t>
      </w:r>
    </w:p>
    <w:p>
      <w:pPr>
        <w:spacing w:after="0" w:line="113" w:lineRule="exact"/>
        <w:rPr>
          <w:rFonts w:ascii="Arial" w:cs="Arial" w:eastAsia="Arial" w:hAnsi="Arial"/>
          <w:sz w:val="16"/>
          <w:szCs w:val="16"/>
          <w:color w:val="auto"/>
        </w:rPr>
      </w:pPr>
    </w:p>
    <w:p>
      <w:pPr>
        <w:ind w:left="2160" w:hanging="45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the scope of the external audit with the independent accountants.</w:t>
      </w:r>
    </w:p>
    <w:p>
      <w:pPr>
        <w:spacing w:after="0" w:line="90" w:lineRule="exact"/>
        <w:rPr>
          <w:rFonts w:ascii="Arial" w:cs="Arial" w:eastAsia="Arial" w:hAnsi="Arial"/>
          <w:sz w:val="18"/>
          <w:szCs w:val="18"/>
          <w:color w:val="auto"/>
        </w:rPr>
      </w:pPr>
    </w:p>
    <w:p>
      <w:pPr>
        <w:ind w:left="2160" w:hanging="450"/>
        <w:spacing w:after="0"/>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Review with management and the independent accountants, as appropriate:</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internal controls, including computerized information system controls and security.</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significant accounting policies.</w:t>
      </w:r>
    </w:p>
    <w:p>
      <w:pPr>
        <w:spacing w:after="0" w:line="90" w:lineRule="exact"/>
        <w:rPr>
          <w:rFonts w:ascii="Arial" w:cs="Arial" w:eastAsia="Arial" w:hAnsi="Arial"/>
          <w:sz w:val="18"/>
          <w:szCs w:val="18"/>
          <w:color w:val="auto"/>
        </w:rPr>
      </w:pPr>
    </w:p>
    <w:p>
      <w:pPr>
        <w:ind w:left="2960" w:right="140" w:hanging="562"/>
        <w:spacing w:after="0" w:line="259"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annual audited financial statements and quarterly financial statements, including the Company’s disclosures under “Management’s Discussion and Analysis of Financial Condition and Results of Operations,” before they are made public.</w:t>
      </w:r>
    </w:p>
    <w:p>
      <w:pPr>
        <w:spacing w:after="0" w:line="59" w:lineRule="exact"/>
        <w:rPr>
          <w:rFonts w:ascii="Arial" w:cs="Arial" w:eastAsia="Arial" w:hAnsi="Arial"/>
          <w:sz w:val="18"/>
          <w:szCs w:val="18"/>
          <w:color w:val="auto"/>
        </w:rPr>
      </w:pPr>
    </w:p>
    <w:p>
      <w:pPr>
        <w:ind w:left="2960" w:right="120" w:hanging="562"/>
        <w:spacing w:after="0" w:line="259"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alternative treatments of financial information within GAAP that have been discussed with management, ramifications of the use of such alternative disclosures and treatments, and the treatment preferred by the independent accountants.</w:t>
      </w:r>
    </w:p>
    <w:p>
      <w:pPr>
        <w:spacing w:after="0" w:line="59" w:lineRule="exact"/>
        <w:rPr>
          <w:rFonts w:ascii="Arial" w:cs="Arial" w:eastAsia="Arial" w:hAnsi="Arial"/>
          <w:sz w:val="18"/>
          <w:szCs w:val="18"/>
          <w:color w:val="auto"/>
        </w:rPr>
      </w:pPr>
    </w:p>
    <w:p>
      <w:pPr>
        <w:ind w:left="2960" w:right="320" w:hanging="562"/>
        <w:spacing w:after="0" w:line="268"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Material written communications between the independent accountants and management, such as any management letter, management representation letter, or schedule of unadjusted differences.</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earnings press releases.</w:t>
      </w:r>
    </w:p>
    <w:p>
      <w:pPr>
        <w:spacing w:after="0" w:line="90" w:lineRule="exact"/>
        <w:rPr>
          <w:rFonts w:ascii="Arial" w:cs="Arial" w:eastAsia="Arial" w:hAnsi="Arial"/>
          <w:sz w:val="18"/>
          <w:szCs w:val="18"/>
          <w:color w:val="auto"/>
        </w:rPr>
      </w:pPr>
    </w:p>
    <w:p>
      <w:pPr>
        <w:ind w:left="2160" w:right="660" w:hanging="450"/>
        <w:spacing w:after="0" w:line="268" w:lineRule="auto"/>
        <w:tabs>
          <w:tab w:leader="none" w:pos="2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After the completion of the annual audit examination, or as needed throughout the year, discuss with management and the independent accountants.</w:t>
      </w:r>
    </w:p>
    <w:p>
      <w:pPr>
        <w:spacing w:after="0" w:line="50" w:lineRule="exact"/>
        <w:rPr>
          <w:rFonts w:ascii="Arial" w:cs="Arial" w:eastAsia="Arial" w:hAnsi="Arial"/>
          <w:sz w:val="18"/>
          <w:szCs w:val="18"/>
          <w:color w:val="auto"/>
        </w:rPr>
      </w:pPr>
    </w:p>
    <w:p>
      <w:pPr>
        <w:ind w:left="2960" w:right="540" w:hanging="562"/>
        <w:spacing w:after="0" w:line="268" w:lineRule="auto"/>
        <w:tabs>
          <w:tab w:leader="none" w:pos="2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Company’s annual financial statements and related footnotes, including any adjustments to such statements recommended by the independent accountants.</w:t>
      </w:r>
    </w:p>
    <w:p>
      <w:pPr>
        <w:spacing w:after="0" w:line="50" w:lineRule="exact"/>
        <w:rPr>
          <w:rFonts w:ascii="Arial" w:cs="Arial" w:eastAsia="Arial" w:hAnsi="Arial"/>
          <w:sz w:val="18"/>
          <w:szCs w:val="18"/>
          <w:color w:val="auto"/>
        </w:rPr>
      </w:pPr>
    </w:p>
    <w:p>
      <w:pPr>
        <w:ind w:left="2960" w:right="240" w:hanging="562"/>
        <w:spacing w:after="0" w:line="370" w:lineRule="auto"/>
        <w:tabs>
          <w:tab w:leader="none" w:pos="2960" w:val="left"/>
        </w:tabs>
        <w:numPr>
          <w:ilvl w:val="2"/>
          <w:numId w:val="26"/>
        </w:numPr>
        <w:rPr>
          <w:rFonts w:ascii="Arial" w:cs="Arial" w:eastAsia="Arial" w:hAnsi="Arial"/>
          <w:sz w:val="15"/>
          <w:szCs w:val="15"/>
          <w:color w:val="auto"/>
        </w:rPr>
      </w:pPr>
      <w:r>
        <w:rPr>
          <w:rFonts w:ascii="Arial" w:cs="Arial" w:eastAsia="Arial" w:hAnsi="Arial"/>
          <w:sz w:val="15"/>
          <w:szCs w:val="15"/>
          <w:color w:val="auto"/>
        </w:rPr>
        <w:t>Any significant findings and recommendations made by the independent accountants with respect to the Company’s financial policies, procedures and internal accounting controls together with management’s responses thereto.</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960" w:right="260" w:hanging="562"/>
        <w:spacing w:after="0" w:line="268" w:lineRule="auto"/>
        <w:tabs>
          <w:tab w:leader="none" w:pos="2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qualitative judgments about the appropriateness and acceptability of accounting principles, financial disclosures and underlying estimates.</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significant difficulties or problems with management encountered during the course of the audit.</w:t>
      </w:r>
    </w:p>
    <w:p>
      <w:pPr>
        <w:spacing w:after="0" w:line="90" w:lineRule="exact"/>
        <w:rPr>
          <w:rFonts w:ascii="Arial" w:cs="Arial" w:eastAsia="Arial" w:hAnsi="Arial"/>
          <w:sz w:val="18"/>
          <w:szCs w:val="18"/>
          <w:color w:val="auto"/>
        </w:rPr>
      </w:pPr>
    </w:p>
    <w:p>
      <w:pPr>
        <w:ind w:left="2960" w:right="480" w:hanging="562"/>
        <w:spacing w:after="0" w:line="268" w:lineRule="auto"/>
        <w:tabs>
          <w:tab w:leader="none" w:pos="29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other matters about the audit procedures or findings that generally accepted accounting standards require the auditors to discuss with the Committee.</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form of opinion the independent accountants propose to render to the Board and the Committee and shareholders.</w:t>
      </w:r>
    </w:p>
    <w:p>
      <w:pPr>
        <w:spacing w:after="0" w:line="113" w:lineRule="exact"/>
        <w:rPr>
          <w:rFonts w:ascii="Arial" w:cs="Arial" w:eastAsia="Arial" w:hAnsi="Arial"/>
          <w:sz w:val="16"/>
          <w:szCs w:val="16"/>
          <w:color w:val="auto"/>
        </w:rPr>
      </w:pPr>
    </w:p>
    <w:p>
      <w:pPr>
        <w:ind w:left="2160" w:hanging="450"/>
        <w:spacing w:after="0" w:line="298" w:lineRule="auto"/>
        <w:tabs>
          <w:tab w:leader="none" w:pos="2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Review disclosures made to the Committee by the Company’s Chief Executive Officer and Chief Financial Officer during their certification process for the Form 10-K and Form 10-Q about any significant deficiencies in the design or operation of internal controls over financial reporting or material weaknesses therein and any fraud involving management or other employees who have a significant role in the Company’s internal controls over financial reporting.</w:t>
      </w:r>
    </w:p>
    <w:p>
      <w:pPr>
        <w:spacing w:after="0" w:line="31" w:lineRule="exact"/>
        <w:rPr>
          <w:rFonts w:ascii="Arial" w:cs="Arial" w:eastAsia="Arial" w:hAnsi="Arial"/>
          <w:sz w:val="16"/>
          <w:szCs w:val="16"/>
          <w:color w:val="auto"/>
        </w:rPr>
      </w:pPr>
    </w:p>
    <w:p>
      <w:pPr>
        <w:ind w:left="2160" w:hanging="450"/>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Recommend to the Board whether to include the audited financial statements in the Company’s Form 10-K.</w:t>
      </w:r>
    </w:p>
    <w:p>
      <w:pPr>
        <w:spacing w:after="0" w:line="90" w:lineRule="exact"/>
        <w:rPr>
          <w:rFonts w:ascii="Arial" w:cs="Arial" w:eastAsia="Arial" w:hAnsi="Arial"/>
          <w:sz w:val="18"/>
          <w:szCs w:val="18"/>
          <w:color w:val="auto"/>
        </w:rPr>
      </w:pPr>
    </w:p>
    <w:p>
      <w:pPr>
        <w:ind w:left="2160" w:right="180" w:hanging="450"/>
        <w:spacing w:after="0" w:line="268" w:lineRule="auto"/>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Issue for public disclosure by the Audit Committee the report required by the SEC to be included in the Company’s annual proxy statement.</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Oversight Responsibilities</w:t>
      </w:r>
    </w:p>
    <w:p>
      <w:pPr>
        <w:spacing w:after="0" w:line="90" w:lineRule="exact"/>
        <w:rPr>
          <w:rFonts w:ascii="Arial" w:cs="Arial" w:eastAsia="Arial" w:hAnsi="Arial"/>
          <w:sz w:val="18"/>
          <w:szCs w:val="18"/>
          <w:i w:val="1"/>
          <w:iCs w:val="1"/>
          <w:color w:val="auto"/>
        </w:rPr>
      </w:pPr>
    </w:p>
    <w:p>
      <w:pPr>
        <w:ind w:left="2160" w:right="460" w:hanging="450"/>
        <w:spacing w:after="0" w:line="268" w:lineRule="auto"/>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Obtain from the independent accountants assurance that Section 10A(b) of the Securities Exchange Act of 1934 has not been implicated.</w:t>
      </w:r>
    </w:p>
    <w:p>
      <w:pPr>
        <w:spacing w:after="0" w:line="50" w:lineRule="exact"/>
        <w:rPr>
          <w:rFonts w:ascii="Arial" w:cs="Arial" w:eastAsia="Arial" w:hAnsi="Arial"/>
          <w:sz w:val="18"/>
          <w:szCs w:val="18"/>
          <w:color w:val="auto"/>
        </w:rPr>
      </w:pPr>
    </w:p>
    <w:p>
      <w:pPr>
        <w:ind w:left="2160" w:right="180" w:hanging="450"/>
        <w:spacing w:after="0" w:line="306" w:lineRule="auto"/>
        <w:tabs>
          <w:tab w:leader="none" w:pos="2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Administer the procedures set forth in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relating to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25" w:lineRule="exact"/>
        <w:rPr>
          <w:rFonts w:ascii="Arial" w:cs="Arial" w:eastAsia="Arial" w:hAnsi="Arial"/>
          <w:sz w:val="16"/>
          <w:szCs w:val="16"/>
          <w:color w:val="auto"/>
        </w:rPr>
      </w:pPr>
    </w:p>
    <w:p>
      <w:pPr>
        <w:ind w:left="2160" w:right="620" w:hanging="450"/>
        <w:spacing w:after="0" w:line="268" w:lineRule="auto"/>
        <w:tabs>
          <w:tab w:leader="none" w:pos="2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Review all potential conflict-of-interest situations arising in respect to the Company’s affairs and involving the Company’s affiliates or employees, including all transactions with related persons.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 Additional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Subject to the approval of the Board, the Committee shall have the right to use reasonable amounts of time of the Company’s independent registered public accounting firm, outside lawyers and other internal staff and also shall have the right to hire independent experts, lawyers and other consultants to assist and advise the Committee in connection with its responsibilities. The Committee shall keep the Company’s Chief Executive Officer advised as to the general range of anticipated expenses for outside consultants, and shall obtain the concurrence of the Board in advance for any expenditures.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 Disclosure of Charter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charter will be filed with the SEC.</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VIII. Evaluation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conduct an annual review of the Committee’s performance and recommend changes to the Board as needed.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ANNEX A</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Policy on Pre-Approval of Audit and Non-Audit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Statement of Principles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Auditor”</w:t>
      </w:r>
      <w:r>
        <w:rPr>
          <w:rFonts w:ascii="Arial" w:cs="Arial" w:eastAsia="Arial" w:hAnsi="Arial"/>
          <w:sz w:val="16"/>
          <w:szCs w:val="16"/>
          <w:color w:val="auto"/>
        </w:rPr>
        <w:t>) in order to assure that the provision of such services to the Company does not impair the auditor’s independence. Unless a type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to be provided by the Independent Auditor has received general pre-approval, it will require specific pre-approval by the Audit Committee. Any proposed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exceeding pre-approved cost levels will require specific pre-approval by the Audit Committee.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Audit Services</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annual audit services engagement terms and fees will be subject to the specific pre-approval of the Audit Committee. The Audit Committee will approve, if necessary, any changes in terms, conditions and fees resulting from changes in audit scope, Company structure or other matters.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annual audit services engagement approved by the Audit Committee, the Audit Committee may grant pre-approval for other audit services, which are those services that only the Independent Auditor reasonably can provide, such as limited quarterly reviews, comfort letters, statutory audits, attest services, reports on internal control over financial reporting required by section 404 of the Sarbanes-Oxley Act, consents, and assistance with and review of documents filed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Audit-Related Services</w:t>
      </w:r>
    </w:p>
    <w:p>
      <w:pPr>
        <w:spacing w:after="0" w:line="96"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Audit-related services are assurance and related services that are reasonably related to the performance of the audit or review of the Company’s financial statements and that are traditionally performed by the Independent Auditor. All audit-related services must be separately pre-approved by the Audit Committee.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Tax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services include tax compliance, tax planning, and tax advice. All tax services must be separately pre-approved by the Audit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All Other Services</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Audit Committee may grant pre-approval to those permissible non-audit services classified as All Other Services that it believes are routine and recurring services, and would not impair the independence of the auditor. Permissible All Other Services must be separately pre-approved by the Audit Committee.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list of the SEC’s prohibited non-audit services is attached to this policy as Exhibit 1. The SEC’s rules and relevant guidance should be consulted to determine the precise definitions of these services and the applicability of exceptions to certain of the prohibitions.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Pre-Approval Fee Levels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Pre-approval fee levels for all services to be provided by the Independent Auditor will be established periodically by the Audit Committee. Any proposed services exceeding these levels will require specific pre-approval by the Audit Committee.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Supporting Documentation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each proposed pre-approved service, the Independent Auditor will provide an engagement letter, which will be provided to the Audit Committee, regarding the specific services to be provided.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Procedures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Requests or applications to provide services that require separate approval by the Audit Committee will be submitted to the Audit Committee by the Chief Financial Officer, and must include a statement as to whether, in his view, the request or application is consistent with the SEC’s rules on auditor independence.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Confirmation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Independent Auditor will provide a written confirmation of its independence with respect to the Company to the Audit Committee on an annual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1: Prohibited Non-Audit Services</w:t>
      </w:r>
    </w:p>
    <w:p>
      <w:pPr>
        <w:spacing w:after="0" w:line="96"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reporting systems design and implementation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contributions-in-kind reports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functions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Human resources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Broker-dealer, investment adviser or investment banking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Expert services unrelated to the audit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ANNEX B</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Hiring Guidelines for Employees of the Independent Public Accounting Firm</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Audit Committee has adopted the following practices regarding the hiring by the Company of any employee of its independent public accounting firm who participated in any capacity in the audit of the Company.</w:t>
      </w:r>
    </w:p>
    <w:p>
      <w:pPr>
        <w:spacing w:after="0" w:line="51" w:lineRule="exact"/>
        <w:rPr>
          <w:sz w:val="20"/>
          <w:szCs w:val="20"/>
          <w:color w:val="auto"/>
        </w:rPr>
      </w:pPr>
    </w:p>
    <w:p>
      <w:pPr>
        <w:ind w:left="660" w:right="2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member of the audit team that is auditing the Company can be hired by the Company in a financial reporting oversight role (as defined in the SEC’s Regulation S-X) for a period of one year following association with that audit.</w:t>
      </w:r>
    </w:p>
    <w:p>
      <w:pPr>
        <w:spacing w:after="0" w:line="50" w:lineRule="exact"/>
        <w:rPr>
          <w:rFonts w:ascii="Arial" w:cs="Arial" w:eastAsia="Arial" w:hAnsi="Arial"/>
          <w:sz w:val="18"/>
          <w:szCs w:val="18"/>
          <w:color w:val="auto"/>
        </w:rPr>
      </w:pPr>
    </w:p>
    <w:p>
      <w:pPr>
        <w:ind w:left="660" w:right="320" w:hanging="43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Chief Financial Officer shall report annually to the Audit Committee the profile of the preceding year’s hires from the independent accountants.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AUDIT COMMITTEE CHARTER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the Submission of Complaints or Concerns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Financial Statement Disclosures, Accounting,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Accounting Controls or Auditing Matters</w:t>
      </w:r>
    </w:p>
    <w:p>
      <w:pPr>
        <w:spacing w:after="0" w:line="84" w:lineRule="exact"/>
        <w:rPr>
          <w:sz w:val="20"/>
          <w:szCs w:val="20"/>
          <w:color w:val="auto"/>
        </w:rPr>
      </w:pPr>
    </w:p>
    <w:p>
      <w:pPr>
        <w:ind w:left="460" w:right="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forward to the Audit Committee of the Board of Directors any complaints or concerns that it has received regarding financial statement disclosures, accounting, internal accounting controls or auditing matters.</w:t>
      </w:r>
    </w:p>
    <w:p>
      <w:pPr>
        <w:spacing w:after="0" w:line="5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establish and publish on its website an e-mail address for receiving complaints or concerns related to financial statement disclosures, accounting, internal accounting controls or auditing matters. The Company may engage the services of a third-party service provider to receive such complaints on behalf of the Company via telephone, email, or other appropriate method.</w:t>
      </w:r>
    </w:p>
    <w:p>
      <w:pPr>
        <w:spacing w:after="0" w:line="59"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employee of the Company may submit, on a confidential, anonymous basis if the employee so desires, any concerns regarding financial statement disclosures, accounting, internal accounting controls, or auditing matters by setting forth such concerns in writing and forwarding them in a sealed envelope to the Chairperson of the Audit Committee, in care of the Chief Compliance Officer, such envelope to be labeled with a legend such as: “To be opened by the Audit Committee only.” Employees may deposit such envelope in the Company’s internal mail system or deliver it by hand to the Chief Compliance Officer. If an employee would like to discuss any matter with the Audit Committee, the employee should indicate this in the submission and include a telephone number at which he or she might be contacted if the Audit Committee deems it appropriate.</w:t>
      </w:r>
    </w:p>
    <w:p>
      <w:pPr>
        <w:spacing w:after="0" w:line="3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Audit Committee shall review and consider any such complaints and concerns that it has received and take any action that it deems appropriate in order to respond thereto.</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Audit Committee may request special treatment for any complaint or concern, including the retention of outside counsel or other advisors.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Audit Committee shall retain any such complaints or concerns for a period of no less than 5 years.</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Code of Business Conduct and Ethics prohibits any employee from retaliating or taking any adverse action against anyone for raising or helping to resolve business conduct or ethical concerns.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11, 2012</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undersigned stockholder of TPG Specialty Lending, Inc. (the “Company”) acknowledges receipt of the Notice of Annual Meeting of Stockholders of the Company and hereby appoints David Reintjes and David Stiepleman, and each of them, and each with full power of substitution, to act as attorneys and proxies for the undersigned to vote all the shares of common stock of the Company which the undersigned is entitled to vote at the Annual Meeting of Stockholders of the Company to be held at the offices of TPG, 888 7</w:t>
      </w:r>
      <w:r>
        <w:rPr>
          <w:rFonts w:ascii="Arial" w:cs="Arial" w:eastAsia="Arial" w:hAnsi="Arial"/>
          <w:sz w:val="10"/>
          <w:szCs w:val="10"/>
          <w:color w:val="auto"/>
        </w:rPr>
        <w:t>th</w:t>
      </w:r>
      <w:r>
        <w:rPr>
          <w:rFonts w:ascii="Arial" w:cs="Arial" w:eastAsia="Arial" w:hAnsi="Arial"/>
          <w:sz w:val="16"/>
          <w:szCs w:val="16"/>
          <w:color w:val="auto"/>
        </w:rPr>
        <w:t xml:space="preserve"> Avenue (between 56</w:t>
      </w:r>
      <w:r>
        <w:rPr>
          <w:rFonts w:ascii="Arial" w:cs="Arial" w:eastAsia="Arial" w:hAnsi="Arial"/>
          <w:sz w:val="10"/>
          <w:szCs w:val="10"/>
          <w:color w:val="auto"/>
        </w:rPr>
        <w:t>th</w:t>
      </w:r>
      <w:r>
        <w:rPr>
          <w:rFonts w:ascii="Arial" w:cs="Arial" w:eastAsia="Arial" w:hAnsi="Arial"/>
          <w:sz w:val="16"/>
          <w:szCs w:val="16"/>
          <w:color w:val="auto"/>
        </w:rPr>
        <w:t xml:space="preserve"> and 57</w:t>
      </w:r>
      <w:r>
        <w:rPr>
          <w:rFonts w:ascii="Arial" w:cs="Arial" w:eastAsia="Arial" w:hAnsi="Arial"/>
          <w:sz w:val="10"/>
          <w:szCs w:val="10"/>
          <w:color w:val="auto"/>
        </w:rPr>
        <w:t>th</w:t>
      </w:r>
      <w:r>
        <w:rPr>
          <w:rFonts w:ascii="Arial" w:cs="Arial" w:eastAsia="Arial" w:hAnsi="Arial"/>
          <w:sz w:val="16"/>
          <w:szCs w:val="16"/>
          <w:color w:val="auto"/>
        </w:rPr>
        <w:t xml:space="preserve"> Streets), 38</w:t>
      </w:r>
      <w:r>
        <w:rPr>
          <w:rFonts w:ascii="Arial" w:cs="Arial" w:eastAsia="Arial" w:hAnsi="Arial"/>
          <w:sz w:val="10"/>
          <w:szCs w:val="10"/>
          <w:color w:val="auto"/>
        </w:rPr>
        <w:t>th</w:t>
      </w:r>
      <w:r>
        <w:rPr>
          <w:rFonts w:ascii="Arial" w:cs="Arial" w:eastAsia="Arial" w:hAnsi="Arial"/>
          <w:sz w:val="16"/>
          <w:szCs w:val="16"/>
          <w:color w:val="auto"/>
        </w:rPr>
        <w:t xml:space="preserve"> Floor, New York, NY 10106 on June 11, 2012, at 1:00 p.m., local time, and at all postponements or adjournments thereof, as indicated on this proxy.</w:t>
      </w:r>
    </w:p>
    <w:p>
      <w:pPr>
        <w:spacing w:after="0" w:line="1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THIS PROXY IS REVOCABLE AND WILL BE VOTED AS DIRECTED BY THE UNDERSIGNED BELOW; where no choice is specified, it will be voted FOR Proposals 1 and 2, and in the discretion of the proxies with respect to matters described in Proposal 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vote, sign and date this proxy on the reverse side and return it promptly in the enclosed envelope.</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(CONTINUED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 TPG Specialty Lending, Inc. June 11,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Mark, sign and date your proxy card and return it in the postage paid envelope we have provided.</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PLEASE DATE, SIGN AND MAIL YOUR PROXY CARD IN THE ENVELOPE PROVIDED AS SOON AS POSSIBLE</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Please Detach and Mail in the Envelope Provided</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THE BOARD OF DIRECTORS RECOMMENDS A VOTE FOR PROPOSALS 1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right="420" w:firstLine="8"/>
        <w:spacing w:after="0" w:line="332" w:lineRule="auto"/>
        <w:tabs>
          <w:tab w:leader="none" w:pos="3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ratify the selection of KPMG LLP as the independent registered public accounting firm for the fiscal year ending December 31, 2012.</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named proxies are also authorized to transact such other business as may properly come before the 2012 Annual Meeting of Stockholders or any postponement or adjournment thereof.</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NOMINEE</w:t>
            </w:r>
          </w:p>
        </w:tc>
        <w:tc>
          <w:tcPr>
            <w:tcW w:w="1120" w:type="dxa"/>
            <w:vAlign w:val="bottom"/>
          </w:tcPr>
          <w:p>
            <w:pPr>
              <w:ind w:left="260"/>
              <w:spacing w:after="0"/>
              <w:rPr>
                <w:sz w:val="20"/>
                <w:szCs w:val="20"/>
                <w:color w:val="auto"/>
              </w:rPr>
            </w:pPr>
            <w:r>
              <w:rPr>
                <w:rFonts w:ascii="Arial" w:cs="Arial" w:eastAsia="Arial" w:hAnsi="Arial"/>
                <w:sz w:val="18"/>
                <w:szCs w:val="18"/>
                <w:color w:val="auto"/>
              </w:rPr>
              <w:t>FOR</w:t>
            </w:r>
          </w:p>
        </w:tc>
        <w:tc>
          <w:tcPr>
            <w:tcW w:w="1700" w:type="dxa"/>
            <w:vAlign w:val="bottom"/>
          </w:tcPr>
          <w:p>
            <w:pPr>
              <w:ind w:left="500"/>
              <w:spacing w:after="0"/>
              <w:rPr>
                <w:sz w:val="20"/>
                <w:szCs w:val="20"/>
                <w:color w:val="auto"/>
              </w:rPr>
            </w:pPr>
            <w:r>
              <w:rPr>
                <w:rFonts w:ascii="Arial" w:cs="Arial" w:eastAsia="Arial" w:hAnsi="Arial"/>
                <w:sz w:val="18"/>
                <w:szCs w:val="18"/>
                <w:color w:val="auto"/>
              </w:rPr>
              <w:t>WITHHOLD</w:t>
            </w:r>
          </w:p>
        </w:tc>
        <w:tc>
          <w:tcPr>
            <w:tcW w:w="980" w:type="dxa"/>
            <w:vAlign w:val="bottom"/>
          </w:tcPr>
          <w:p>
            <w:pPr>
              <w:ind w:left="260"/>
              <w:spacing w:after="0"/>
              <w:rPr>
                <w:sz w:val="20"/>
                <w:szCs w:val="20"/>
                <w:color w:val="auto"/>
              </w:rPr>
            </w:pPr>
            <w:r>
              <w:rPr>
                <w:rFonts w:ascii="Arial" w:cs="Arial" w:eastAsia="Arial" w:hAnsi="Arial"/>
                <w:sz w:val="18"/>
                <w:szCs w:val="18"/>
                <w:color w:val="auto"/>
                <w:w w:val="93"/>
              </w:rPr>
              <w:t>FOR ALL</w:t>
            </w:r>
          </w:p>
        </w:tc>
        <w:tc>
          <w:tcPr>
            <w:tcW w:w="0" w:type="dxa"/>
            <w:vAlign w:val="bottom"/>
          </w:tcPr>
          <w:p>
            <w:pPr>
              <w:spacing w:after="0"/>
              <w:rPr>
                <w:sz w:val="1"/>
                <w:szCs w:val="1"/>
                <w:color w:val="auto"/>
              </w:rPr>
            </w:pPr>
          </w:p>
        </w:tc>
      </w:tr>
      <w:tr>
        <w:trPr>
          <w:trHeight w:val="222"/>
        </w:trPr>
        <w:tc>
          <w:tcPr>
            <w:tcW w:w="1520" w:type="dxa"/>
            <w:vAlign w:val="bottom"/>
            <w:vMerge w:val="restart"/>
          </w:tcPr>
          <w:p>
            <w:pPr>
              <w:spacing w:after="0"/>
              <w:rPr>
                <w:sz w:val="20"/>
                <w:szCs w:val="20"/>
                <w:color w:val="auto"/>
              </w:rPr>
            </w:pPr>
            <w:r>
              <w:rPr>
                <w:rFonts w:ascii="Arial" w:cs="Arial" w:eastAsia="Arial" w:hAnsi="Arial"/>
                <w:sz w:val="18"/>
                <w:szCs w:val="18"/>
                <w:color w:val="auto"/>
              </w:rPr>
              <w:t>Richard</w:t>
            </w:r>
          </w:p>
        </w:tc>
        <w:tc>
          <w:tcPr>
            <w:tcW w:w="1120" w:type="dxa"/>
            <w:vAlign w:val="bottom"/>
          </w:tcPr>
          <w:p>
            <w:pPr>
              <w:ind w:left="260"/>
              <w:spacing w:after="0"/>
              <w:rPr>
                <w:sz w:val="20"/>
                <w:szCs w:val="20"/>
                <w:color w:val="auto"/>
              </w:rPr>
            </w:pPr>
            <w:r>
              <w:rPr>
                <w:rFonts w:ascii="Arial" w:cs="Arial" w:eastAsia="Arial" w:hAnsi="Arial"/>
                <w:sz w:val="18"/>
                <w:szCs w:val="18"/>
                <w:color w:val="auto"/>
              </w:rPr>
              <w:t>ALL</w:t>
            </w:r>
          </w:p>
        </w:tc>
        <w:tc>
          <w:tcPr>
            <w:tcW w:w="1700" w:type="dxa"/>
            <w:vAlign w:val="bottom"/>
          </w:tcPr>
          <w:p>
            <w:pPr>
              <w:ind w:left="500"/>
              <w:spacing w:after="0"/>
              <w:rPr>
                <w:sz w:val="20"/>
                <w:szCs w:val="20"/>
                <w:color w:val="auto"/>
              </w:rPr>
            </w:pPr>
            <w:r>
              <w:rPr>
                <w:rFonts w:ascii="Arial" w:cs="Arial" w:eastAsia="Arial" w:hAnsi="Arial"/>
                <w:sz w:val="18"/>
                <w:szCs w:val="18"/>
                <w:color w:val="auto"/>
              </w:rPr>
              <w:t>ALL</w:t>
            </w:r>
          </w:p>
        </w:tc>
        <w:tc>
          <w:tcPr>
            <w:tcW w:w="980" w:type="dxa"/>
            <w:vAlign w:val="bottom"/>
          </w:tcPr>
          <w:p>
            <w:pPr>
              <w:ind w:left="260"/>
              <w:spacing w:after="0"/>
              <w:rPr>
                <w:sz w:val="20"/>
                <w:szCs w:val="20"/>
                <w:color w:val="auto"/>
              </w:rPr>
            </w:pPr>
            <w:r>
              <w:rPr>
                <w:rFonts w:ascii="Arial" w:cs="Arial" w:eastAsia="Arial" w:hAnsi="Arial"/>
                <w:sz w:val="18"/>
                <w:szCs w:val="18"/>
                <w:color w:val="auto"/>
                <w:w w:val="97"/>
              </w:rPr>
              <w:t>EXCEPT</w:t>
            </w:r>
          </w:p>
        </w:tc>
        <w:tc>
          <w:tcPr>
            <w:tcW w:w="0" w:type="dxa"/>
            <w:vAlign w:val="bottom"/>
          </w:tcPr>
          <w:p>
            <w:pPr>
              <w:spacing w:after="0"/>
              <w:rPr>
                <w:sz w:val="1"/>
                <w:szCs w:val="1"/>
                <w:color w:val="auto"/>
              </w:rPr>
            </w:pPr>
          </w:p>
        </w:tc>
      </w:tr>
      <w:tr>
        <w:trPr>
          <w:trHeight w:val="196"/>
        </w:trPr>
        <w:tc>
          <w:tcPr>
            <w:tcW w:w="1520" w:type="dxa"/>
            <w:vAlign w:val="bottom"/>
            <w:vMerge w:val="continue"/>
          </w:tcPr>
          <w:p>
            <w:pPr>
              <w:spacing w:after="0"/>
              <w:rPr>
                <w:sz w:val="17"/>
                <w:szCs w:val="17"/>
                <w:color w:val="auto"/>
              </w:rPr>
            </w:pPr>
          </w:p>
        </w:tc>
        <w:tc>
          <w:tcPr>
            <w:tcW w:w="11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2"/>
        </w:trPr>
        <w:tc>
          <w:tcPr>
            <w:tcW w:w="1520" w:type="dxa"/>
            <w:vAlign w:val="bottom"/>
          </w:tcPr>
          <w:p>
            <w:pPr>
              <w:spacing w:after="0"/>
              <w:rPr>
                <w:sz w:val="20"/>
                <w:szCs w:val="20"/>
                <w:color w:val="auto"/>
              </w:rPr>
            </w:pPr>
            <w:r>
              <w:rPr>
                <w:rFonts w:ascii="Arial" w:cs="Arial" w:eastAsia="Arial" w:hAnsi="Arial"/>
                <w:sz w:val="18"/>
                <w:szCs w:val="18"/>
                <w:color w:val="auto"/>
              </w:rPr>
              <w:t>Higginbotham</w:t>
            </w:r>
          </w:p>
        </w:tc>
        <w:tc>
          <w:tcPr>
            <w:tcW w:w="112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520" w:type="dxa"/>
            <w:vAlign w:val="bottom"/>
          </w:tcPr>
          <w:p>
            <w:pPr>
              <w:spacing w:after="0"/>
              <w:rPr>
                <w:sz w:val="20"/>
                <w:szCs w:val="20"/>
                <w:color w:val="auto"/>
              </w:rPr>
            </w:pPr>
            <w:r>
              <w:rPr>
                <w:rFonts w:ascii="Arial" w:cs="Arial" w:eastAsia="Arial" w:hAnsi="Arial"/>
                <w:sz w:val="18"/>
                <w:szCs w:val="18"/>
                <w:color w:val="auto"/>
              </w:rPr>
              <w:t>Ronald Tanemura</w:t>
            </w:r>
          </w:p>
        </w:tc>
        <w:tc>
          <w:tcPr>
            <w:tcW w:w="11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vMerge w:val="restart"/>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520" w:type="dxa"/>
            <w:vAlign w:val="bottom"/>
          </w:tcPr>
          <w:p>
            <w:pPr>
              <w:spacing w:after="0"/>
              <w:rPr>
                <w:sz w:val="20"/>
                <w:szCs w:val="20"/>
                <w:color w:val="auto"/>
              </w:rPr>
            </w:pPr>
            <w:r>
              <w:rPr>
                <w:rFonts w:ascii="Arial" w:cs="Arial" w:eastAsia="Arial" w:hAnsi="Arial"/>
                <w:sz w:val="18"/>
                <w:szCs w:val="18"/>
                <w:color w:val="auto"/>
              </w:rPr>
              <w:t>ABSTAIN</w:t>
            </w:r>
          </w:p>
        </w:tc>
        <w:tc>
          <w:tcPr>
            <w:tcW w:w="1120" w:type="dxa"/>
            <w:vAlign w:val="bottom"/>
          </w:tcPr>
          <w:p>
            <w:pPr>
              <w:ind w:left="260"/>
              <w:spacing w:after="0"/>
              <w:rPr>
                <w:sz w:val="20"/>
                <w:szCs w:val="20"/>
                <w:color w:val="auto"/>
              </w:rPr>
            </w:pPr>
            <w:r>
              <w:rPr>
                <w:rFonts w:ascii="Arial" w:cs="Arial" w:eastAsia="Arial" w:hAnsi="Arial"/>
                <w:sz w:val="18"/>
                <w:szCs w:val="18"/>
                <w:color w:val="auto"/>
              </w:rPr>
              <w:t>FOR</w:t>
            </w:r>
          </w:p>
        </w:tc>
        <w:tc>
          <w:tcPr>
            <w:tcW w:w="1700" w:type="dxa"/>
            <w:vAlign w:val="bottom"/>
          </w:tcPr>
          <w:p>
            <w:pPr>
              <w:ind w:left="500"/>
              <w:spacing w:after="0"/>
              <w:rPr>
                <w:sz w:val="20"/>
                <w:szCs w:val="20"/>
                <w:color w:val="auto"/>
              </w:rPr>
            </w:pPr>
            <w:r>
              <w:rPr>
                <w:rFonts w:ascii="Arial" w:cs="Arial" w:eastAsia="Arial" w:hAnsi="Arial"/>
                <w:sz w:val="18"/>
                <w:szCs w:val="18"/>
                <w:color w:val="auto"/>
              </w:rPr>
              <w:t>AGAINST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5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5" w:lineRule="exact"/>
        <w:rPr>
          <w:sz w:val="20"/>
          <w:szCs w:val="20"/>
          <w:color w:val="auto"/>
        </w:rPr>
      </w:pPr>
    </w:p>
    <w:p>
      <w:pPr>
        <w:sectPr>
          <w:pgSz w:w="11900" w:h="16838" w:orient="portrait"/>
          <w:cols w:equalWidth="0" w:num="2">
            <w:col w:w="5440" w:space="140"/>
            <w:col w:w="5740"/>
          </w:cols>
          <w:pgMar w:left="240" w:top="459" w:right="339" w:bottom="1440" w:gutter="0" w:footer="0" w:header="0"/>
          <w:type w:val="continuous"/>
        </w:sectPr>
      </w:pPr>
    </w:p>
    <w:p>
      <w:pPr>
        <w:spacing w:after="0" w:line="370" w:lineRule="auto"/>
        <w:rPr>
          <w:sz w:val="20"/>
          <w:szCs w:val="20"/>
          <w:color w:val="auto"/>
        </w:rPr>
      </w:pPr>
      <w:r>
        <w:rPr>
          <w:rFonts w:ascii="Arial" w:cs="Arial" w:eastAsia="Arial" w:hAnsi="Arial"/>
          <w:sz w:val="15"/>
          <w:szCs w:val="15"/>
          <w:color w:val="auto"/>
        </w:rPr>
        <w:t>Please sign exactly as your name(s) appear(s) hereon. When signing as attorney, executor, or administrator, or other fiduciary, please give full title as such. Joint owners should each sign personally. All holders must sign. If a corporation or partnership, please sign in full corporate or partnership name by authorized officer.</w:t>
      </w:r>
    </w:p>
    <w:p>
      <w:pPr>
        <w:spacing w:after="0" w:line="99" w:lineRule="exact"/>
        <w:rPr>
          <w:sz w:val="20"/>
          <w:szCs w:val="20"/>
          <w:color w:val="auto"/>
        </w:rPr>
      </w:pPr>
    </w:p>
    <w:p>
      <w:pPr>
        <w:spacing w:after="0"/>
        <w:tabs>
          <w:tab w:leader="none" w:pos="3180" w:val="left"/>
          <w:tab w:leader="none" w:pos="6060" w:val="left"/>
          <w:tab w:leader="none" w:pos="8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403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8890</wp:posOffset>
            </wp:positionV>
            <wp:extent cx="52139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IF HELD JOINTLY</w:t>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1)"/>
      <w:numFmt w:val="lowerRoman"/>
      <w:start w:val="4"/>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Roman"/>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21">
    <w:nsid w:val="71F32454"/>
    <w:multiLevelType w:val="hybridMultilevel"/>
    <w:lvl w:ilvl="0">
      <w:lvlJc w:val="left"/>
      <w:lvlText w:val="%1."/>
      <w:numFmt w:val="lowerRoman"/>
      <w:start w:val="5"/>
    </w:lvl>
  </w:abstractNum>
  <w:abstractNum w:abstractNumId="22">
    <w:nsid w:val="2CA8861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3">
    <w:nsid w:val="836C40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24">
    <w:nsid w:val="2901D82"/>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5">
    <w:nsid w:val="3A95F87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6">
    <w:nsid w:val="813864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27">
    <w:nsid w:val="1E7FF521"/>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28">
    <w:nsid w:val="7C3DBD3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2019-12-09T19:54:44Z</dcterms:created>
  <dcterms:modified xsi:type="dcterms:W3CDTF">2019-12-09T19:54:44Z</dcterms:modified>
</cp:coreProperties>
</file>