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91440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00" w:right="240" w:hanging="492"/>
        <w:spacing w:after="0" w:line="236" w:lineRule="auto"/>
        <w:tabs>
          <w:tab w:leader="none" w:pos="50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2021</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67" w:lineRule="exact"/>
        <w:rPr>
          <w:sz w:val="24"/>
          <w:szCs w:val="24"/>
          <w:color w:val="auto"/>
        </w:rPr>
      </w:pPr>
    </w:p>
    <w:p>
      <w:pPr>
        <w:ind w:left="500" w:right="220" w:hanging="492"/>
        <w:spacing w:after="0" w:line="256" w:lineRule="auto"/>
        <w:tabs>
          <w:tab w:leader="none" w:pos="50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23" w:lineRule="exact"/>
        <w:rPr>
          <w:sz w:val="24"/>
          <w:szCs w:val="24"/>
          <w:color w:val="auto"/>
        </w:rPr>
      </w:pPr>
    </w:p>
    <w:p>
      <w:pPr>
        <w:ind w:left="344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001-36364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9"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Sixth Street Specialty Lending, Inc.</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8" w:lineRule="exact"/>
        <w:rPr>
          <w:sz w:val="24"/>
          <w:szCs w:val="24"/>
          <w:color w:val="auto"/>
        </w:rPr>
      </w:pPr>
    </w:p>
    <w:tbl>
      <w:tblPr>
        <w:tblLayout w:type="fixed"/>
        <w:tblInd w:w="1440" w:type="dxa"/>
        <w:tblCellMar>
          <w:top w:w="0" w:type="dxa"/>
          <w:left w:w="0" w:type="dxa"/>
          <w:bottom w:w="0" w:type="dxa"/>
          <w:right w:w="0" w:type="dxa"/>
        </w:tblCellMar>
      </w:tblPr>
      <w:tr>
        <w:trPr>
          <w:trHeight w:val="212"/>
        </w:trPr>
        <w:tc>
          <w:tcPr>
            <w:tcW w:w="4600" w:type="dxa"/>
            <w:vAlign w:val="bottom"/>
          </w:tcPr>
          <w:p>
            <w:pPr>
              <w:jc w:val="center"/>
              <w:ind w:right="1759"/>
              <w:spacing w:after="0"/>
              <w:rPr>
                <w:sz w:val="20"/>
                <w:szCs w:val="20"/>
                <w:color w:val="auto"/>
              </w:rPr>
            </w:pPr>
            <w:r>
              <w:rPr>
                <w:rFonts w:ascii="Arial" w:cs="Arial" w:eastAsia="Arial" w:hAnsi="Arial"/>
                <w:sz w:val="18"/>
                <w:szCs w:val="18"/>
                <w:b w:val="1"/>
                <w:bCs w:val="1"/>
                <w:color w:val="auto"/>
                <w:w w:val="91"/>
              </w:rPr>
              <w:t>Delaware</w:t>
            </w:r>
          </w:p>
        </w:tc>
        <w:tc>
          <w:tcPr>
            <w:tcW w:w="2960" w:type="dxa"/>
            <w:vAlign w:val="bottom"/>
          </w:tcPr>
          <w:p>
            <w:pPr>
              <w:jc w:val="right"/>
              <w:ind w:right="61"/>
              <w:spacing w:after="0"/>
              <w:rPr>
                <w:sz w:val="20"/>
                <w:szCs w:val="20"/>
                <w:color w:val="auto"/>
              </w:rPr>
            </w:pPr>
            <w:r>
              <w:rPr>
                <w:rFonts w:ascii="Arial" w:cs="Arial" w:eastAsia="Arial" w:hAnsi="Arial"/>
                <w:sz w:val="18"/>
                <w:szCs w:val="18"/>
                <w:b w:val="1"/>
                <w:bCs w:val="1"/>
                <w:color w:val="auto"/>
              </w:rPr>
              <w:t>27-3380000</w:t>
            </w:r>
          </w:p>
        </w:tc>
      </w:tr>
      <w:tr>
        <w:trPr>
          <w:trHeight w:val="148"/>
        </w:trPr>
        <w:tc>
          <w:tcPr>
            <w:tcW w:w="4600" w:type="dxa"/>
            <w:vAlign w:val="bottom"/>
          </w:tcPr>
          <w:p>
            <w:pPr>
              <w:jc w:val="center"/>
              <w:ind w:right="175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960" w:type="dxa"/>
            <w:vAlign w:val="bottom"/>
          </w:tcPr>
          <w:p>
            <w:pPr>
              <w:jc w:val="center"/>
              <w:ind w:left="176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600" w:type="dxa"/>
            <w:vAlign w:val="bottom"/>
          </w:tcPr>
          <w:p>
            <w:pPr>
              <w:jc w:val="center"/>
              <w:ind w:right="1759"/>
              <w:spacing w:after="0"/>
              <w:rPr>
                <w:sz w:val="20"/>
                <w:szCs w:val="20"/>
                <w:color w:val="auto"/>
              </w:rPr>
            </w:pPr>
            <w:r>
              <w:rPr>
                <w:rFonts w:ascii="Arial" w:cs="Arial" w:eastAsia="Arial" w:hAnsi="Arial"/>
                <w:sz w:val="14"/>
                <w:szCs w:val="14"/>
                <w:b w:val="1"/>
                <w:bCs w:val="1"/>
                <w:color w:val="auto"/>
                <w:w w:val="94"/>
              </w:rPr>
              <w:t>incorporation or organization)</w:t>
            </w:r>
          </w:p>
        </w:tc>
        <w:tc>
          <w:tcPr>
            <w:tcW w:w="2960" w:type="dxa"/>
            <w:vAlign w:val="bottom"/>
          </w:tcPr>
          <w:p>
            <w:pPr>
              <w:jc w:val="center"/>
              <w:ind w:left="1741"/>
              <w:spacing w:after="0"/>
              <w:rPr>
                <w:sz w:val="20"/>
                <w:szCs w:val="20"/>
                <w:color w:val="auto"/>
              </w:rPr>
            </w:pPr>
            <w:r>
              <w:rPr>
                <w:rFonts w:ascii="Arial" w:cs="Arial" w:eastAsia="Arial" w:hAnsi="Arial"/>
                <w:sz w:val="14"/>
                <w:szCs w:val="14"/>
                <w:b w:val="1"/>
                <w:bCs w:val="1"/>
                <w:color w:val="auto"/>
                <w:w w:val="96"/>
              </w:rPr>
              <w:t>Identification No.)</w:t>
            </w:r>
          </w:p>
        </w:tc>
      </w:tr>
      <w:tr>
        <w:trPr>
          <w:trHeight w:val="264"/>
        </w:trPr>
        <w:tc>
          <w:tcPr>
            <w:tcW w:w="4600" w:type="dxa"/>
            <w:vAlign w:val="bottom"/>
          </w:tcPr>
          <w:p>
            <w:pPr>
              <w:jc w:val="center"/>
              <w:ind w:right="1759"/>
              <w:spacing w:after="0"/>
              <w:rPr>
                <w:sz w:val="20"/>
                <w:szCs w:val="20"/>
                <w:color w:val="auto"/>
              </w:rPr>
            </w:pPr>
            <w:r>
              <w:rPr>
                <w:rFonts w:ascii="Arial" w:cs="Arial" w:eastAsia="Arial" w:hAnsi="Arial"/>
                <w:sz w:val="18"/>
                <w:szCs w:val="18"/>
                <w:b w:val="1"/>
                <w:bCs w:val="1"/>
                <w:color w:val="auto"/>
                <w:w w:val="90"/>
              </w:rPr>
              <w:t>2100 McKinney Avenue, Suite 1500,</w:t>
            </w:r>
          </w:p>
        </w:tc>
        <w:tc>
          <w:tcPr>
            <w:tcW w:w="2960" w:type="dxa"/>
            <w:vAlign w:val="bottom"/>
          </w:tcPr>
          <w:p>
            <w:pPr>
              <w:spacing w:after="0"/>
              <w:rPr>
                <w:sz w:val="22"/>
                <w:szCs w:val="22"/>
                <w:color w:val="auto"/>
              </w:rPr>
            </w:pPr>
          </w:p>
        </w:tc>
      </w:tr>
      <w:tr>
        <w:trPr>
          <w:trHeight w:val="212"/>
        </w:trPr>
        <w:tc>
          <w:tcPr>
            <w:tcW w:w="4600" w:type="dxa"/>
            <w:vAlign w:val="bottom"/>
          </w:tcPr>
          <w:p>
            <w:pPr>
              <w:jc w:val="center"/>
              <w:ind w:right="1779"/>
              <w:spacing w:after="0"/>
              <w:rPr>
                <w:sz w:val="20"/>
                <w:szCs w:val="20"/>
                <w:color w:val="auto"/>
              </w:rPr>
            </w:pPr>
            <w:r>
              <w:rPr>
                <w:rFonts w:ascii="Arial" w:cs="Arial" w:eastAsia="Arial" w:hAnsi="Arial"/>
                <w:sz w:val="18"/>
                <w:szCs w:val="18"/>
                <w:b w:val="1"/>
                <w:bCs w:val="1"/>
                <w:color w:val="auto"/>
                <w:w w:val="95"/>
              </w:rPr>
              <w:t>Dallas, TX</w:t>
            </w:r>
          </w:p>
        </w:tc>
        <w:tc>
          <w:tcPr>
            <w:tcW w:w="2960" w:type="dxa"/>
            <w:vAlign w:val="bottom"/>
          </w:tcPr>
          <w:p>
            <w:pPr>
              <w:jc w:val="right"/>
              <w:ind w:right="261"/>
              <w:spacing w:after="0"/>
              <w:rPr>
                <w:sz w:val="20"/>
                <w:szCs w:val="20"/>
                <w:color w:val="auto"/>
              </w:rPr>
            </w:pPr>
            <w:r>
              <w:rPr>
                <w:rFonts w:ascii="Arial" w:cs="Arial" w:eastAsia="Arial" w:hAnsi="Arial"/>
                <w:sz w:val="18"/>
                <w:szCs w:val="18"/>
                <w:b w:val="1"/>
                <w:bCs w:val="1"/>
                <w:color w:val="auto"/>
              </w:rPr>
              <w:t>75201</w:t>
            </w:r>
          </w:p>
        </w:tc>
      </w:tr>
      <w:tr>
        <w:trPr>
          <w:trHeight w:val="186"/>
        </w:trPr>
        <w:tc>
          <w:tcPr>
            <w:tcW w:w="4600" w:type="dxa"/>
            <w:vAlign w:val="bottom"/>
          </w:tcPr>
          <w:p>
            <w:pPr>
              <w:jc w:val="center"/>
              <w:ind w:right="17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960" w:type="dxa"/>
            <w:vAlign w:val="bottom"/>
          </w:tcPr>
          <w:p>
            <w:pPr>
              <w:jc w:val="center"/>
              <w:ind w:left="1741"/>
              <w:spacing w:after="0"/>
              <w:rPr>
                <w:sz w:val="20"/>
                <w:szCs w:val="20"/>
                <w:color w:val="auto"/>
              </w:rPr>
            </w:pPr>
            <w:r>
              <w:rPr>
                <w:rFonts w:ascii="Arial" w:cs="Arial" w:eastAsia="Arial" w:hAnsi="Arial"/>
                <w:sz w:val="14"/>
                <w:szCs w:val="14"/>
                <w:b w:val="1"/>
                <w:bCs w:val="1"/>
                <w:color w:val="auto"/>
                <w:w w:val="95"/>
              </w:rPr>
              <w:t>(Zip Code)</w:t>
            </w:r>
          </w:p>
        </w:tc>
      </w:tr>
    </w:tbl>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(469) 621-3001</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120"/>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112" w:lineRule="exact"/>
        <w:rPr>
          <w:sz w:val="24"/>
          <w:szCs w:val="24"/>
          <w:color w:val="auto"/>
        </w:rPr>
      </w:pPr>
    </w:p>
    <w:tbl>
      <w:tblPr>
        <w:tblLayout w:type="fixed"/>
        <w:tblInd w:w="10" w:type="dxa"/>
        <w:tblCellMar>
          <w:top w:w="0" w:type="dxa"/>
          <w:left w:w="0" w:type="dxa"/>
          <w:bottom w:w="0" w:type="dxa"/>
          <w:right w:w="0" w:type="dxa"/>
        </w:tblCellMar>
      </w:tblPr>
      <w:tr>
        <w:trPr>
          <w:trHeight w:val="162"/>
        </w:trPr>
        <w:tc>
          <w:tcPr>
            <w:tcW w:w="37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3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196"/>
        </w:trPr>
        <w:tc>
          <w:tcPr>
            <w:tcW w:w="3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Common Stock, par value $0.01 per share</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TSLX</w:t>
            </w:r>
          </w:p>
        </w:tc>
        <w:tc>
          <w:tcPr>
            <w:tcW w:w="3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The New York Stock Exchange</w:t>
            </w:r>
          </w:p>
        </w:tc>
      </w:tr>
    </w:tbl>
    <w:p>
      <w:pPr>
        <w:spacing w:after="0" w:line="62" w:lineRule="exact"/>
        <w:rPr>
          <w:sz w:val="24"/>
          <w:szCs w:val="24"/>
          <w:color w:val="auto"/>
        </w:rPr>
      </w:pPr>
    </w:p>
    <w:p>
      <w:pPr>
        <w:ind w:right="22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2" w:lineRule="exact"/>
        <w:rPr>
          <w:sz w:val="24"/>
          <w:szCs w:val="24"/>
          <w:color w:val="auto"/>
        </w:rPr>
      </w:pPr>
    </w:p>
    <w:p>
      <w:pPr>
        <w:ind w:right="10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2" w:lineRule="exact"/>
        <w:rPr>
          <w:sz w:val="24"/>
          <w:szCs w:val="24"/>
          <w:color w:val="auto"/>
        </w:rPr>
      </w:pPr>
    </w:p>
    <w:p>
      <w:pPr>
        <w:ind w:right="44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647" w:right="339" w:bottom="1440" w:gutter="0" w:footer="0" w:header="0"/>
        </w:sectPr>
      </w:pPr>
    </w:p>
    <w:p>
      <w:pPr>
        <w:spacing w:after="0" w:line="92" w:lineRule="exact"/>
        <w:rPr>
          <w:sz w:val="24"/>
          <w:szCs w:val="24"/>
          <w:color w:val="auto"/>
        </w:rPr>
      </w:pPr>
    </w:p>
    <w:p>
      <w:pPr>
        <w:spacing w:after="0" w:line="161" w:lineRule="exact"/>
        <w:tabs>
          <w:tab w:leader="none" w:pos="2860" w:val="left"/>
          <w:tab w:leader="none" w:pos="788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Accelerated filer</w:t>
      </w:r>
    </w:p>
    <w:p>
      <w:pPr>
        <w:spacing w:after="0" w:line="49" w:lineRule="exact"/>
        <w:rPr>
          <w:sz w:val="24"/>
          <w:szCs w:val="24"/>
          <w:color w:val="auto"/>
        </w:rPr>
      </w:pPr>
    </w:p>
    <w:p>
      <w:pPr>
        <w:spacing w:after="0" w:line="161" w:lineRule="exact"/>
        <w:tabs>
          <w:tab w:leader="none" w:pos="2860" w:val="left"/>
          <w:tab w:leader="none" w:pos="7880" w:val="left"/>
        </w:tabs>
        <w:rPr>
          <w:sz w:val="20"/>
          <w:szCs w:val="20"/>
          <w:color w:val="auto"/>
        </w:rPr>
      </w:pP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Smaller reporting company</w:t>
      </w:r>
    </w:p>
    <w:p>
      <w:pPr>
        <w:spacing w:after="0" w:line="31" w:lineRule="exact"/>
        <w:rPr>
          <w:sz w:val="24"/>
          <w:szCs w:val="24"/>
          <w:color w:val="auto"/>
        </w:rPr>
      </w:pPr>
    </w:p>
    <w:p>
      <w:pPr>
        <w:ind w:left="7900"/>
        <w:spacing w:after="0"/>
        <w:rPr>
          <w:sz w:val="20"/>
          <w:szCs w:val="20"/>
          <w:color w:val="auto"/>
        </w:rPr>
      </w:pPr>
      <w:r>
        <w:rPr>
          <w:rFonts w:ascii="Arial" w:cs="Arial" w:eastAsia="Arial" w:hAnsi="Arial"/>
          <w:sz w:val="14"/>
          <w:szCs w:val="14"/>
          <w:color w:val="auto"/>
        </w:rPr>
        <w:t>Emerging growth company</w:t>
      </w:r>
    </w:p>
    <w:p>
      <w:pPr>
        <w:spacing w:after="0" w:line="59"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8" w:lineRule="exact"/>
        <w:rPr>
          <w:sz w:val="24"/>
          <w:szCs w:val="24"/>
          <w:color w:val="auto"/>
        </w:rPr>
      </w:pPr>
    </w:p>
    <w:p>
      <w:pPr>
        <w:ind w:right="3060"/>
        <w:spacing w:after="0" w:line="22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The number of shares of the registrant’s common stock, $.01 par value per share, outstanding at August 3, 2021 was 72,837,125.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749935</wp:posOffset>
            </wp:positionV>
            <wp:extent cx="71748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7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7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3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ectPr>
          <w:pgSz w:w="11900" w:h="16838" w:orient="portrait"/>
          <w:cols w:equalWidth="0" w:num="2">
            <w:col w:w="10680" w:space="80"/>
            <w:col w:w="480"/>
          </w:cols>
          <w:pgMar w:left="320" w:top="647"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SIXTH STREET SPECIALTY LENDING, INC.</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40" w:type="dxa"/>
            <w:vAlign w:val="bottom"/>
            <w:gridSpan w:val="7"/>
            <w:vMerge w:val="restart"/>
          </w:tcPr>
          <w:p>
            <w:pPr>
              <w:spacing w:after="0"/>
              <w:rPr>
                <w:sz w:val="20"/>
                <w:szCs w:val="20"/>
                <w:color w:val="auto"/>
              </w:rPr>
            </w:pPr>
            <w:r>
              <w:rPr>
                <w:rFonts w:ascii="Arial" w:cs="Arial" w:eastAsia="Arial" w:hAnsi="Arial"/>
                <w:sz w:val="14"/>
                <w:szCs w:val="14"/>
                <w:b w:val="1"/>
                <w:bCs w:val="1"/>
                <w:color w:val="auto"/>
              </w:rPr>
              <w:t>INDEX</w:t>
            </w:r>
          </w:p>
        </w:tc>
        <w:tc>
          <w:tcPr>
            <w:tcW w:w="100" w:type="dxa"/>
            <w:vAlign w:val="bottom"/>
            <w:vMerge w:val="restart"/>
          </w:tcPr>
          <w:p>
            <w:pPr>
              <w:spacing w:after="0"/>
              <w:rPr>
                <w:sz w:val="14"/>
                <w:szCs w:val="14"/>
                <w:color w:val="auto"/>
              </w:rPr>
            </w:pPr>
          </w:p>
        </w:tc>
        <w:tc>
          <w:tcPr>
            <w:tcW w:w="900" w:type="dxa"/>
            <w:vAlign w:val="bottom"/>
          </w:tcPr>
          <w:p>
            <w:pPr>
              <w:jc w:val="right"/>
              <w:ind w:right="172"/>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1"/>
        </w:trPr>
        <w:tc>
          <w:tcPr>
            <w:tcW w:w="11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840" w:type="dxa"/>
            <w:vAlign w:val="bottom"/>
            <w:tcBorders>
              <w:bottom w:val="single" w:sz="8" w:color="auto"/>
            </w:tcBorders>
            <w:gridSpan w:val="7"/>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NO.</w:t>
            </w:r>
          </w:p>
        </w:tc>
        <w:tc>
          <w:tcPr>
            <w:tcW w:w="0" w:type="dxa"/>
            <w:vAlign w:val="bottom"/>
          </w:tcPr>
          <w:p>
            <w:pPr>
              <w:spacing w:after="0"/>
              <w:rPr>
                <w:sz w:val="1"/>
                <w:szCs w:val="1"/>
                <w:color w:val="auto"/>
              </w:rPr>
            </w:pPr>
          </w:p>
        </w:tc>
      </w:tr>
      <w:tr>
        <w:trPr>
          <w:trHeight w:val="264"/>
        </w:trPr>
        <w:tc>
          <w:tcPr>
            <w:tcW w:w="1100" w:type="dxa"/>
            <w:vAlign w:val="bottom"/>
          </w:tcPr>
          <w:p>
            <w:pPr>
              <w:spacing w:after="0"/>
              <w:rPr>
                <w:sz w:val="20"/>
                <w:szCs w:val="20"/>
                <w:color w:val="auto"/>
              </w:rPr>
            </w:pPr>
            <w:r>
              <w:rPr>
                <w:rFonts w:ascii="Arial" w:cs="Arial" w:eastAsia="Arial" w:hAnsi="Arial"/>
                <w:sz w:val="18"/>
                <w:szCs w:val="18"/>
                <w:color w:val="auto"/>
              </w:rPr>
              <w:t>PART I.</w:t>
            </w:r>
          </w:p>
        </w:tc>
        <w:tc>
          <w:tcPr>
            <w:tcW w:w="9240" w:type="dxa"/>
            <w:vAlign w:val="bottom"/>
            <w:gridSpan w:val="2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INFORMATION</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90"/>
        </w:trPr>
        <w:tc>
          <w:tcPr>
            <w:tcW w:w="1100" w:type="dxa"/>
            <w:vAlign w:val="bottom"/>
          </w:tcPr>
          <w:p>
            <w:pPr>
              <w:spacing w:after="0"/>
              <w:rPr>
                <w:sz w:val="20"/>
                <w:szCs w:val="20"/>
                <w:color w:val="auto"/>
              </w:rPr>
            </w:pPr>
            <w:r>
              <w:rPr>
                <w:rFonts w:ascii="Arial" w:cs="Arial" w:eastAsia="Arial" w:hAnsi="Arial"/>
                <w:sz w:val="18"/>
                <w:szCs w:val="18"/>
                <w:color w:val="auto"/>
              </w:rPr>
              <w:t>Item 1.</w:t>
            </w:r>
          </w:p>
        </w:tc>
        <w:tc>
          <w:tcPr>
            <w:tcW w:w="14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4"/>
              </w:rPr>
            </w:pPr>
            <w:hyperlink w:anchor="page4">
              <w:r>
                <w:rPr>
                  <w:rFonts w:ascii="Arial" w:cs="Arial" w:eastAsia="Arial" w:hAnsi="Arial"/>
                  <w:sz w:val="18"/>
                  <w:szCs w:val="18"/>
                  <w:color w:val="0000EE"/>
                  <w:w w:val="84"/>
                </w:rPr>
                <w:t>Financial Statements</w:t>
              </w:r>
            </w:hyperlink>
          </w:p>
        </w:tc>
        <w:tc>
          <w:tcPr>
            <w:tcW w:w="740" w:type="dxa"/>
            <w:vAlign w:val="bottom"/>
            <w:tcBorders>
              <w:top w:val="single" w:sz="8" w:color="0000EE"/>
            </w:tcBorders>
            <w:gridSpan w:val="4"/>
          </w:tcPr>
          <w:p>
            <w:pPr>
              <w:spacing w:after="0"/>
              <w:rPr>
                <w:sz w:val="24"/>
                <w:szCs w:val="24"/>
                <w:color w:val="auto"/>
              </w:rPr>
            </w:pPr>
          </w:p>
        </w:tc>
        <w:tc>
          <w:tcPr>
            <w:tcW w:w="7060" w:type="dxa"/>
            <w:vAlign w:val="bottom"/>
            <w:gridSpan w:val="12"/>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90"/>
        </w:trPr>
        <w:tc>
          <w:tcPr>
            <w:tcW w:w="1100" w:type="dxa"/>
            <w:vAlign w:val="bottom"/>
          </w:tcPr>
          <w:p>
            <w:pPr>
              <w:spacing w:after="0"/>
              <w:rPr>
                <w:sz w:val="24"/>
                <w:szCs w:val="24"/>
                <w:color w:val="auto"/>
              </w:rPr>
            </w:pPr>
          </w:p>
        </w:tc>
        <w:tc>
          <w:tcPr>
            <w:tcW w:w="6140" w:type="dxa"/>
            <w:vAlign w:val="bottom"/>
            <w:tcBorders>
              <w:bottom w:val="single" w:sz="8" w:color="0000EE"/>
            </w:tcBorders>
            <w:gridSpan w:val="14"/>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Consolidated Balance Sheets as of June 30, 2021 (Unaudited) and December 31, 2020</w:t>
              </w:r>
            </w:hyperlink>
          </w:p>
        </w:tc>
        <w:tc>
          <w:tcPr>
            <w:tcW w:w="3100" w:type="dxa"/>
            <w:vAlign w:val="bottom"/>
            <w:gridSpan w:val="7"/>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91"/>
        </w:trPr>
        <w:tc>
          <w:tcPr>
            <w:tcW w:w="1100" w:type="dxa"/>
            <w:vAlign w:val="bottom"/>
          </w:tcPr>
          <w:p>
            <w:pPr>
              <w:spacing w:after="0"/>
              <w:rPr>
                <w:sz w:val="24"/>
                <w:szCs w:val="24"/>
                <w:color w:val="auto"/>
              </w:rPr>
            </w:pPr>
          </w:p>
        </w:tc>
        <w:tc>
          <w:tcPr>
            <w:tcW w:w="7960" w:type="dxa"/>
            <w:vAlign w:val="bottom"/>
            <w:tcBorders>
              <w:bottom w:val="single" w:sz="8" w:color="0000EE"/>
            </w:tcBorders>
            <w:gridSpan w:val="18"/>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Consolidated Statements of Operations for the three and six months ended June 30, 2021 and 2020 (Unaudited)</w:t>
              </w:r>
            </w:hyperlink>
          </w:p>
        </w:tc>
        <w:tc>
          <w:tcPr>
            <w:tcW w:w="1280" w:type="dxa"/>
            <w:vAlign w:val="bottom"/>
            <w:gridSpan w:val="3"/>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91"/>
        </w:trPr>
        <w:tc>
          <w:tcPr>
            <w:tcW w:w="1100" w:type="dxa"/>
            <w:vAlign w:val="bottom"/>
          </w:tcPr>
          <w:p>
            <w:pPr>
              <w:spacing w:after="0"/>
              <w:rPr>
                <w:sz w:val="24"/>
                <w:szCs w:val="24"/>
                <w:color w:val="auto"/>
              </w:rPr>
            </w:pPr>
          </w:p>
        </w:tc>
        <w:tc>
          <w:tcPr>
            <w:tcW w:w="9240" w:type="dxa"/>
            <w:vAlign w:val="bottom"/>
            <w:gridSpan w:val="21"/>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Schedules of Investments as of June 30, 2021 (Unaudited) and December 31, 2020</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 w:type="dxa"/>
            <w:vAlign w:val="bottom"/>
          </w:tcPr>
          <w:p>
            <w:pPr>
              <w:spacing w:after="0"/>
              <w:rPr>
                <w:sz w:val="24"/>
                <w:szCs w:val="24"/>
                <w:color w:val="auto"/>
              </w:rPr>
            </w:pPr>
          </w:p>
        </w:tc>
        <w:tc>
          <w:tcPr>
            <w:tcW w:w="9240" w:type="dxa"/>
            <w:vAlign w:val="bottom"/>
            <w:gridSpan w:val="21"/>
          </w:tcPr>
          <w:p>
            <w:pPr>
              <w:spacing w:after="0"/>
              <w:rPr>
                <w:rFonts w:ascii="Arial" w:cs="Arial" w:eastAsia="Arial" w:hAnsi="Arial"/>
                <w:sz w:val="18"/>
                <w:szCs w:val="18"/>
                <w:color w:val="0000EE"/>
                <w:w w:val="93"/>
              </w:rPr>
            </w:pPr>
            <w:hyperlink w:anchor="page21">
              <w:r>
                <w:rPr>
                  <w:rFonts w:ascii="Arial" w:cs="Arial" w:eastAsia="Arial" w:hAnsi="Arial"/>
                  <w:sz w:val="18"/>
                  <w:szCs w:val="18"/>
                  <w:color w:val="0000EE"/>
                  <w:w w:val="93"/>
                </w:rPr>
                <w:t>Consolidated Statements of Changes in Net Assets for the three and six months ended June 30, 2021 and 2020 (Unaudited)</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91"/>
        </w:trPr>
        <w:tc>
          <w:tcPr>
            <w:tcW w:w="1100" w:type="dxa"/>
            <w:vAlign w:val="bottom"/>
          </w:tcPr>
          <w:p>
            <w:pPr>
              <w:spacing w:after="0"/>
              <w:rPr>
                <w:sz w:val="24"/>
                <w:szCs w:val="24"/>
                <w:color w:val="auto"/>
              </w:rPr>
            </w:pPr>
          </w:p>
        </w:tc>
        <w:tc>
          <w:tcPr>
            <w:tcW w:w="8780" w:type="dxa"/>
            <w:vAlign w:val="bottom"/>
            <w:tcBorders>
              <w:top w:val="single" w:sz="8" w:color="0000EE"/>
            </w:tcBorders>
            <w:gridSpan w:val="19"/>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Consolidated Statements of Cash Flows for the six months ended June 30, 2021 and 2020 (Unaudited)</w:t>
              </w:r>
            </w:hyperlink>
          </w:p>
        </w:tc>
        <w:tc>
          <w:tcPr>
            <w:tcW w:w="460" w:type="dxa"/>
            <w:vAlign w:val="bottom"/>
            <w:gridSpan w:val="2"/>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91"/>
        </w:trPr>
        <w:tc>
          <w:tcPr>
            <w:tcW w:w="1100" w:type="dxa"/>
            <w:vAlign w:val="bottom"/>
          </w:tcPr>
          <w:p>
            <w:pPr>
              <w:spacing w:after="0"/>
              <w:rPr>
                <w:sz w:val="24"/>
                <w:szCs w:val="24"/>
                <w:color w:val="auto"/>
              </w:rPr>
            </w:pPr>
          </w:p>
        </w:tc>
        <w:tc>
          <w:tcPr>
            <w:tcW w:w="400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8"/>
              </w:rPr>
            </w:pPr>
            <w:hyperlink w:anchor="page24">
              <w:r>
                <w:rPr>
                  <w:rFonts w:ascii="Arial" w:cs="Arial" w:eastAsia="Arial" w:hAnsi="Arial"/>
                  <w:sz w:val="18"/>
                  <w:szCs w:val="18"/>
                  <w:color w:val="0000EE"/>
                  <w:w w:val="88"/>
                </w:rPr>
                <w:t>Notes to Consolidated Financial Statements (Unaudited)</w:t>
              </w:r>
            </w:hyperlink>
          </w:p>
        </w:tc>
        <w:tc>
          <w:tcPr>
            <w:tcW w:w="3300" w:type="dxa"/>
            <w:vAlign w:val="bottom"/>
            <w:tcBorders>
              <w:top w:val="single" w:sz="8" w:color="0000EE"/>
            </w:tcBorders>
            <w:gridSpan w:val="6"/>
          </w:tcPr>
          <w:p>
            <w:pPr>
              <w:spacing w:after="0"/>
              <w:rPr>
                <w:sz w:val="24"/>
                <w:szCs w:val="24"/>
                <w:color w:val="auto"/>
              </w:rPr>
            </w:pPr>
          </w:p>
        </w:tc>
        <w:tc>
          <w:tcPr>
            <w:tcW w:w="1940" w:type="dxa"/>
            <w:vAlign w:val="bottom"/>
            <w:gridSpan w:val="4"/>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90"/>
        </w:trPr>
        <w:tc>
          <w:tcPr>
            <w:tcW w:w="1100" w:type="dxa"/>
            <w:vAlign w:val="bottom"/>
          </w:tcPr>
          <w:p>
            <w:pPr>
              <w:spacing w:after="0"/>
              <w:rPr>
                <w:sz w:val="20"/>
                <w:szCs w:val="20"/>
                <w:color w:val="auto"/>
              </w:rPr>
            </w:pPr>
            <w:r>
              <w:rPr>
                <w:rFonts w:ascii="Arial" w:cs="Arial" w:eastAsia="Arial" w:hAnsi="Arial"/>
                <w:sz w:val="18"/>
                <w:szCs w:val="18"/>
                <w:color w:val="auto"/>
              </w:rPr>
              <w:t>Item 2.</w:t>
            </w:r>
          </w:p>
        </w:tc>
        <w:tc>
          <w:tcPr>
            <w:tcW w:w="640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51">
              <w:r>
                <w:rPr>
                  <w:rFonts w:ascii="Arial" w:cs="Arial" w:eastAsia="Arial" w:hAnsi="Arial"/>
                  <w:sz w:val="18"/>
                  <w:szCs w:val="18"/>
                  <w:color w:val="0000EE"/>
                  <w:w w:val="90"/>
                </w:rPr>
                <w:t>Management’s Discussion and Analysis of Financial Condition and Results of Operations</w:t>
              </w:r>
            </w:hyperlink>
          </w:p>
        </w:tc>
        <w:tc>
          <w:tcPr>
            <w:tcW w:w="2840" w:type="dxa"/>
            <w:vAlign w:val="bottom"/>
            <w:gridSpan w:val="6"/>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90"/>
        </w:trPr>
        <w:tc>
          <w:tcPr>
            <w:tcW w:w="1100" w:type="dxa"/>
            <w:vAlign w:val="bottom"/>
          </w:tcPr>
          <w:p>
            <w:pPr>
              <w:spacing w:after="0"/>
              <w:rPr>
                <w:sz w:val="20"/>
                <w:szCs w:val="20"/>
                <w:color w:val="auto"/>
              </w:rPr>
            </w:pPr>
            <w:r>
              <w:rPr>
                <w:rFonts w:ascii="Arial" w:cs="Arial" w:eastAsia="Arial" w:hAnsi="Arial"/>
                <w:sz w:val="18"/>
                <w:szCs w:val="18"/>
                <w:color w:val="auto"/>
              </w:rPr>
              <w:t>Item 3.</w:t>
            </w:r>
          </w:p>
        </w:tc>
        <w:tc>
          <w:tcPr>
            <w:tcW w:w="430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73">
              <w:r>
                <w:rPr>
                  <w:rFonts w:ascii="Arial" w:cs="Arial" w:eastAsia="Arial" w:hAnsi="Arial"/>
                  <w:sz w:val="18"/>
                  <w:szCs w:val="18"/>
                  <w:color w:val="0000EE"/>
                  <w:w w:val="90"/>
                </w:rPr>
                <w:t>Quantitative and Qualitative Disclosures About Market Risk</w:t>
              </w:r>
            </w:hyperlink>
          </w:p>
        </w:tc>
        <w:tc>
          <w:tcPr>
            <w:tcW w:w="4940" w:type="dxa"/>
            <w:vAlign w:val="bottom"/>
            <w:gridSpan w:val="8"/>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91"/>
        </w:trPr>
        <w:tc>
          <w:tcPr>
            <w:tcW w:w="1100" w:type="dxa"/>
            <w:vAlign w:val="bottom"/>
          </w:tcPr>
          <w:p>
            <w:pPr>
              <w:spacing w:after="0"/>
              <w:rPr>
                <w:sz w:val="20"/>
                <w:szCs w:val="20"/>
                <w:color w:val="auto"/>
              </w:rPr>
            </w:pPr>
            <w:r>
              <w:rPr>
                <w:rFonts w:ascii="Arial" w:cs="Arial" w:eastAsia="Arial" w:hAnsi="Arial"/>
                <w:sz w:val="18"/>
                <w:szCs w:val="18"/>
                <w:color w:val="auto"/>
              </w:rPr>
              <w:t>Item 4.</w:t>
            </w:r>
          </w:p>
        </w:tc>
        <w:tc>
          <w:tcPr>
            <w:tcW w:w="1720" w:type="dxa"/>
            <w:vAlign w:val="bottom"/>
            <w:tcBorders>
              <w:bottom w:val="single" w:sz="8" w:color="0000EE"/>
            </w:tcBorders>
            <w:gridSpan w:val="7"/>
          </w:tcPr>
          <w:p>
            <w:pPr>
              <w:spacing w:after="0"/>
              <w:rPr>
                <w:rFonts w:ascii="Arial" w:cs="Arial" w:eastAsia="Arial" w:hAnsi="Arial"/>
                <w:sz w:val="18"/>
                <w:szCs w:val="18"/>
                <w:color w:val="0000EE"/>
                <w:w w:val="85"/>
              </w:rPr>
            </w:pPr>
            <w:hyperlink w:anchor="page75">
              <w:r>
                <w:rPr>
                  <w:rFonts w:ascii="Arial" w:cs="Arial" w:eastAsia="Arial" w:hAnsi="Arial"/>
                  <w:sz w:val="18"/>
                  <w:szCs w:val="18"/>
                  <w:color w:val="0000EE"/>
                  <w:w w:val="85"/>
                </w:rPr>
                <w:t>Controls and Procedures</w:t>
              </w:r>
            </w:hyperlink>
          </w:p>
        </w:tc>
        <w:tc>
          <w:tcPr>
            <w:tcW w:w="7520" w:type="dxa"/>
            <w:vAlign w:val="bottom"/>
            <w:gridSpan w:val="14"/>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90"/>
        </w:trPr>
        <w:tc>
          <w:tcPr>
            <w:tcW w:w="1100" w:type="dxa"/>
            <w:vAlign w:val="bottom"/>
          </w:tcPr>
          <w:p>
            <w:pPr>
              <w:spacing w:after="0"/>
              <w:rPr>
                <w:sz w:val="20"/>
                <w:szCs w:val="20"/>
                <w:color w:val="auto"/>
              </w:rPr>
            </w:pPr>
            <w:r>
              <w:rPr>
                <w:rFonts w:ascii="Arial" w:cs="Arial" w:eastAsia="Arial" w:hAnsi="Arial"/>
                <w:sz w:val="18"/>
                <w:szCs w:val="18"/>
                <w:color w:val="auto"/>
              </w:rPr>
              <w:t>PART II.</w:t>
            </w:r>
          </w:p>
        </w:tc>
        <w:tc>
          <w:tcPr>
            <w:tcW w:w="1820" w:type="dxa"/>
            <w:vAlign w:val="bottom"/>
            <w:tcBorders>
              <w:bottom w:val="single" w:sz="8" w:color="0000EE"/>
            </w:tcBorders>
            <w:gridSpan w:val="8"/>
          </w:tcPr>
          <w:p>
            <w:pPr>
              <w:spacing w:after="0"/>
              <w:rPr>
                <w:rFonts w:ascii="Arial" w:cs="Arial" w:eastAsia="Arial" w:hAnsi="Arial"/>
                <w:sz w:val="18"/>
                <w:szCs w:val="18"/>
                <w:color w:val="0000EE"/>
                <w:w w:val="92"/>
              </w:rPr>
            </w:pPr>
            <w:hyperlink w:anchor="page76">
              <w:r>
                <w:rPr>
                  <w:rFonts w:ascii="Arial" w:cs="Arial" w:eastAsia="Arial" w:hAnsi="Arial"/>
                  <w:sz w:val="18"/>
                  <w:szCs w:val="18"/>
                  <w:color w:val="0000EE"/>
                  <w:w w:val="92"/>
                </w:rPr>
                <w:t>OTHER INFORMATION</w:t>
              </w:r>
            </w:hyperlink>
          </w:p>
        </w:tc>
        <w:tc>
          <w:tcPr>
            <w:tcW w:w="7420" w:type="dxa"/>
            <w:vAlign w:val="bottom"/>
            <w:gridSpan w:val="13"/>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91"/>
        </w:trPr>
        <w:tc>
          <w:tcPr>
            <w:tcW w:w="1100" w:type="dxa"/>
            <w:vAlign w:val="bottom"/>
          </w:tcPr>
          <w:p>
            <w:pPr>
              <w:spacing w:after="0"/>
              <w:rPr>
                <w:sz w:val="20"/>
                <w:szCs w:val="20"/>
                <w:color w:val="auto"/>
              </w:rPr>
            </w:pPr>
            <w:r>
              <w:rPr>
                <w:rFonts w:ascii="Arial" w:cs="Arial" w:eastAsia="Arial" w:hAnsi="Arial"/>
                <w:sz w:val="18"/>
                <w:szCs w:val="18"/>
                <w:color w:val="auto"/>
              </w:rPr>
              <w:t>Item 1.</w:t>
            </w:r>
          </w:p>
        </w:tc>
        <w:tc>
          <w:tcPr>
            <w:tcW w:w="9240" w:type="dxa"/>
            <w:vAlign w:val="bottom"/>
            <w:gridSpan w:val="21"/>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Legal Proceedings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90"/>
        </w:trPr>
        <w:tc>
          <w:tcPr>
            <w:tcW w:w="1100" w:type="dxa"/>
            <w:vAlign w:val="bottom"/>
          </w:tcPr>
          <w:p>
            <w:pPr>
              <w:spacing w:after="0"/>
              <w:rPr>
                <w:sz w:val="20"/>
                <w:szCs w:val="20"/>
                <w:color w:val="auto"/>
              </w:rPr>
            </w:pPr>
            <w:r>
              <w:rPr>
                <w:rFonts w:ascii="Arial" w:cs="Arial" w:eastAsia="Arial" w:hAnsi="Arial"/>
                <w:sz w:val="18"/>
                <w:szCs w:val="18"/>
                <w:color w:val="auto"/>
              </w:rPr>
              <w:t>Item 1A.</w:t>
            </w:r>
          </w:p>
        </w:tc>
        <w:tc>
          <w:tcPr>
            <w:tcW w:w="8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1"/>
              </w:rPr>
            </w:pPr>
            <w:hyperlink w:anchor="page76">
              <w:r>
                <w:rPr>
                  <w:rFonts w:ascii="Arial" w:cs="Arial" w:eastAsia="Arial" w:hAnsi="Arial"/>
                  <w:sz w:val="18"/>
                  <w:szCs w:val="18"/>
                  <w:color w:val="0000EE"/>
                  <w:w w:val="81"/>
                </w:rPr>
                <w:t>Risk Factors</w:t>
              </w:r>
            </w:hyperlink>
          </w:p>
        </w:tc>
        <w:tc>
          <w:tcPr>
            <w:tcW w:w="420" w:type="dxa"/>
            <w:vAlign w:val="bottom"/>
            <w:tcBorders>
              <w:top w:val="single" w:sz="8" w:color="0000EE"/>
            </w:tcBorders>
            <w:gridSpan w:val="2"/>
          </w:tcPr>
          <w:p>
            <w:pPr>
              <w:spacing w:after="0"/>
              <w:rPr>
                <w:sz w:val="24"/>
                <w:szCs w:val="24"/>
                <w:color w:val="auto"/>
              </w:rPr>
            </w:pPr>
          </w:p>
        </w:tc>
        <w:tc>
          <w:tcPr>
            <w:tcW w:w="7980" w:type="dxa"/>
            <w:vAlign w:val="bottom"/>
            <w:gridSpan w:val="17"/>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90"/>
        </w:trPr>
        <w:tc>
          <w:tcPr>
            <w:tcW w:w="1100" w:type="dxa"/>
            <w:vAlign w:val="bottom"/>
          </w:tcPr>
          <w:p>
            <w:pPr>
              <w:spacing w:after="0"/>
              <w:rPr>
                <w:sz w:val="20"/>
                <w:szCs w:val="20"/>
                <w:color w:val="auto"/>
              </w:rPr>
            </w:pPr>
            <w:r>
              <w:rPr>
                <w:rFonts w:ascii="Arial" w:cs="Arial" w:eastAsia="Arial" w:hAnsi="Arial"/>
                <w:sz w:val="18"/>
                <w:szCs w:val="18"/>
                <w:color w:val="auto"/>
              </w:rPr>
              <w:t>Item 2.</w:t>
            </w:r>
          </w:p>
        </w:tc>
        <w:tc>
          <w:tcPr>
            <w:tcW w:w="9240" w:type="dxa"/>
            <w:vAlign w:val="bottom"/>
            <w:gridSpan w:val="21"/>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Unregistered Sales of Equity Securities and Use of Proceeds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91"/>
        </w:trPr>
        <w:tc>
          <w:tcPr>
            <w:tcW w:w="1100" w:type="dxa"/>
            <w:vAlign w:val="bottom"/>
          </w:tcPr>
          <w:p>
            <w:pPr>
              <w:spacing w:after="0"/>
              <w:rPr>
                <w:sz w:val="20"/>
                <w:szCs w:val="20"/>
                <w:color w:val="auto"/>
              </w:rPr>
            </w:pPr>
            <w:r>
              <w:rPr>
                <w:rFonts w:ascii="Arial" w:cs="Arial" w:eastAsia="Arial" w:hAnsi="Arial"/>
                <w:sz w:val="18"/>
                <w:szCs w:val="18"/>
                <w:color w:val="auto"/>
              </w:rPr>
              <w:t>Item 3.</w:t>
            </w:r>
          </w:p>
        </w:tc>
        <w:tc>
          <w:tcPr>
            <w:tcW w:w="226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87"/>
              </w:rPr>
            </w:pPr>
            <w:hyperlink w:anchor="page80">
              <w:r>
                <w:rPr>
                  <w:rFonts w:ascii="Arial" w:cs="Arial" w:eastAsia="Arial" w:hAnsi="Arial"/>
                  <w:sz w:val="18"/>
                  <w:szCs w:val="18"/>
                  <w:color w:val="0000EE"/>
                  <w:w w:val="87"/>
                </w:rPr>
                <w:t>Defaults Upon Senior Securities</w:t>
              </w:r>
            </w:hyperlink>
          </w:p>
        </w:tc>
        <w:tc>
          <w:tcPr>
            <w:tcW w:w="2020" w:type="dxa"/>
            <w:vAlign w:val="bottom"/>
            <w:tcBorders>
              <w:top w:val="single" w:sz="8" w:color="0000EE"/>
            </w:tcBorders>
            <w:gridSpan w:val="2"/>
          </w:tcPr>
          <w:p>
            <w:pPr>
              <w:spacing w:after="0"/>
              <w:rPr>
                <w:sz w:val="24"/>
                <w:szCs w:val="24"/>
                <w:color w:val="auto"/>
              </w:rPr>
            </w:pPr>
          </w:p>
        </w:tc>
        <w:tc>
          <w:tcPr>
            <w:tcW w:w="4960" w:type="dxa"/>
            <w:vAlign w:val="bottom"/>
            <w:gridSpan w:val="9"/>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91"/>
        </w:trPr>
        <w:tc>
          <w:tcPr>
            <w:tcW w:w="1100" w:type="dxa"/>
            <w:vAlign w:val="bottom"/>
          </w:tcPr>
          <w:p>
            <w:pPr>
              <w:spacing w:after="0"/>
              <w:rPr>
                <w:sz w:val="20"/>
                <w:szCs w:val="20"/>
                <w:color w:val="auto"/>
              </w:rPr>
            </w:pPr>
            <w:r>
              <w:rPr>
                <w:rFonts w:ascii="Arial" w:cs="Arial" w:eastAsia="Arial" w:hAnsi="Arial"/>
                <w:sz w:val="18"/>
                <w:szCs w:val="18"/>
                <w:color w:val="auto"/>
              </w:rPr>
              <w:t>Item 4.</w:t>
            </w:r>
          </w:p>
        </w:tc>
        <w:tc>
          <w:tcPr>
            <w:tcW w:w="9240" w:type="dxa"/>
            <w:vAlign w:val="bottom"/>
            <w:gridSpan w:val="21"/>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Mine Safety Disclosures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90"/>
        </w:trPr>
        <w:tc>
          <w:tcPr>
            <w:tcW w:w="1100" w:type="dxa"/>
            <w:vAlign w:val="bottom"/>
          </w:tcPr>
          <w:p>
            <w:pPr>
              <w:spacing w:after="0"/>
              <w:rPr>
                <w:sz w:val="20"/>
                <w:szCs w:val="20"/>
                <w:color w:val="auto"/>
              </w:rPr>
            </w:pPr>
            <w:r>
              <w:rPr>
                <w:rFonts w:ascii="Arial" w:cs="Arial" w:eastAsia="Arial" w:hAnsi="Arial"/>
                <w:sz w:val="18"/>
                <w:szCs w:val="18"/>
                <w:color w:val="auto"/>
              </w:rPr>
              <w:t>Item 5.</w:t>
            </w:r>
          </w:p>
        </w:tc>
        <w:tc>
          <w:tcPr>
            <w:tcW w:w="1700" w:type="dxa"/>
            <w:vAlign w:val="bottom"/>
            <w:tcBorders>
              <w:top w:val="single" w:sz="8" w:color="0000EE"/>
            </w:tcBorders>
            <w:gridSpan w:val="6"/>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Other Information</w:t>
              </w:r>
            </w:hyperlink>
          </w:p>
        </w:tc>
        <w:tc>
          <w:tcPr>
            <w:tcW w:w="7540" w:type="dxa"/>
            <w:vAlign w:val="bottom"/>
            <w:gridSpan w:val="15"/>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90"/>
        </w:trPr>
        <w:tc>
          <w:tcPr>
            <w:tcW w:w="1100" w:type="dxa"/>
            <w:vAlign w:val="bottom"/>
          </w:tcPr>
          <w:p>
            <w:pPr>
              <w:spacing w:after="0"/>
              <w:rPr>
                <w:sz w:val="20"/>
                <w:szCs w:val="20"/>
                <w:color w:val="auto"/>
              </w:rPr>
            </w:pPr>
            <w:r>
              <w:rPr>
                <w:rFonts w:ascii="Arial" w:cs="Arial" w:eastAsia="Arial" w:hAnsi="Arial"/>
                <w:sz w:val="18"/>
                <w:szCs w:val="18"/>
                <w:color w:val="auto"/>
              </w:rPr>
              <w:t>Item 6.</w:t>
            </w:r>
          </w:p>
        </w:tc>
        <w:tc>
          <w:tcPr>
            <w:tcW w:w="540" w:type="dxa"/>
            <w:vAlign w:val="bottom"/>
            <w:tcBorders>
              <w:top w:val="single" w:sz="8" w:color="0000EE"/>
              <w:bottom w:val="single" w:sz="8" w:color="0000EE"/>
            </w:tcBorders>
          </w:tcPr>
          <w:p>
            <w:pPr>
              <w:spacing w:after="0"/>
              <w:rPr>
                <w:rFonts w:ascii="Arial" w:cs="Arial" w:eastAsia="Arial" w:hAnsi="Arial"/>
                <w:sz w:val="18"/>
                <w:szCs w:val="18"/>
                <w:color w:val="0000EE"/>
                <w:w w:val="82"/>
              </w:rPr>
            </w:pPr>
            <w:hyperlink w:anchor="page80">
              <w:r>
                <w:rPr>
                  <w:rFonts w:ascii="Arial" w:cs="Arial" w:eastAsia="Arial" w:hAnsi="Arial"/>
                  <w:sz w:val="18"/>
                  <w:szCs w:val="18"/>
                  <w:color w:val="0000EE"/>
                  <w:w w:val="82"/>
                </w:rPr>
                <w:t>Exhibits</w:t>
              </w:r>
            </w:hyperlink>
          </w:p>
        </w:tc>
        <w:tc>
          <w:tcPr>
            <w:tcW w:w="700" w:type="dxa"/>
            <w:vAlign w:val="bottom"/>
            <w:tcBorders>
              <w:top w:val="single" w:sz="8" w:color="0000EE"/>
            </w:tcBorders>
            <w:gridSpan w:val="2"/>
          </w:tcPr>
          <w:p>
            <w:pPr>
              <w:spacing w:after="0"/>
              <w:rPr>
                <w:sz w:val="24"/>
                <w:szCs w:val="24"/>
                <w:color w:val="auto"/>
              </w:rPr>
            </w:pPr>
          </w:p>
        </w:tc>
        <w:tc>
          <w:tcPr>
            <w:tcW w:w="8000" w:type="dxa"/>
            <w:vAlign w:val="bottom"/>
            <w:gridSpan w:val="18"/>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90"/>
        </w:trPr>
        <w:tc>
          <w:tcPr>
            <w:tcW w:w="10340" w:type="dxa"/>
            <w:vAlign w:val="bottom"/>
            <w:gridSpan w:val="22"/>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SIGNATURES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right="100" w:firstLine="255"/>
        <w:spacing w:after="0" w:line="293" w:lineRule="auto"/>
        <w:rPr>
          <w:sz w:val="20"/>
          <w:szCs w:val="20"/>
          <w:color w:val="auto"/>
        </w:rPr>
      </w:pPr>
      <w:r>
        <w:rPr>
          <w:rFonts w:ascii="Arial" w:cs="Arial" w:eastAsia="Arial" w:hAnsi="Arial"/>
          <w:sz w:val="16"/>
          <w:szCs w:val="16"/>
          <w:color w:val="auto"/>
        </w:rPr>
        <w:t>This report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w:t>
      </w:r>
    </w:p>
    <w:p>
      <w:pPr>
        <w:spacing w:after="0" w:line="164" w:lineRule="exact"/>
        <w:rPr>
          <w:sz w:val="20"/>
          <w:szCs w:val="20"/>
          <w:color w:val="auto"/>
        </w:rPr>
      </w:pPr>
    </w:p>
    <w:p>
      <w:pPr>
        <w:ind w:right="260" w:firstLine="255"/>
        <w:spacing w:after="0" w:line="263" w:lineRule="auto"/>
        <w:rPr>
          <w:sz w:val="20"/>
          <w:szCs w:val="20"/>
          <w:color w:val="auto"/>
        </w:rPr>
      </w:pPr>
      <w:r>
        <w:rPr>
          <w:rFonts w:ascii="Arial" w:cs="Arial" w:eastAsia="Arial" w:hAnsi="Arial"/>
          <w:sz w:val="18"/>
          <w:szCs w:val="18"/>
          <w:color w:val="auto"/>
        </w:rPr>
        <w:t>In addition to factors previously identified elsewhere in the reports and other documents Sixth Street Specialty Lending, Inc. has filed with the Securities and Exchange Commission, or SEC, the following factors, among others, could cause actual results to differ materially from forward-looking statements or historical performance:</w:t>
      </w:r>
    </w:p>
    <w:p>
      <w:pPr>
        <w:spacing w:after="0" w:line="76" w:lineRule="exact"/>
        <w:rPr>
          <w:sz w:val="20"/>
          <w:szCs w:val="20"/>
          <w:color w:val="auto"/>
        </w:rPr>
      </w:pPr>
    </w:p>
    <w:p>
      <w:pPr>
        <w:ind w:left="500" w:right="520" w:hanging="249"/>
        <w:spacing w:after="0" w:line="308" w:lineRule="auto"/>
        <w:tabs>
          <w:tab w:leader="none" w:pos="500" w:val="left"/>
        </w:tabs>
        <w:numPr>
          <w:ilvl w:val="0"/>
          <w:numId w:val="3"/>
        </w:numPr>
        <w:rPr>
          <w:rFonts w:ascii="Arial" w:cs="Arial" w:eastAsia="Arial" w:hAnsi="Arial"/>
          <w:sz w:val="17"/>
          <w:szCs w:val="17"/>
          <w:color w:val="auto"/>
        </w:rPr>
      </w:pPr>
      <w:r>
        <w:rPr>
          <w:rFonts w:ascii="Arial" w:cs="Arial" w:eastAsia="Arial" w:hAnsi="Arial"/>
          <w:sz w:val="17"/>
          <w:szCs w:val="17"/>
          <w:color w:val="auto"/>
        </w:rPr>
        <w:t>an economic downturn, including the current and future economic effects of the COVID-19 pandemic, could impair our portfolio companies’ abilities to continue to operate, which could lead to the loss of some or all of our investments in those portfolio companies;</w:t>
      </w:r>
    </w:p>
    <w:p>
      <w:pPr>
        <w:spacing w:after="0" w:line="38" w:lineRule="exact"/>
        <w:rPr>
          <w:rFonts w:ascii="Arial" w:cs="Arial" w:eastAsia="Arial" w:hAnsi="Arial"/>
          <w:sz w:val="17"/>
          <w:szCs w:val="17"/>
          <w:color w:val="auto"/>
        </w:rPr>
      </w:pPr>
    </w:p>
    <w:p>
      <w:pPr>
        <w:ind w:left="500" w:right="220" w:hanging="249"/>
        <w:spacing w:after="0" w:line="342" w:lineRule="auto"/>
        <w:tabs>
          <w:tab w:leader="none" w:pos="500" w:val="left"/>
        </w:tabs>
        <w:numPr>
          <w:ilvl w:val="0"/>
          <w:numId w:val="3"/>
        </w:numPr>
        <w:rPr>
          <w:rFonts w:ascii="Arial" w:cs="Arial" w:eastAsia="Arial" w:hAnsi="Arial"/>
          <w:sz w:val="16"/>
          <w:szCs w:val="16"/>
          <w:color w:val="auto"/>
        </w:rPr>
      </w:pPr>
      <w:r>
        <w:rPr>
          <w:rFonts w:ascii="Arial" w:cs="Arial" w:eastAsia="Arial" w:hAnsi="Arial"/>
          <w:sz w:val="16"/>
          <w:szCs w:val="16"/>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spacing w:after="0" w:line="15" w:lineRule="exact"/>
        <w:rPr>
          <w:rFonts w:ascii="Arial" w:cs="Arial" w:eastAsia="Arial" w:hAnsi="Arial"/>
          <w:sz w:val="16"/>
          <w:szCs w:val="16"/>
          <w:color w:val="auto"/>
        </w:rPr>
      </w:pPr>
    </w:p>
    <w:p>
      <w:pPr>
        <w:ind w:left="500" w:hanging="249"/>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such an economic downturn could also impact availability and pricing of our financing;</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inability to access the capital markets could impair our ability to raise capital and our investment activities; and</w:t>
      </w:r>
    </w:p>
    <w:p>
      <w:pPr>
        <w:spacing w:after="0" w:line="117" w:lineRule="exact"/>
        <w:rPr>
          <w:rFonts w:ascii="Arial" w:cs="Arial" w:eastAsia="Arial" w:hAnsi="Arial"/>
          <w:sz w:val="18"/>
          <w:szCs w:val="18"/>
          <w:color w:val="auto"/>
        </w:rPr>
      </w:pPr>
    </w:p>
    <w:p>
      <w:pPr>
        <w:ind w:left="500" w:right="100" w:hanging="249"/>
        <w:spacing w:after="0" w:line="263"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risks, uncertainties and other factors we identify in the section entitled “Risk Factors” in this report, in our Annual Report on Form 10-K for the year ended December 31, 2020, filed with the SEC on February 17, 2021, in our Quarterly Report on Form 10-Q for the quarter ending March 31, 2021, filed with the SEC on May 4, 2021, and elsewhere in our filings with the SEC.</w:t>
      </w:r>
    </w:p>
    <w:p>
      <w:pPr>
        <w:spacing w:after="0" w:line="184" w:lineRule="exact"/>
        <w:rPr>
          <w:sz w:val="20"/>
          <w:szCs w:val="20"/>
          <w:color w:val="auto"/>
        </w:rPr>
      </w:pPr>
    </w:p>
    <w:p>
      <w:pPr>
        <w:ind w:firstLine="255"/>
        <w:spacing w:after="0" w:line="273" w:lineRule="auto"/>
        <w:rPr>
          <w:sz w:val="20"/>
          <w:szCs w:val="20"/>
          <w:color w:val="auto"/>
        </w:rPr>
      </w:pPr>
      <w:r>
        <w:rPr>
          <w:rFonts w:ascii="Arial" w:cs="Arial" w:eastAsia="Arial" w:hAnsi="Arial"/>
          <w:sz w:val="17"/>
          <w:szCs w:val="17"/>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report should not be regarded as a representation by us that our plans and objectives will be achieved. You should not place undue reliance on these forward-looking statements, which apply only as of the date of this report. We do not undertake any obligation to update or revise any forward-looking statements or any other information contained herein, except as required by applicable law.</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“TSLX” and “TAO” marks are marks of Sixth Street.</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Sixth Street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32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4"/>
                <w:szCs w:val="14"/>
                <w:color w:val="auto"/>
              </w:rPr>
            </w:pPr>
          </w:p>
        </w:tc>
      </w:tr>
      <w:tr>
        <w:trPr>
          <w:trHeight w:val="223"/>
        </w:trPr>
        <w:tc>
          <w:tcPr>
            <w:tcW w:w="7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32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3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732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9"/>
              </w:rPr>
              <w:t>Non-controlled, non-affiliated investments (amortized cost of $2,414,123 and $2,187,427,</w:t>
            </w:r>
          </w:p>
        </w:tc>
        <w:tc>
          <w:tcPr>
            <w:tcW w:w="3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respectively)</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2,511,435</w:t>
            </w:r>
          </w:p>
        </w:tc>
        <w:tc>
          <w:tcPr>
            <w:tcW w:w="180" w:type="dxa"/>
            <w:vAlign w:val="bottom"/>
            <w:shd w:val="clear" w:color="auto" w:fill="CFF0FC"/>
          </w:tcPr>
          <w:p>
            <w:pPr>
              <w:spacing w:after="0"/>
              <w:rPr>
                <w:sz w:val="20"/>
                <w:szCs w:val="20"/>
                <w:color w:val="auto"/>
              </w:rPr>
            </w:pPr>
          </w:p>
        </w:tc>
        <w:tc>
          <w:tcPr>
            <w:tcW w:w="3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2,249,302</w:t>
            </w:r>
          </w:p>
        </w:tc>
        <w:tc>
          <w:tcPr>
            <w:tcW w:w="100" w:type="dxa"/>
            <w:vAlign w:val="bottom"/>
            <w:shd w:val="clear" w:color="auto" w:fill="CFF0FC"/>
          </w:tcPr>
          <w:p>
            <w:pPr>
              <w:spacing w:after="0"/>
              <w:rPr>
                <w:sz w:val="20"/>
                <w:szCs w:val="20"/>
                <w:color w:val="auto"/>
              </w:rPr>
            </w:pPr>
          </w:p>
        </w:tc>
      </w:tr>
      <w:tr>
        <w:trPr>
          <w:trHeight w:val="229"/>
        </w:trPr>
        <w:tc>
          <w:tcPr>
            <w:tcW w:w="7320" w:type="dxa"/>
            <w:vAlign w:val="bottom"/>
          </w:tcPr>
          <w:p>
            <w:pPr>
              <w:ind w:left="260"/>
              <w:spacing w:after="0"/>
              <w:rPr>
                <w:sz w:val="20"/>
                <w:szCs w:val="20"/>
                <w:color w:val="auto"/>
              </w:rPr>
            </w:pPr>
            <w:r>
              <w:rPr>
                <w:rFonts w:ascii="Arial" w:cs="Arial" w:eastAsia="Arial" w:hAnsi="Arial"/>
                <w:sz w:val="18"/>
                <w:szCs w:val="18"/>
                <w:color w:val="auto"/>
                <w:w w:val="96"/>
              </w:rPr>
              <w:t>Non-controlled, affiliated investments (amortized cost of $12,779 and $12,892, respectively)</w:t>
            </w: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18,870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12,892</w:t>
            </w:r>
          </w:p>
        </w:tc>
        <w:tc>
          <w:tcPr>
            <w:tcW w:w="100" w:type="dxa"/>
            <w:vAlign w:val="bottom"/>
          </w:tcPr>
          <w:p>
            <w:pPr>
              <w:spacing w:after="0"/>
              <w:rPr>
                <w:sz w:val="19"/>
                <w:szCs w:val="19"/>
                <w:color w:val="auto"/>
              </w:rPr>
            </w:pPr>
          </w:p>
        </w:tc>
      </w:tr>
      <w:tr>
        <w:trPr>
          <w:trHeight w:val="229"/>
        </w:trPr>
        <w:tc>
          <w:tcPr>
            <w:tcW w:w="7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Controlled, affiliated investments (amortized cost of $61,852 and $58,709, respectively)</w:t>
            </w:r>
          </w:p>
        </w:tc>
        <w:tc>
          <w:tcPr>
            <w:tcW w:w="3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39,687</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36,676</w:t>
            </w:r>
          </w:p>
        </w:tc>
        <w:tc>
          <w:tcPr>
            <w:tcW w:w="100" w:type="dxa"/>
            <w:vAlign w:val="bottom"/>
            <w:shd w:val="clear" w:color="auto" w:fill="CFF0FC"/>
          </w:tcPr>
          <w:p>
            <w:pPr>
              <w:spacing w:after="0"/>
              <w:rPr>
                <w:sz w:val="19"/>
                <w:szCs w:val="19"/>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Total investments at fair value (amortized cost of $2,488,754 and $2,259,028, respectively)</w:t>
            </w: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2,569,992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2,298,870</w:t>
            </w:r>
          </w:p>
        </w:tc>
        <w:tc>
          <w:tcPr>
            <w:tcW w:w="100" w:type="dxa"/>
            <w:vAlign w:val="bottom"/>
          </w:tcPr>
          <w:p>
            <w:pPr>
              <w:spacing w:after="0"/>
              <w:rPr>
                <w:sz w:val="19"/>
                <w:szCs w:val="19"/>
                <w:color w:val="auto"/>
              </w:rPr>
            </w:pPr>
          </w:p>
        </w:tc>
      </w:tr>
      <w:tr>
        <w:trPr>
          <w:trHeight w:val="229"/>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(restricted cash of $15,315 and $10,815, respectively)</w:t>
            </w:r>
          </w:p>
        </w:tc>
        <w:tc>
          <w:tcPr>
            <w:tcW w:w="3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18,494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13,274</w:t>
            </w:r>
          </w:p>
        </w:tc>
        <w:tc>
          <w:tcPr>
            <w:tcW w:w="100" w:type="dxa"/>
            <w:vAlign w:val="bottom"/>
            <w:shd w:val="clear" w:color="auto" w:fill="CFF0FC"/>
          </w:tcPr>
          <w:p>
            <w:pPr>
              <w:spacing w:after="0"/>
              <w:rPr>
                <w:sz w:val="19"/>
                <w:szCs w:val="19"/>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Interest receivable</w:t>
            </w: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13,990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8,583</w:t>
            </w:r>
          </w:p>
        </w:tc>
        <w:tc>
          <w:tcPr>
            <w:tcW w:w="100" w:type="dxa"/>
            <w:vAlign w:val="bottom"/>
          </w:tcPr>
          <w:p>
            <w:pPr>
              <w:spacing w:after="0"/>
              <w:rPr>
                <w:sz w:val="19"/>
                <w:szCs w:val="19"/>
                <w:color w:val="auto"/>
              </w:rPr>
            </w:pPr>
          </w:p>
        </w:tc>
      </w:tr>
      <w:tr>
        <w:trPr>
          <w:trHeight w:val="229"/>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 and other assets</w:t>
            </w:r>
          </w:p>
        </w:tc>
        <w:tc>
          <w:tcPr>
            <w:tcW w:w="3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5,880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17,866</w:t>
            </w:r>
          </w:p>
        </w:tc>
        <w:tc>
          <w:tcPr>
            <w:tcW w:w="100" w:type="dxa"/>
            <w:vAlign w:val="bottom"/>
            <w:shd w:val="clear" w:color="auto" w:fill="CFF0FC"/>
          </w:tcPr>
          <w:p>
            <w:pPr>
              <w:spacing w:after="0"/>
              <w:rPr>
                <w:sz w:val="19"/>
                <w:szCs w:val="19"/>
                <w:color w:val="auto"/>
              </w:rPr>
            </w:pPr>
          </w:p>
        </w:tc>
      </w:tr>
      <w:tr>
        <w:trPr>
          <w:trHeight w:val="263"/>
        </w:trPr>
        <w:tc>
          <w:tcPr>
            <w:tcW w:w="732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Assets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2,608,356</w:t>
            </w:r>
          </w:p>
        </w:tc>
        <w:tc>
          <w:tcPr>
            <w:tcW w:w="18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2,338,593</w:t>
            </w:r>
          </w:p>
        </w:tc>
        <w:tc>
          <w:tcPr>
            <w:tcW w:w="100" w:type="dxa"/>
            <w:vAlign w:val="bottom"/>
            <w:tcBorders>
              <w:bottom w:val="single" w:sz="8" w:color="CFF0FC"/>
            </w:tcBorders>
          </w:tcPr>
          <w:p>
            <w:pPr>
              <w:spacing w:after="0"/>
              <w:rPr>
                <w:sz w:val="22"/>
                <w:szCs w:val="22"/>
                <w:color w:val="auto"/>
              </w:rPr>
            </w:pPr>
          </w:p>
        </w:tc>
      </w:tr>
      <w:tr>
        <w:trPr>
          <w:trHeight w:val="210"/>
        </w:trPr>
        <w:tc>
          <w:tcPr>
            <w:tcW w:w="7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3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9"/>
        </w:trPr>
        <w:tc>
          <w:tcPr>
            <w:tcW w:w="7320" w:type="dxa"/>
            <w:vAlign w:val="bottom"/>
          </w:tcPr>
          <w:p>
            <w:pPr>
              <w:spacing w:after="0"/>
              <w:rPr>
                <w:sz w:val="20"/>
                <w:szCs w:val="20"/>
                <w:color w:val="auto"/>
              </w:rPr>
            </w:pPr>
            <w:r>
              <w:rPr>
                <w:rFonts w:ascii="Arial" w:cs="Arial" w:eastAsia="Arial" w:hAnsi="Arial"/>
                <w:sz w:val="18"/>
                <w:szCs w:val="18"/>
                <w:color w:val="auto"/>
              </w:rPr>
              <w:t>Debt (net of deferred financing costs of $22,287 and $17,246, respectively)</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1,304,841</w:t>
            </w:r>
          </w:p>
        </w:tc>
        <w:tc>
          <w:tcPr>
            <w:tcW w:w="180" w:type="dxa"/>
            <w:vAlign w:val="bottom"/>
          </w:tcPr>
          <w:p>
            <w:pPr>
              <w:spacing w:after="0"/>
              <w:rPr>
                <w:sz w:val="19"/>
                <w:szCs w:val="19"/>
                <w:color w:val="auto"/>
              </w:rPr>
            </w:pP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1,110,363</w:t>
            </w:r>
          </w:p>
        </w:tc>
        <w:tc>
          <w:tcPr>
            <w:tcW w:w="100" w:type="dxa"/>
            <w:vAlign w:val="bottom"/>
          </w:tcPr>
          <w:p>
            <w:pPr>
              <w:spacing w:after="0"/>
              <w:rPr>
                <w:sz w:val="19"/>
                <w:szCs w:val="19"/>
                <w:color w:val="auto"/>
              </w:rPr>
            </w:pPr>
          </w:p>
        </w:tc>
      </w:tr>
      <w:tr>
        <w:trPr>
          <w:trHeight w:val="229"/>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Management fees payable to affiliate</w:t>
            </w:r>
          </w:p>
        </w:tc>
        <w:tc>
          <w:tcPr>
            <w:tcW w:w="3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9,287</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8,435</w:t>
            </w:r>
          </w:p>
        </w:tc>
        <w:tc>
          <w:tcPr>
            <w:tcW w:w="100" w:type="dxa"/>
            <w:vAlign w:val="bottom"/>
            <w:shd w:val="clear" w:color="auto" w:fill="CFF0FC"/>
          </w:tcPr>
          <w:p>
            <w:pPr>
              <w:spacing w:after="0"/>
              <w:rPr>
                <w:sz w:val="19"/>
                <w:szCs w:val="19"/>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Incentive fees on net investment income payable to affiliate</w:t>
            </w: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6,995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7,252</w:t>
            </w:r>
          </w:p>
        </w:tc>
        <w:tc>
          <w:tcPr>
            <w:tcW w:w="100" w:type="dxa"/>
            <w:vAlign w:val="bottom"/>
          </w:tcPr>
          <w:p>
            <w:pPr>
              <w:spacing w:after="0"/>
              <w:rPr>
                <w:sz w:val="19"/>
                <w:szCs w:val="19"/>
                <w:color w:val="auto"/>
              </w:rPr>
            </w:pPr>
          </w:p>
        </w:tc>
      </w:tr>
      <w:tr>
        <w:trPr>
          <w:trHeight w:val="229"/>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Incentive fees on net capital gains accrued to affiliate</w:t>
            </w:r>
          </w:p>
        </w:tc>
        <w:tc>
          <w:tcPr>
            <w:tcW w:w="3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11,525</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1,421</w:t>
            </w:r>
          </w:p>
        </w:tc>
        <w:tc>
          <w:tcPr>
            <w:tcW w:w="100" w:type="dxa"/>
            <w:vAlign w:val="bottom"/>
            <w:shd w:val="clear" w:color="auto" w:fill="CFF0FC"/>
          </w:tcPr>
          <w:p>
            <w:pPr>
              <w:spacing w:after="0"/>
              <w:rPr>
                <w:sz w:val="19"/>
                <w:szCs w:val="19"/>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Dividends payable</w:t>
            </w: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29,774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27,728</w:t>
            </w:r>
          </w:p>
        </w:tc>
        <w:tc>
          <w:tcPr>
            <w:tcW w:w="100" w:type="dxa"/>
            <w:vAlign w:val="bottom"/>
          </w:tcPr>
          <w:p>
            <w:pPr>
              <w:spacing w:after="0"/>
              <w:rPr>
                <w:sz w:val="19"/>
                <w:szCs w:val="19"/>
                <w:color w:val="auto"/>
              </w:rPr>
            </w:pPr>
          </w:p>
        </w:tc>
      </w:tr>
      <w:tr>
        <w:trPr>
          <w:trHeight w:val="230"/>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Other payables to affiliate</w:t>
            </w:r>
          </w:p>
        </w:tc>
        <w:tc>
          <w:tcPr>
            <w:tcW w:w="3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2,632</w:t>
            </w:r>
          </w:p>
        </w:tc>
        <w:tc>
          <w:tcPr>
            <w:tcW w:w="100" w:type="dxa"/>
            <w:vAlign w:val="bottom"/>
            <w:shd w:val="clear" w:color="auto" w:fill="CFF0FC"/>
          </w:tcPr>
          <w:p>
            <w:pPr>
              <w:spacing w:after="0"/>
              <w:rPr>
                <w:sz w:val="19"/>
                <w:szCs w:val="19"/>
                <w:color w:val="auto"/>
              </w:rPr>
            </w:pPr>
          </w:p>
        </w:tc>
      </w:tr>
      <w:tr>
        <w:trPr>
          <w:trHeight w:val="230"/>
        </w:trPr>
        <w:tc>
          <w:tcPr>
            <w:tcW w:w="7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liabilities</w:t>
            </w:r>
          </w:p>
        </w:tc>
        <w:tc>
          <w:tcPr>
            <w:tcW w:w="3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18,849</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19,447</w:t>
            </w:r>
          </w:p>
        </w:tc>
        <w:tc>
          <w:tcPr>
            <w:tcW w:w="100" w:type="dxa"/>
            <w:vAlign w:val="bottom"/>
            <w:tcBorders>
              <w:bottom w:val="single" w:sz="8" w:color="CFF0FC"/>
            </w:tcBorders>
          </w:tcPr>
          <w:p>
            <w:pPr>
              <w:spacing w:after="0"/>
              <w:rPr>
                <w:sz w:val="19"/>
                <w:szCs w:val="19"/>
                <w:color w:val="auto"/>
              </w:rPr>
            </w:pPr>
          </w:p>
        </w:tc>
      </w:tr>
      <w:tr>
        <w:trPr>
          <w:trHeight w:val="223"/>
        </w:trPr>
        <w:tc>
          <w:tcPr>
            <w:tcW w:w="7320" w:type="dxa"/>
            <w:vAlign w:val="bottom"/>
            <w:shd w:val="clear" w:color="auto" w:fill="CFF0FC"/>
          </w:tcPr>
          <w:p>
            <w:pPr>
              <w:ind w:left="500"/>
              <w:spacing w:after="0"/>
              <w:rPr>
                <w:sz w:val="20"/>
                <w:szCs w:val="20"/>
                <w:color w:val="auto"/>
              </w:rPr>
            </w:pPr>
            <w:r>
              <w:rPr>
                <w:rFonts w:ascii="Arial" w:cs="Arial" w:eastAsia="Arial" w:hAnsi="Arial"/>
                <w:sz w:val="18"/>
                <w:szCs w:val="18"/>
                <w:b w:val="1"/>
                <w:bCs w:val="1"/>
                <w:color w:val="auto"/>
              </w:rPr>
              <w:t>Total Liabilities</w:t>
            </w:r>
          </w:p>
        </w:tc>
        <w:tc>
          <w:tcPr>
            <w:tcW w:w="3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1,384,543</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1,177,278</w:t>
            </w:r>
          </w:p>
        </w:tc>
        <w:tc>
          <w:tcPr>
            <w:tcW w:w="100" w:type="dxa"/>
            <w:vAlign w:val="bottom"/>
            <w:shd w:val="clear" w:color="auto" w:fill="CFF0FC"/>
          </w:tcPr>
          <w:p>
            <w:pPr>
              <w:spacing w:after="0"/>
              <w:rPr>
                <w:sz w:val="19"/>
                <w:szCs w:val="19"/>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Commitments and contingencies (Note 8)</w:t>
            </w:r>
          </w:p>
        </w:tc>
        <w:tc>
          <w:tcPr>
            <w:tcW w:w="3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Assets</w:t>
            </w:r>
          </w:p>
        </w:tc>
        <w:tc>
          <w:tcPr>
            <w:tcW w:w="3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5"/>
        </w:trPr>
        <w:tc>
          <w:tcPr>
            <w:tcW w:w="7320" w:type="dxa"/>
            <w:vAlign w:val="bottom"/>
          </w:tcPr>
          <w:p>
            <w:pPr>
              <w:spacing w:after="0"/>
              <w:rPr>
                <w:sz w:val="20"/>
                <w:szCs w:val="20"/>
                <w:color w:val="auto"/>
              </w:rPr>
            </w:pPr>
            <w:r>
              <w:rPr>
                <w:rFonts w:ascii="Arial" w:cs="Arial" w:eastAsia="Arial" w:hAnsi="Arial"/>
                <w:sz w:val="18"/>
                <w:szCs w:val="18"/>
                <w:color w:val="auto"/>
              </w:rPr>
              <w:t>Preferred stock, $0.01 par value; 100,000,000 shares authorized; no shares</w:t>
            </w: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320" w:type="dxa"/>
            <w:vAlign w:val="bottom"/>
          </w:tcPr>
          <w:p>
            <w:pPr>
              <w:ind w:left="140"/>
              <w:spacing w:after="0"/>
              <w:rPr>
                <w:sz w:val="20"/>
                <w:szCs w:val="20"/>
                <w:color w:val="auto"/>
              </w:rPr>
            </w:pPr>
            <w:r>
              <w:rPr>
                <w:rFonts w:ascii="Arial" w:cs="Arial" w:eastAsia="Arial" w:hAnsi="Arial"/>
                <w:sz w:val="18"/>
                <w:szCs w:val="18"/>
                <w:color w:val="auto"/>
              </w:rPr>
              <w:t>issued and outstanding</w:t>
            </w:r>
          </w:p>
        </w:tc>
        <w:tc>
          <w:tcPr>
            <w:tcW w:w="360" w:type="dxa"/>
            <w:vAlign w:val="bottom"/>
          </w:tcPr>
          <w:p>
            <w:pPr>
              <w:spacing w:after="0"/>
              <w:rPr>
                <w:sz w:val="20"/>
                <w:szCs w:val="20"/>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Common stock, $0.01 par value; 400,000,000 shares authorized, 72,945,727 and</w:t>
            </w:r>
          </w:p>
        </w:tc>
        <w:tc>
          <w:tcPr>
            <w:tcW w:w="3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3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67,980,253 shares issued, respectively; and 72,649,683 and 67,684,209 shares</w:t>
            </w:r>
          </w:p>
        </w:tc>
        <w:tc>
          <w:tcPr>
            <w:tcW w:w="3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3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outstanding, respectively</w:t>
            </w:r>
          </w:p>
        </w:tc>
        <w:tc>
          <w:tcPr>
            <w:tcW w:w="36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729</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w:t>
            </w:r>
          </w:p>
        </w:tc>
        <w:tc>
          <w:tcPr>
            <w:tcW w:w="100" w:type="dxa"/>
            <w:vAlign w:val="bottom"/>
            <w:shd w:val="clear" w:color="auto" w:fill="CFF0FC"/>
          </w:tcPr>
          <w:p>
            <w:pPr>
              <w:spacing w:after="0"/>
              <w:rPr>
                <w:sz w:val="20"/>
                <w:szCs w:val="20"/>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1,129,621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1,025,676</w:t>
            </w:r>
          </w:p>
        </w:tc>
        <w:tc>
          <w:tcPr>
            <w:tcW w:w="100" w:type="dxa"/>
            <w:vAlign w:val="bottom"/>
          </w:tcPr>
          <w:p>
            <w:pPr>
              <w:spacing w:after="0"/>
              <w:rPr>
                <w:sz w:val="19"/>
                <w:szCs w:val="19"/>
                <w:color w:val="auto"/>
              </w:rPr>
            </w:pPr>
          </w:p>
        </w:tc>
      </w:tr>
      <w:tr>
        <w:trPr>
          <w:trHeight w:val="230"/>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Treasury stock at cost; 296,044 and 296,044 shares held, respectively</w:t>
            </w:r>
          </w:p>
        </w:tc>
        <w:tc>
          <w:tcPr>
            <w:tcW w:w="36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(4,291)</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(4,291)</w:t>
            </w:r>
          </w:p>
        </w:tc>
      </w:tr>
      <w:tr>
        <w:trPr>
          <w:trHeight w:val="230"/>
        </w:trPr>
        <w:tc>
          <w:tcPr>
            <w:tcW w:w="7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Distributable earnings</w:t>
            </w:r>
          </w:p>
        </w:tc>
        <w:tc>
          <w:tcPr>
            <w:tcW w:w="3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97,754</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139,250</w:t>
            </w:r>
          </w:p>
        </w:tc>
        <w:tc>
          <w:tcPr>
            <w:tcW w:w="100" w:type="dxa"/>
            <w:vAlign w:val="bottom"/>
            <w:tcBorders>
              <w:bottom w:val="single" w:sz="8" w:color="CFF0FC"/>
            </w:tcBorders>
          </w:tcPr>
          <w:p>
            <w:pPr>
              <w:spacing w:after="0"/>
              <w:rPr>
                <w:sz w:val="19"/>
                <w:szCs w:val="19"/>
                <w:color w:val="auto"/>
              </w:rPr>
            </w:pPr>
          </w:p>
        </w:tc>
      </w:tr>
      <w:tr>
        <w:trPr>
          <w:trHeight w:val="223"/>
        </w:trPr>
        <w:tc>
          <w:tcPr>
            <w:tcW w:w="7320" w:type="dxa"/>
            <w:vAlign w:val="bottom"/>
            <w:shd w:val="clear" w:color="auto" w:fill="CFF0FC"/>
          </w:tcPr>
          <w:p>
            <w:pPr>
              <w:ind w:left="500"/>
              <w:spacing w:after="0"/>
              <w:rPr>
                <w:sz w:val="20"/>
                <w:szCs w:val="20"/>
                <w:color w:val="auto"/>
              </w:rPr>
            </w:pPr>
            <w:r>
              <w:rPr>
                <w:rFonts w:ascii="Arial" w:cs="Arial" w:eastAsia="Arial" w:hAnsi="Arial"/>
                <w:sz w:val="18"/>
                <w:szCs w:val="18"/>
                <w:b w:val="1"/>
                <w:bCs w:val="1"/>
                <w:color w:val="auto"/>
              </w:rPr>
              <w:t>Total Net Assets</w:t>
            </w:r>
          </w:p>
        </w:tc>
        <w:tc>
          <w:tcPr>
            <w:tcW w:w="3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1,223,813</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1,161,315</w:t>
            </w:r>
          </w:p>
        </w:tc>
        <w:tc>
          <w:tcPr>
            <w:tcW w:w="100" w:type="dxa"/>
            <w:vAlign w:val="bottom"/>
            <w:shd w:val="clear" w:color="auto" w:fill="CFF0FC"/>
          </w:tcPr>
          <w:p>
            <w:pPr>
              <w:spacing w:after="0"/>
              <w:rPr>
                <w:sz w:val="19"/>
                <w:szCs w:val="19"/>
                <w:color w:val="auto"/>
              </w:rPr>
            </w:pPr>
          </w:p>
        </w:tc>
      </w:tr>
      <w:tr>
        <w:trPr>
          <w:trHeight w:val="263"/>
        </w:trPr>
        <w:tc>
          <w:tcPr>
            <w:tcW w:w="732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Liabilities and Net Assets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2,608,356</w:t>
            </w:r>
          </w:p>
        </w:tc>
        <w:tc>
          <w:tcPr>
            <w:tcW w:w="18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2,338,593</w:t>
            </w:r>
          </w:p>
        </w:tc>
        <w:tc>
          <w:tcPr>
            <w:tcW w:w="100" w:type="dxa"/>
            <w:vAlign w:val="bottom"/>
            <w:tcBorders>
              <w:bottom w:val="single" w:sz="8" w:color="CFF0FC"/>
            </w:tcBorders>
          </w:tcPr>
          <w:p>
            <w:pPr>
              <w:spacing w:after="0"/>
              <w:rPr>
                <w:sz w:val="22"/>
                <w:szCs w:val="22"/>
                <w:color w:val="auto"/>
              </w:rPr>
            </w:pPr>
          </w:p>
        </w:tc>
      </w:tr>
      <w:tr>
        <w:trPr>
          <w:trHeight w:val="210"/>
        </w:trPr>
        <w:tc>
          <w:tcPr>
            <w:tcW w:w="732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Net Asset Value Per Share</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16.85</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7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Sixth Street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60" w:type="dxa"/>
            <w:vAlign w:val="bottom"/>
            <w:gridSpan w:val="6"/>
          </w:tcPr>
          <w:p>
            <w:pPr>
              <w:jc w:val="right"/>
              <w:ind w:right="9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780" w:type="dxa"/>
            <w:vAlign w:val="bottom"/>
            <w:gridSpan w:val="6"/>
          </w:tcPr>
          <w:p>
            <w:pPr>
              <w:jc w:val="right"/>
              <w:ind w:right="9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6"/>
              </w:rPr>
              <w:t>June 30, 2021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6"/>
              </w:rPr>
              <w:t>June 30, 2020</w:t>
            </w:r>
          </w:p>
        </w:tc>
        <w:tc>
          <w:tcPr>
            <w:tcW w:w="140" w:type="dxa"/>
            <w:vAlign w:val="bottom"/>
          </w:tcPr>
          <w:p>
            <w:pPr>
              <w:spacing w:after="0"/>
              <w:rPr>
                <w:sz w:val="14"/>
                <w:szCs w:val="14"/>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6"/>
              </w:rPr>
              <w:t>June 30, 2021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6"/>
              </w:rPr>
              <w:t>June 30, 2020</w:t>
            </w:r>
          </w:p>
        </w:tc>
        <w:tc>
          <w:tcPr>
            <w:tcW w:w="0" w:type="dxa"/>
            <w:vAlign w:val="bottom"/>
          </w:tcPr>
          <w:p>
            <w:pPr>
              <w:spacing w:after="0"/>
              <w:rPr>
                <w:sz w:val="1"/>
                <w:szCs w:val="1"/>
                <w:color w:val="auto"/>
              </w:rPr>
            </w:pPr>
          </w:p>
        </w:tc>
      </w:tr>
      <w:tr>
        <w:trPr>
          <w:trHeight w:val="155"/>
        </w:trPr>
        <w:tc>
          <w:tcPr>
            <w:tcW w:w="500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Income</w:t>
            </w:r>
          </w:p>
        </w:tc>
        <w:tc>
          <w:tcPr>
            <w:tcW w:w="3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10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12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14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112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000" w:type="dxa"/>
            <w:vAlign w:val="bottom"/>
          </w:tcPr>
          <w:p>
            <w:pPr>
              <w:spacing w:after="0"/>
              <w:rPr>
                <w:sz w:val="20"/>
                <w:szCs w:val="20"/>
                <w:color w:val="auto"/>
              </w:rPr>
            </w:pPr>
            <w:r>
              <w:rPr>
                <w:rFonts w:ascii="Arial" w:cs="Arial" w:eastAsia="Arial" w:hAnsi="Arial"/>
                <w:sz w:val="14"/>
                <w:szCs w:val="14"/>
                <w:color w:val="auto"/>
              </w:rPr>
              <w:t>Investment income from non-controlled, non-affiliated investments:</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Interest from investments</w:t>
            </w:r>
          </w:p>
        </w:tc>
        <w:tc>
          <w:tcPr>
            <w:tcW w:w="460" w:type="dxa"/>
            <w:vAlign w:val="bottom"/>
            <w:gridSpan w:val="2"/>
            <w:shd w:val="clear" w:color="auto" w:fill="CFF0FC"/>
          </w:tcPr>
          <w:p>
            <w:pPr>
              <w:jc w:val="right"/>
              <w:ind w:right="29"/>
              <w:spacing w:after="0"/>
              <w:rPr>
                <w:sz w:val="20"/>
                <w:szCs w:val="20"/>
                <w:color w:val="auto"/>
              </w:rPr>
            </w:pPr>
            <w:r>
              <w:rPr>
                <w:rFonts w:ascii="Arial" w:cs="Arial" w:eastAsia="Arial" w:hAnsi="Arial"/>
                <w:sz w:val="14"/>
                <w:szCs w:val="14"/>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59,720</w:t>
            </w:r>
          </w:p>
        </w:tc>
        <w:tc>
          <w:tcPr>
            <w:tcW w:w="140" w:type="dxa"/>
            <w:vAlign w:val="bottom"/>
            <w:shd w:val="clear" w:color="auto" w:fill="CFF0FC"/>
          </w:tcPr>
          <w:p>
            <w:pPr>
              <w:spacing w:after="0"/>
              <w:rPr>
                <w:sz w:val="14"/>
                <w:szCs w:val="14"/>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61,115</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121,484</w:t>
            </w:r>
          </w:p>
        </w:tc>
        <w:tc>
          <w:tcPr>
            <w:tcW w:w="140" w:type="dxa"/>
            <w:vAlign w:val="bottom"/>
            <w:shd w:val="clear" w:color="auto" w:fill="CFF0FC"/>
          </w:tcPr>
          <w:p>
            <w:pPr>
              <w:spacing w:after="0"/>
              <w:rPr>
                <w:sz w:val="14"/>
                <w:szCs w:val="14"/>
                <w:color w:val="auto"/>
              </w:rPr>
            </w:pPr>
          </w:p>
        </w:tc>
        <w:tc>
          <w:tcPr>
            <w:tcW w:w="26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121,881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0" w:type="dxa"/>
            <w:vAlign w:val="bottom"/>
          </w:tcPr>
          <w:p>
            <w:pPr>
              <w:ind w:left="260"/>
              <w:spacing w:after="0"/>
              <w:rPr>
                <w:sz w:val="20"/>
                <w:szCs w:val="20"/>
                <w:color w:val="auto"/>
              </w:rPr>
            </w:pPr>
            <w:r>
              <w:rPr>
                <w:rFonts w:ascii="Arial" w:cs="Arial" w:eastAsia="Arial" w:hAnsi="Arial"/>
                <w:sz w:val="14"/>
                <w:szCs w:val="14"/>
                <w:color w:val="auto"/>
              </w:rPr>
              <w:t>Dividend income</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770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445</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1,277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876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income</w:t>
            </w:r>
          </w:p>
        </w:tc>
        <w:tc>
          <w:tcPr>
            <w:tcW w:w="32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1,136</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6,439</w:t>
            </w:r>
          </w:p>
        </w:tc>
        <w:tc>
          <w:tcPr>
            <w:tcW w:w="26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3,414</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9,227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000" w:type="dxa"/>
            <w:vAlign w:val="bottom"/>
          </w:tcPr>
          <w:p>
            <w:pPr>
              <w:ind w:left="500"/>
              <w:spacing w:after="0" w:line="155" w:lineRule="exact"/>
              <w:rPr>
                <w:sz w:val="20"/>
                <w:szCs w:val="20"/>
                <w:color w:val="auto"/>
              </w:rPr>
            </w:pPr>
            <w:r>
              <w:rPr>
                <w:rFonts w:ascii="Arial" w:cs="Arial" w:eastAsia="Arial" w:hAnsi="Arial"/>
                <w:sz w:val="14"/>
                <w:szCs w:val="14"/>
                <w:color w:val="auto"/>
              </w:rPr>
              <w:t>Total investment income from non-controlled, non-affiliated investments</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right"/>
              <w:spacing w:after="0" w:line="155" w:lineRule="exact"/>
              <w:rPr>
                <w:sz w:val="20"/>
                <w:szCs w:val="20"/>
                <w:color w:val="auto"/>
              </w:rPr>
            </w:pPr>
            <w:r>
              <w:rPr>
                <w:rFonts w:ascii="Arial" w:cs="Arial" w:eastAsia="Arial" w:hAnsi="Arial"/>
                <w:sz w:val="14"/>
                <w:szCs w:val="14"/>
                <w:color w:val="auto"/>
              </w:rPr>
              <w:t>61,626</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jc w:val="right"/>
              <w:spacing w:after="0" w:line="155" w:lineRule="exact"/>
              <w:rPr>
                <w:sz w:val="20"/>
                <w:szCs w:val="20"/>
                <w:color w:val="auto"/>
              </w:rPr>
            </w:pPr>
            <w:r>
              <w:rPr>
                <w:rFonts w:ascii="Arial" w:cs="Arial" w:eastAsia="Arial" w:hAnsi="Arial"/>
                <w:sz w:val="14"/>
                <w:szCs w:val="14"/>
                <w:color w:val="auto"/>
              </w:rPr>
              <w:t>67,999</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jc w:val="right"/>
              <w:spacing w:after="0" w:line="155" w:lineRule="exact"/>
              <w:rPr>
                <w:sz w:val="20"/>
                <w:szCs w:val="20"/>
                <w:color w:val="auto"/>
              </w:rPr>
            </w:pPr>
            <w:r>
              <w:rPr>
                <w:rFonts w:ascii="Arial" w:cs="Arial" w:eastAsia="Arial" w:hAnsi="Arial"/>
                <w:sz w:val="14"/>
                <w:szCs w:val="14"/>
                <w:color w:val="auto"/>
              </w:rPr>
              <w:t>126,175</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right"/>
              <w:spacing w:after="0" w:line="155" w:lineRule="exact"/>
              <w:rPr>
                <w:sz w:val="20"/>
                <w:szCs w:val="20"/>
                <w:color w:val="auto"/>
              </w:rPr>
            </w:pPr>
            <w:r>
              <w:rPr>
                <w:rFonts w:ascii="Arial" w:cs="Arial" w:eastAsia="Arial" w:hAnsi="Arial"/>
                <w:sz w:val="14"/>
                <w:szCs w:val="14"/>
                <w:color w:val="auto"/>
              </w:rPr>
              <w:t>131,984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000" w:type="dxa"/>
            <w:vAlign w:val="bottom"/>
            <w:shd w:val="clear" w:color="auto" w:fill="CFF0FC"/>
          </w:tcPr>
          <w:p>
            <w:pPr>
              <w:spacing w:after="0"/>
              <w:rPr>
                <w:sz w:val="20"/>
                <w:szCs w:val="20"/>
                <w:color w:val="auto"/>
              </w:rPr>
            </w:pPr>
            <w:r>
              <w:rPr>
                <w:rFonts w:ascii="Arial" w:cs="Arial" w:eastAsia="Arial" w:hAnsi="Arial"/>
                <w:sz w:val="14"/>
                <w:szCs w:val="14"/>
                <w:color w:val="auto"/>
              </w:rPr>
              <w:t>Investment income from non-controlled, affiliated investments:</w:t>
            </w:r>
          </w:p>
        </w:tc>
        <w:tc>
          <w:tcPr>
            <w:tcW w:w="3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0" w:type="dxa"/>
            <w:vAlign w:val="bottom"/>
          </w:tcPr>
          <w:p>
            <w:pPr>
              <w:ind w:left="260"/>
              <w:spacing w:after="0"/>
              <w:rPr>
                <w:sz w:val="20"/>
                <w:szCs w:val="20"/>
                <w:color w:val="auto"/>
              </w:rPr>
            </w:pPr>
            <w:r>
              <w:rPr>
                <w:rFonts w:ascii="Arial" w:cs="Arial" w:eastAsia="Arial" w:hAnsi="Arial"/>
                <w:sz w:val="14"/>
                <w:szCs w:val="14"/>
                <w:color w:val="auto"/>
              </w:rPr>
              <w:t>Interest from investments</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209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1,245</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420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2,482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Dividend income</w:t>
            </w:r>
          </w:p>
        </w:tc>
        <w:tc>
          <w:tcPr>
            <w:tcW w:w="3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545</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000" w:type="dxa"/>
            <w:vAlign w:val="bottom"/>
          </w:tcPr>
          <w:p>
            <w:pPr>
              <w:ind w:left="260"/>
              <w:spacing w:after="0"/>
              <w:rPr>
                <w:sz w:val="20"/>
                <w:szCs w:val="20"/>
                <w:color w:val="auto"/>
              </w:rPr>
            </w:pPr>
            <w:r>
              <w:rPr>
                <w:rFonts w:ascii="Arial" w:cs="Arial" w:eastAsia="Arial" w:hAnsi="Arial"/>
                <w:sz w:val="14"/>
                <w:szCs w:val="14"/>
                <w:color w:val="auto"/>
              </w:rPr>
              <w:t>Other income</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19</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000" w:type="dxa"/>
            <w:vAlign w:val="bottom"/>
            <w:tcBorders>
              <w:top w:val="single" w:sz="8" w:color="CFF0FC"/>
            </w:tcBorders>
            <w:shd w:val="clear" w:color="auto" w:fill="CFF0FC"/>
          </w:tcPr>
          <w:p>
            <w:pPr>
              <w:ind w:left="500"/>
              <w:spacing w:after="0" w:line="155" w:lineRule="exact"/>
              <w:rPr>
                <w:sz w:val="20"/>
                <w:szCs w:val="20"/>
                <w:color w:val="auto"/>
              </w:rPr>
            </w:pPr>
            <w:r>
              <w:rPr>
                <w:rFonts w:ascii="Arial" w:cs="Arial" w:eastAsia="Arial" w:hAnsi="Arial"/>
                <w:sz w:val="14"/>
                <w:szCs w:val="14"/>
                <w:color w:val="auto"/>
              </w:rPr>
              <w:t>Total investment income from non-controlled, affiliated investments</w:t>
            </w:r>
          </w:p>
        </w:tc>
        <w:tc>
          <w:tcPr>
            <w:tcW w:w="3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209</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1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1,264</w:t>
            </w:r>
          </w:p>
        </w:tc>
        <w:tc>
          <w:tcPr>
            <w:tcW w:w="26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1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965</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11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2,519</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000" w:type="dxa"/>
            <w:vAlign w:val="bottom"/>
          </w:tcPr>
          <w:p>
            <w:pPr>
              <w:spacing w:after="0"/>
              <w:rPr>
                <w:sz w:val="20"/>
                <w:szCs w:val="20"/>
                <w:color w:val="auto"/>
              </w:rPr>
            </w:pPr>
            <w:r>
              <w:rPr>
                <w:rFonts w:ascii="Arial" w:cs="Arial" w:eastAsia="Arial" w:hAnsi="Arial"/>
                <w:sz w:val="14"/>
                <w:szCs w:val="14"/>
                <w:color w:val="auto"/>
              </w:rPr>
              <w:t>Investment income from controlled, affiliated investments:</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Interest from investments</w:t>
            </w:r>
          </w:p>
        </w:tc>
        <w:tc>
          <w:tcPr>
            <w:tcW w:w="3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989</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971</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1,925</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1,998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0" w:type="dxa"/>
            <w:vAlign w:val="bottom"/>
          </w:tcPr>
          <w:p>
            <w:pPr>
              <w:ind w:left="260"/>
              <w:spacing w:after="0"/>
              <w:rPr>
                <w:sz w:val="20"/>
                <w:szCs w:val="20"/>
                <w:color w:val="auto"/>
              </w:rPr>
            </w:pPr>
            <w:r>
              <w:rPr>
                <w:rFonts w:ascii="Arial" w:cs="Arial" w:eastAsia="Arial" w:hAnsi="Arial"/>
                <w:sz w:val="14"/>
                <w:szCs w:val="14"/>
                <w:color w:val="auto"/>
              </w:rPr>
              <w:t>Other income</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000" w:type="dxa"/>
            <w:vAlign w:val="bottom"/>
            <w:tcBorders>
              <w:top w:val="single" w:sz="8" w:color="CFF0FC"/>
            </w:tcBorders>
            <w:shd w:val="clear" w:color="auto" w:fill="CFF0FC"/>
          </w:tcPr>
          <w:p>
            <w:pPr>
              <w:ind w:left="500"/>
              <w:spacing w:after="0" w:line="155" w:lineRule="exact"/>
              <w:rPr>
                <w:sz w:val="20"/>
                <w:szCs w:val="20"/>
                <w:color w:val="auto"/>
              </w:rPr>
            </w:pPr>
            <w:r>
              <w:rPr>
                <w:rFonts w:ascii="Arial" w:cs="Arial" w:eastAsia="Arial" w:hAnsi="Arial"/>
                <w:sz w:val="14"/>
                <w:szCs w:val="14"/>
                <w:color w:val="auto"/>
              </w:rPr>
              <w:t>Total investment income from controlled, affiliated investments</w:t>
            </w:r>
          </w:p>
        </w:tc>
        <w:tc>
          <w:tcPr>
            <w:tcW w:w="3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rPr>
                <w:sz w:val="13"/>
                <w:szCs w:val="13"/>
                <w:color w:val="auto"/>
              </w:rPr>
            </w:pPr>
          </w:p>
        </w:tc>
        <w:tc>
          <w:tcPr>
            <w:tcW w:w="1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993</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rPr>
                <w:sz w:val="13"/>
                <w:szCs w:val="13"/>
                <w:color w:val="auto"/>
              </w:rPr>
            </w:pPr>
          </w:p>
        </w:tc>
        <w:tc>
          <w:tcPr>
            <w:tcW w:w="1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971</w:t>
            </w:r>
          </w:p>
        </w:tc>
        <w:tc>
          <w:tcPr>
            <w:tcW w:w="26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rPr>
                <w:sz w:val="13"/>
                <w:szCs w:val="13"/>
                <w:color w:val="auto"/>
              </w:rPr>
            </w:pPr>
          </w:p>
        </w:tc>
        <w:tc>
          <w:tcPr>
            <w:tcW w:w="1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1,929</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spacing w:after="0"/>
              <w:rPr>
                <w:sz w:val="13"/>
                <w:szCs w:val="13"/>
                <w:color w:val="auto"/>
              </w:rPr>
            </w:pPr>
          </w:p>
        </w:tc>
        <w:tc>
          <w:tcPr>
            <w:tcW w:w="1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2,001</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000" w:type="dxa"/>
            <w:vAlign w:val="bottom"/>
            <w:tcBorders>
              <w:bottom w:val="single" w:sz="8" w:color="CFF0FC"/>
            </w:tcBorders>
          </w:tcPr>
          <w:p>
            <w:pPr>
              <w:ind w:left="740"/>
              <w:spacing w:after="0" w:line="155" w:lineRule="exact"/>
              <w:rPr>
                <w:sz w:val="20"/>
                <w:szCs w:val="20"/>
                <w:color w:val="auto"/>
              </w:rPr>
            </w:pPr>
            <w:r>
              <w:rPr>
                <w:rFonts w:ascii="Arial" w:cs="Arial" w:eastAsia="Arial" w:hAnsi="Arial"/>
                <w:sz w:val="14"/>
                <w:szCs w:val="14"/>
                <w:b w:val="1"/>
                <w:bCs w:val="1"/>
                <w:color w:val="auto"/>
              </w:rPr>
              <w:t>Total Investment Income</w:t>
            </w:r>
          </w:p>
        </w:tc>
        <w:tc>
          <w:tcPr>
            <w:tcW w:w="3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62,828</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70,234</w:t>
            </w:r>
          </w:p>
        </w:tc>
        <w:tc>
          <w:tcPr>
            <w:tcW w:w="26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129,069</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136,504</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00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Expenses</w:t>
            </w:r>
          </w:p>
        </w:tc>
        <w:tc>
          <w:tcPr>
            <w:tcW w:w="3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000" w:type="dxa"/>
            <w:vAlign w:val="bottom"/>
          </w:tcPr>
          <w:p>
            <w:pPr>
              <w:spacing w:after="0"/>
              <w:rPr>
                <w:sz w:val="20"/>
                <w:szCs w:val="20"/>
                <w:color w:val="auto"/>
              </w:rPr>
            </w:pPr>
            <w:r>
              <w:rPr>
                <w:rFonts w:ascii="Arial" w:cs="Arial" w:eastAsia="Arial" w:hAnsi="Arial"/>
                <w:sz w:val="14"/>
                <w:szCs w:val="14"/>
                <w:color w:val="auto"/>
              </w:rPr>
              <w:t>Interest</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10,190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9,851</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19,143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22,760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0" w:type="dxa"/>
            <w:vAlign w:val="bottom"/>
            <w:shd w:val="clear" w:color="auto" w:fill="CFF0FC"/>
          </w:tcPr>
          <w:p>
            <w:pPr>
              <w:spacing w:after="0"/>
              <w:rPr>
                <w:sz w:val="20"/>
                <w:szCs w:val="20"/>
                <w:color w:val="auto"/>
              </w:rPr>
            </w:pPr>
            <w:r>
              <w:rPr>
                <w:rFonts w:ascii="Arial" w:cs="Arial" w:eastAsia="Arial" w:hAnsi="Arial"/>
                <w:sz w:val="14"/>
                <w:szCs w:val="14"/>
                <w:color w:val="auto"/>
              </w:rPr>
              <w:t>Management fees</w:t>
            </w:r>
          </w:p>
        </w:tc>
        <w:tc>
          <w:tcPr>
            <w:tcW w:w="3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9,417</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7,666</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18,156</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15,831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0" w:type="dxa"/>
            <w:vAlign w:val="bottom"/>
          </w:tcPr>
          <w:p>
            <w:pPr>
              <w:spacing w:after="0"/>
              <w:rPr>
                <w:sz w:val="20"/>
                <w:szCs w:val="20"/>
                <w:color w:val="auto"/>
              </w:rPr>
            </w:pPr>
            <w:r>
              <w:rPr>
                <w:rFonts w:ascii="Arial" w:cs="Arial" w:eastAsia="Arial" w:hAnsi="Arial"/>
                <w:sz w:val="14"/>
                <w:szCs w:val="14"/>
                <w:color w:val="auto"/>
              </w:rPr>
              <w:t>Incentive fees on net investment income</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6,996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8,372</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14,807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15,513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0" w:type="dxa"/>
            <w:vAlign w:val="bottom"/>
            <w:shd w:val="clear" w:color="auto" w:fill="CFF0FC"/>
          </w:tcPr>
          <w:p>
            <w:pPr>
              <w:spacing w:after="0"/>
              <w:rPr>
                <w:sz w:val="20"/>
                <w:szCs w:val="20"/>
                <w:color w:val="auto"/>
              </w:rPr>
            </w:pPr>
            <w:r>
              <w:rPr>
                <w:rFonts w:ascii="Arial" w:cs="Arial" w:eastAsia="Arial" w:hAnsi="Arial"/>
                <w:sz w:val="14"/>
                <w:szCs w:val="14"/>
                <w:color w:val="auto"/>
              </w:rPr>
              <w:t>Incentive fees on net capital gains</w:t>
            </w:r>
          </w:p>
        </w:tc>
        <w:tc>
          <w:tcPr>
            <w:tcW w:w="3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5,589</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10,104</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000" w:type="dxa"/>
            <w:vAlign w:val="bottom"/>
          </w:tcPr>
          <w:p>
            <w:pPr>
              <w:spacing w:after="0"/>
              <w:rPr>
                <w:sz w:val="20"/>
                <w:szCs w:val="20"/>
                <w:color w:val="auto"/>
              </w:rPr>
            </w:pPr>
            <w:r>
              <w:rPr>
                <w:rFonts w:ascii="Arial" w:cs="Arial" w:eastAsia="Arial" w:hAnsi="Arial"/>
                <w:sz w:val="14"/>
                <w:szCs w:val="14"/>
                <w:color w:val="auto"/>
              </w:rPr>
              <w:t>Professional fees</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1,785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1,979</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3,180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3,624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0" w:type="dxa"/>
            <w:vAlign w:val="bottom"/>
            <w:shd w:val="clear" w:color="auto" w:fill="CFF0FC"/>
          </w:tcPr>
          <w:p>
            <w:pPr>
              <w:spacing w:after="0"/>
              <w:rPr>
                <w:sz w:val="20"/>
                <w:szCs w:val="20"/>
                <w:color w:val="auto"/>
              </w:rPr>
            </w:pPr>
            <w:r>
              <w:rPr>
                <w:rFonts w:ascii="Arial" w:cs="Arial" w:eastAsia="Arial" w:hAnsi="Arial"/>
                <w:sz w:val="14"/>
                <w:szCs w:val="14"/>
                <w:color w:val="auto"/>
              </w:rPr>
              <w:t>Directors’ fees</w:t>
            </w:r>
          </w:p>
        </w:tc>
        <w:tc>
          <w:tcPr>
            <w:tcW w:w="3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174</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195</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368</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Other general and administrative</w:t>
            </w:r>
          </w:p>
        </w:tc>
        <w:tc>
          <w:tcPr>
            <w:tcW w:w="3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1,254</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1,702</w:t>
            </w:r>
          </w:p>
        </w:tc>
        <w:tc>
          <w:tcPr>
            <w:tcW w:w="26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3,119</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3,212</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000" w:type="dxa"/>
            <w:vAlign w:val="bottom"/>
            <w:shd w:val="clear" w:color="auto" w:fill="CFF0FC"/>
          </w:tcPr>
          <w:p>
            <w:pPr>
              <w:ind w:left="500"/>
              <w:spacing w:after="0" w:line="155" w:lineRule="exact"/>
              <w:rPr>
                <w:sz w:val="20"/>
                <w:szCs w:val="20"/>
                <w:color w:val="auto"/>
              </w:rPr>
            </w:pPr>
            <w:r>
              <w:rPr>
                <w:rFonts w:ascii="Arial" w:cs="Arial" w:eastAsia="Arial" w:hAnsi="Arial"/>
                <w:sz w:val="14"/>
                <w:szCs w:val="14"/>
                <w:color w:val="auto"/>
              </w:rPr>
              <w:t>Total expenses</w:t>
            </w:r>
          </w:p>
        </w:tc>
        <w:tc>
          <w:tcPr>
            <w:tcW w:w="32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1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35,405</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1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29,765</w:t>
            </w:r>
          </w:p>
        </w:tc>
        <w:tc>
          <w:tcPr>
            <w:tcW w:w="26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1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68,877</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11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61,363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00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color w:val="auto"/>
              </w:rPr>
              <w:t>Management fees waived (Note 3)</w:t>
            </w:r>
          </w:p>
        </w:tc>
        <w:tc>
          <w:tcPr>
            <w:tcW w:w="3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(130)</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(130)</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000" w:type="dxa"/>
            <w:vAlign w:val="bottom"/>
            <w:shd w:val="clear" w:color="auto" w:fill="CFF0FC"/>
          </w:tcPr>
          <w:p>
            <w:pPr>
              <w:ind w:left="740"/>
              <w:spacing w:after="0" w:line="155" w:lineRule="exact"/>
              <w:rPr>
                <w:sz w:val="20"/>
                <w:szCs w:val="20"/>
                <w:color w:val="auto"/>
              </w:rPr>
            </w:pPr>
            <w:r>
              <w:rPr>
                <w:rFonts w:ascii="Arial" w:cs="Arial" w:eastAsia="Arial" w:hAnsi="Arial"/>
                <w:sz w:val="14"/>
                <w:szCs w:val="14"/>
                <w:b w:val="1"/>
                <w:bCs w:val="1"/>
                <w:color w:val="auto"/>
              </w:rPr>
              <w:t>Net Expenses</w:t>
            </w:r>
          </w:p>
        </w:tc>
        <w:tc>
          <w:tcPr>
            <w:tcW w:w="32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1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35,275</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1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29,765</w:t>
            </w:r>
          </w:p>
        </w:tc>
        <w:tc>
          <w:tcPr>
            <w:tcW w:w="26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1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68,747</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11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61,363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000" w:type="dxa"/>
            <w:vAlign w:val="bottom"/>
          </w:tcPr>
          <w:p>
            <w:pPr>
              <w:spacing w:after="0" w:line="155" w:lineRule="exact"/>
              <w:rPr>
                <w:sz w:val="20"/>
                <w:szCs w:val="20"/>
                <w:color w:val="auto"/>
              </w:rPr>
            </w:pPr>
            <w:r>
              <w:rPr>
                <w:rFonts w:ascii="Arial" w:cs="Arial" w:eastAsia="Arial" w:hAnsi="Arial"/>
                <w:sz w:val="14"/>
                <w:szCs w:val="14"/>
                <w:b w:val="1"/>
                <w:bCs w:val="1"/>
                <w:color w:val="auto"/>
              </w:rPr>
              <w:t>Net Investment Income Before Income Taxes</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right"/>
              <w:spacing w:after="0" w:line="155" w:lineRule="exact"/>
              <w:rPr>
                <w:sz w:val="20"/>
                <w:szCs w:val="20"/>
                <w:color w:val="auto"/>
              </w:rPr>
            </w:pPr>
            <w:r>
              <w:rPr>
                <w:rFonts w:ascii="Arial" w:cs="Arial" w:eastAsia="Arial" w:hAnsi="Arial"/>
                <w:sz w:val="14"/>
                <w:szCs w:val="14"/>
                <w:color w:val="auto"/>
              </w:rPr>
              <w:t>27,553</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jc w:val="right"/>
              <w:spacing w:after="0" w:line="155" w:lineRule="exact"/>
              <w:rPr>
                <w:sz w:val="20"/>
                <w:szCs w:val="20"/>
                <w:color w:val="auto"/>
              </w:rPr>
            </w:pPr>
            <w:r>
              <w:rPr>
                <w:rFonts w:ascii="Arial" w:cs="Arial" w:eastAsia="Arial" w:hAnsi="Arial"/>
                <w:sz w:val="14"/>
                <w:szCs w:val="14"/>
                <w:color w:val="auto"/>
              </w:rPr>
              <w:t>40,469</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jc w:val="right"/>
              <w:spacing w:after="0" w:line="155" w:lineRule="exact"/>
              <w:rPr>
                <w:sz w:val="20"/>
                <w:szCs w:val="20"/>
                <w:color w:val="auto"/>
              </w:rPr>
            </w:pPr>
            <w:r>
              <w:rPr>
                <w:rFonts w:ascii="Arial" w:cs="Arial" w:eastAsia="Arial" w:hAnsi="Arial"/>
                <w:sz w:val="14"/>
                <w:szCs w:val="14"/>
                <w:color w:val="auto"/>
              </w:rPr>
              <w:t>60,322</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right"/>
              <w:spacing w:after="0" w:line="155" w:lineRule="exact"/>
              <w:rPr>
                <w:sz w:val="20"/>
                <w:szCs w:val="20"/>
                <w:color w:val="auto"/>
              </w:rPr>
            </w:pPr>
            <w:r>
              <w:rPr>
                <w:rFonts w:ascii="Arial" w:cs="Arial" w:eastAsia="Arial" w:hAnsi="Arial"/>
                <w:sz w:val="14"/>
                <w:szCs w:val="14"/>
                <w:color w:val="auto"/>
              </w:rPr>
              <w:t>75,141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000" w:type="dxa"/>
            <w:vAlign w:val="bottom"/>
            <w:shd w:val="clear" w:color="auto" w:fill="CFF0FC"/>
          </w:tcPr>
          <w:p>
            <w:pPr>
              <w:spacing w:after="0"/>
              <w:rPr>
                <w:sz w:val="20"/>
                <w:szCs w:val="20"/>
                <w:color w:val="auto"/>
              </w:rPr>
            </w:pPr>
            <w:r>
              <w:rPr>
                <w:rFonts w:ascii="Arial" w:cs="Arial" w:eastAsia="Arial" w:hAnsi="Arial"/>
                <w:sz w:val="14"/>
                <w:szCs w:val="14"/>
                <w:color w:val="auto"/>
              </w:rPr>
              <w:t>Income taxes, including excise taxes</w:t>
            </w:r>
          </w:p>
        </w:tc>
        <w:tc>
          <w:tcPr>
            <w:tcW w:w="32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165</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1,000</w:t>
            </w:r>
          </w:p>
        </w:tc>
        <w:tc>
          <w:tcPr>
            <w:tcW w:w="26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625</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2,010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000" w:type="dxa"/>
            <w:vAlign w:val="bottom"/>
          </w:tcPr>
          <w:p>
            <w:pPr>
              <w:spacing w:after="0" w:line="155" w:lineRule="exact"/>
              <w:rPr>
                <w:sz w:val="20"/>
                <w:szCs w:val="20"/>
                <w:color w:val="auto"/>
              </w:rPr>
            </w:pPr>
            <w:r>
              <w:rPr>
                <w:rFonts w:ascii="Arial" w:cs="Arial" w:eastAsia="Arial" w:hAnsi="Arial"/>
                <w:sz w:val="14"/>
                <w:szCs w:val="14"/>
                <w:b w:val="1"/>
                <w:bCs w:val="1"/>
                <w:color w:val="auto"/>
              </w:rPr>
              <w:t>Net Investment Income</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right"/>
              <w:spacing w:after="0" w:line="155" w:lineRule="exact"/>
              <w:rPr>
                <w:sz w:val="20"/>
                <w:szCs w:val="20"/>
                <w:color w:val="auto"/>
              </w:rPr>
            </w:pPr>
            <w:r>
              <w:rPr>
                <w:rFonts w:ascii="Arial" w:cs="Arial" w:eastAsia="Arial" w:hAnsi="Arial"/>
                <w:sz w:val="14"/>
                <w:szCs w:val="14"/>
                <w:color w:val="auto"/>
              </w:rPr>
              <w:t>27,388</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jc w:val="right"/>
              <w:spacing w:after="0" w:line="155" w:lineRule="exact"/>
              <w:rPr>
                <w:sz w:val="20"/>
                <w:szCs w:val="20"/>
                <w:color w:val="auto"/>
              </w:rPr>
            </w:pPr>
            <w:r>
              <w:rPr>
                <w:rFonts w:ascii="Arial" w:cs="Arial" w:eastAsia="Arial" w:hAnsi="Arial"/>
                <w:sz w:val="14"/>
                <w:szCs w:val="14"/>
                <w:color w:val="auto"/>
              </w:rPr>
              <w:t>39,469</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jc w:val="right"/>
              <w:spacing w:after="0" w:line="155" w:lineRule="exact"/>
              <w:rPr>
                <w:sz w:val="20"/>
                <w:szCs w:val="20"/>
                <w:color w:val="auto"/>
              </w:rPr>
            </w:pPr>
            <w:r>
              <w:rPr>
                <w:rFonts w:ascii="Arial" w:cs="Arial" w:eastAsia="Arial" w:hAnsi="Arial"/>
                <w:sz w:val="14"/>
                <w:szCs w:val="14"/>
                <w:color w:val="auto"/>
              </w:rPr>
              <w:t>59,697</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right"/>
              <w:spacing w:after="0" w:line="155" w:lineRule="exact"/>
              <w:rPr>
                <w:sz w:val="20"/>
                <w:szCs w:val="20"/>
                <w:color w:val="auto"/>
              </w:rPr>
            </w:pPr>
            <w:r>
              <w:rPr>
                <w:rFonts w:ascii="Arial" w:cs="Arial" w:eastAsia="Arial" w:hAnsi="Arial"/>
                <w:sz w:val="14"/>
                <w:szCs w:val="14"/>
                <w:color w:val="auto"/>
              </w:rPr>
              <w:t>73,131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00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Unrealized and Realized Gains (Losses)</w:t>
            </w:r>
          </w:p>
        </w:tc>
        <w:tc>
          <w:tcPr>
            <w:tcW w:w="3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0" w:type="dxa"/>
            <w:vAlign w:val="bottom"/>
          </w:tcPr>
          <w:p>
            <w:pPr>
              <w:spacing w:after="0"/>
              <w:rPr>
                <w:sz w:val="20"/>
                <w:szCs w:val="20"/>
                <w:color w:val="auto"/>
              </w:rPr>
            </w:pPr>
            <w:r>
              <w:rPr>
                <w:rFonts w:ascii="Arial" w:cs="Arial" w:eastAsia="Arial" w:hAnsi="Arial"/>
                <w:sz w:val="14"/>
                <w:szCs w:val="14"/>
                <w:color w:val="auto"/>
              </w:rPr>
              <w:t>Net change in unrealized gains (losses):</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Non-controlled, non-affiliated investments</w:t>
            </w:r>
          </w:p>
        </w:tc>
        <w:tc>
          <w:tcPr>
            <w:tcW w:w="3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26,075</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62,002</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35,438</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(30,757)</w:t>
            </w:r>
          </w:p>
        </w:tc>
        <w:tc>
          <w:tcPr>
            <w:tcW w:w="0" w:type="dxa"/>
            <w:vAlign w:val="bottom"/>
          </w:tcPr>
          <w:p>
            <w:pPr>
              <w:spacing w:after="0"/>
              <w:rPr>
                <w:sz w:val="1"/>
                <w:szCs w:val="1"/>
                <w:color w:val="auto"/>
              </w:rPr>
            </w:pPr>
          </w:p>
        </w:tc>
      </w:tr>
      <w:tr>
        <w:trPr>
          <w:trHeight w:val="162"/>
        </w:trPr>
        <w:tc>
          <w:tcPr>
            <w:tcW w:w="5000" w:type="dxa"/>
            <w:vAlign w:val="bottom"/>
          </w:tcPr>
          <w:p>
            <w:pPr>
              <w:ind w:left="260"/>
              <w:spacing w:after="0"/>
              <w:rPr>
                <w:sz w:val="20"/>
                <w:szCs w:val="20"/>
                <w:color w:val="auto"/>
              </w:rPr>
            </w:pPr>
            <w:r>
              <w:rPr>
                <w:rFonts w:ascii="Arial" w:cs="Arial" w:eastAsia="Arial" w:hAnsi="Arial"/>
                <w:sz w:val="14"/>
                <w:szCs w:val="14"/>
                <w:color w:val="auto"/>
              </w:rPr>
              <w:t>Non-controlled, affiliated investments</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4,008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4,310</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6,090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2,916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Controlled, affiliated investments</w:t>
            </w:r>
          </w:p>
        </w:tc>
        <w:tc>
          <w:tcPr>
            <w:tcW w:w="3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(132)</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(1,215)</w:t>
            </w:r>
          </w:p>
        </w:tc>
        <w:tc>
          <w:tcPr>
            <w:tcW w:w="14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(132)</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(14,723)</w:t>
            </w:r>
          </w:p>
        </w:tc>
        <w:tc>
          <w:tcPr>
            <w:tcW w:w="0" w:type="dxa"/>
            <w:vAlign w:val="bottom"/>
          </w:tcPr>
          <w:p>
            <w:pPr>
              <w:spacing w:after="0"/>
              <w:rPr>
                <w:sz w:val="1"/>
                <w:szCs w:val="1"/>
                <w:color w:val="auto"/>
              </w:rPr>
            </w:pPr>
          </w:p>
        </w:tc>
      </w:tr>
      <w:tr>
        <w:trPr>
          <w:trHeight w:val="162"/>
        </w:trPr>
        <w:tc>
          <w:tcPr>
            <w:tcW w:w="5000" w:type="dxa"/>
            <w:vAlign w:val="bottom"/>
          </w:tcPr>
          <w:p>
            <w:pPr>
              <w:ind w:left="260"/>
              <w:spacing w:after="0"/>
              <w:rPr>
                <w:sz w:val="20"/>
                <w:szCs w:val="20"/>
                <w:color w:val="auto"/>
              </w:rPr>
            </w:pPr>
            <w:r>
              <w:rPr>
                <w:rFonts w:ascii="Arial" w:cs="Arial" w:eastAsia="Arial" w:hAnsi="Arial"/>
                <w:sz w:val="14"/>
                <w:szCs w:val="14"/>
                <w:color w:val="auto"/>
              </w:rPr>
              <w:t>Translation of other assets and liabilities in foreign currencies</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445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4"/>
                <w:szCs w:val="14"/>
                <w:color w:val="auto"/>
              </w:rPr>
              <w:t>(8,379)</w:t>
            </w: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578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5,420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Interest rate swaps</w:t>
            </w:r>
          </w:p>
        </w:tc>
        <w:tc>
          <w:tcPr>
            <w:tcW w:w="3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(1,451)</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516</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(3,273)</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9,698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000" w:type="dxa"/>
            <w:vAlign w:val="bottom"/>
            <w:tcBorders>
              <w:bottom w:val="single" w:sz="8" w:color="CFF0FC"/>
            </w:tcBorders>
          </w:tcPr>
          <w:p>
            <w:pPr>
              <w:ind w:left="740"/>
              <w:spacing w:after="0" w:line="155" w:lineRule="exact"/>
              <w:rPr>
                <w:sz w:val="20"/>
                <w:szCs w:val="20"/>
                <w:color w:val="auto"/>
              </w:rPr>
            </w:pPr>
            <w:r>
              <w:rPr>
                <w:rFonts w:ascii="Arial" w:cs="Arial" w:eastAsia="Arial" w:hAnsi="Arial"/>
                <w:sz w:val="14"/>
                <w:szCs w:val="14"/>
                <w:color w:val="auto"/>
              </w:rPr>
              <w:t>Total net change in unrealized gains (losses)</w:t>
            </w:r>
          </w:p>
        </w:tc>
        <w:tc>
          <w:tcPr>
            <w:tcW w:w="32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28,945</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57,234</w:t>
            </w:r>
          </w:p>
        </w:tc>
        <w:tc>
          <w:tcPr>
            <w:tcW w:w="26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38,701</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(27,446)</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00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Realized gains (losses):</w:t>
            </w:r>
          </w:p>
        </w:tc>
        <w:tc>
          <w:tcPr>
            <w:tcW w:w="3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000" w:type="dxa"/>
            <w:vAlign w:val="bottom"/>
          </w:tcPr>
          <w:p>
            <w:pPr>
              <w:ind w:left="260"/>
              <w:spacing w:after="0"/>
              <w:rPr>
                <w:sz w:val="20"/>
                <w:szCs w:val="20"/>
                <w:color w:val="auto"/>
              </w:rPr>
            </w:pPr>
            <w:r>
              <w:rPr>
                <w:rFonts w:ascii="Arial" w:cs="Arial" w:eastAsia="Arial" w:hAnsi="Arial"/>
                <w:sz w:val="14"/>
                <w:szCs w:val="14"/>
                <w:color w:val="auto"/>
              </w:rPr>
              <w:t>Non-controlled, non-affiliated investments</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2,022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16,641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Non-controlled, affiliated investments</w:t>
            </w:r>
          </w:p>
        </w:tc>
        <w:tc>
          <w:tcPr>
            <w:tcW w:w="3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000" w:type="dxa"/>
            <w:vAlign w:val="bottom"/>
          </w:tcPr>
          <w:p>
            <w:pPr>
              <w:ind w:left="260"/>
              <w:spacing w:after="0"/>
              <w:rPr>
                <w:sz w:val="20"/>
                <w:szCs w:val="20"/>
                <w:color w:val="auto"/>
              </w:rPr>
            </w:pPr>
            <w:r>
              <w:rPr>
                <w:rFonts w:ascii="Arial" w:cs="Arial" w:eastAsia="Arial" w:hAnsi="Arial"/>
                <w:sz w:val="14"/>
                <w:szCs w:val="14"/>
                <w:color w:val="auto"/>
              </w:rPr>
              <w:t>Controlled, affiliated investments</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4"/>
                <w:szCs w:val="14"/>
                <w:color w:val="auto"/>
              </w:rPr>
              <w:t>(1,539)</w:t>
            </w:r>
          </w:p>
        </w:tc>
        <w:tc>
          <w:tcPr>
            <w:tcW w:w="140" w:type="dxa"/>
            <w:vAlign w:val="bottom"/>
          </w:tcPr>
          <w:p>
            <w:pPr>
              <w:spacing w:after="0"/>
              <w:rPr>
                <w:sz w:val="14"/>
                <w:szCs w:val="1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4"/>
                <w:szCs w:val="14"/>
                <w:color w:val="auto"/>
              </w:rPr>
              <w:t>(3,636)</w:t>
            </w:r>
          </w:p>
        </w:tc>
        <w:tc>
          <w:tcPr>
            <w:tcW w:w="0" w:type="dxa"/>
            <w:vAlign w:val="bottom"/>
          </w:tcPr>
          <w:p>
            <w:pPr>
              <w:spacing w:after="0"/>
              <w:rPr>
                <w:sz w:val="1"/>
                <w:szCs w:val="1"/>
                <w:color w:val="auto"/>
              </w:rPr>
            </w:pPr>
          </w:p>
        </w:tc>
      </w:tr>
      <w:tr>
        <w:trPr>
          <w:trHeight w:val="162"/>
        </w:trPr>
        <w:tc>
          <w:tcPr>
            <w:tcW w:w="50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Extinguishment of debt</w:t>
            </w:r>
          </w:p>
        </w:tc>
        <w:tc>
          <w:tcPr>
            <w:tcW w:w="3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739</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0" w:type="dxa"/>
            <w:vAlign w:val="bottom"/>
          </w:tcPr>
          <w:p>
            <w:pPr>
              <w:ind w:left="260"/>
              <w:spacing w:after="0"/>
              <w:rPr>
                <w:sz w:val="20"/>
                <w:szCs w:val="20"/>
                <w:color w:val="auto"/>
              </w:rPr>
            </w:pPr>
            <w:r>
              <w:rPr>
                <w:rFonts w:ascii="Arial" w:cs="Arial" w:eastAsia="Arial" w:hAnsi="Arial"/>
                <w:sz w:val="14"/>
                <w:szCs w:val="14"/>
                <w:color w:val="auto"/>
              </w:rPr>
              <w:t>Foreign currency transactions</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4"/>
                <w:szCs w:val="14"/>
                <w:color w:val="auto"/>
              </w:rPr>
              <w:t>(33)</w:t>
            </w:r>
          </w:p>
        </w:tc>
        <w:tc>
          <w:tcPr>
            <w:tcW w:w="140" w:type="dxa"/>
            <w:vAlign w:val="bottom"/>
          </w:tcPr>
          <w:p>
            <w:pPr>
              <w:spacing w:after="0"/>
              <w:rPr>
                <w:sz w:val="14"/>
                <w:szCs w:val="1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155"/>
        </w:trPr>
        <w:tc>
          <w:tcPr>
            <w:tcW w:w="5000" w:type="dxa"/>
            <w:vAlign w:val="bottom"/>
            <w:tcBorders>
              <w:top w:val="single" w:sz="8" w:color="CFF0FC"/>
            </w:tcBorders>
            <w:shd w:val="clear" w:color="auto" w:fill="CFF0FC"/>
          </w:tcPr>
          <w:p>
            <w:pPr>
              <w:ind w:left="740"/>
              <w:spacing w:after="0" w:line="155" w:lineRule="exact"/>
              <w:rPr>
                <w:sz w:val="20"/>
                <w:szCs w:val="20"/>
                <w:color w:val="auto"/>
              </w:rPr>
            </w:pPr>
            <w:r>
              <w:rPr>
                <w:rFonts w:ascii="Arial" w:cs="Arial" w:eastAsia="Arial" w:hAnsi="Arial"/>
                <w:sz w:val="14"/>
                <w:szCs w:val="14"/>
                <w:color w:val="auto"/>
              </w:rPr>
              <w:t>Total net realized gains (losses)</w:t>
            </w:r>
          </w:p>
        </w:tc>
        <w:tc>
          <w:tcPr>
            <w:tcW w:w="3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rPr>
                <w:sz w:val="13"/>
                <w:szCs w:val="13"/>
                <w:color w:val="auto"/>
              </w:rPr>
            </w:pPr>
          </w:p>
        </w:tc>
        <w:tc>
          <w:tcPr>
            <w:tcW w:w="1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2,021</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rPr>
                <w:sz w:val="13"/>
                <w:szCs w:val="13"/>
                <w:color w:val="auto"/>
              </w:rPr>
            </w:pPr>
          </w:p>
        </w:tc>
        <w:tc>
          <w:tcPr>
            <w:tcW w:w="1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(833)</w:t>
            </w:r>
          </w:p>
        </w:tc>
        <w:tc>
          <w:tcPr>
            <w:tcW w:w="26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rPr>
                <w:sz w:val="13"/>
                <w:szCs w:val="13"/>
                <w:color w:val="auto"/>
              </w:rPr>
            </w:pPr>
          </w:p>
        </w:tc>
        <w:tc>
          <w:tcPr>
            <w:tcW w:w="1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16,608</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spacing w:after="0"/>
              <w:rPr>
                <w:sz w:val="13"/>
                <w:szCs w:val="13"/>
                <w:color w:val="auto"/>
              </w:rPr>
            </w:pPr>
          </w:p>
        </w:tc>
        <w:tc>
          <w:tcPr>
            <w:tcW w:w="1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(2,914)</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000" w:type="dxa"/>
            <w:vAlign w:val="bottom"/>
            <w:tcBorders>
              <w:bottom w:val="single" w:sz="8" w:color="CFF0FC"/>
            </w:tcBorders>
          </w:tcPr>
          <w:p>
            <w:pPr>
              <w:ind w:left="1000"/>
              <w:spacing w:after="0" w:line="155" w:lineRule="exact"/>
              <w:rPr>
                <w:sz w:val="20"/>
                <w:szCs w:val="20"/>
                <w:color w:val="auto"/>
              </w:rPr>
            </w:pPr>
            <w:r>
              <w:rPr>
                <w:rFonts w:ascii="Arial" w:cs="Arial" w:eastAsia="Arial" w:hAnsi="Arial"/>
                <w:sz w:val="14"/>
                <w:szCs w:val="14"/>
                <w:b w:val="1"/>
                <w:bCs w:val="1"/>
                <w:color w:val="auto"/>
              </w:rPr>
              <w:t>Total Net Unrealized and Realized Gains (Losses)</w:t>
            </w:r>
          </w:p>
        </w:tc>
        <w:tc>
          <w:tcPr>
            <w:tcW w:w="3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30,966</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56,401</w:t>
            </w:r>
          </w:p>
        </w:tc>
        <w:tc>
          <w:tcPr>
            <w:tcW w:w="26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55,309</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(30,360)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000" w:type="dxa"/>
            <w:vAlign w:val="bottom"/>
            <w:tcBorders>
              <w:bottom w:val="single" w:sz="8" w:color="CFF0FC"/>
            </w:tcBorders>
            <w:shd w:val="clear" w:color="auto" w:fill="CFF0FC"/>
          </w:tcPr>
          <w:p>
            <w:pPr>
              <w:ind w:left="1000"/>
              <w:spacing w:after="0" w:line="155" w:lineRule="exact"/>
              <w:rPr>
                <w:sz w:val="20"/>
                <w:szCs w:val="20"/>
                <w:color w:val="auto"/>
              </w:rPr>
            </w:pPr>
            <w:r>
              <w:rPr>
                <w:rFonts w:ascii="Arial" w:cs="Arial" w:eastAsia="Arial" w:hAnsi="Arial"/>
                <w:sz w:val="14"/>
                <w:szCs w:val="14"/>
                <w:b w:val="1"/>
                <w:bCs w:val="1"/>
                <w:color w:val="auto"/>
              </w:rPr>
              <w:t>Increase in Net Assets Resulting from Operations</w:t>
            </w:r>
          </w:p>
        </w:tc>
        <w:tc>
          <w:tcPr>
            <w:tcW w:w="32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58,354</w:t>
            </w:r>
          </w:p>
        </w:tc>
        <w:tc>
          <w:tcPr>
            <w:tcW w:w="14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95,870</w:t>
            </w:r>
          </w:p>
        </w:tc>
        <w:tc>
          <w:tcPr>
            <w:tcW w:w="26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115,006</w:t>
            </w:r>
          </w:p>
        </w:tc>
        <w:tc>
          <w:tcPr>
            <w:tcW w:w="14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42,771</w:t>
            </w:r>
          </w:p>
        </w:tc>
        <w:tc>
          <w:tcPr>
            <w:tcW w:w="12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14"/>
                <w:szCs w:val="14"/>
                <w:color w:val="auto"/>
              </w:rPr>
              <w:t>Earnings per common share—basic</w:t>
            </w:r>
          </w:p>
        </w:tc>
        <w:tc>
          <w:tcPr>
            <w:tcW w:w="4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000" w:type="dxa"/>
            <w:vAlign w:val="bottom"/>
            <w:tcBorders>
              <w:bottom w:val="single" w:sz="8" w:color="CFF0FC"/>
            </w:tcBorders>
            <w:vMerge w:val="continue"/>
          </w:tcPr>
          <w:p>
            <w:pPr>
              <w:spacing w:after="0"/>
              <w:rPr>
                <w:sz w:val="12"/>
                <w:szCs w:val="12"/>
                <w:color w:val="auto"/>
              </w:rPr>
            </w:pPr>
          </w:p>
        </w:tc>
        <w:tc>
          <w:tcPr>
            <w:tcW w:w="320" w:type="dxa"/>
            <w:vAlign w:val="bottom"/>
            <w:tcBorders>
              <w:bottom w:val="single" w:sz="8" w:color="CFF0FC"/>
            </w:tcBorders>
          </w:tcPr>
          <w:p>
            <w:pPr>
              <w:spacing w:after="0"/>
              <w:rPr>
                <w:sz w:val="12"/>
                <w:szCs w:val="12"/>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0.80</w:t>
            </w:r>
          </w:p>
        </w:tc>
        <w:tc>
          <w:tcPr>
            <w:tcW w:w="14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1.43</w:t>
            </w:r>
          </w:p>
        </w:tc>
        <w:tc>
          <w:tcPr>
            <w:tcW w:w="260" w:type="dxa"/>
            <w:vAlign w:val="bottom"/>
            <w:tcBorders>
              <w:bottom w:val="single" w:sz="8" w:color="CFF0FC"/>
            </w:tcBorders>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1.62</w:t>
            </w:r>
          </w:p>
        </w:tc>
        <w:tc>
          <w:tcPr>
            <w:tcW w:w="14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160" w:type="dxa"/>
            <w:vAlign w:val="bottom"/>
            <w:tcBorders>
              <w:top w:val="single" w:sz="8" w:color="auto"/>
              <w:bottom w:val="single" w:sz="8" w:color="auto"/>
            </w:tcBorders>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0.64</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00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Weighted average shares of common stock outstanding—basic</w:t>
            </w:r>
          </w:p>
        </w:tc>
        <w:tc>
          <w:tcPr>
            <w:tcW w:w="32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1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72,556,471</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1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66,957,883</w:t>
            </w:r>
          </w:p>
        </w:tc>
        <w:tc>
          <w:tcPr>
            <w:tcW w:w="26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1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71,131,732</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11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66,807,081</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00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color w:val="auto"/>
              </w:rPr>
              <w:t>Earnings per common share—diluted</w:t>
            </w:r>
          </w:p>
        </w:tc>
        <w:tc>
          <w:tcPr>
            <w:tcW w:w="3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0.74</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1.43</w:t>
            </w:r>
          </w:p>
        </w:tc>
        <w:tc>
          <w:tcPr>
            <w:tcW w:w="26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1.50</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0.64</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00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Weighted average shares of common stock outstanding—diluted</w:t>
            </w:r>
          </w:p>
        </w:tc>
        <w:tc>
          <w:tcPr>
            <w:tcW w:w="32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1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80,249,527</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1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66,957,883</w:t>
            </w:r>
          </w:p>
        </w:tc>
        <w:tc>
          <w:tcPr>
            <w:tcW w:w="26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1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78,824,788</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11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66,807,081</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Sixth Street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as of June 30, 2021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4"/>
              </w:rPr>
              <w:t>Initial</w:t>
            </w:r>
          </w:p>
        </w:tc>
        <w:tc>
          <w:tcPr>
            <w:tcW w:w="10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5"/>
              </w:rPr>
              <w:t>Reference</w:t>
            </w: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35"/>
        </w:trPr>
        <w:tc>
          <w:tcPr>
            <w:tcW w:w="2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4"/>
              </w:rPr>
              <w:t>Acquisition</w:t>
            </w:r>
          </w:p>
        </w:tc>
        <w:tc>
          <w:tcPr>
            <w:tcW w:w="10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0"/>
              </w:rPr>
              <w:t>Rate and</w:t>
            </w: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1"/>
              </w:rPr>
              <w:t>Amortized</w:t>
            </w: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gridSpan w:val="2"/>
          </w:tcPr>
          <w:p>
            <w:pPr>
              <w:jc w:val="right"/>
              <w:ind w:right="164"/>
              <w:spacing w:after="0" w:line="135" w:lineRule="exact"/>
              <w:rPr>
                <w:sz w:val="20"/>
                <w:szCs w:val="20"/>
                <w:color w:val="auto"/>
              </w:rPr>
            </w:pPr>
            <w:r>
              <w:rPr>
                <w:rFonts w:ascii="Arial" w:cs="Arial" w:eastAsia="Arial" w:hAnsi="Arial"/>
                <w:sz w:val="13"/>
                <w:szCs w:val="13"/>
                <w:b w:val="1"/>
                <w:bCs w:val="1"/>
                <w:color w:val="auto"/>
                <w:w w:val="91"/>
              </w:rPr>
              <w:t>Percentage</w:t>
            </w:r>
          </w:p>
        </w:tc>
      </w:tr>
      <w:tr>
        <w:trPr>
          <w:trHeight w:val="153"/>
        </w:trPr>
        <w:tc>
          <w:tcPr>
            <w:tcW w:w="2660" w:type="dxa"/>
            <w:vAlign w:val="bottom"/>
            <w:gridSpan w:val="2"/>
          </w:tcPr>
          <w:p>
            <w:pPr>
              <w:spacing w:after="0"/>
              <w:rPr>
                <w:sz w:val="20"/>
                <w:szCs w:val="20"/>
                <w:color w:val="auto"/>
              </w:rPr>
            </w:pPr>
            <w:r>
              <w:rPr>
                <w:rFonts w:ascii="Arial" w:cs="Arial" w:eastAsia="Arial" w:hAnsi="Arial"/>
                <w:sz w:val="13"/>
                <w:szCs w:val="13"/>
                <w:b w:val="1"/>
                <w:bCs w:val="1"/>
                <w:color w:val="auto"/>
              </w:rPr>
              <w:t xml:space="preserve">Company </w:t>
            </w:r>
            <w:r>
              <w:rPr>
                <w:rFonts w:ascii="Arial" w:cs="Arial" w:eastAsia="Arial" w:hAnsi="Arial"/>
                <w:sz w:val="10"/>
                <w:szCs w:val="10"/>
                <w:b w:val="1"/>
                <w:bCs w:val="1"/>
                <w:color w:val="auto"/>
              </w:rPr>
              <w:t>(1)</w:t>
            </w:r>
          </w:p>
        </w:tc>
        <w:tc>
          <w:tcPr>
            <w:tcW w:w="2620" w:type="dxa"/>
            <w:vAlign w:val="bottom"/>
            <w:gridSpan w:val="2"/>
          </w:tcPr>
          <w:p>
            <w:pPr>
              <w:ind w:left="940"/>
              <w:spacing w:after="0"/>
              <w:rPr>
                <w:sz w:val="20"/>
                <w:szCs w:val="20"/>
                <w:color w:val="auto"/>
              </w:rPr>
            </w:pPr>
            <w:r>
              <w:rPr>
                <w:rFonts w:ascii="Arial" w:cs="Arial" w:eastAsia="Arial" w:hAnsi="Arial"/>
                <w:sz w:val="13"/>
                <w:szCs w:val="13"/>
                <w:b w:val="1"/>
                <w:bCs w:val="1"/>
                <w:color w:val="auto"/>
              </w:rPr>
              <w:t>Investment</w:t>
            </w:r>
          </w:p>
        </w:tc>
        <w:tc>
          <w:tcPr>
            <w:tcW w:w="9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5"/>
              </w:rPr>
              <w:t>Date</w:t>
            </w:r>
          </w:p>
        </w:tc>
        <w:tc>
          <w:tcPr>
            <w:tcW w:w="10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6"/>
              </w:rPr>
              <w:t>Spread</w:t>
            </w:r>
          </w:p>
        </w:tc>
        <w:tc>
          <w:tcPr>
            <w:tcW w:w="104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w w:val="91"/>
              </w:rPr>
              <w:t>Interest Rate</w:t>
            </w:r>
          </w:p>
        </w:tc>
        <w:tc>
          <w:tcPr>
            <w:tcW w:w="10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1"/>
              </w:rPr>
              <w:t xml:space="preserve">Cost </w:t>
            </w:r>
            <w:r>
              <w:rPr>
                <w:rFonts w:ascii="Arial" w:cs="Arial" w:eastAsia="Arial" w:hAnsi="Arial"/>
                <w:sz w:val="10"/>
                <w:szCs w:val="10"/>
                <w:b w:val="1"/>
                <w:bCs w:val="1"/>
                <w:color w:val="auto"/>
                <w:w w:val="91"/>
              </w:rPr>
              <w:t>(2)(8)</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90"/>
              </w:rPr>
              <w:t xml:space="preserve">Fair Value </w:t>
            </w:r>
            <w:r>
              <w:rPr>
                <w:rFonts w:ascii="Arial" w:cs="Arial" w:eastAsia="Arial" w:hAnsi="Arial"/>
                <w:sz w:val="10"/>
                <w:szCs w:val="10"/>
                <w:b w:val="1"/>
                <w:bCs w:val="1"/>
                <w:color w:val="auto"/>
                <w:w w:val="90"/>
              </w:rPr>
              <w:t>(10)</w:t>
            </w:r>
          </w:p>
        </w:tc>
        <w:tc>
          <w:tcPr>
            <w:tcW w:w="900" w:type="dxa"/>
            <w:vAlign w:val="bottom"/>
            <w:gridSpan w:val="2"/>
          </w:tcPr>
          <w:p>
            <w:pPr>
              <w:jc w:val="right"/>
              <w:ind w:right="104"/>
              <w:spacing w:after="0"/>
              <w:rPr>
                <w:sz w:val="20"/>
                <w:szCs w:val="20"/>
                <w:color w:val="auto"/>
              </w:rPr>
            </w:pPr>
            <w:r>
              <w:rPr>
                <w:rFonts w:ascii="Arial" w:cs="Arial" w:eastAsia="Arial" w:hAnsi="Arial"/>
                <w:sz w:val="13"/>
                <w:szCs w:val="13"/>
                <w:b w:val="1"/>
                <w:bCs w:val="1"/>
                <w:color w:val="auto"/>
                <w:w w:val="84"/>
              </w:rPr>
              <w:t>of Net Assets</w:t>
            </w:r>
          </w:p>
        </w:tc>
      </w:tr>
      <w:tr>
        <w:trPr>
          <w:trHeight w:val="209"/>
        </w:trPr>
        <w:tc>
          <w:tcPr>
            <w:tcW w:w="25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Debt Investments</w:t>
            </w:r>
          </w:p>
        </w:tc>
        <w:tc>
          <w:tcPr>
            <w:tcW w:w="120" w:type="dxa"/>
            <w:vAlign w:val="bottom"/>
            <w:tcBorders>
              <w:top w:val="single" w:sz="8" w:color="CFF0FC"/>
            </w:tcBorders>
            <w:shd w:val="clear" w:color="auto" w:fill="CFF0FC"/>
          </w:tcPr>
          <w:p>
            <w:pPr>
              <w:spacing w:after="0"/>
              <w:rPr>
                <w:sz w:val="18"/>
                <w:szCs w:val="18"/>
                <w:color w:val="auto"/>
              </w:rPr>
            </w:pPr>
          </w:p>
        </w:tc>
        <w:tc>
          <w:tcPr>
            <w:tcW w:w="25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r>
      <w:tr>
        <w:trPr>
          <w:trHeight w:val="213"/>
        </w:trPr>
        <w:tc>
          <w:tcPr>
            <w:tcW w:w="2660" w:type="dxa"/>
            <w:vAlign w:val="bottom"/>
            <w:gridSpan w:val="2"/>
          </w:tcPr>
          <w:p>
            <w:pPr>
              <w:spacing w:after="0"/>
              <w:rPr>
                <w:sz w:val="20"/>
                <w:szCs w:val="20"/>
                <w:color w:val="auto"/>
              </w:rPr>
            </w:pPr>
            <w:r>
              <w:rPr>
                <w:rFonts w:ascii="Arial" w:cs="Arial" w:eastAsia="Arial" w:hAnsi="Arial"/>
                <w:sz w:val="16"/>
                <w:szCs w:val="16"/>
                <w:b w:val="1"/>
                <w:bCs w:val="1"/>
                <w:color w:val="auto"/>
              </w:rPr>
              <w:t>Business services</w:t>
            </w: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6"/>
        </w:trPr>
        <w:tc>
          <w:tcPr>
            <w:tcW w:w="26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Acceo Solutions,</w:t>
            </w:r>
          </w:p>
        </w:tc>
        <w:tc>
          <w:tcPr>
            <w:tcW w:w="26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First-lien loan (CAD 74,437 par, due</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7/6/2018</w:t>
            </w:r>
          </w:p>
        </w:tc>
        <w:tc>
          <w:tcPr>
            <w:tcW w:w="1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C + 5.25%</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6.25%</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   55,928</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$61,615</w:t>
            </w:r>
          </w:p>
        </w:tc>
        <w:tc>
          <w:tcPr>
            <w:tcW w:w="2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5.0%</w:t>
            </w:r>
          </w:p>
        </w:tc>
      </w:tr>
      <w:tr>
        <w:trPr>
          <w:trHeight w:val="206"/>
        </w:trPr>
        <w:tc>
          <w:tcPr>
            <w:tcW w:w="266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 xml:space="preserve">Inc. </w:t>
            </w:r>
            <w:r>
              <w:rPr>
                <w:rFonts w:ascii="Arial" w:cs="Arial" w:eastAsia="Arial" w:hAnsi="Arial"/>
                <w:sz w:val="13"/>
                <w:szCs w:val="13"/>
                <w:color w:val="auto"/>
              </w:rPr>
              <w:t>(3)(4)(5)</w:t>
            </w:r>
          </w:p>
        </w:tc>
        <w:tc>
          <w:tcPr>
            <w:tcW w:w="2500" w:type="dxa"/>
            <w:vAlign w:val="bottom"/>
            <w:shd w:val="clear" w:color="auto" w:fill="CFF0FC"/>
          </w:tcPr>
          <w:p>
            <w:pPr>
              <w:spacing w:after="0"/>
              <w:rPr>
                <w:sz w:val="20"/>
                <w:szCs w:val="20"/>
                <w:color w:val="auto"/>
              </w:rPr>
            </w:pPr>
            <w:r>
              <w:rPr>
                <w:rFonts w:ascii="Arial" w:cs="Arial" w:eastAsia="Arial" w:hAnsi="Arial"/>
                <w:sz w:val="16"/>
                <w:szCs w:val="16"/>
                <w:color w:val="auto"/>
              </w:rPr>
              <w:t>10/2025)</w:t>
            </w: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(CAD</w:t>
            </w:r>
          </w:p>
        </w:tc>
        <w:tc>
          <w:tcPr>
            <w:tcW w:w="7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12"/>
        </w:trPr>
        <w:tc>
          <w:tcPr>
            <w:tcW w:w="2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76,298)</w:t>
            </w: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660" w:type="dxa"/>
            <w:vAlign w:val="bottom"/>
            <w:gridSpan w:val="2"/>
          </w:tcPr>
          <w:p>
            <w:pPr>
              <w:spacing w:after="0" w:line="207" w:lineRule="exact"/>
              <w:rPr>
                <w:sz w:val="20"/>
                <w:szCs w:val="20"/>
                <w:color w:val="auto"/>
              </w:rPr>
            </w:pPr>
            <w:r>
              <w:rPr>
                <w:rFonts w:ascii="Arial" w:cs="Arial" w:eastAsia="Arial" w:hAnsi="Arial"/>
                <w:sz w:val="14"/>
                <w:szCs w:val="14"/>
                <w:color w:val="auto"/>
              </w:rPr>
              <w:t xml:space="preserve">Alpha Midco, Inc. </w:t>
            </w:r>
            <w:r>
              <w:rPr>
                <w:rFonts w:ascii="Arial" w:cs="Arial" w:eastAsia="Arial" w:hAnsi="Arial"/>
                <w:sz w:val="23"/>
                <w:szCs w:val="23"/>
                <w:color w:val="auto"/>
                <w:vertAlign w:val="superscript"/>
              </w:rPr>
              <w:t>(3)(5)</w:t>
            </w:r>
          </w:p>
        </w:tc>
        <w:tc>
          <w:tcPr>
            <w:tcW w:w="2620" w:type="dxa"/>
            <w:vAlign w:val="bottom"/>
            <w:gridSpan w:val="2"/>
          </w:tcPr>
          <w:p>
            <w:pPr>
              <w:spacing w:after="0"/>
              <w:rPr>
                <w:sz w:val="20"/>
                <w:szCs w:val="20"/>
                <w:color w:val="auto"/>
              </w:rPr>
            </w:pPr>
            <w:r>
              <w:rPr>
                <w:rFonts w:ascii="Arial" w:cs="Arial" w:eastAsia="Arial" w:hAnsi="Arial"/>
                <w:sz w:val="16"/>
                <w:szCs w:val="16"/>
                <w:color w:val="auto"/>
              </w:rPr>
              <w:t>First-lien loan ($63,992 par, due</w:t>
            </w:r>
          </w:p>
        </w:tc>
        <w:tc>
          <w:tcPr>
            <w:tcW w:w="860" w:type="dxa"/>
            <w:vAlign w:val="bottom"/>
          </w:tcPr>
          <w:p>
            <w:pPr>
              <w:jc w:val="right"/>
              <w:spacing w:after="0"/>
              <w:rPr>
                <w:sz w:val="20"/>
                <w:szCs w:val="20"/>
                <w:color w:val="auto"/>
              </w:rPr>
            </w:pPr>
            <w:r>
              <w:rPr>
                <w:rFonts w:ascii="Arial" w:cs="Arial" w:eastAsia="Arial" w:hAnsi="Arial"/>
                <w:sz w:val="16"/>
                <w:szCs w:val="16"/>
                <w:color w:val="auto"/>
              </w:rPr>
              <w:t>8/15/2019</w:t>
            </w:r>
          </w:p>
        </w:tc>
        <w:tc>
          <w:tcPr>
            <w:tcW w:w="10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L + 7.50%</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8.50%</w:t>
            </w:r>
          </w:p>
        </w:tc>
        <w:tc>
          <w:tcPr>
            <w:tcW w:w="800" w:type="dxa"/>
            <w:vAlign w:val="bottom"/>
          </w:tcPr>
          <w:p>
            <w:pPr>
              <w:jc w:val="right"/>
              <w:spacing w:after="0"/>
              <w:rPr>
                <w:sz w:val="20"/>
                <w:szCs w:val="20"/>
                <w:color w:val="auto"/>
              </w:rPr>
            </w:pPr>
            <w:r>
              <w:rPr>
                <w:rFonts w:ascii="Arial" w:cs="Arial" w:eastAsia="Arial" w:hAnsi="Arial"/>
                <w:sz w:val="16"/>
                <w:szCs w:val="16"/>
                <w:color w:val="auto"/>
              </w:rPr>
              <w:t>62,746</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65,199</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5.3%</w:t>
            </w:r>
          </w:p>
        </w:tc>
      </w:tr>
      <w:tr>
        <w:trPr>
          <w:trHeight w:val="209"/>
        </w:trPr>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6"/>
                <w:szCs w:val="16"/>
                <w:color w:val="auto"/>
              </w:rPr>
              <w:t>8/2025)</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660" w:type="dxa"/>
            <w:vAlign w:val="bottom"/>
            <w:gridSpan w:val="2"/>
            <w:shd w:val="clear" w:color="auto" w:fill="CFF0FC"/>
          </w:tcPr>
          <w:p>
            <w:pPr>
              <w:spacing w:after="0" w:line="209" w:lineRule="exact"/>
              <w:rPr>
                <w:sz w:val="20"/>
                <w:szCs w:val="20"/>
                <w:color w:val="auto"/>
              </w:rPr>
            </w:pPr>
            <w:r>
              <w:rPr>
                <w:rFonts w:ascii="Arial" w:cs="Arial" w:eastAsia="Arial" w:hAnsi="Arial"/>
                <w:sz w:val="15"/>
                <w:szCs w:val="15"/>
                <w:color w:val="auto"/>
              </w:rPr>
              <w:t xml:space="preserve">ForeScout Technologies, Inc. </w:t>
            </w:r>
            <w:r>
              <w:rPr>
                <w:rFonts w:ascii="Arial" w:cs="Arial" w:eastAsia="Arial" w:hAnsi="Arial"/>
                <w:sz w:val="24"/>
                <w:szCs w:val="24"/>
                <w:color w:val="auto"/>
                <w:vertAlign w:val="superscript"/>
              </w:rPr>
              <w:t>(3)</w:t>
            </w:r>
          </w:p>
        </w:tc>
        <w:tc>
          <w:tcPr>
            <w:tcW w:w="26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First-lien loan ($4,887 par, due</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8/17/2020</w:t>
            </w:r>
          </w:p>
        </w:tc>
        <w:tc>
          <w:tcPr>
            <w:tcW w:w="1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+ 9.50%</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10.50%</w:t>
            </w: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4,776</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4,900</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0.4%</w:t>
            </w:r>
          </w:p>
        </w:tc>
      </w:tr>
      <w:tr>
        <w:trPr>
          <w:trHeight w:val="203"/>
        </w:trPr>
        <w:tc>
          <w:tcPr>
            <w:tcW w:w="25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500" w:type="dxa"/>
            <w:vAlign w:val="bottom"/>
            <w:shd w:val="clear" w:color="auto" w:fill="CFF0FC"/>
          </w:tcPr>
          <w:p>
            <w:pPr>
              <w:spacing w:after="0"/>
              <w:rPr>
                <w:sz w:val="20"/>
                <w:szCs w:val="20"/>
                <w:color w:val="auto"/>
              </w:rPr>
            </w:pPr>
            <w:r>
              <w:rPr>
                <w:rFonts w:ascii="Arial" w:cs="Arial" w:eastAsia="Arial" w:hAnsi="Arial"/>
                <w:sz w:val="16"/>
                <w:szCs w:val="16"/>
                <w:color w:val="auto"/>
              </w:rPr>
              <w:t>8/2026)</w:t>
            </w: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(incl.</w:t>
            </w: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03"/>
        </w:trPr>
        <w:tc>
          <w:tcPr>
            <w:tcW w:w="25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9.50%</w:t>
            </w:r>
          </w:p>
        </w:tc>
        <w:tc>
          <w:tcPr>
            <w:tcW w:w="2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12"/>
        </w:trPr>
        <w:tc>
          <w:tcPr>
            <w:tcW w:w="2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PIK)</w:t>
            </w: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660" w:type="dxa"/>
            <w:vAlign w:val="bottom"/>
            <w:gridSpan w:val="2"/>
          </w:tcPr>
          <w:p>
            <w:pPr>
              <w:spacing w:after="0" w:line="207" w:lineRule="exact"/>
              <w:rPr>
                <w:sz w:val="20"/>
                <w:szCs w:val="20"/>
                <w:color w:val="auto"/>
              </w:rPr>
            </w:pPr>
            <w:r>
              <w:rPr>
                <w:rFonts w:ascii="Arial" w:cs="Arial" w:eastAsia="Arial" w:hAnsi="Arial"/>
                <w:sz w:val="14"/>
                <w:szCs w:val="14"/>
                <w:color w:val="auto"/>
              </w:rPr>
              <w:t xml:space="preserve">Integration Appliance, Inc. </w:t>
            </w:r>
            <w:r>
              <w:rPr>
                <w:rFonts w:ascii="Arial" w:cs="Arial" w:eastAsia="Arial" w:hAnsi="Arial"/>
                <w:sz w:val="23"/>
                <w:szCs w:val="23"/>
                <w:color w:val="auto"/>
                <w:vertAlign w:val="superscript"/>
              </w:rPr>
              <w:t>(3)</w:t>
            </w:r>
          </w:p>
        </w:tc>
        <w:tc>
          <w:tcPr>
            <w:tcW w:w="2620" w:type="dxa"/>
            <w:vAlign w:val="bottom"/>
            <w:gridSpan w:val="2"/>
          </w:tcPr>
          <w:p>
            <w:pPr>
              <w:spacing w:after="0"/>
              <w:rPr>
                <w:sz w:val="20"/>
                <w:szCs w:val="20"/>
                <w:color w:val="auto"/>
              </w:rPr>
            </w:pPr>
            <w:r>
              <w:rPr>
                <w:rFonts w:ascii="Arial" w:cs="Arial" w:eastAsia="Arial" w:hAnsi="Arial"/>
                <w:sz w:val="16"/>
                <w:szCs w:val="16"/>
                <w:color w:val="auto"/>
              </w:rPr>
              <w:t>First-lien loan ($71,500 par, due</w:t>
            </w:r>
          </w:p>
        </w:tc>
        <w:tc>
          <w:tcPr>
            <w:tcW w:w="860" w:type="dxa"/>
            <w:vAlign w:val="bottom"/>
          </w:tcPr>
          <w:p>
            <w:pPr>
              <w:jc w:val="right"/>
              <w:spacing w:after="0"/>
              <w:rPr>
                <w:sz w:val="20"/>
                <w:szCs w:val="20"/>
                <w:color w:val="auto"/>
              </w:rPr>
            </w:pPr>
            <w:r>
              <w:rPr>
                <w:rFonts w:ascii="Arial" w:cs="Arial" w:eastAsia="Arial" w:hAnsi="Arial"/>
                <w:sz w:val="16"/>
                <w:szCs w:val="16"/>
                <w:color w:val="auto"/>
              </w:rPr>
              <w:t>8/13/2018</w:t>
            </w:r>
          </w:p>
        </w:tc>
        <w:tc>
          <w:tcPr>
            <w:tcW w:w="10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L + 7.25%</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8.25%</w:t>
            </w:r>
          </w:p>
        </w:tc>
        <w:tc>
          <w:tcPr>
            <w:tcW w:w="800" w:type="dxa"/>
            <w:vAlign w:val="bottom"/>
          </w:tcPr>
          <w:p>
            <w:pPr>
              <w:jc w:val="right"/>
              <w:spacing w:after="0"/>
              <w:rPr>
                <w:sz w:val="20"/>
                <w:szCs w:val="20"/>
                <w:color w:val="auto"/>
              </w:rPr>
            </w:pPr>
            <w:r>
              <w:rPr>
                <w:rFonts w:ascii="Arial" w:cs="Arial" w:eastAsia="Arial" w:hAnsi="Arial"/>
                <w:sz w:val="16"/>
                <w:szCs w:val="16"/>
                <w:color w:val="auto"/>
              </w:rPr>
              <w:t>70,969</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71,500</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5.9%</w:t>
            </w:r>
          </w:p>
        </w:tc>
      </w:tr>
      <w:tr>
        <w:trPr>
          <w:trHeight w:val="209"/>
        </w:trPr>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6"/>
                <w:szCs w:val="16"/>
                <w:color w:val="auto"/>
              </w:rPr>
              <w:t>8/2023)</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First-lien revolving loan ($1,310 par,</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8/13/2018</w:t>
            </w:r>
          </w:p>
        </w:tc>
        <w:tc>
          <w:tcPr>
            <w:tcW w:w="1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+ 7.25%</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8.25%</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1,293</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1,310</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0.1%</w:t>
            </w:r>
          </w:p>
        </w:tc>
      </w:tr>
      <w:tr>
        <w:trPr>
          <w:trHeight w:val="212"/>
        </w:trPr>
        <w:tc>
          <w:tcPr>
            <w:tcW w:w="2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due 8/2023)</w:t>
            </w: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660" w:type="dxa"/>
            <w:vAlign w:val="bottom"/>
            <w:gridSpan w:val="2"/>
          </w:tcPr>
          <w:p>
            <w:pPr>
              <w:spacing w:after="0" w:line="207" w:lineRule="exact"/>
              <w:rPr>
                <w:sz w:val="20"/>
                <w:szCs w:val="20"/>
                <w:color w:val="auto"/>
              </w:rPr>
            </w:pPr>
            <w:r>
              <w:rPr>
                <w:rFonts w:ascii="Arial" w:cs="Arial" w:eastAsia="Arial" w:hAnsi="Arial"/>
                <w:sz w:val="14"/>
                <w:szCs w:val="14"/>
                <w:color w:val="auto"/>
              </w:rPr>
              <w:t xml:space="preserve">Motus, LLC </w:t>
            </w:r>
            <w:r>
              <w:rPr>
                <w:rFonts w:ascii="Arial" w:cs="Arial" w:eastAsia="Arial" w:hAnsi="Arial"/>
                <w:sz w:val="23"/>
                <w:szCs w:val="23"/>
                <w:color w:val="auto"/>
                <w:vertAlign w:val="superscript"/>
              </w:rPr>
              <w:t>(3)(5)</w:t>
            </w:r>
          </w:p>
        </w:tc>
        <w:tc>
          <w:tcPr>
            <w:tcW w:w="2620" w:type="dxa"/>
            <w:vAlign w:val="bottom"/>
            <w:gridSpan w:val="2"/>
          </w:tcPr>
          <w:p>
            <w:pPr>
              <w:spacing w:after="0"/>
              <w:rPr>
                <w:sz w:val="20"/>
                <w:szCs w:val="20"/>
                <w:color w:val="auto"/>
              </w:rPr>
            </w:pPr>
            <w:r>
              <w:rPr>
                <w:rFonts w:ascii="Arial" w:cs="Arial" w:eastAsia="Arial" w:hAnsi="Arial"/>
                <w:sz w:val="16"/>
                <w:szCs w:val="16"/>
                <w:color w:val="auto"/>
              </w:rPr>
              <w:t>First-lien loan ($61,481 par, due</w:t>
            </w:r>
          </w:p>
        </w:tc>
        <w:tc>
          <w:tcPr>
            <w:tcW w:w="860" w:type="dxa"/>
            <w:vAlign w:val="bottom"/>
          </w:tcPr>
          <w:p>
            <w:pPr>
              <w:jc w:val="right"/>
              <w:spacing w:after="0"/>
              <w:rPr>
                <w:sz w:val="20"/>
                <w:szCs w:val="20"/>
                <w:color w:val="auto"/>
              </w:rPr>
            </w:pPr>
            <w:r>
              <w:rPr>
                <w:rFonts w:ascii="Arial" w:cs="Arial" w:eastAsia="Arial" w:hAnsi="Arial"/>
                <w:sz w:val="16"/>
                <w:szCs w:val="16"/>
                <w:color w:val="auto"/>
              </w:rPr>
              <w:t>1/17/2018</w:t>
            </w:r>
          </w:p>
        </w:tc>
        <w:tc>
          <w:tcPr>
            <w:tcW w:w="10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L + 5.50%</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6.50%</w:t>
            </w:r>
          </w:p>
        </w:tc>
        <w:tc>
          <w:tcPr>
            <w:tcW w:w="800" w:type="dxa"/>
            <w:vAlign w:val="bottom"/>
          </w:tcPr>
          <w:p>
            <w:pPr>
              <w:jc w:val="right"/>
              <w:spacing w:after="0"/>
              <w:rPr>
                <w:sz w:val="20"/>
                <w:szCs w:val="20"/>
                <w:color w:val="auto"/>
              </w:rPr>
            </w:pPr>
            <w:r>
              <w:rPr>
                <w:rFonts w:ascii="Arial" w:cs="Arial" w:eastAsia="Arial" w:hAnsi="Arial"/>
                <w:sz w:val="16"/>
                <w:szCs w:val="16"/>
                <w:color w:val="auto"/>
              </w:rPr>
              <w:t>60,722</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61,635</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5.0%</w:t>
            </w:r>
          </w:p>
        </w:tc>
      </w:tr>
      <w:tr>
        <w:trPr>
          <w:trHeight w:val="209"/>
        </w:trPr>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6"/>
                <w:szCs w:val="16"/>
                <w:color w:val="auto"/>
              </w:rPr>
              <w:t>1/2024)</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660" w:type="dxa"/>
            <w:vAlign w:val="bottom"/>
            <w:gridSpan w:val="2"/>
            <w:shd w:val="clear" w:color="auto" w:fill="CFF0FC"/>
          </w:tcPr>
          <w:p>
            <w:pPr>
              <w:spacing w:after="0" w:line="209" w:lineRule="exact"/>
              <w:rPr>
                <w:sz w:val="20"/>
                <w:szCs w:val="20"/>
                <w:color w:val="auto"/>
              </w:rPr>
            </w:pPr>
            <w:r>
              <w:rPr>
                <w:rFonts w:ascii="Arial" w:cs="Arial" w:eastAsia="Arial" w:hAnsi="Arial"/>
                <w:sz w:val="15"/>
                <w:szCs w:val="15"/>
                <w:color w:val="auto"/>
              </w:rPr>
              <w:t xml:space="preserve">Netwrix Corp. </w:t>
            </w:r>
            <w:r>
              <w:rPr>
                <w:rFonts w:ascii="Arial" w:cs="Arial" w:eastAsia="Arial" w:hAnsi="Arial"/>
                <w:sz w:val="24"/>
                <w:szCs w:val="24"/>
                <w:color w:val="auto"/>
                <w:vertAlign w:val="superscript"/>
              </w:rPr>
              <w:t>(3)(5)</w:t>
            </w:r>
          </w:p>
        </w:tc>
        <w:tc>
          <w:tcPr>
            <w:tcW w:w="26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First-lien loan ($66,688 par, due</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9/30/2020</w:t>
            </w:r>
          </w:p>
        </w:tc>
        <w:tc>
          <w:tcPr>
            <w:tcW w:w="1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+ 6.50%</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7.50%</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65,314</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66,501</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5.5%</w:t>
            </w:r>
          </w:p>
        </w:tc>
      </w:tr>
      <w:tr>
        <w:trPr>
          <w:trHeight w:val="212"/>
        </w:trPr>
        <w:tc>
          <w:tcPr>
            <w:tcW w:w="2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500" w:type="dxa"/>
            <w:vAlign w:val="bottom"/>
            <w:shd w:val="clear" w:color="auto" w:fill="CFF0FC"/>
          </w:tcPr>
          <w:p>
            <w:pPr>
              <w:spacing w:after="0"/>
              <w:rPr>
                <w:sz w:val="20"/>
                <w:szCs w:val="20"/>
                <w:color w:val="auto"/>
              </w:rPr>
            </w:pPr>
            <w:r>
              <w:rPr>
                <w:rFonts w:ascii="Arial" w:cs="Arial" w:eastAsia="Arial" w:hAnsi="Arial"/>
                <w:sz w:val="16"/>
                <w:szCs w:val="16"/>
                <w:color w:val="auto"/>
              </w:rPr>
              <w:t>9/2026)</w:t>
            </w: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660" w:type="dxa"/>
            <w:vAlign w:val="bottom"/>
            <w:gridSpan w:val="2"/>
          </w:tcPr>
          <w:p>
            <w:pPr>
              <w:spacing w:after="0" w:line="207" w:lineRule="exact"/>
              <w:rPr>
                <w:sz w:val="20"/>
                <w:szCs w:val="20"/>
                <w:color w:val="auto"/>
              </w:rPr>
            </w:pPr>
            <w:r>
              <w:rPr>
                <w:rFonts w:ascii="Arial" w:cs="Arial" w:eastAsia="Arial" w:hAnsi="Arial"/>
                <w:sz w:val="14"/>
                <w:szCs w:val="14"/>
                <w:color w:val="auto"/>
              </w:rPr>
              <w:t xml:space="preserve">Nintex Global, Ltd. </w:t>
            </w:r>
            <w:r>
              <w:rPr>
                <w:rFonts w:ascii="Arial" w:cs="Arial" w:eastAsia="Arial" w:hAnsi="Arial"/>
                <w:sz w:val="23"/>
                <w:szCs w:val="23"/>
                <w:color w:val="auto"/>
                <w:vertAlign w:val="superscript"/>
              </w:rPr>
              <w:t>(3)(5)</w:t>
            </w:r>
          </w:p>
        </w:tc>
        <w:tc>
          <w:tcPr>
            <w:tcW w:w="2620" w:type="dxa"/>
            <w:vAlign w:val="bottom"/>
            <w:gridSpan w:val="2"/>
          </w:tcPr>
          <w:p>
            <w:pPr>
              <w:spacing w:after="0"/>
              <w:rPr>
                <w:sz w:val="20"/>
                <w:szCs w:val="20"/>
                <w:color w:val="auto"/>
              </w:rPr>
            </w:pPr>
            <w:r>
              <w:rPr>
                <w:rFonts w:ascii="Arial" w:cs="Arial" w:eastAsia="Arial" w:hAnsi="Arial"/>
                <w:sz w:val="16"/>
                <w:szCs w:val="16"/>
                <w:color w:val="auto"/>
              </w:rPr>
              <w:t>First-lien loan ($79,295 par, due</w:t>
            </w:r>
          </w:p>
        </w:tc>
        <w:tc>
          <w:tcPr>
            <w:tcW w:w="860" w:type="dxa"/>
            <w:vAlign w:val="bottom"/>
          </w:tcPr>
          <w:p>
            <w:pPr>
              <w:jc w:val="right"/>
              <w:spacing w:after="0"/>
              <w:rPr>
                <w:sz w:val="20"/>
                <w:szCs w:val="20"/>
                <w:color w:val="auto"/>
              </w:rPr>
            </w:pPr>
            <w:r>
              <w:rPr>
                <w:rFonts w:ascii="Arial" w:cs="Arial" w:eastAsia="Arial" w:hAnsi="Arial"/>
                <w:sz w:val="16"/>
                <w:szCs w:val="16"/>
                <w:color w:val="auto"/>
              </w:rPr>
              <w:t>3/30/2018</w:t>
            </w:r>
          </w:p>
        </w:tc>
        <w:tc>
          <w:tcPr>
            <w:tcW w:w="10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L + 6.75%</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7.75%</w:t>
            </w:r>
          </w:p>
        </w:tc>
        <w:tc>
          <w:tcPr>
            <w:tcW w:w="800" w:type="dxa"/>
            <w:vAlign w:val="bottom"/>
          </w:tcPr>
          <w:p>
            <w:pPr>
              <w:jc w:val="right"/>
              <w:spacing w:after="0"/>
              <w:rPr>
                <w:sz w:val="20"/>
                <w:szCs w:val="20"/>
                <w:color w:val="auto"/>
              </w:rPr>
            </w:pPr>
            <w:r>
              <w:rPr>
                <w:rFonts w:ascii="Arial" w:cs="Arial" w:eastAsia="Arial" w:hAnsi="Arial"/>
                <w:sz w:val="16"/>
                <w:szCs w:val="16"/>
                <w:color w:val="auto"/>
              </w:rPr>
              <w:t>78,183</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81,872</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6.7%</w:t>
            </w:r>
          </w:p>
        </w:tc>
      </w:tr>
      <w:tr>
        <w:trPr>
          <w:trHeight w:val="209"/>
        </w:trPr>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6"/>
                <w:szCs w:val="16"/>
                <w:color w:val="auto"/>
              </w:rPr>
              <w:t>4/2024)</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First-lien revolving loan ($800 par,</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10/14/2020</w:t>
            </w:r>
          </w:p>
        </w:tc>
        <w:tc>
          <w:tcPr>
            <w:tcW w:w="1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+ 6.75%</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7.75%</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772</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830</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0.1%</w:t>
            </w:r>
          </w:p>
        </w:tc>
      </w:tr>
      <w:tr>
        <w:trPr>
          <w:trHeight w:val="212"/>
        </w:trPr>
        <w:tc>
          <w:tcPr>
            <w:tcW w:w="2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due 3/2023)</w:t>
            </w: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660" w:type="dxa"/>
            <w:vAlign w:val="bottom"/>
            <w:gridSpan w:val="2"/>
          </w:tcPr>
          <w:p>
            <w:pPr>
              <w:spacing w:after="0" w:line="207" w:lineRule="exact"/>
              <w:rPr>
                <w:sz w:val="20"/>
                <w:szCs w:val="20"/>
                <w:color w:val="auto"/>
              </w:rPr>
            </w:pPr>
            <w:r>
              <w:rPr>
                <w:rFonts w:ascii="Arial" w:cs="Arial" w:eastAsia="Arial" w:hAnsi="Arial"/>
                <w:sz w:val="14"/>
                <w:szCs w:val="14"/>
                <w:color w:val="auto"/>
              </w:rPr>
              <w:t xml:space="preserve">ReliaQuest Holdings, LLC </w:t>
            </w:r>
            <w:r>
              <w:rPr>
                <w:rFonts w:ascii="Arial" w:cs="Arial" w:eastAsia="Arial" w:hAnsi="Arial"/>
                <w:sz w:val="23"/>
                <w:szCs w:val="23"/>
                <w:color w:val="auto"/>
                <w:vertAlign w:val="superscript"/>
              </w:rPr>
              <w:t>(3)(5)</w:t>
            </w:r>
          </w:p>
        </w:tc>
        <w:tc>
          <w:tcPr>
            <w:tcW w:w="2620" w:type="dxa"/>
            <w:vAlign w:val="bottom"/>
            <w:gridSpan w:val="2"/>
          </w:tcPr>
          <w:p>
            <w:pPr>
              <w:spacing w:after="0"/>
              <w:rPr>
                <w:sz w:val="20"/>
                <w:szCs w:val="20"/>
                <w:color w:val="auto"/>
              </w:rPr>
            </w:pPr>
            <w:r>
              <w:rPr>
                <w:rFonts w:ascii="Arial" w:cs="Arial" w:eastAsia="Arial" w:hAnsi="Arial"/>
                <w:sz w:val="16"/>
                <w:szCs w:val="16"/>
                <w:color w:val="auto"/>
              </w:rPr>
              <w:t>First-lien loan ($39,839 par, due</w:t>
            </w:r>
          </w:p>
        </w:tc>
        <w:tc>
          <w:tcPr>
            <w:tcW w:w="860" w:type="dxa"/>
            <w:vAlign w:val="bottom"/>
          </w:tcPr>
          <w:p>
            <w:pPr>
              <w:jc w:val="right"/>
              <w:spacing w:after="0"/>
              <w:rPr>
                <w:sz w:val="20"/>
                <w:szCs w:val="20"/>
                <w:color w:val="auto"/>
              </w:rPr>
            </w:pPr>
            <w:r>
              <w:rPr>
                <w:rFonts w:ascii="Arial" w:cs="Arial" w:eastAsia="Arial" w:hAnsi="Arial"/>
                <w:sz w:val="16"/>
                <w:szCs w:val="16"/>
                <w:color w:val="auto"/>
              </w:rPr>
              <w:t>10/8/2020</w:t>
            </w:r>
          </w:p>
        </w:tc>
        <w:tc>
          <w:tcPr>
            <w:tcW w:w="10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L + 8.25%</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9.25%</w:t>
            </w:r>
          </w:p>
        </w:tc>
        <w:tc>
          <w:tcPr>
            <w:tcW w:w="800" w:type="dxa"/>
            <w:vAlign w:val="bottom"/>
          </w:tcPr>
          <w:p>
            <w:pPr>
              <w:jc w:val="right"/>
              <w:spacing w:after="0"/>
              <w:rPr>
                <w:sz w:val="20"/>
                <w:szCs w:val="20"/>
                <w:color w:val="auto"/>
              </w:rPr>
            </w:pPr>
            <w:r>
              <w:rPr>
                <w:rFonts w:ascii="Arial" w:cs="Arial" w:eastAsia="Arial" w:hAnsi="Arial"/>
                <w:sz w:val="16"/>
                <w:szCs w:val="16"/>
                <w:color w:val="auto"/>
              </w:rPr>
              <w:t>38,835</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40,010</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3.3%</w:t>
            </w:r>
          </w:p>
        </w:tc>
      </w:tr>
      <w:tr>
        <w:trPr>
          <w:trHeight w:val="209"/>
        </w:trPr>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6"/>
                <w:szCs w:val="16"/>
                <w:color w:val="auto"/>
              </w:rPr>
              <w:t>10/2026)</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660" w:type="dxa"/>
            <w:vAlign w:val="bottom"/>
            <w:gridSpan w:val="2"/>
            <w:shd w:val="clear" w:color="auto" w:fill="CFF0FC"/>
          </w:tcPr>
          <w:p>
            <w:pPr>
              <w:spacing w:after="0" w:line="209" w:lineRule="exact"/>
              <w:rPr>
                <w:sz w:val="20"/>
                <w:szCs w:val="20"/>
                <w:color w:val="auto"/>
              </w:rPr>
            </w:pPr>
            <w:r>
              <w:rPr>
                <w:rFonts w:ascii="Arial" w:cs="Arial" w:eastAsia="Arial" w:hAnsi="Arial"/>
                <w:sz w:val="15"/>
                <w:szCs w:val="15"/>
                <w:color w:val="auto"/>
              </w:rPr>
              <w:t xml:space="preserve">ServiceChannel Holdings, Inc. </w:t>
            </w:r>
            <w:r>
              <w:rPr>
                <w:rFonts w:ascii="Arial" w:cs="Arial" w:eastAsia="Arial" w:hAnsi="Arial"/>
                <w:sz w:val="24"/>
                <w:szCs w:val="24"/>
                <w:color w:val="auto"/>
                <w:vertAlign w:val="superscript"/>
              </w:rPr>
              <w:t>(9)</w:t>
            </w:r>
          </w:p>
        </w:tc>
        <w:tc>
          <w:tcPr>
            <w:tcW w:w="26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Second-lien loan ($5,687 par, due</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6/3/2020</w:t>
            </w:r>
          </w:p>
        </w:tc>
        <w:tc>
          <w:tcPr>
            <w:tcW w:w="1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12.00%</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12.00%</w:t>
            </w: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5,351</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6,285</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0.5%</w:t>
            </w:r>
          </w:p>
        </w:tc>
      </w:tr>
      <w:tr>
        <w:trPr>
          <w:trHeight w:val="212"/>
        </w:trPr>
        <w:tc>
          <w:tcPr>
            <w:tcW w:w="2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500" w:type="dxa"/>
            <w:vAlign w:val="bottom"/>
            <w:shd w:val="clear" w:color="auto" w:fill="CFF0FC"/>
          </w:tcPr>
          <w:p>
            <w:pPr>
              <w:spacing w:after="0"/>
              <w:rPr>
                <w:sz w:val="20"/>
                <w:szCs w:val="20"/>
                <w:color w:val="auto"/>
              </w:rPr>
            </w:pPr>
            <w:r>
              <w:rPr>
                <w:rFonts w:ascii="Arial" w:cs="Arial" w:eastAsia="Arial" w:hAnsi="Arial"/>
                <w:sz w:val="16"/>
                <w:szCs w:val="16"/>
                <w:color w:val="auto"/>
              </w:rPr>
              <w:t>6/2025)</w:t>
            </w: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PIK</w:t>
            </w: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660" w:type="dxa"/>
            <w:vAlign w:val="bottom"/>
            <w:gridSpan w:val="2"/>
          </w:tcPr>
          <w:p>
            <w:pPr>
              <w:spacing w:after="0" w:line="207" w:lineRule="exact"/>
              <w:rPr>
                <w:sz w:val="20"/>
                <w:szCs w:val="20"/>
                <w:color w:val="auto"/>
              </w:rPr>
            </w:pPr>
            <w:r>
              <w:rPr>
                <w:rFonts w:ascii="Arial" w:cs="Arial" w:eastAsia="Arial" w:hAnsi="Arial"/>
                <w:sz w:val="14"/>
                <w:szCs w:val="14"/>
                <w:color w:val="auto"/>
              </w:rPr>
              <w:t xml:space="preserve">WideOrbit, Inc. </w:t>
            </w:r>
            <w:r>
              <w:rPr>
                <w:rFonts w:ascii="Arial" w:cs="Arial" w:eastAsia="Arial" w:hAnsi="Arial"/>
                <w:sz w:val="23"/>
                <w:szCs w:val="23"/>
                <w:color w:val="auto"/>
                <w:vertAlign w:val="superscript"/>
              </w:rPr>
              <w:t>(3)</w:t>
            </w:r>
          </w:p>
        </w:tc>
        <w:tc>
          <w:tcPr>
            <w:tcW w:w="2620" w:type="dxa"/>
            <w:vAlign w:val="bottom"/>
            <w:gridSpan w:val="2"/>
          </w:tcPr>
          <w:p>
            <w:pPr>
              <w:spacing w:after="0"/>
              <w:rPr>
                <w:sz w:val="20"/>
                <w:szCs w:val="20"/>
                <w:color w:val="auto"/>
              </w:rPr>
            </w:pPr>
            <w:r>
              <w:rPr>
                <w:rFonts w:ascii="Arial" w:cs="Arial" w:eastAsia="Arial" w:hAnsi="Arial"/>
                <w:sz w:val="16"/>
                <w:szCs w:val="16"/>
                <w:color w:val="auto"/>
              </w:rPr>
              <w:t>First-lien loan ($59,641 par, due</w:t>
            </w:r>
          </w:p>
        </w:tc>
        <w:tc>
          <w:tcPr>
            <w:tcW w:w="860" w:type="dxa"/>
            <w:vAlign w:val="bottom"/>
          </w:tcPr>
          <w:p>
            <w:pPr>
              <w:jc w:val="right"/>
              <w:spacing w:after="0"/>
              <w:rPr>
                <w:sz w:val="20"/>
                <w:szCs w:val="20"/>
                <w:color w:val="auto"/>
              </w:rPr>
            </w:pPr>
            <w:r>
              <w:rPr>
                <w:rFonts w:ascii="Arial" w:cs="Arial" w:eastAsia="Arial" w:hAnsi="Arial"/>
                <w:sz w:val="16"/>
                <w:szCs w:val="16"/>
                <w:color w:val="auto"/>
              </w:rPr>
              <w:t>7/8/2020</w:t>
            </w:r>
          </w:p>
        </w:tc>
        <w:tc>
          <w:tcPr>
            <w:tcW w:w="10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L + 8.50%</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9.75%</w:t>
            </w:r>
          </w:p>
        </w:tc>
        <w:tc>
          <w:tcPr>
            <w:tcW w:w="800" w:type="dxa"/>
            <w:vAlign w:val="bottom"/>
          </w:tcPr>
          <w:p>
            <w:pPr>
              <w:jc w:val="right"/>
              <w:spacing w:after="0"/>
              <w:rPr>
                <w:sz w:val="20"/>
                <w:szCs w:val="20"/>
                <w:color w:val="auto"/>
              </w:rPr>
            </w:pPr>
            <w:r>
              <w:rPr>
                <w:rFonts w:ascii="Arial" w:cs="Arial" w:eastAsia="Arial" w:hAnsi="Arial"/>
                <w:sz w:val="16"/>
                <w:szCs w:val="16"/>
                <w:color w:val="auto"/>
              </w:rPr>
              <w:t>58,828</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61,412</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5.0%</w:t>
            </w:r>
          </w:p>
        </w:tc>
      </w:tr>
      <w:tr>
        <w:trPr>
          <w:trHeight w:val="209"/>
        </w:trPr>
        <w:tc>
          <w:tcPr>
            <w:tcW w:w="254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5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7/2025)</w:t>
            </w:r>
          </w:p>
        </w:tc>
        <w:tc>
          <w:tcPr>
            <w:tcW w:w="120" w:type="dxa"/>
            <w:vAlign w:val="bottom"/>
            <w:tcBorders>
              <w:bottom w:val="single" w:sz="8" w:color="CFF0FC"/>
            </w:tcBorders>
          </w:tcPr>
          <w:p>
            <w:pPr>
              <w:spacing w:after="0"/>
              <w:rPr>
                <w:sz w:val="18"/>
                <w:szCs w:val="18"/>
                <w:color w:val="auto"/>
              </w:rPr>
            </w:pPr>
          </w:p>
        </w:tc>
        <w:tc>
          <w:tcPr>
            <w:tcW w:w="8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78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78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r>
      <w:tr>
        <w:trPr>
          <w:trHeight w:val="212"/>
        </w:trPr>
        <w:tc>
          <w:tcPr>
            <w:tcW w:w="2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503,717</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523,069</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42.8%</w:t>
            </w:r>
          </w:p>
        </w:tc>
      </w:tr>
      <w:tr>
        <w:trPr>
          <w:trHeight w:val="207"/>
        </w:trPr>
        <w:tc>
          <w:tcPr>
            <w:tcW w:w="2660" w:type="dxa"/>
            <w:vAlign w:val="bottom"/>
            <w:gridSpan w:val="2"/>
          </w:tcPr>
          <w:p>
            <w:pPr>
              <w:spacing w:after="0"/>
              <w:rPr>
                <w:sz w:val="20"/>
                <w:szCs w:val="20"/>
                <w:color w:val="auto"/>
              </w:rPr>
            </w:pPr>
            <w:r>
              <w:rPr>
                <w:rFonts w:ascii="Arial" w:cs="Arial" w:eastAsia="Arial" w:hAnsi="Arial"/>
                <w:sz w:val="16"/>
                <w:szCs w:val="16"/>
                <w:b w:val="1"/>
                <w:bCs w:val="1"/>
                <w:color w:val="auto"/>
              </w:rPr>
              <w:t>Communications</w:t>
            </w:r>
          </w:p>
        </w:tc>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06"/>
        </w:trPr>
        <w:tc>
          <w:tcPr>
            <w:tcW w:w="26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IntelePeer Holdings, Inc.</w:t>
            </w:r>
          </w:p>
        </w:tc>
        <w:tc>
          <w:tcPr>
            <w:tcW w:w="26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First-lien loan ($43,973 par, due</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12/2/2019</w:t>
            </w:r>
          </w:p>
        </w:tc>
        <w:tc>
          <w:tcPr>
            <w:tcW w:w="1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+ 8.25%</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9.75%</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43,865</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43,736</w:t>
            </w:r>
          </w:p>
        </w:tc>
        <w:tc>
          <w:tcPr>
            <w:tcW w:w="2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3.6%</w:t>
            </w:r>
          </w:p>
        </w:tc>
      </w:tr>
      <w:tr>
        <w:trPr>
          <w:trHeight w:val="216"/>
        </w:trPr>
        <w:tc>
          <w:tcPr>
            <w:tcW w:w="2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500" w:type="dxa"/>
            <w:vAlign w:val="bottom"/>
            <w:shd w:val="clear" w:color="auto" w:fill="CFF0FC"/>
          </w:tcPr>
          <w:p>
            <w:pPr>
              <w:spacing w:after="0" w:line="216" w:lineRule="exact"/>
              <w:rPr>
                <w:sz w:val="20"/>
                <w:szCs w:val="20"/>
                <w:color w:val="auto"/>
              </w:rPr>
            </w:pPr>
            <w:r>
              <w:rPr>
                <w:rFonts w:ascii="Arial" w:cs="Arial" w:eastAsia="Arial" w:hAnsi="Arial"/>
                <w:sz w:val="15"/>
                <w:szCs w:val="15"/>
                <w:color w:val="auto"/>
              </w:rPr>
              <w:t xml:space="preserve">12/2024) </w:t>
            </w:r>
            <w:r>
              <w:rPr>
                <w:rFonts w:ascii="Arial" w:cs="Arial" w:eastAsia="Arial" w:hAnsi="Arial"/>
                <w:sz w:val="25"/>
                <w:szCs w:val="25"/>
                <w:color w:val="auto"/>
                <w:vertAlign w:val="superscript"/>
              </w:rPr>
              <w:t>(3)</w:t>
            </w: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20" w:type="dxa"/>
            <w:vAlign w:val="bottom"/>
            <w:gridSpan w:val="2"/>
          </w:tcPr>
          <w:p>
            <w:pPr>
              <w:spacing w:after="0"/>
              <w:rPr>
                <w:sz w:val="20"/>
                <w:szCs w:val="20"/>
                <w:color w:val="auto"/>
              </w:rPr>
            </w:pPr>
            <w:r>
              <w:rPr>
                <w:rFonts w:ascii="Arial" w:cs="Arial" w:eastAsia="Arial" w:hAnsi="Arial"/>
                <w:sz w:val="16"/>
                <w:szCs w:val="16"/>
                <w:color w:val="auto"/>
              </w:rPr>
              <w:t>Convertible note ($4,000 par, due</w:t>
            </w:r>
          </w:p>
        </w:tc>
        <w:tc>
          <w:tcPr>
            <w:tcW w:w="860" w:type="dxa"/>
            <w:vAlign w:val="bottom"/>
          </w:tcPr>
          <w:p>
            <w:pPr>
              <w:jc w:val="right"/>
              <w:spacing w:after="0"/>
              <w:rPr>
                <w:sz w:val="20"/>
                <w:szCs w:val="20"/>
                <w:color w:val="auto"/>
              </w:rPr>
            </w:pPr>
            <w:r>
              <w:rPr>
                <w:rFonts w:ascii="Arial" w:cs="Arial" w:eastAsia="Arial" w:hAnsi="Arial"/>
                <w:sz w:val="16"/>
                <w:szCs w:val="16"/>
                <w:color w:val="auto"/>
              </w:rPr>
              <w:t>5/12/2021</w:t>
            </w:r>
          </w:p>
        </w:tc>
        <w:tc>
          <w:tcPr>
            <w:tcW w:w="10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6.00%</w:t>
            </w: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6.00% PIK</w:t>
            </w:r>
          </w:p>
        </w:tc>
        <w:tc>
          <w:tcPr>
            <w:tcW w:w="800" w:type="dxa"/>
            <w:vAlign w:val="bottom"/>
          </w:tcPr>
          <w:p>
            <w:pPr>
              <w:jc w:val="right"/>
              <w:spacing w:after="0"/>
              <w:rPr>
                <w:sz w:val="20"/>
                <w:szCs w:val="20"/>
                <w:color w:val="auto"/>
              </w:rPr>
            </w:pPr>
            <w:r>
              <w:rPr>
                <w:rFonts w:ascii="Arial" w:cs="Arial" w:eastAsia="Arial" w:hAnsi="Arial"/>
                <w:sz w:val="16"/>
                <w:szCs w:val="16"/>
                <w:color w:val="auto"/>
              </w:rPr>
              <w:t>3,961</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3,970</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0.3%</w:t>
            </w:r>
          </w:p>
        </w:tc>
      </w:tr>
      <w:tr>
        <w:trPr>
          <w:trHeight w:val="209"/>
        </w:trPr>
        <w:tc>
          <w:tcPr>
            <w:tcW w:w="254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5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5/2028)</w:t>
            </w:r>
          </w:p>
        </w:tc>
        <w:tc>
          <w:tcPr>
            <w:tcW w:w="120" w:type="dxa"/>
            <w:vAlign w:val="bottom"/>
            <w:tcBorders>
              <w:bottom w:val="single" w:sz="8" w:color="CFF0FC"/>
            </w:tcBorders>
          </w:tcPr>
          <w:p>
            <w:pPr>
              <w:spacing w:after="0"/>
              <w:rPr>
                <w:sz w:val="18"/>
                <w:szCs w:val="18"/>
                <w:color w:val="auto"/>
              </w:rPr>
            </w:pPr>
          </w:p>
        </w:tc>
        <w:tc>
          <w:tcPr>
            <w:tcW w:w="8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78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78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r>
      <w:tr>
        <w:trPr>
          <w:trHeight w:val="213"/>
        </w:trPr>
        <w:tc>
          <w:tcPr>
            <w:tcW w:w="2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47,826</w:t>
            </w:r>
          </w:p>
        </w:tc>
        <w:tc>
          <w:tcPr>
            <w:tcW w:w="220" w:type="dxa"/>
            <w:vAlign w:val="bottom"/>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47,706</w:t>
            </w:r>
          </w:p>
        </w:tc>
        <w:tc>
          <w:tcPr>
            <w:tcW w:w="20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4"/>
              </w:rPr>
              <w:t>%</w:t>
            </w:r>
          </w:p>
        </w:tc>
      </w:tr>
      <w:tr>
        <w:trPr>
          <w:trHeight w:val="206"/>
        </w:trPr>
        <w:tc>
          <w:tcPr>
            <w:tcW w:w="2660" w:type="dxa"/>
            <w:vAlign w:val="bottom"/>
            <w:gridSpan w:val="2"/>
          </w:tcPr>
          <w:p>
            <w:pPr>
              <w:spacing w:after="0"/>
              <w:rPr>
                <w:sz w:val="20"/>
                <w:szCs w:val="20"/>
                <w:color w:val="auto"/>
              </w:rPr>
            </w:pPr>
            <w:r>
              <w:rPr>
                <w:rFonts w:ascii="Arial" w:cs="Arial" w:eastAsia="Arial" w:hAnsi="Arial"/>
                <w:sz w:val="16"/>
                <w:szCs w:val="16"/>
                <w:b w:val="1"/>
                <w:bCs w:val="1"/>
                <w:color w:val="auto"/>
              </w:rPr>
              <w:t>Education</w:t>
            </w:r>
          </w:p>
        </w:tc>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6"/>
        </w:trPr>
        <w:tc>
          <w:tcPr>
            <w:tcW w:w="26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Destiny Solutions Parent</w:t>
            </w:r>
          </w:p>
        </w:tc>
        <w:tc>
          <w:tcPr>
            <w:tcW w:w="26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First-lien loan ($43,267 par, due</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6/8/2021</w:t>
            </w:r>
          </w:p>
        </w:tc>
        <w:tc>
          <w:tcPr>
            <w:tcW w:w="1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+ 5.75%</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6.75%</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42,027</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42,029</w:t>
            </w:r>
          </w:p>
        </w:tc>
        <w:tc>
          <w:tcPr>
            <w:tcW w:w="2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3.4%</w:t>
            </w:r>
          </w:p>
        </w:tc>
      </w:tr>
      <w:tr>
        <w:trPr>
          <w:trHeight w:val="216"/>
        </w:trPr>
        <w:tc>
          <w:tcPr>
            <w:tcW w:w="2660" w:type="dxa"/>
            <w:vAlign w:val="bottom"/>
            <w:gridSpan w:val="2"/>
            <w:shd w:val="clear" w:color="auto" w:fill="CFF0FC"/>
          </w:tcPr>
          <w:p>
            <w:pPr>
              <w:ind w:left="120"/>
              <w:spacing w:after="0" w:line="216" w:lineRule="exact"/>
              <w:rPr>
                <w:sz w:val="20"/>
                <w:szCs w:val="20"/>
                <w:color w:val="auto"/>
              </w:rPr>
            </w:pPr>
            <w:r>
              <w:rPr>
                <w:rFonts w:ascii="Arial" w:cs="Arial" w:eastAsia="Arial" w:hAnsi="Arial"/>
                <w:sz w:val="15"/>
                <w:szCs w:val="15"/>
                <w:color w:val="auto"/>
              </w:rPr>
              <w:t xml:space="preserve">Holding Company </w:t>
            </w:r>
            <w:r>
              <w:rPr>
                <w:rFonts w:ascii="Arial" w:cs="Arial" w:eastAsia="Arial" w:hAnsi="Arial"/>
                <w:sz w:val="25"/>
                <w:szCs w:val="25"/>
                <w:color w:val="auto"/>
                <w:vertAlign w:val="superscript"/>
              </w:rPr>
              <w:t>(3)(5)</w:t>
            </w:r>
          </w:p>
        </w:tc>
        <w:tc>
          <w:tcPr>
            <w:tcW w:w="2500" w:type="dxa"/>
            <w:vAlign w:val="bottom"/>
            <w:shd w:val="clear" w:color="auto" w:fill="CFF0FC"/>
          </w:tcPr>
          <w:p>
            <w:pPr>
              <w:spacing w:after="0"/>
              <w:rPr>
                <w:sz w:val="20"/>
                <w:szCs w:val="20"/>
                <w:color w:val="auto"/>
              </w:rPr>
            </w:pPr>
            <w:r>
              <w:rPr>
                <w:rFonts w:ascii="Arial" w:cs="Arial" w:eastAsia="Arial" w:hAnsi="Arial"/>
                <w:sz w:val="16"/>
                <w:szCs w:val="16"/>
                <w:color w:val="auto"/>
              </w:rPr>
              <w:t>6/2026)</w:t>
            </w: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660" w:type="dxa"/>
            <w:vAlign w:val="bottom"/>
            <w:gridSpan w:val="2"/>
          </w:tcPr>
          <w:p>
            <w:pPr>
              <w:spacing w:after="0" w:line="207" w:lineRule="exact"/>
              <w:rPr>
                <w:sz w:val="20"/>
                <w:szCs w:val="20"/>
                <w:color w:val="auto"/>
              </w:rPr>
            </w:pPr>
            <w:r>
              <w:rPr>
                <w:rFonts w:ascii="Arial" w:cs="Arial" w:eastAsia="Arial" w:hAnsi="Arial"/>
                <w:sz w:val="14"/>
                <w:szCs w:val="14"/>
                <w:color w:val="auto"/>
              </w:rPr>
              <w:t xml:space="preserve">EMS Linq, Inc. </w:t>
            </w:r>
            <w:r>
              <w:rPr>
                <w:rFonts w:ascii="Arial" w:cs="Arial" w:eastAsia="Arial" w:hAnsi="Arial"/>
                <w:sz w:val="23"/>
                <w:szCs w:val="23"/>
                <w:color w:val="auto"/>
                <w:vertAlign w:val="superscript"/>
              </w:rPr>
              <w:t>(3)(5)</w:t>
            </w:r>
          </w:p>
        </w:tc>
        <w:tc>
          <w:tcPr>
            <w:tcW w:w="2620" w:type="dxa"/>
            <w:vAlign w:val="bottom"/>
            <w:gridSpan w:val="2"/>
          </w:tcPr>
          <w:p>
            <w:pPr>
              <w:spacing w:after="0"/>
              <w:rPr>
                <w:sz w:val="20"/>
                <w:szCs w:val="20"/>
                <w:color w:val="auto"/>
              </w:rPr>
            </w:pPr>
            <w:r>
              <w:rPr>
                <w:rFonts w:ascii="Arial" w:cs="Arial" w:eastAsia="Arial" w:hAnsi="Arial"/>
                <w:sz w:val="16"/>
                <w:szCs w:val="16"/>
                <w:color w:val="auto"/>
              </w:rPr>
              <w:t>First-lien loan ($34,738 par, due</w:t>
            </w:r>
          </w:p>
        </w:tc>
        <w:tc>
          <w:tcPr>
            <w:tcW w:w="860" w:type="dxa"/>
            <w:vAlign w:val="bottom"/>
          </w:tcPr>
          <w:p>
            <w:pPr>
              <w:jc w:val="right"/>
              <w:spacing w:after="0"/>
              <w:rPr>
                <w:sz w:val="20"/>
                <w:szCs w:val="20"/>
                <w:color w:val="auto"/>
              </w:rPr>
            </w:pPr>
            <w:r>
              <w:rPr>
                <w:rFonts w:ascii="Arial" w:cs="Arial" w:eastAsia="Arial" w:hAnsi="Arial"/>
                <w:sz w:val="16"/>
                <w:szCs w:val="16"/>
                <w:color w:val="auto"/>
              </w:rPr>
              <w:t>9/17/2020</w:t>
            </w:r>
          </w:p>
        </w:tc>
        <w:tc>
          <w:tcPr>
            <w:tcW w:w="10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L + 7.75%</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8.75%</w:t>
            </w:r>
          </w:p>
        </w:tc>
        <w:tc>
          <w:tcPr>
            <w:tcW w:w="800" w:type="dxa"/>
            <w:vAlign w:val="bottom"/>
          </w:tcPr>
          <w:p>
            <w:pPr>
              <w:jc w:val="right"/>
              <w:spacing w:after="0"/>
              <w:rPr>
                <w:sz w:val="20"/>
                <w:szCs w:val="20"/>
                <w:color w:val="auto"/>
              </w:rPr>
            </w:pPr>
            <w:r>
              <w:rPr>
                <w:rFonts w:ascii="Arial" w:cs="Arial" w:eastAsia="Arial" w:hAnsi="Arial"/>
                <w:sz w:val="16"/>
                <w:szCs w:val="16"/>
                <w:color w:val="auto"/>
              </w:rPr>
              <w:t>33,819</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34,911</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2.9%</w:t>
            </w:r>
          </w:p>
        </w:tc>
      </w:tr>
      <w:tr>
        <w:trPr>
          <w:trHeight w:val="209"/>
        </w:trPr>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6"/>
                <w:szCs w:val="16"/>
                <w:color w:val="auto"/>
              </w:rPr>
              <w:t>9/2025)</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660" w:type="dxa"/>
            <w:vAlign w:val="bottom"/>
            <w:gridSpan w:val="2"/>
            <w:shd w:val="clear" w:color="auto" w:fill="CFF0FC"/>
          </w:tcPr>
          <w:p>
            <w:pPr>
              <w:spacing w:after="0" w:line="209" w:lineRule="exact"/>
              <w:rPr>
                <w:sz w:val="20"/>
                <w:szCs w:val="20"/>
                <w:color w:val="auto"/>
              </w:rPr>
            </w:pPr>
            <w:r>
              <w:rPr>
                <w:rFonts w:ascii="Arial" w:cs="Arial" w:eastAsia="Arial" w:hAnsi="Arial"/>
                <w:sz w:val="15"/>
                <w:szCs w:val="15"/>
                <w:color w:val="auto"/>
              </w:rPr>
              <w:t xml:space="preserve">Follet Corp. </w:t>
            </w:r>
            <w:r>
              <w:rPr>
                <w:rFonts w:ascii="Arial" w:cs="Arial" w:eastAsia="Arial" w:hAnsi="Arial"/>
                <w:sz w:val="24"/>
                <w:szCs w:val="24"/>
                <w:color w:val="auto"/>
                <w:vertAlign w:val="superscript"/>
              </w:rPr>
              <w:t>(3)</w:t>
            </w:r>
          </w:p>
        </w:tc>
        <w:tc>
          <w:tcPr>
            <w:tcW w:w="26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First-lien loan ($75,000 par, due</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11/25/2020</w:t>
            </w:r>
          </w:p>
        </w:tc>
        <w:tc>
          <w:tcPr>
            <w:tcW w:w="1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+ 7.75%</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8.75%</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73,478</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77,063</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6.3%</w:t>
            </w:r>
          </w:p>
        </w:tc>
      </w:tr>
      <w:tr>
        <w:trPr>
          <w:trHeight w:val="212"/>
        </w:trPr>
        <w:tc>
          <w:tcPr>
            <w:tcW w:w="2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500" w:type="dxa"/>
            <w:vAlign w:val="bottom"/>
            <w:shd w:val="clear" w:color="auto" w:fill="CFF0FC"/>
          </w:tcPr>
          <w:p>
            <w:pPr>
              <w:spacing w:after="0"/>
              <w:rPr>
                <w:sz w:val="20"/>
                <w:szCs w:val="20"/>
                <w:color w:val="auto"/>
              </w:rPr>
            </w:pPr>
            <w:r>
              <w:rPr>
                <w:rFonts w:ascii="Arial" w:cs="Arial" w:eastAsia="Arial" w:hAnsi="Arial"/>
                <w:sz w:val="16"/>
                <w:szCs w:val="16"/>
                <w:color w:val="auto"/>
              </w:rPr>
              <w:t>11/2025)</w:t>
            </w: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3"/>
        </w:trPr>
        <w:tc>
          <w:tcPr>
            <w:tcW w:w="2660" w:type="dxa"/>
            <w:vAlign w:val="bottom"/>
            <w:gridSpan w:val="2"/>
          </w:tcPr>
          <w:p>
            <w:pPr>
              <w:spacing w:after="0"/>
              <w:rPr>
                <w:sz w:val="20"/>
                <w:szCs w:val="20"/>
                <w:color w:val="auto"/>
              </w:rPr>
            </w:pPr>
            <w:r>
              <w:rPr>
                <w:rFonts w:ascii="Arial" w:cs="Arial" w:eastAsia="Arial" w:hAnsi="Arial"/>
                <w:sz w:val="16"/>
                <w:szCs w:val="16"/>
                <w:color w:val="auto"/>
              </w:rPr>
              <w:t>Frontline Technologies</w:t>
            </w:r>
          </w:p>
        </w:tc>
        <w:tc>
          <w:tcPr>
            <w:tcW w:w="2620" w:type="dxa"/>
            <w:vAlign w:val="bottom"/>
            <w:gridSpan w:val="2"/>
          </w:tcPr>
          <w:p>
            <w:pPr>
              <w:spacing w:after="0"/>
              <w:rPr>
                <w:sz w:val="20"/>
                <w:szCs w:val="20"/>
                <w:color w:val="auto"/>
              </w:rPr>
            </w:pPr>
            <w:r>
              <w:rPr>
                <w:rFonts w:ascii="Arial" w:cs="Arial" w:eastAsia="Arial" w:hAnsi="Arial"/>
                <w:sz w:val="16"/>
                <w:szCs w:val="16"/>
                <w:color w:val="auto"/>
              </w:rPr>
              <w:t>First-lien loan ($86,907 par, due</w:t>
            </w:r>
          </w:p>
        </w:tc>
        <w:tc>
          <w:tcPr>
            <w:tcW w:w="860" w:type="dxa"/>
            <w:vAlign w:val="bottom"/>
          </w:tcPr>
          <w:p>
            <w:pPr>
              <w:jc w:val="right"/>
              <w:spacing w:after="0"/>
              <w:rPr>
                <w:sz w:val="20"/>
                <w:szCs w:val="20"/>
                <w:color w:val="auto"/>
              </w:rPr>
            </w:pPr>
            <w:r>
              <w:rPr>
                <w:rFonts w:ascii="Arial" w:cs="Arial" w:eastAsia="Arial" w:hAnsi="Arial"/>
                <w:sz w:val="16"/>
                <w:szCs w:val="16"/>
                <w:color w:val="auto"/>
              </w:rPr>
              <w:t>9/18/2017</w:t>
            </w:r>
          </w:p>
        </w:tc>
        <w:tc>
          <w:tcPr>
            <w:tcW w:w="10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L + 5.75%</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6.75%</w:t>
            </w:r>
          </w:p>
        </w:tc>
        <w:tc>
          <w:tcPr>
            <w:tcW w:w="800" w:type="dxa"/>
            <w:vAlign w:val="bottom"/>
          </w:tcPr>
          <w:p>
            <w:pPr>
              <w:jc w:val="right"/>
              <w:spacing w:after="0"/>
              <w:rPr>
                <w:sz w:val="20"/>
                <w:szCs w:val="20"/>
                <w:color w:val="auto"/>
              </w:rPr>
            </w:pPr>
            <w:r>
              <w:rPr>
                <w:rFonts w:ascii="Arial" w:cs="Arial" w:eastAsia="Arial" w:hAnsi="Arial"/>
                <w:sz w:val="16"/>
                <w:szCs w:val="16"/>
                <w:color w:val="auto"/>
              </w:rPr>
              <w:t>86,613</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86,908</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7.1%</w:t>
            </w:r>
          </w:p>
        </w:tc>
      </w:tr>
      <w:tr>
        <w:trPr>
          <w:trHeight w:val="216"/>
        </w:trPr>
        <w:tc>
          <w:tcPr>
            <w:tcW w:w="2660" w:type="dxa"/>
            <w:vAlign w:val="bottom"/>
            <w:gridSpan w:val="2"/>
          </w:tcPr>
          <w:p>
            <w:pPr>
              <w:ind w:left="120"/>
              <w:spacing w:after="0" w:line="216" w:lineRule="exact"/>
              <w:rPr>
                <w:sz w:val="20"/>
                <w:szCs w:val="20"/>
                <w:color w:val="auto"/>
              </w:rPr>
            </w:pPr>
            <w:r>
              <w:rPr>
                <w:rFonts w:ascii="Arial" w:cs="Arial" w:eastAsia="Arial" w:hAnsi="Arial"/>
                <w:sz w:val="15"/>
                <w:szCs w:val="15"/>
                <w:color w:val="auto"/>
              </w:rPr>
              <w:t xml:space="preserve">Group, LLC </w:t>
            </w:r>
            <w:r>
              <w:rPr>
                <w:rFonts w:ascii="Arial" w:cs="Arial" w:eastAsia="Arial" w:hAnsi="Arial"/>
                <w:sz w:val="25"/>
                <w:szCs w:val="25"/>
                <w:color w:val="auto"/>
                <w:vertAlign w:val="superscript"/>
              </w:rPr>
              <w:t>(3)</w:t>
            </w:r>
          </w:p>
        </w:tc>
        <w:tc>
          <w:tcPr>
            <w:tcW w:w="2500" w:type="dxa"/>
            <w:vAlign w:val="bottom"/>
          </w:tcPr>
          <w:p>
            <w:pPr>
              <w:spacing w:after="0"/>
              <w:rPr>
                <w:sz w:val="20"/>
                <w:szCs w:val="20"/>
                <w:color w:val="auto"/>
              </w:rPr>
            </w:pPr>
            <w:r>
              <w:rPr>
                <w:rFonts w:ascii="Arial" w:cs="Arial" w:eastAsia="Arial" w:hAnsi="Arial"/>
                <w:sz w:val="16"/>
                <w:szCs w:val="16"/>
                <w:color w:val="auto"/>
              </w:rPr>
              <w:t>9/2023)</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3"/>
        </w:trPr>
        <w:tc>
          <w:tcPr>
            <w:tcW w:w="26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Illuminate Education,</w:t>
            </w:r>
          </w:p>
        </w:tc>
        <w:tc>
          <w:tcPr>
            <w:tcW w:w="26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First-lien loan ($63,050 par, due</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8/25/2017</w:t>
            </w:r>
          </w:p>
        </w:tc>
        <w:tc>
          <w:tcPr>
            <w:tcW w:w="1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+ 6.25%</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7.25%</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62,689</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63,365</w:t>
            </w:r>
          </w:p>
        </w:tc>
        <w:tc>
          <w:tcPr>
            <w:tcW w:w="2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5.2%</w:t>
            </w:r>
          </w:p>
        </w:tc>
      </w:tr>
      <w:tr>
        <w:trPr>
          <w:trHeight w:val="213"/>
        </w:trPr>
        <w:tc>
          <w:tcPr>
            <w:tcW w:w="266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Inc.</w:t>
            </w:r>
            <w:r>
              <w:rPr>
                <w:rFonts w:ascii="Arial" w:cs="Arial" w:eastAsia="Arial" w:hAnsi="Arial"/>
                <w:sz w:val="13"/>
                <w:szCs w:val="13"/>
                <w:color w:val="auto"/>
              </w:rPr>
              <w:t>(3)(5)</w:t>
            </w:r>
          </w:p>
        </w:tc>
        <w:tc>
          <w:tcPr>
            <w:tcW w:w="2500" w:type="dxa"/>
            <w:vAlign w:val="bottom"/>
            <w:shd w:val="clear" w:color="auto" w:fill="CFF0FC"/>
          </w:tcPr>
          <w:p>
            <w:pPr>
              <w:spacing w:after="0"/>
              <w:rPr>
                <w:sz w:val="20"/>
                <w:szCs w:val="20"/>
                <w:color w:val="auto"/>
              </w:rPr>
            </w:pPr>
            <w:r>
              <w:rPr>
                <w:rFonts w:ascii="Arial" w:cs="Arial" w:eastAsia="Arial" w:hAnsi="Arial"/>
                <w:sz w:val="16"/>
                <w:szCs w:val="16"/>
                <w:color w:val="auto"/>
              </w:rPr>
              <w:t>8/2022)</w:t>
            </w: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9"/>
        </w:trPr>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298,626</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304,276</w:t>
            </w:r>
          </w:p>
        </w:tc>
        <w:tc>
          <w:tcPr>
            <w:tcW w:w="2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24.9%</w:t>
            </w:r>
          </w:p>
        </w:tc>
      </w:tr>
      <w:tr>
        <w:trPr>
          <w:trHeight w:val="213"/>
        </w:trPr>
        <w:tc>
          <w:tcPr>
            <w:tcW w:w="26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b w:val="1"/>
                <w:bCs w:val="1"/>
                <w:color w:val="auto"/>
              </w:rPr>
              <w:t>Financial services</w:t>
            </w:r>
          </w:p>
        </w:tc>
        <w:tc>
          <w:tcPr>
            <w:tcW w:w="25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r>
      <w:tr>
        <w:trPr>
          <w:trHeight w:val="206"/>
        </w:trPr>
        <w:tc>
          <w:tcPr>
            <w:tcW w:w="2660" w:type="dxa"/>
            <w:vAlign w:val="bottom"/>
            <w:gridSpan w:val="2"/>
          </w:tcPr>
          <w:p>
            <w:pPr>
              <w:spacing w:after="0" w:line="207" w:lineRule="exact"/>
              <w:rPr>
                <w:sz w:val="20"/>
                <w:szCs w:val="20"/>
                <w:color w:val="auto"/>
              </w:rPr>
            </w:pPr>
            <w:r>
              <w:rPr>
                <w:rFonts w:ascii="Arial" w:cs="Arial" w:eastAsia="Arial" w:hAnsi="Arial"/>
                <w:sz w:val="14"/>
                <w:szCs w:val="14"/>
                <w:color w:val="auto"/>
              </w:rPr>
              <w:t xml:space="preserve">AvidXchange, Inc. </w:t>
            </w:r>
            <w:r>
              <w:rPr>
                <w:rFonts w:ascii="Arial" w:cs="Arial" w:eastAsia="Arial" w:hAnsi="Arial"/>
                <w:sz w:val="23"/>
                <w:szCs w:val="23"/>
                <w:color w:val="auto"/>
                <w:vertAlign w:val="superscript"/>
              </w:rPr>
              <w:t>(3)(5)</w:t>
            </w:r>
          </w:p>
        </w:tc>
        <w:tc>
          <w:tcPr>
            <w:tcW w:w="2620" w:type="dxa"/>
            <w:vAlign w:val="bottom"/>
            <w:gridSpan w:val="2"/>
          </w:tcPr>
          <w:p>
            <w:pPr>
              <w:spacing w:after="0"/>
              <w:rPr>
                <w:sz w:val="20"/>
                <w:szCs w:val="20"/>
                <w:color w:val="auto"/>
              </w:rPr>
            </w:pPr>
            <w:r>
              <w:rPr>
                <w:rFonts w:ascii="Arial" w:cs="Arial" w:eastAsia="Arial" w:hAnsi="Arial"/>
                <w:sz w:val="16"/>
                <w:szCs w:val="16"/>
                <w:color w:val="auto"/>
              </w:rPr>
              <w:t>First-lien loan ($11,077 par, due</w:t>
            </w:r>
          </w:p>
        </w:tc>
        <w:tc>
          <w:tcPr>
            <w:tcW w:w="860" w:type="dxa"/>
            <w:vAlign w:val="bottom"/>
          </w:tcPr>
          <w:p>
            <w:pPr>
              <w:jc w:val="right"/>
              <w:spacing w:after="0"/>
              <w:rPr>
                <w:sz w:val="20"/>
                <w:szCs w:val="20"/>
                <w:color w:val="auto"/>
              </w:rPr>
            </w:pPr>
            <w:r>
              <w:rPr>
                <w:rFonts w:ascii="Arial" w:cs="Arial" w:eastAsia="Arial" w:hAnsi="Arial"/>
                <w:sz w:val="16"/>
                <w:szCs w:val="16"/>
                <w:color w:val="auto"/>
              </w:rPr>
              <w:t>10/1/2019</w:t>
            </w:r>
          </w:p>
        </w:tc>
        <w:tc>
          <w:tcPr>
            <w:tcW w:w="10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L + 9.00%</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10.00%</w:t>
            </w:r>
          </w:p>
        </w:tc>
        <w:tc>
          <w:tcPr>
            <w:tcW w:w="800" w:type="dxa"/>
            <w:vAlign w:val="bottom"/>
          </w:tcPr>
          <w:p>
            <w:pPr>
              <w:jc w:val="right"/>
              <w:spacing w:after="0"/>
              <w:rPr>
                <w:sz w:val="20"/>
                <w:szCs w:val="20"/>
                <w:color w:val="auto"/>
              </w:rPr>
            </w:pPr>
            <w:r>
              <w:rPr>
                <w:rFonts w:ascii="Arial" w:cs="Arial" w:eastAsia="Arial" w:hAnsi="Arial"/>
                <w:sz w:val="16"/>
                <w:szCs w:val="16"/>
                <w:color w:val="auto"/>
              </w:rPr>
              <w:t>10,984</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11,207</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0.9%</w:t>
            </w:r>
          </w:p>
        </w:tc>
      </w:tr>
      <w:tr>
        <w:trPr>
          <w:trHeight w:val="209"/>
        </w:trPr>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6"/>
                <w:szCs w:val="16"/>
                <w:color w:val="auto"/>
              </w:rPr>
              <w:t>4/2024)</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660" w:type="dxa"/>
            <w:vAlign w:val="bottom"/>
            <w:gridSpan w:val="2"/>
            <w:shd w:val="clear" w:color="auto" w:fill="CFF0FC"/>
          </w:tcPr>
          <w:p>
            <w:pPr>
              <w:spacing w:after="0" w:line="209" w:lineRule="exact"/>
              <w:rPr>
                <w:sz w:val="20"/>
                <w:szCs w:val="20"/>
                <w:color w:val="auto"/>
              </w:rPr>
            </w:pPr>
            <w:r>
              <w:rPr>
                <w:rFonts w:ascii="Arial" w:cs="Arial" w:eastAsia="Arial" w:hAnsi="Arial"/>
                <w:sz w:val="15"/>
                <w:szCs w:val="15"/>
                <w:color w:val="auto"/>
              </w:rPr>
              <w:t xml:space="preserve">Bear OpCo, LLC </w:t>
            </w:r>
            <w:r>
              <w:rPr>
                <w:rFonts w:ascii="Arial" w:cs="Arial" w:eastAsia="Arial" w:hAnsi="Arial"/>
                <w:sz w:val="24"/>
                <w:szCs w:val="24"/>
                <w:color w:val="auto"/>
                <w:vertAlign w:val="superscript"/>
              </w:rPr>
              <w:t>(3)(5)</w:t>
            </w:r>
          </w:p>
        </w:tc>
        <w:tc>
          <w:tcPr>
            <w:tcW w:w="26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First-lien loan ($19,675 par, due</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10/10/2019</w:t>
            </w:r>
          </w:p>
        </w:tc>
        <w:tc>
          <w:tcPr>
            <w:tcW w:w="1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+ 6.50%</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7.50%</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19,293</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19,527</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1.6%</w:t>
            </w:r>
          </w:p>
        </w:tc>
      </w:tr>
      <w:tr>
        <w:trPr>
          <w:trHeight w:val="212"/>
        </w:trPr>
        <w:tc>
          <w:tcPr>
            <w:tcW w:w="2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500" w:type="dxa"/>
            <w:vAlign w:val="bottom"/>
            <w:shd w:val="clear" w:color="auto" w:fill="CFF0FC"/>
          </w:tcPr>
          <w:p>
            <w:pPr>
              <w:spacing w:after="0"/>
              <w:rPr>
                <w:sz w:val="20"/>
                <w:szCs w:val="20"/>
                <w:color w:val="auto"/>
              </w:rPr>
            </w:pPr>
            <w:r>
              <w:rPr>
                <w:rFonts w:ascii="Arial" w:cs="Arial" w:eastAsia="Arial" w:hAnsi="Arial"/>
                <w:sz w:val="16"/>
                <w:szCs w:val="16"/>
                <w:color w:val="auto"/>
              </w:rPr>
              <w:t>10/2024)</w:t>
            </w: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660" w:type="dxa"/>
            <w:vAlign w:val="bottom"/>
            <w:gridSpan w:val="2"/>
          </w:tcPr>
          <w:p>
            <w:pPr>
              <w:spacing w:after="0" w:line="207" w:lineRule="exact"/>
              <w:rPr>
                <w:sz w:val="20"/>
                <w:szCs w:val="20"/>
                <w:color w:val="auto"/>
              </w:rPr>
            </w:pPr>
            <w:r>
              <w:rPr>
                <w:rFonts w:ascii="Arial" w:cs="Arial" w:eastAsia="Arial" w:hAnsi="Arial"/>
                <w:sz w:val="14"/>
                <w:szCs w:val="14"/>
                <w:color w:val="auto"/>
              </w:rPr>
              <w:t xml:space="preserve">BlueSnap, Inc. </w:t>
            </w:r>
            <w:r>
              <w:rPr>
                <w:rFonts w:ascii="Arial" w:cs="Arial" w:eastAsia="Arial" w:hAnsi="Arial"/>
                <w:sz w:val="23"/>
                <w:szCs w:val="23"/>
                <w:color w:val="auto"/>
                <w:vertAlign w:val="superscript"/>
              </w:rPr>
              <w:t>(3)</w:t>
            </w:r>
          </w:p>
        </w:tc>
        <w:tc>
          <w:tcPr>
            <w:tcW w:w="2620" w:type="dxa"/>
            <w:vAlign w:val="bottom"/>
            <w:gridSpan w:val="2"/>
          </w:tcPr>
          <w:p>
            <w:pPr>
              <w:spacing w:after="0"/>
              <w:rPr>
                <w:sz w:val="20"/>
                <w:szCs w:val="20"/>
                <w:color w:val="auto"/>
              </w:rPr>
            </w:pPr>
            <w:r>
              <w:rPr>
                <w:rFonts w:ascii="Arial" w:cs="Arial" w:eastAsia="Arial" w:hAnsi="Arial"/>
                <w:sz w:val="16"/>
                <w:szCs w:val="16"/>
                <w:color w:val="auto"/>
              </w:rPr>
              <w:t>First-lien loan ($35,000 par, due</w:t>
            </w:r>
          </w:p>
        </w:tc>
        <w:tc>
          <w:tcPr>
            <w:tcW w:w="860" w:type="dxa"/>
            <w:vAlign w:val="bottom"/>
          </w:tcPr>
          <w:p>
            <w:pPr>
              <w:jc w:val="right"/>
              <w:spacing w:after="0"/>
              <w:rPr>
                <w:sz w:val="20"/>
                <w:szCs w:val="20"/>
                <w:color w:val="auto"/>
              </w:rPr>
            </w:pPr>
            <w:r>
              <w:rPr>
                <w:rFonts w:ascii="Arial" w:cs="Arial" w:eastAsia="Arial" w:hAnsi="Arial"/>
                <w:sz w:val="16"/>
                <w:szCs w:val="16"/>
                <w:color w:val="auto"/>
              </w:rPr>
              <w:t>10/25/2019</w:t>
            </w:r>
          </w:p>
        </w:tc>
        <w:tc>
          <w:tcPr>
            <w:tcW w:w="10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L + 7.00%</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8.00%</w:t>
            </w:r>
          </w:p>
        </w:tc>
        <w:tc>
          <w:tcPr>
            <w:tcW w:w="800" w:type="dxa"/>
            <w:vAlign w:val="bottom"/>
          </w:tcPr>
          <w:p>
            <w:pPr>
              <w:jc w:val="right"/>
              <w:spacing w:after="0"/>
              <w:rPr>
                <w:sz w:val="20"/>
                <w:szCs w:val="20"/>
                <w:color w:val="auto"/>
              </w:rPr>
            </w:pPr>
            <w:r>
              <w:rPr>
                <w:rFonts w:ascii="Arial" w:cs="Arial" w:eastAsia="Arial" w:hAnsi="Arial"/>
                <w:sz w:val="16"/>
                <w:szCs w:val="16"/>
                <w:color w:val="auto"/>
              </w:rPr>
              <w:t>34,504</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35,350</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2.9%</w:t>
            </w:r>
          </w:p>
        </w:tc>
      </w:tr>
      <w:tr>
        <w:trPr>
          <w:trHeight w:val="206"/>
        </w:trPr>
        <w:tc>
          <w:tcPr>
            <w:tcW w:w="2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00" w:type="dxa"/>
            <w:vAlign w:val="bottom"/>
          </w:tcPr>
          <w:p>
            <w:pPr>
              <w:spacing w:after="0"/>
              <w:rPr>
                <w:sz w:val="20"/>
                <w:szCs w:val="20"/>
                <w:color w:val="auto"/>
              </w:rPr>
            </w:pPr>
            <w:r>
              <w:rPr>
                <w:rFonts w:ascii="Arial" w:cs="Arial" w:eastAsia="Arial" w:hAnsi="Arial"/>
                <w:sz w:val="16"/>
                <w:szCs w:val="16"/>
                <w:color w:val="auto"/>
              </w:rPr>
              <w:t>10/2024)</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6"/>
        </w:trPr>
        <w:tc>
          <w:tcPr>
            <w:tcW w:w="2380" w:type="dxa"/>
            <w:vAlign w:val="bottom"/>
            <w:shd w:val="clear" w:color="auto" w:fill="CFF0FC"/>
          </w:tcPr>
          <w:p>
            <w:pPr>
              <w:spacing w:after="0"/>
              <w:rPr>
                <w:sz w:val="17"/>
                <w:szCs w:val="17"/>
                <w:color w:val="auto"/>
              </w:rPr>
            </w:pPr>
          </w:p>
        </w:tc>
        <w:tc>
          <w:tcPr>
            <w:tcW w:w="2840" w:type="dxa"/>
            <w:vAlign w:val="bottom"/>
            <w:shd w:val="clear" w:color="auto" w:fill="CFF0FC"/>
          </w:tcPr>
          <w:p>
            <w:pPr>
              <w:ind w:left="280"/>
              <w:spacing w:after="0"/>
              <w:rPr>
                <w:sz w:val="20"/>
                <w:szCs w:val="20"/>
                <w:color w:val="auto"/>
              </w:rPr>
            </w:pPr>
            <w:r>
              <w:rPr>
                <w:rFonts w:ascii="Arial" w:cs="Arial" w:eastAsia="Arial" w:hAnsi="Arial"/>
                <w:sz w:val="16"/>
                <w:szCs w:val="16"/>
                <w:color w:val="auto"/>
                <w:w w:val="99"/>
              </w:rPr>
              <w:t>First-lien revolving loan ($2,500 par,</w:t>
            </w:r>
          </w:p>
        </w:tc>
        <w:tc>
          <w:tcPr>
            <w:tcW w:w="10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10/25/2019</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P + 6.00%</w:t>
            </w: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9.25%</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2,467</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2,525</w:t>
            </w:r>
          </w:p>
        </w:tc>
        <w:tc>
          <w:tcPr>
            <w:tcW w:w="2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0.2%</w:t>
            </w:r>
          </w:p>
        </w:tc>
      </w:tr>
      <w:tr>
        <w:trPr>
          <w:trHeight w:val="212"/>
        </w:trPr>
        <w:tc>
          <w:tcPr>
            <w:tcW w:w="2380" w:type="dxa"/>
            <w:vAlign w:val="bottom"/>
            <w:shd w:val="clear" w:color="auto" w:fill="CFF0FC"/>
          </w:tcPr>
          <w:p>
            <w:pPr>
              <w:spacing w:after="0"/>
              <w:rPr>
                <w:sz w:val="18"/>
                <w:szCs w:val="18"/>
                <w:color w:val="auto"/>
              </w:rPr>
            </w:pPr>
          </w:p>
        </w:tc>
        <w:tc>
          <w:tcPr>
            <w:tcW w:w="2840" w:type="dxa"/>
            <w:vAlign w:val="bottom"/>
            <w:shd w:val="clear" w:color="auto" w:fill="CFF0FC"/>
          </w:tcPr>
          <w:p>
            <w:pPr>
              <w:ind w:left="280"/>
              <w:spacing w:after="0"/>
              <w:rPr>
                <w:sz w:val="20"/>
                <w:szCs w:val="20"/>
                <w:color w:val="auto"/>
              </w:rPr>
            </w:pPr>
            <w:r>
              <w:rPr>
                <w:rFonts w:ascii="Arial" w:cs="Arial" w:eastAsia="Arial" w:hAnsi="Arial"/>
                <w:sz w:val="16"/>
                <w:szCs w:val="16"/>
                <w:color w:val="auto"/>
              </w:rPr>
              <w:t>due 10/2024)</w:t>
            </w:r>
          </w:p>
        </w:tc>
        <w:tc>
          <w:tcPr>
            <w:tcW w:w="10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380" w:type="dxa"/>
            <w:vAlign w:val="bottom"/>
          </w:tcPr>
          <w:p>
            <w:pPr>
              <w:spacing w:after="0" w:line="207" w:lineRule="exact"/>
              <w:rPr>
                <w:sz w:val="20"/>
                <w:szCs w:val="20"/>
                <w:color w:val="auto"/>
              </w:rPr>
            </w:pPr>
            <w:r>
              <w:rPr>
                <w:rFonts w:ascii="Arial" w:cs="Arial" w:eastAsia="Arial" w:hAnsi="Arial"/>
                <w:sz w:val="14"/>
                <w:szCs w:val="14"/>
                <w:color w:val="auto"/>
              </w:rPr>
              <w:t xml:space="preserve">G Treasury SS, LLC </w:t>
            </w:r>
            <w:r>
              <w:rPr>
                <w:rFonts w:ascii="Arial" w:cs="Arial" w:eastAsia="Arial" w:hAnsi="Arial"/>
                <w:sz w:val="23"/>
                <w:szCs w:val="23"/>
                <w:color w:val="auto"/>
                <w:vertAlign w:val="superscript"/>
              </w:rPr>
              <w:t>(3)(5)</w:t>
            </w:r>
          </w:p>
        </w:tc>
        <w:tc>
          <w:tcPr>
            <w:tcW w:w="2840" w:type="dxa"/>
            <w:vAlign w:val="bottom"/>
          </w:tcPr>
          <w:p>
            <w:pPr>
              <w:ind w:left="280"/>
              <w:spacing w:after="0"/>
              <w:rPr>
                <w:sz w:val="20"/>
                <w:szCs w:val="20"/>
                <w:color w:val="auto"/>
              </w:rPr>
            </w:pPr>
            <w:r>
              <w:rPr>
                <w:rFonts w:ascii="Arial" w:cs="Arial" w:eastAsia="Arial" w:hAnsi="Arial"/>
                <w:sz w:val="16"/>
                <w:szCs w:val="16"/>
                <w:color w:val="auto"/>
              </w:rPr>
              <w:t>First-lien loan ($47,493 par, due</w:t>
            </w: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4/9/2018</w:t>
            </w:r>
          </w:p>
        </w:tc>
        <w:tc>
          <w:tcPr>
            <w:tcW w:w="940" w:type="dxa"/>
            <w:vAlign w:val="bottom"/>
          </w:tcPr>
          <w:p>
            <w:pPr>
              <w:jc w:val="right"/>
              <w:spacing w:after="0"/>
              <w:rPr>
                <w:sz w:val="20"/>
                <w:szCs w:val="20"/>
                <w:color w:val="auto"/>
              </w:rPr>
            </w:pPr>
            <w:r>
              <w:rPr>
                <w:rFonts w:ascii="Arial" w:cs="Arial" w:eastAsia="Arial" w:hAnsi="Arial"/>
                <w:sz w:val="16"/>
                <w:szCs w:val="16"/>
                <w:color w:val="auto"/>
              </w:rPr>
              <w:t>L + 8.25%</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9.25%</w:t>
            </w:r>
          </w:p>
        </w:tc>
        <w:tc>
          <w:tcPr>
            <w:tcW w:w="800" w:type="dxa"/>
            <w:vAlign w:val="bottom"/>
          </w:tcPr>
          <w:p>
            <w:pPr>
              <w:jc w:val="right"/>
              <w:spacing w:after="0"/>
              <w:rPr>
                <w:sz w:val="20"/>
                <w:szCs w:val="20"/>
                <w:color w:val="auto"/>
              </w:rPr>
            </w:pPr>
            <w:r>
              <w:rPr>
                <w:rFonts w:ascii="Arial" w:cs="Arial" w:eastAsia="Arial" w:hAnsi="Arial"/>
                <w:sz w:val="16"/>
                <w:szCs w:val="16"/>
                <w:color w:val="auto"/>
              </w:rPr>
              <w:t>46,894</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48,442</w:t>
            </w:r>
          </w:p>
        </w:tc>
        <w:tc>
          <w:tcPr>
            <w:tcW w:w="2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4.0%</w:t>
            </w:r>
          </w:p>
        </w:tc>
      </w:tr>
      <w:tr>
        <w:trPr>
          <w:trHeight w:val="209"/>
        </w:trPr>
        <w:tc>
          <w:tcPr>
            <w:tcW w:w="2380" w:type="dxa"/>
            <w:vAlign w:val="bottom"/>
          </w:tcPr>
          <w:p>
            <w:pPr>
              <w:spacing w:after="0"/>
              <w:rPr>
                <w:sz w:val="18"/>
                <w:szCs w:val="18"/>
                <w:color w:val="auto"/>
              </w:rPr>
            </w:pPr>
          </w:p>
        </w:tc>
        <w:tc>
          <w:tcPr>
            <w:tcW w:w="2840" w:type="dxa"/>
            <w:vAlign w:val="bottom"/>
          </w:tcPr>
          <w:p>
            <w:pPr>
              <w:ind w:left="280"/>
              <w:spacing w:after="0"/>
              <w:rPr>
                <w:sz w:val="20"/>
                <w:szCs w:val="20"/>
                <w:color w:val="auto"/>
              </w:rPr>
            </w:pPr>
            <w:r>
              <w:rPr>
                <w:rFonts w:ascii="Arial" w:cs="Arial" w:eastAsia="Arial" w:hAnsi="Arial"/>
                <w:sz w:val="16"/>
                <w:szCs w:val="16"/>
                <w:color w:val="auto"/>
              </w:rPr>
              <w:t>4/2023)</w:t>
            </w: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38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GC Agile Holdings, Ltd. </w:t>
            </w:r>
            <w:r>
              <w:rPr>
                <w:rFonts w:ascii="Arial" w:cs="Arial" w:eastAsia="Arial" w:hAnsi="Arial"/>
                <w:sz w:val="24"/>
                <w:szCs w:val="24"/>
                <w:color w:val="auto"/>
                <w:vertAlign w:val="superscript"/>
              </w:rPr>
              <w:t>(3)(4)</w:t>
            </w:r>
          </w:p>
        </w:tc>
        <w:tc>
          <w:tcPr>
            <w:tcW w:w="2840" w:type="dxa"/>
            <w:vAlign w:val="bottom"/>
            <w:shd w:val="clear" w:color="auto" w:fill="CFF0FC"/>
          </w:tcPr>
          <w:p>
            <w:pPr>
              <w:ind w:left="280"/>
              <w:spacing w:after="0"/>
              <w:rPr>
                <w:sz w:val="20"/>
                <w:szCs w:val="20"/>
                <w:color w:val="auto"/>
              </w:rPr>
            </w:pPr>
            <w:r>
              <w:rPr>
                <w:rFonts w:ascii="Arial" w:cs="Arial" w:eastAsia="Arial" w:hAnsi="Arial"/>
                <w:sz w:val="16"/>
                <w:szCs w:val="16"/>
                <w:color w:val="auto"/>
              </w:rPr>
              <w:t>First-lien loan ($39,123 par, due</w:t>
            </w:r>
          </w:p>
        </w:tc>
        <w:tc>
          <w:tcPr>
            <w:tcW w:w="10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1/31/2019</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L + 7.00%</w:t>
            </w: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8.25%</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38,672</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39,514</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3.2%</w:t>
            </w:r>
          </w:p>
        </w:tc>
      </w:tr>
      <w:tr>
        <w:trPr>
          <w:trHeight w:val="212"/>
        </w:trPr>
        <w:tc>
          <w:tcPr>
            <w:tcW w:w="2380" w:type="dxa"/>
            <w:vAlign w:val="bottom"/>
            <w:shd w:val="clear" w:color="auto" w:fill="CFF0FC"/>
          </w:tcPr>
          <w:p>
            <w:pPr>
              <w:spacing w:after="0"/>
              <w:rPr>
                <w:sz w:val="18"/>
                <w:szCs w:val="18"/>
                <w:color w:val="auto"/>
              </w:rPr>
            </w:pPr>
          </w:p>
        </w:tc>
        <w:tc>
          <w:tcPr>
            <w:tcW w:w="2840" w:type="dxa"/>
            <w:vAlign w:val="bottom"/>
            <w:shd w:val="clear" w:color="auto" w:fill="CFF0FC"/>
          </w:tcPr>
          <w:p>
            <w:pPr>
              <w:ind w:left="280"/>
              <w:spacing w:after="0"/>
              <w:rPr>
                <w:sz w:val="20"/>
                <w:szCs w:val="20"/>
                <w:color w:val="auto"/>
              </w:rPr>
            </w:pPr>
            <w:r>
              <w:rPr>
                <w:rFonts w:ascii="Arial" w:cs="Arial" w:eastAsia="Arial" w:hAnsi="Arial"/>
                <w:sz w:val="16"/>
                <w:szCs w:val="16"/>
                <w:color w:val="auto"/>
              </w:rPr>
              <w:t>6/2025)</w:t>
            </w:r>
          </w:p>
        </w:tc>
        <w:tc>
          <w:tcPr>
            <w:tcW w:w="10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380" w:type="dxa"/>
            <w:vAlign w:val="bottom"/>
          </w:tcPr>
          <w:p>
            <w:pPr>
              <w:spacing w:after="0" w:line="207" w:lineRule="exact"/>
              <w:rPr>
                <w:sz w:val="20"/>
                <w:szCs w:val="20"/>
                <w:color w:val="auto"/>
              </w:rPr>
            </w:pPr>
            <w:r>
              <w:rPr>
                <w:rFonts w:ascii="Arial" w:cs="Arial" w:eastAsia="Arial" w:hAnsi="Arial"/>
                <w:sz w:val="14"/>
                <w:szCs w:val="14"/>
                <w:color w:val="auto"/>
              </w:rPr>
              <w:t xml:space="preserve">Ibis Intermediate Co. </w:t>
            </w:r>
            <w:r>
              <w:rPr>
                <w:rFonts w:ascii="Arial" w:cs="Arial" w:eastAsia="Arial" w:hAnsi="Arial"/>
                <w:sz w:val="23"/>
                <w:szCs w:val="23"/>
                <w:color w:val="auto"/>
                <w:vertAlign w:val="superscript"/>
              </w:rPr>
              <w:t>(3)(5)</w:t>
            </w:r>
          </w:p>
        </w:tc>
        <w:tc>
          <w:tcPr>
            <w:tcW w:w="2840" w:type="dxa"/>
            <w:vAlign w:val="bottom"/>
          </w:tcPr>
          <w:p>
            <w:pPr>
              <w:ind w:left="280"/>
              <w:spacing w:after="0"/>
              <w:rPr>
                <w:sz w:val="20"/>
                <w:szCs w:val="20"/>
                <w:color w:val="auto"/>
              </w:rPr>
            </w:pPr>
            <w:r>
              <w:rPr>
                <w:rFonts w:ascii="Arial" w:cs="Arial" w:eastAsia="Arial" w:hAnsi="Arial"/>
                <w:sz w:val="16"/>
                <w:szCs w:val="16"/>
                <w:color w:val="auto"/>
              </w:rPr>
              <w:t>First-lien loan ($1,549 par, due</w:t>
            </w: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5/28/2021</w:t>
            </w:r>
          </w:p>
        </w:tc>
        <w:tc>
          <w:tcPr>
            <w:tcW w:w="940" w:type="dxa"/>
            <w:vAlign w:val="bottom"/>
          </w:tcPr>
          <w:p>
            <w:pPr>
              <w:jc w:val="right"/>
              <w:spacing w:after="0"/>
              <w:rPr>
                <w:sz w:val="20"/>
                <w:szCs w:val="20"/>
                <w:color w:val="auto"/>
              </w:rPr>
            </w:pPr>
            <w:r>
              <w:rPr>
                <w:rFonts w:ascii="Arial" w:cs="Arial" w:eastAsia="Arial" w:hAnsi="Arial"/>
                <w:sz w:val="16"/>
                <w:szCs w:val="16"/>
                <w:color w:val="auto"/>
              </w:rPr>
              <w:t>L + 5.00%</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5.50%</w:t>
            </w:r>
          </w:p>
        </w:tc>
        <w:tc>
          <w:tcPr>
            <w:tcW w:w="800" w:type="dxa"/>
            <w:vAlign w:val="bottom"/>
          </w:tcPr>
          <w:p>
            <w:pPr>
              <w:jc w:val="right"/>
              <w:spacing w:after="0"/>
              <w:rPr>
                <w:sz w:val="20"/>
                <w:szCs w:val="20"/>
                <w:color w:val="auto"/>
              </w:rPr>
            </w:pPr>
            <w:r>
              <w:rPr>
                <w:rFonts w:ascii="Arial" w:cs="Arial" w:eastAsia="Arial" w:hAnsi="Arial"/>
                <w:sz w:val="16"/>
                <w:szCs w:val="16"/>
                <w:color w:val="auto"/>
              </w:rPr>
              <w:t>1,403</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1,352</w:t>
            </w:r>
          </w:p>
        </w:tc>
        <w:tc>
          <w:tcPr>
            <w:tcW w:w="2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0.1%</w:t>
            </w:r>
          </w:p>
        </w:tc>
      </w:tr>
      <w:tr>
        <w:trPr>
          <w:trHeight w:val="209"/>
        </w:trPr>
        <w:tc>
          <w:tcPr>
            <w:tcW w:w="2380" w:type="dxa"/>
            <w:vAlign w:val="bottom"/>
          </w:tcPr>
          <w:p>
            <w:pPr>
              <w:spacing w:after="0"/>
              <w:rPr>
                <w:sz w:val="18"/>
                <w:szCs w:val="18"/>
                <w:color w:val="auto"/>
              </w:rPr>
            </w:pPr>
          </w:p>
        </w:tc>
        <w:tc>
          <w:tcPr>
            <w:tcW w:w="2840" w:type="dxa"/>
            <w:vAlign w:val="bottom"/>
          </w:tcPr>
          <w:p>
            <w:pPr>
              <w:ind w:left="280"/>
              <w:spacing w:after="0"/>
              <w:rPr>
                <w:sz w:val="20"/>
                <w:szCs w:val="20"/>
                <w:color w:val="auto"/>
              </w:rPr>
            </w:pPr>
            <w:r>
              <w:rPr>
                <w:rFonts w:ascii="Arial" w:cs="Arial" w:eastAsia="Arial" w:hAnsi="Arial"/>
                <w:sz w:val="16"/>
                <w:szCs w:val="16"/>
                <w:color w:val="auto"/>
              </w:rPr>
              <w:t>5/2027)</w:t>
            </w: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38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Ibis US Blocker Co. </w:t>
            </w:r>
            <w:r>
              <w:rPr>
                <w:rFonts w:ascii="Arial" w:cs="Arial" w:eastAsia="Arial" w:hAnsi="Arial"/>
                <w:sz w:val="24"/>
                <w:szCs w:val="24"/>
                <w:color w:val="auto"/>
                <w:vertAlign w:val="superscript"/>
              </w:rPr>
              <w:t>(3)</w:t>
            </w:r>
          </w:p>
        </w:tc>
        <w:tc>
          <w:tcPr>
            <w:tcW w:w="2840" w:type="dxa"/>
            <w:vAlign w:val="bottom"/>
            <w:shd w:val="clear" w:color="auto" w:fill="CFF0FC"/>
          </w:tcPr>
          <w:p>
            <w:pPr>
              <w:ind w:left="280"/>
              <w:spacing w:after="0"/>
              <w:rPr>
                <w:sz w:val="20"/>
                <w:szCs w:val="20"/>
                <w:color w:val="auto"/>
              </w:rPr>
            </w:pPr>
            <w:r>
              <w:rPr>
                <w:rFonts w:ascii="Arial" w:cs="Arial" w:eastAsia="Arial" w:hAnsi="Arial"/>
                <w:sz w:val="16"/>
                <w:szCs w:val="16"/>
                <w:color w:val="auto"/>
              </w:rPr>
              <w:t>First-lien loan ($12,113 par, due</w:t>
            </w:r>
          </w:p>
        </w:tc>
        <w:tc>
          <w:tcPr>
            <w:tcW w:w="10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5/28/2021</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L + 8.25%</w:t>
            </w:r>
          </w:p>
        </w:tc>
        <w:tc>
          <w:tcPr>
            <w:tcW w:w="10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8.75% PIK</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11,813</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11,810</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1.0%</w:t>
            </w:r>
          </w:p>
        </w:tc>
      </w:tr>
      <w:tr>
        <w:trPr>
          <w:trHeight w:val="212"/>
        </w:trPr>
        <w:tc>
          <w:tcPr>
            <w:tcW w:w="2380" w:type="dxa"/>
            <w:vAlign w:val="bottom"/>
            <w:shd w:val="clear" w:color="auto" w:fill="CFF0FC"/>
          </w:tcPr>
          <w:p>
            <w:pPr>
              <w:spacing w:after="0"/>
              <w:rPr>
                <w:sz w:val="18"/>
                <w:szCs w:val="18"/>
                <w:color w:val="auto"/>
              </w:rPr>
            </w:pPr>
          </w:p>
        </w:tc>
        <w:tc>
          <w:tcPr>
            <w:tcW w:w="2840" w:type="dxa"/>
            <w:vAlign w:val="bottom"/>
            <w:shd w:val="clear" w:color="auto" w:fill="CFF0FC"/>
          </w:tcPr>
          <w:p>
            <w:pPr>
              <w:ind w:left="280"/>
              <w:spacing w:after="0"/>
              <w:rPr>
                <w:sz w:val="20"/>
                <w:szCs w:val="20"/>
                <w:color w:val="auto"/>
              </w:rPr>
            </w:pPr>
            <w:r>
              <w:rPr>
                <w:rFonts w:ascii="Arial" w:cs="Arial" w:eastAsia="Arial" w:hAnsi="Arial"/>
                <w:sz w:val="16"/>
                <w:szCs w:val="16"/>
                <w:color w:val="auto"/>
              </w:rPr>
              <w:t>5/2028)</w:t>
            </w:r>
          </w:p>
        </w:tc>
        <w:tc>
          <w:tcPr>
            <w:tcW w:w="10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380" w:type="dxa"/>
            <w:vAlign w:val="bottom"/>
          </w:tcPr>
          <w:p>
            <w:pPr>
              <w:spacing w:after="0" w:line="207" w:lineRule="exact"/>
              <w:rPr>
                <w:sz w:val="20"/>
                <w:szCs w:val="20"/>
                <w:color w:val="auto"/>
              </w:rPr>
            </w:pPr>
            <w:r>
              <w:rPr>
                <w:rFonts w:ascii="Arial" w:cs="Arial" w:eastAsia="Arial" w:hAnsi="Arial"/>
                <w:sz w:val="14"/>
                <w:szCs w:val="14"/>
                <w:color w:val="auto"/>
              </w:rPr>
              <w:t xml:space="preserve">InvMetrics Holdings, Inc. </w:t>
            </w:r>
            <w:r>
              <w:rPr>
                <w:rFonts w:ascii="Arial" w:cs="Arial" w:eastAsia="Arial" w:hAnsi="Arial"/>
                <w:sz w:val="23"/>
                <w:szCs w:val="23"/>
                <w:color w:val="auto"/>
                <w:vertAlign w:val="superscript"/>
              </w:rPr>
              <w:t>(3)(5)</w:t>
            </w:r>
          </w:p>
        </w:tc>
        <w:tc>
          <w:tcPr>
            <w:tcW w:w="2840" w:type="dxa"/>
            <w:vAlign w:val="bottom"/>
          </w:tcPr>
          <w:p>
            <w:pPr>
              <w:ind w:left="280"/>
              <w:spacing w:after="0"/>
              <w:rPr>
                <w:sz w:val="20"/>
                <w:szCs w:val="20"/>
                <w:color w:val="auto"/>
              </w:rPr>
            </w:pPr>
            <w:r>
              <w:rPr>
                <w:rFonts w:ascii="Arial" w:cs="Arial" w:eastAsia="Arial" w:hAnsi="Arial"/>
                <w:sz w:val="16"/>
                <w:szCs w:val="16"/>
                <w:color w:val="auto"/>
              </w:rPr>
              <w:t>First-lien loan ($52,934 par, due</w:t>
            </w: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12/30/2020</w:t>
            </w:r>
          </w:p>
        </w:tc>
        <w:tc>
          <w:tcPr>
            <w:tcW w:w="940" w:type="dxa"/>
            <w:vAlign w:val="bottom"/>
          </w:tcPr>
          <w:p>
            <w:pPr>
              <w:jc w:val="right"/>
              <w:spacing w:after="0"/>
              <w:rPr>
                <w:sz w:val="20"/>
                <w:szCs w:val="20"/>
                <w:color w:val="auto"/>
              </w:rPr>
            </w:pPr>
            <w:r>
              <w:rPr>
                <w:rFonts w:ascii="Arial" w:cs="Arial" w:eastAsia="Arial" w:hAnsi="Arial"/>
                <w:sz w:val="16"/>
                <w:szCs w:val="16"/>
                <w:color w:val="auto"/>
              </w:rPr>
              <w:t>L + 6.25%</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7.25%</w:t>
            </w:r>
          </w:p>
        </w:tc>
        <w:tc>
          <w:tcPr>
            <w:tcW w:w="800" w:type="dxa"/>
            <w:vAlign w:val="bottom"/>
          </w:tcPr>
          <w:p>
            <w:pPr>
              <w:jc w:val="right"/>
              <w:spacing w:after="0"/>
              <w:rPr>
                <w:sz w:val="20"/>
                <w:szCs w:val="20"/>
                <w:color w:val="auto"/>
              </w:rPr>
            </w:pPr>
            <w:r>
              <w:rPr>
                <w:rFonts w:ascii="Arial" w:cs="Arial" w:eastAsia="Arial" w:hAnsi="Arial"/>
                <w:sz w:val="16"/>
                <w:szCs w:val="16"/>
                <w:color w:val="auto"/>
              </w:rPr>
              <w:t>51,679</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52,386</w:t>
            </w:r>
          </w:p>
        </w:tc>
        <w:tc>
          <w:tcPr>
            <w:tcW w:w="2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4.3%</w:t>
            </w:r>
          </w:p>
        </w:tc>
      </w:tr>
      <w:tr>
        <w:trPr>
          <w:trHeight w:val="209"/>
        </w:trPr>
        <w:tc>
          <w:tcPr>
            <w:tcW w:w="2380" w:type="dxa"/>
            <w:vAlign w:val="bottom"/>
          </w:tcPr>
          <w:p>
            <w:pPr>
              <w:spacing w:after="0"/>
              <w:rPr>
                <w:sz w:val="18"/>
                <w:szCs w:val="18"/>
                <w:color w:val="auto"/>
              </w:rPr>
            </w:pPr>
          </w:p>
        </w:tc>
        <w:tc>
          <w:tcPr>
            <w:tcW w:w="2840" w:type="dxa"/>
            <w:vAlign w:val="bottom"/>
          </w:tcPr>
          <w:p>
            <w:pPr>
              <w:ind w:left="280"/>
              <w:spacing w:after="0"/>
              <w:rPr>
                <w:sz w:val="20"/>
                <w:szCs w:val="20"/>
                <w:color w:val="auto"/>
              </w:rPr>
            </w:pPr>
            <w:r>
              <w:rPr>
                <w:rFonts w:ascii="Arial" w:cs="Arial" w:eastAsia="Arial" w:hAnsi="Arial"/>
                <w:sz w:val="16"/>
                <w:szCs w:val="16"/>
                <w:color w:val="auto"/>
              </w:rPr>
              <w:t>12/2025)</w:t>
            </w: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6"/>
        </w:trPr>
        <w:tc>
          <w:tcPr>
            <w:tcW w:w="2380" w:type="dxa"/>
            <w:vAlign w:val="bottom"/>
            <w:shd w:val="clear" w:color="auto" w:fill="CFF0FC"/>
          </w:tcPr>
          <w:p>
            <w:pPr>
              <w:spacing w:after="0"/>
              <w:rPr>
                <w:sz w:val="20"/>
                <w:szCs w:val="20"/>
                <w:color w:val="auto"/>
              </w:rPr>
            </w:pPr>
            <w:r>
              <w:rPr>
                <w:rFonts w:ascii="Arial" w:cs="Arial" w:eastAsia="Arial" w:hAnsi="Arial"/>
                <w:sz w:val="16"/>
                <w:szCs w:val="16"/>
                <w:color w:val="auto"/>
              </w:rPr>
              <w:t>Jonas Collections and</w:t>
            </w:r>
          </w:p>
        </w:tc>
        <w:tc>
          <w:tcPr>
            <w:tcW w:w="2840" w:type="dxa"/>
            <w:vAlign w:val="bottom"/>
            <w:shd w:val="clear" w:color="auto" w:fill="CFF0FC"/>
          </w:tcPr>
          <w:p>
            <w:pPr>
              <w:ind w:left="280"/>
              <w:spacing w:after="0"/>
              <w:rPr>
                <w:sz w:val="20"/>
                <w:szCs w:val="20"/>
                <w:color w:val="auto"/>
              </w:rPr>
            </w:pPr>
            <w:r>
              <w:rPr>
                <w:rFonts w:ascii="Arial" w:cs="Arial" w:eastAsia="Arial" w:hAnsi="Arial"/>
                <w:sz w:val="16"/>
                <w:szCs w:val="16"/>
                <w:color w:val="auto"/>
              </w:rPr>
              <w:t>First-lien loan ($27,500 par, due</w:t>
            </w:r>
          </w:p>
        </w:tc>
        <w:tc>
          <w:tcPr>
            <w:tcW w:w="10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6/21/2021</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L + 5.75%</w:t>
            </w: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6.75%</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26,928</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26,950</w:t>
            </w:r>
          </w:p>
        </w:tc>
        <w:tc>
          <w:tcPr>
            <w:tcW w:w="2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2.2%</w:t>
            </w:r>
          </w:p>
        </w:tc>
      </w:tr>
      <w:tr>
        <w:trPr>
          <w:trHeight w:val="216"/>
        </w:trPr>
        <w:tc>
          <w:tcPr>
            <w:tcW w:w="2380" w:type="dxa"/>
            <w:vAlign w:val="bottom"/>
            <w:shd w:val="clear" w:color="auto" w:fill="CFF0FC"/>
          </w:tcPr>
          <w:p>
            <w:pPr>
              <w:ind w:left="120"/>
              <w:spacing w:after="0" w:line="216" w:lineRule="exact"/>
              <w:rPr>
                <w:sz w:val="20"/>
                <w:szCs w:val="20"/>
                <w:color w:val="auto"/>
              </w:rPr>
            </w:pPr>
            <w:r>
              <w:rPr>
                <w:rFonts w:ascii="Arial" w:cs="Arial" w:eastAsia="Arial" w:hAnsi="Arial"/>
                <w:sz w:val="15"/>
                <w:szCs w:val="15"/>
                <w:color w:val="auto"/>
              </w:rPr>
              <w:t xml:space="preserve">Recovery, Inc. </w:t>
            </w:r>
            <w:r>
              <w:rPr>
                <w:rFonts w:ascii="Arial" w:cs="Arial" w:eastAsia="Arial" w:hAnsi="Arial"/>
                <w:sz w:val="25"/>
                <w:szCs w:val="25"/>
                <w:color w:val="auto"/>
                <w:vertAlign w:val="superscript"/>
              </w:rPr>
              <w:t>(3)(5)</w:t>
            </w:r>
          </w:p>
        </w:tc>
        <w:tc>
          <w:tcPr>
            <w:tcW w:w="2840" w:type="dxa"/>
            <w:vAlign w:val="bottom"/>
            <w:shd w:val="clear" w:color="auto" w:fill="CFF0FC"/>
          </w:tcPr>
          <w:p>
            <w:pPr>
              <w:ind w:left="280"/>
              <w:spacing w:after="0"/>
              <w:rPr>
                <w:sz w:val="20"/>
                <w:szCs w:val="20"/>
                <w:color w:val="auto"/>
              </w:rPr>
            </w:pPr>
            <w:r>
              <w:rPr>
                <w:rFonts w:ascii="Arial" w:cs="Arial" w:eastAsia="Arial" w:hAnsi="Arial"/>
                <w:sz w:val="16"/>
                <w:szCs w:val="16"/>
                <w:color w:val="auto"/>
              </w:rPr>
              <w:t>6/2026)</w:t>
            </w:r>
          </w:p>
        </w:tc>
        <w:tc>
          <w:tcPr>
            <w:tcW w:w="10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380" w:type="dxa"/>
            <w:vAlign w:val="bottom"/>
          </w:tcPr>
          <w:p>
            <w:pPr>
              <w:spacing w:after="0" w:line="207" w:lineRule="exact"/>
              <w:rPr>
                <w:sz w:val="20"/>
                <w:szCs w:val="20"/>
                <w:color w:val="auto"/>
              </w:rPr>
            </w:pPr>
            <w:r>
              <w:rPr>
                <w:rFonts w:ascii="Arial" w:cs="Arial" w:eastAsia="Arial" w:hAnsi="Arial"/>
                <w:sz w:val="14"/>
                <w:szCs w:val="14"/>
                <w:color w:val="auto"/>
              </w:rPr>
              <w:t>Kyriba Corp.</w:t>
            </w:r>
            <w:r>
              <w:rPr>
                <w:rFonts w:ascii="Arial" w:cs="Arial" w:eastAsia="Arial" w:hAnsi="Arial"/>
                <w:sz w:val="23"/>
                <w:szCs w:val="23"/>
                <w:color w:val="auto"/>
                <w:vertAlign w:val="superscript"/>
              </w:rPr>
              <w:t>(3)</w:t>
            </w:r>
          </w:p>
        </w:tc>
        <w:tc>
          <w:tcPr>
            <w:tcW w:w="2840" w:type="dxa"/>
            <w:vAlign w:val="bottom"/>
          </w:tcPr>
          <w:p>
            <w:pPr>
              <w:ind w:left="280"/>
              <w:spacing w:after="0"/>
              <w:rPr>
                <w:sz w:val="20"/>
                <w:szCs w:val="20"/>
                <w:color w:val="auto"/>
              </w:rPr>
            </w:pPr>
            <w:r>
              <w:rPr>
                <w:rFonts w:ascii="Arial" w:cs="Arial" w:eastAsia="Arial" w:hAnsi="Arial"/>
                <w:sz w:val="16"/>
                <w:szCs w:val="16"/>
                <w:color w:val="auto"/>
              </w:rPr>
              <w:t>First-lien loan ($14,558 par, due</w:t>
            </w: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4/9/2019</w:t>
            </w:r>
          </w:p>
        </w:tc>
        <w:tc>
          <w:tcPr>
            <w:tcW w:w="940" w:type="dxa"/>
            <w:vAlign w:val="bottom"/>
          </w:tcPr>
          <w:p>
            <w:pPr>
              <w:jc w:val="right"/>
              <w:spacing w:after="0"/>
              <w:rPr>
                <w:sz w:val="20"/>
                <w:szCs w:val="20"/>
                <w:color w:val="auto"/>
              </w:rPr>
            </w:pPr>
            <w:r>
              <w:rPr>
                <w:rFonts w:ascii="Arial" w:cs="Arial" w:eastAsia="Arial" w:hAnsi="Arial"/>
                <w:sz w:val="16"/>
                <w:szCs w:val="16"/>
                <w:color w:val="auto"/>
              </w:rPr>
              <w:t>L + 9.00%</w:t>
            </w:r>
          </w:p>
        </w:tc>
        <w:tc>
          <w:tcPr>
            <w:tcW w:w="1080" w:type="dxa"/>
            <w:vAlign w:val="bottom"/>
          </w:tcPr>
          <w:p>
            <w:pPr>
              <w:jc w:val="right"/>
              <w:ind w:right="179"/>
              <w:spacing w:after="0"/>
              <w:rPr>
                <w:sz w:val="20"/>
                <w:szCs w:val="20"/>
                <w:color w:val="auto"/>
              </w:rPr>
            </w:pPr>
            <w:r>
              <w:rPr>
                <w:rFonts w:ascii="Arial" w:cs="Arial" w:eastAsia="Arial" w:hAnsi="Arial"/>
                <w:sz w:val="16"/>
                <w:szCs w:val="16"/>
                <w:color w:val="auto"/>
              </w:rPr>
              <w:t>10.50%</w:t>
            </w:r>
          </w:p>
        </w:tc>
        <w:tc>
          <w:tcPr>
            <w:tcW w:w="800" w:type="dxa"/>
            <w:vAlign w:val="bottom"/>
          </w:tcPr>
          <w:p>
            <w:pPr>
              <w:jc w:val="right"/>
              <w:spacing w:after="0"/>
              <w:rPr>
                <w:sz w:val="20"/>
                <w:szCs w:val="20"/>
                <w:color w:val="auto"/>
              </w:rPr>
            </w:pPr>
            <w:r>
              <w:rPr>
                <w:rFonts w:ascii="Arial" w:cs="Arial" w:eastAsia="Arial" w:hAnsi="Arial"/>
                <w:sz w:val="16"/>
                <w:szCs w:val="16"/>
                <w:color w:val="auto"/>
              </w:rPr>
              <w:t>14,307</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15,042</w:t>
            </w:r>
          </w:p>
        </w:tc>
        <w:tc>
          <w:tcPr>
            <w:tcW w:w="2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1.2%</w:t>
            </w:r>
          </w:p>
        </w:tc>
      </w:tr>
      <w:tr>
        <w:trPr>
          <w:trHeight w:val="203"/>
        </w:trPr>
        <w:tc>
          <w:tcPr>
            <w:tcW w:w="2380" w:type="dxa"/>
            <w:vAlign w:val="bottom"/>
          </w:tcPr>
          <w:p>
            <w:pPr>
              <w:spacing w:after="0"/>
              <w:rPr>
                <w:sz w:val="17"/>
                <w:szCs w:val="17"/>
                <w:color w:val="auto"/>
              </w:rPr>
            </w:pPr>
          </w:p>
        </w:tc>
        <w:tc>
          <w:tcPr>
            <w:tcW w:w="2840" w:type="dxa"/>
            <w:vAlign w:val="bottom"/>
          </w:tcPr>
          <w:p>
            <w:pPr>
              <w:ind w:left="280"/>
              <w:spacing w:after="0"/>
              <w:rPr>
                <w:sz w:val="20"/>
                <w:szCs w:val="20"/>
                <w:color w:val="auto"/>
              </w:rPr>
            </w:pPr>
            <w:r>
              <w:rPr>
                <w:rFonts w:ascii="Arial" w:cs="Arial" w:eastAsia="Arial" w:hAnsi="Arial"/>
                <w:sz w:val="16"/>
                <w:szCs w:val="16"/>
                <w:color w:val="auto"/>
              </w:rPr>
              <w:t>4/2025)</w:t>
            </w: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jc w:val="right"/>
              <w:ind w:right="179"/>
              <w:spacing w:after="0"/>
              <w:rPr>
                <w:sz w:val="20"/>
                <w:szCs w:val="20"/>
                <w:color w:val="auto"/>
              </w:rPr>
            </w:pPr>
            <w:r>
              <w:rPr>
                <w:rFonts w:ascii="Arial" w:cs="Arial" w:eastAsia="Arial" w:hAnsi="Arial"/>
                <w:sz w:val="16"/>
                <w:szCs w:val="16"/>
                <w:color w:val="auto"/>
              </w:rPr>
              <w:t>(incl.</w:t>
            </w: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23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jc w:val="right"/>
              <w:ind w:right="179"/>
              <w:spacing w:after="0"/>
              <w:rPr>
                <w:sz w:val="20"/>
                <w:szCs w:val="20"/>
                <w:color w:val="auto"/>
              </w:rPr>
            </w:pPr>
            <w:r>
              <w:rPr>
                <w:rFonts w:ascii="Arial" w:cs="Arial" w:eastAsia="Arial" w:hAnsi="Arial"/>
                <w:sz w:val="16"/>
                <w:szCs w:val="16"/>
                <w:color w:val="auto"/>
              </w:rPr>
              <w:t>9.00%</w:t>
            </w: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9"/>
        </w:trPr>
        <w:tc>
          <w:tcPr>
            <w:tcW w:w="23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jc w:val="right"/>
              <w:ind w:right="179"/>
              <w:spacing w:after="0"/>
              <w:rPr>
                <w:sz w:val="20"/>
                <w:szCs w:val="20"/>
                <w:color w:val="auto"/>
              </w:rPr>
            </w:pPr>
            <w:r>
              <w:rPr>
                <w:rFonts w:ascii="Arial" w:cs="Arial" w:eastAsia="Arial" w:hAnsi="Arial"/>
                <w:sz w:val="16"/>
                <w:szCs w:val="16"/>
                <w:color w:val="auto"/>
              </w:rPr>
              <w:t>PIK)</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380" w:type="dxa"/>
            <w:vAlign w:val="bottom"/>
            <w:shd w:val="clear" w:color="auto" w:fill="CFF0FC"/>
          </w:tcPr>
          <w:p>
            <w:pPr>
              <w:spacing w:after="0"/>
              <w:rPr>
                <w:sz w:val="18"/>
                <w:szCs w:val="18"/>
                <w:color w:val="auto"/>
              </w:rPr>
            </w:pPr>
          </w:p>
        </w:tc>
        <w:tc>
          <w:tcPr>
            <w:tcW w:w="2840" w:type="dxa"/>
            <w:vAlign w:val="bottom"/>
            <w:shd w:val="clear" w:color="auto" w:fill="CFF0FC"/>
          </w:tcPr>
          <w:p>
            <w:pPr>
              <w:ind w:left="280"/>
              <w:spacing w:after="0"/>
              <w:rPr>
                <w:sz w:val="20"/>
                <w:szCs w:val="20"/>
                <w:color w:val="auto"/>
              </w:rPr>
            </w:pPr>
            <w:r>
              <w:rPr>
                <w:rFonts w:ascii="Arial" w:cs="Arial" w:eastAsia="Arial" w:hAnsi="Arial"/>
                <w:sz w:val="16"/>
                <w:szCs w:val="16"/>
                <w:color w:val="auto"/>
              </w:rPr>
              <w:t>First-lien loan (EUR 8,667 par, due</w:t>
            </w:r>
          </w:p>
        </w:tc>
        <w:tc>
          <w:tcPr>
            <w:tcW w:w="10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4/9/2019</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E + 9.00%</w:t>
            </w:r>
          </w:p>
        </w:tc>
        <w:tc>
          <w:tcPr>
            <w:tcW w:w="10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9.00% PIK</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9,587</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10,561</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0.9%</w:t>
            </w:r>
          </w:p>
        </w:tc>
      </w:tr>
      <w:tr>
        <w:trPr>
          <w:trHeight w:val="203"/>
        </w:trPr>
        <w:tc>
          <w:tcPr>
            <w:tcW w:w="2380" w:type="dxa"/>
            <w:vAlign w:val="bottom"/>
            <w:shd w:val="clear" w:color="auto" w:fill="CFF0FC"/>
          </w:tcPr>
          <w:p>
            <w:pPr>
              <w:spacing w:after="0"/>
              <w:rPr>
                <w:sz w:val="17"/>
                <w:szCs w:val="17"/>
                <w:color w:val="auto"/>
              </w:rPr>
            </w:pPr>
          </w:p>
        </w:tc>
        <w:tc>
          <w:tcPr>
            <w:tcW w:w="2840" w:type="dxa"/>
            <w:vAlign w:val="bottom"/>
            <w:shd w:val="clear" w:color="auto" w:fill="CFF0FC"/>
          </w:tcPr>
          <w:p>
            <w:pPr>
              <w:ind w:left="280"/>
              <w:spacing w:after="0"/>
              <w:rPr>
                <w:sz w:val="20"/>
                <w:szCs w:val="20"/>
                <w:color w:val="auto"/>
              </w:rPr>
            </w:pPr>
            <w:r>
              <w:rPr>
                <w:rFonts w:ascii="Arial" w:cs="Arial" w:eastAsia="Arial" w:hAnsi="Arial"/>
                <w:sz w:val="16"/>
                <w:szCs w:val="16"/>
                <w:color w:val="auto"/>
              </w:rPr>
              <w:t>4/2025)</w:t>
            </w:r>
          </w:p>
        </w:tc>
        <w:tc>
          <w:tcPr>
            <w:tcW w:w="10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(EUR</w:t>
            </w:r>
          </w:p>
        </w:tc>
        <w:tc>
          <w:tcPr>
            <w:tcW w:w="7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12"/>
        </w:trPr>
        <w:tc>
          <w:tcPr>
            <w:tcW w:w="2380" w:type="dxa"/>
            <w:vAlign w:val="bottom"/>
            <w:shd w:val="clear" w:color="auto" w:fill="CFF0FC"/>
          </w:tcPr>
          <w:p>
            <w:pPr>
              <w:spacing w:after="0"/>
              <w:rPr>
                <w:sz w:val="18"/>
                <w:szCs w:val="18"/>
                <w:color w:val="auto"/>
              </w:rPr>
            </w:pPr>
          </w:p>
        </w:tc>
        <w:tc>
          <w:tcPr>
            <w:tcW w:w="28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8,906)</w:t>
            </w: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380" w:type="dxa"/>
            <w:vAlign w:val="bottom"/>
          </w:tcPr>
          <w:p>
            <w:pPr>
              <w:spacing w:after="0"/>
              <w:rPr>
                <w:sz w:val="17"/>
                <w:szCs w:val="17"/>
                <w:color w:val="auto"/>
              </w:rPr>
            </w:pPr>
          </w:p>
        </w:tc>
        <w:tc>
          <w:tcPr>
            <w:tcW w:w="2840" w:type="dxa"/>
            <w:vAlign w:val="bottom"/>
          </w:tcPr>
          <w:p>
            <w:pPr>
              <w:ind w:left="280"/>
              <w:spacing w:after="0"/>
              <w:rPr>
                <w:sz w:val="20"/>
                <w:szCs w:val="20"/>
                <w:color w:val="auto"/>
              </w:rPr>
            </w:pPr>
            <w:r>
              <w:rPr>
                <w:rFonts w:ascii="Arial" w:cs="Arial" w:eastAsia="Arial" w:hAnsi="Arial"/>
                <w:sz w:val="16"/>
                <w:szCs w:val="16"/>
                <w:color w:val="auto"/>
                <w:w w:val="99"/>
              </w:rPr>
              <w:t>First-lien revolving loan ($1,411 par,</w:t>
            </w: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4/9/2019</w:t>
            </w:r>
          </w:p>
        </w:tc>
        <w:tc>
          <w:tcPr>
            <w:tcW w:w="940" w:type="dxa"/>
            <w:vAlign w:val="bottom"/>
          </w:tcPr>
          <w:p>
            <w:pPr>
              <w:jc w:val="right"/>
              <w:spacing w:after="0"/>
              <w:rPr>
                <w:sz w:val="20"/>
                <w:szCs w:val="20"/>
                <w:color w:val="auto"/>
              </w:rPr>
            </w:pPr>
            <w:r>
              <w:rPr>
                <w:rFonts w:ascii="Arial" w:cs="Arial" w:eastAsia="Arial" w:hAnsi="Arial"/>
                <w:sz w:val="16"/>
                <w:szCs w:val="16"/>
                <w:color w:val="auto"/>
              </w:rPr>
              <w:t>L + 7.25%</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8.75%</w:t>
            </w:r>
          </w:p>
        </w:tc>
        <w:tc>
          <w:tcPr>
            <w:tcW w:w="800" w:type="dxa"/>
            <w:vAlign w:val="bottom"/>
          </w:tcPr>
          <w:p>
            <w:pPr>
              <w:jc w:val="right"/>
              <w:spacing w:after="0"/>
              <w:rPr>
                <w:sz w:val="20"/>
                <w:szCs w:val="20"/>
                <w:color w:val="auto"/>
              </w:rPr>
            </w:pPr>
            <w:r>
              <w:rPr>
                <w:rFonts w:ascii="Arial" w:cs="Arial" w:eastAsia="Arial" w:hAnsi="Arial"/>
                <w:sz w:val="16"/>
                <w:szCs w:val="16"/>
                <w:color w:val="auto"/>
              </w:rPr>
              <w:t>1,383</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1,450</w:t>
            </w:r>
          </w:p>
        </w:tc>
        <w:tc>
          <w:tcPr>
            <w:tcW w:w="2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0.1%</w:t>
            </w:r>
          </w:p>
        </w:tc>
      </w:tr>
      <w:tr>
        <w:trPr>
          <w:trHeight w:val="209"/>
        </w:trPr>
        <w:tc>
          <w:tcPr>
            <w:tcW w:w="2380" w:type="dxa"/>
            <w:vAlign w:val="bottom"/>
          </w:tcPr>
          <w:p>
            <w:pPr>
              <w:spacing w:after="0"/>
              <w:rPr>
                <w:sz w:val="18"/>
                <w:szCs w:val="18"/>
                <w:color w:val="auto"/>
              </w:rPr>
            </w:pPr>
          </w:p>
        </w:tc>
        <w:tc>
          <w:tcPr>
            <w:tcW w:w="2840" w:type="dxa"/>
            <w:vAlign w:val="bottom"/>
          </w:tcPr>
          <w:p>
            <w:pPr>
              <w:ind w:left="280"/>
              <w:spacing w:after="0"/>
              <w:rPr>
                <w:sz w:val="20"/>
                <w:szCs w:val="20"/>
                <w:color w:val="auto"/>
              </w:rPr>
            </w:pPr>
            <w:r>
              <w:rPr>
                <w:rFonts w:ascii="Arial" w:cs="Arial" w:eastAsia="Arial" w:hAnsi="Arial"/>
                <w:sz w:val="16"/>
                <w:szCs w:val="16"/>
                <w:color w:val="auto"/>
              </w:rPr>
              <w:t>due 4/2025)</w:t>
            </w: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380" w:type="dxa"/>
            <w:vAlign w:val="bottom"/>
            <w:shd w:val="clear" w:color="auto" w:fill="CFF0FC"/>
          </w:tcPr>
          <w:p>
            <w:pPr>
              <w:spacing w:after="0"/>
              <w:rPr>
                <w:sz w:val="18"/>
                <w:szCs w:val="18"/>
                <w:color w:val="auto"/>
              </w:rPr>
            </w:pPr>
          </w:p>
        </w:tc>
        <w:tc>
          <w:tcPr>
            <w:tcW w:w="2840" w:type="dxa"/>
            <w:vAlign w:val="bottom"/>
            <w:shd w:val="clear" w:color="auto" w:fill="CFF0FC"/>
          </w:tcPr>
          <w:p>
            <w:pPr>
              <w:ind w:left="280"/>
              <w:spacing w:after="0"/>
              <w:rPr>
                <w:sz w:val="20"/>
                <w:szCs w:val="20"/>
                <w:color w:val="auto"/>
              </w:rPr>
            </w:pPr>
            <w:r>
              <w:rPr>
                <w:rFonts w:ascii="Arial" w:cs="Arial" w:eastAsia="Arial" w:hAnsi="Arial"/>
                <w:sz w:val="16"/>
                <w:szCs w:val="16"/>
                <w:color w:val="auto"/>
              </w:rPr>
              <w:t>First-lien revolving loan (EUR 336</w:t>
            </w:r>
          </w:p>
        </w:tc>
        <w:tc>
          <w:tcPr>
            <w:tcW w:w="10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4/9/2019</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E + 7.25%</w:t>
            </w: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7.25%</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369</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410</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0.0%</w:t>
            </w:r>
          </w:p>
        </w:tc>
      </w:tr>
      <w:tr>
        <w:trPr>
          <w:trHeight w:val="212"/>
        </w:trPr>
        <w:tc>
          <w:tcPr>
            <w:tcW w:w="2380" w:type="dxa"/>
            <w:vAlign w:val="bottom"/>
            <w:shd w:val="clear" w:color="auto" w:fill="CFF0FC"/>
          </w:tcPr>
          <w:p>
            <w:pPr>
              <w:spacing w:after="0"/>
              <w:rPr>
                <w:sz w:val="18"/>
                <w:szCs w:val="18"/>
                <w:color w:val="auto"/>
              </w:rPr>
            </w:pPr>
          </w:p>
        </w:tc>
        <w:tc>
          <w:tcPr>
            <w:tcW w:w="2840" w:type="dxa"/>
            <w:vAlign w:val="bottom"/>
            <w:shd w:val="clear" w:color="auto" w:fill="CFF0FC"/>
          </w:tcPr>
          <w:p>
            <w:pPr>
              <w:ind w:left="280"/>
              <w:spacing w:after="0"/>
              <w:rPr>
                <w:sz w:val="20"/>
                <w:szCs w:val="20"/>
                <w:color w:val="auto"/>
              </w:rPr>
            </w:pPr>
            <w:r>
              <w:rPr>
                <w:rFonts w:ascii="Arial" w:cs="Arial" w:eastAsia="Arial" w:hAnsi="Arial"/>
                <w:sz w:val="16"/>
                <w:szCs w:val="16"/>
                <w:color w:val="auto"/>
              </w:rPr>
              <w:t>par, due 4/2025)</w:t>
            </w:r>
          </w:p>
        </w:tc>
        <w:tc>
          <w:tcPr>
            <w:tcW w:w="10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(EUR 345)</w:t>
            </w: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380" w:type="dxa"/>
            <w:vAlign w:val="bottom"/>
          </w:tcPr>
          <w:p>
            <w:pPr>
              <w:spacing w:after="0" w:line="207" w:lineRule="exact"/>
              <w:rPr>
                <w:sz w:val="20"/>
                <w:szCs w:val="20"/>
                <w:color w:val="auto"/>
              </w:rPr>
            </w:pPr>
            <w:r>
              <w:rPr>
                <w:rFonts w:ascii="Arial" w:cs="Arial" w:eastAsia="Arial" w:hAnsi="Arial"/>
                <w:sz w:val="14"/>
                <w:szCs w:val="14"/>
                <w:color w:val="auto"/>
              </w:rPr>
              <w:t xml:space="preserve">Passport Labs, Inc. </w:t>
            </w:r>
            <w:r>
              <w:rPr>
                <w:rFonts w:ascii="Arial" w:cs="Arial" w:eastAsia="Arial" w:hAnsi="Arial"/>
                <w:sz w:val="23"/>
                <w:szCs w:val="23"/>
                <w:color w:val="auto"/>
                <w:vertAlign w:val="superscript"/>
              </w:rPr>
              <w:t>(3)</w:t>
            </w:r>
          </w:p>
        </w:tc>
        <w:tc>
          <w:tcPr>
            <w:tcW w:w="2840" w:type="dxa"/>
            <w:vAlign w:val="bottom"/>
          </w:tcPr>
          <w:p>
            <w:pPr>
              <w:ind w:left="280"/>
              <w:spacing w:after="0"/>
              <w:rPr>
                <w:sz w:val="20"/>
                <w:szCs w:val="20"/>
                <w:color w:val="auto"/>
              </w:rPr>
            </w:pPr>
            <w:r>
              <w:rPr>
                <w:rFonts w:ascii="Arial" w:cs="Arial" w:eastAsia="Arial" w:hAnsi="Arial"/>
                <w:sz w:val="16"/>
                <w:szCs w:val="16"/>
                <w:color w:val="auto"/>
              </w:rPr>
              <w:t>First-lien loan ($16,667 par, due</w:t>
            </w: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4/28/2021</w:t>
            </w:r>
          </w:p>
        </w:tc>
        <w:tc>
          <w:tcPr>
            <w:tcW w:w="940" w:type="dxa"/>
            <w:vAlign w:val="bottom"/>
          </w:tcPr>
          <w:p>
            <w:pPr>
              <w:jc w:val="right"/>
              <w:spacing w:after="0"/>
              <w:rPr>
                <w:sz w:val="20"/>
                <w:szCs w:val="20"/>
                <w:color w:val="auto"/>
              </w:rPr>
            </w:pPr>
            <w:r>
              <w:rPr>
                <w:rFonts w:ascii="Arial" w:cs="Arial" w:eastAsia="Arial" w:hAnsi="Arial"/>
                <w:sz w:val="16"/>
                <w:szCs w:val="16"/>
                <w:color w:val="auto"/>
              </w:rPr>
              <w:t>L + 8.25%</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9.25%</w:t>
            </w:r>
          </w:p>
        </w:tc>
        <w:tc>
          <w:tcPr>
            <w:tcW w:w="800" w:type="dxa"/>
            <w:vAlign w:val="bottom"/>
          </w:tcPr>
          <w:p>
            <w:pPr>
              <w:jc w:val="right"/>
              <w:spacing w:after="0"/>
              <w:rPr>
                <w:sz w:val="20"/>
                <w:szCs w:val="20"/>
                <w:color w:val="auto"/>
              </w:rPr>
            </w:pPr>
            <w:r>
              <w:rPr>
                <w:rFonts w:ascii="Arial" w:cs="Arial" w:eastAsia="Arial" w:hAnsi="Arial"/>
                <w:sz w:val="16"/>
                <w:szCs w:val="16"/>
                <w:color w:val="auto"/>
              </w:rPr>
              <w:t>16,294</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16,326</w:t>
            </w:r>
          </w:p>
        </w:tc>
        <w:tc>
          <w:tcPr>
            <w:tcW w:w="2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1.3%</w:t>
            </w:r>
          </w:p>
        </w:tc>
      </w:tr>
      <w:tr>
        <w:trPr>
          <w:trHeight w:val="209"/>
        </w:trPr>
        <w:tc>
          <w:tcPr>
            <w:tcW w:w="2380" w:type="dxa"/>
            <w:vAlign w:val="bottom"/>
          </w:tcPr>
          <w:p>
            <w:pPr>
              <w:spacing w:after="0"/>
              <w:rPr>
                <w:sz w:val="18"/>
                <w:szCs w:val="18"/>
                <w:color w:val="auto"/>
              </w:rPr>
            </w:pPr>
          </w:p>
        </w:tc>
        <w:tc>
          <w:tcPr>
            <w:tcW w:w="2840" w:type="dxa"/>
            <w:vAlign w:val="bottom"/>
          </w:tcPr>
          <w:p>
            <w:pPr>
              <w:ind w:left="280"/>
              <w:spacing w:after="0"/>
              <w:rPr>
                <w:sz w:val="20"/>
                <w:szCs w:val="20"/>
                <w:color w:val="auto"/>
              </w:rPr>
            </w:pPr>
            <w:r>
              <w:rPr>
                <w:rFonts w:ascii="Arial" w:cs="Arial" w:eastAsia="Arial" w:hAnsi="Arial"/>
                <w:sz w:val="16"/>
                <w:szCs w:val="16"/>
                <w:color w:val="auto"/>
              </w:rPr>
              <w:t>4/2026)</w:t>
            </w: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38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PrimeRevenue, Inc. </w:t>
            </w:r>
            <w:r>
              <w:rPr>
                <w:rFonts w:ascii="Arial" w:cs="Arial" w:eastAsia="Arial" w:hAnsi="Arial"/>
                <w:sz w:val="24"/>
                <w:szCs w:val="24"/>
                <w:color w:val="auto"/>
                <w:vertAlign w:val="superscript"/>
              </w:rPr>
              <w:t>(3)</w:t>
            </w:r>
          </w:p>
        </w:tc>
        <w:tc>
          <w:tcPr>
            <w:tcW w:w="2840" w:type="dxa"/>
            <w:vAlign w:val="bottom"/>
            <w:shd w:val="clear" w:color="auto" w:fill="CFF0FC"/>
          </w:tcPr>
          <w:p>
            <w:pPr>
              <w:ind w:left="280"/>
              <w:spacing w:after="0"/>
              <w:rPr>
                <w:sz w:val="20"/>
                <w:szCs w:val="20"/>
                <w:color w:val="auto"/>
              </w:rPr>
            </w:pPr>
            <w:r>
              <w:rPr>
                <w:rFonts w:ascii="Arial" w:cs="Arial" w:eastAsia="Arial" w:hAnsi="Arial"/>
                <w:sz w:val="16"/>
                <w:szCs w:val="16"/>
                <w:color w:val="auto"/>
              </w:rPr>
              <w:t>First-lien loan ($22,507 par, due</w:t>
            </w:r>
          </w:p>
        </w:tc>
        <w:tc>
          <w:tcPr>
            <w:tcW w:w="10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12/31/2018</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L + 8.00%</w:t>
            </w: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9.50%</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22,332</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23,377</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1.9%</w:t>
            </w:r>
          </w:p>
        </w:tc>
      </w:tr>
      <w:tr>
        <w:trPr>
          <w:trHeight w:val="212"/>
        </w:trPr>
        <w:tc>
          <w:tcPr>
            <w:tcW w:w="2380" w:type="dxa"/>
            <w:vAlign w:val="bottom"/>
            <w:shd w:val="clear" w:color="auto" w:fill="CFF0FC"/>
          </w:tcPr>
          <w:p>
            <w:pPr>
              <w:spacing w:after="0"/>
              <w:rPr>
                <w:sz w:val="18"/>
                <w:szCs w:val="18"/>
                <w:color w:val="auto"/>
              </w:rPr>
            </w:pPr>
          </w:p>
        </w:tc>
        <w:tc>
          <w:tcPr>
            <w:tcW w:w="2840" w:type="dxa"/>
            <w:vAlign w:val="bottom"/>
            <w:shd w:val="clear" w:color="auto" w:fill="CFF0FC"/>
          </w:tcPr>
          <w:p>
            <w:pPr>
              <w:ind w:left="280"/>
              <w:spacing w:after="0"/>
              <w:rPr>
                <w:sz w:val="20"/>
                <w:szCs w:val="20"/>
                <w:color w:val="auto"/>
              </w:rPr>
            </w:pPr>
            <w:r>
              <w:rPr>
                <w:rFonts w:ascii="Arial" w:cs="Arial" w:eastAsia="Arial" w:hAnsi="Arial"/>
                <w:sz w:val="16"/>
                <w:szCs w:val="16"/>
                <w:color w:val="auto"/>
              </w:rPr>
              <w:t>12/2023)</w:t>
            </w:r>
          </w:p>
        </w:tc>
        <w:tc>
          <w:tcPr>
            <w:tcW w:w="10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380" w:type="dxa"/>
            <w:vAlign w:val="bottom"/>
          </w:tcPr>
          <w:p>
            <w:pPr>
              <w:spacing w:after="0" w:line="207" w:lineRule="exact"/>
              <w:rPr>
                <w:sz w:val="20"/>
                <w:szCs w:val="20"/>
                <w:color w:val="auto"/>
              </w:rPr>
            </w:pPr>
            <w:r>
              <w:rPr>
                <w:rFonts w:ascii="Arial" w:cs="Arial" w:eastAsia="Arial" w:hAnsi="Arial"/>
                <w:sz w:val="14"/>
                <w:szCs w:val="14"/>
                <w:color w:val="auto"/>
              </w:rPr>
              <w:t xml:space="preserve">TradingScreen, Inc. </w:t>
            </w:r>
            <w:r>
              <w:rPr>
                <w:rFonts w:ascii="Arial" w:cs="Arial" w:eastAsia="Arial" w:hAnsi="Arial"/>
                <w:sz w:val="23"/>
                <w:szCs w:val="23"/>
                <w:color w:val="auto"/>
                <w:vertAlign w:val="superscript"/>
              </w:rPr>
              <w:t>(3)(5)</w:t>
            </w:r>
          </w:p>
        </w:tc>
        <w:tc>
          <w:tcPr>
            <w:tcW w:w="2840" w:type="dxa"/>
            <w:vAlign w:val="bottom"/>
          </w:tcPr>
          <w:p>
            <w:pPr>
              <w:ind w:left="280"/>
              <w:spacing w:after="0"/>
              <w:rPr>
                <w:sz w:val="20"/>
                <w:szCs w:val="20"/>
                <w:color w:val="auto"/>
              </w:rPr>
            </w:pPr>
            <w:r>
              <w:rPr>
                <w:rFonts w:ascii="Arial" w:cs="Arial" w:eastAsia="Arial" w:hAnsi="Arial"/>
                <w:sz w:val="16"/>
                <w:szCs w:val="16"/>
                <w:color w:val="auto"/>
              </w:rPr>
              <w:t>First-lien loan ($45,000 par, due</w:t>
            </w: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4/30/2021</w:t>
            </w:r>
          </w:p>
        </w:tc>
        <w:tc>
          <w:tcPr>
            <w:tcW w:w="940" w:type="dxa"/>
            <w:vAlign w:val="bottom"/>
          </w:tcPr>
          <w:p>
            <w:pPr>
              <w:jc w:val="right"/>
              <w:spacing w:after="0"/>
              <w:rPr>
                <w:sz w:val="20"/>
                <w:szCs w:val="20"/>
                <w:color w:val="auto"/>
              </w:rPr>
            </w:pPr>
            <w:r>
              <w:rPr>
                <w:rFonts w:ascii="Arial" w:cs="Arial" w:eastAsia="Arial" w:hAnsi="Arial"/>
                <w:sz w:val="16"/>
                <w:szCs w:val="16"/>
                <w:color w:val="auto"/>
              </w:rPr>
              <w:t>L + 6.25%</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7.25%</w:t>
            </w:r>
          </w:p>
        </w:tc>
        <w:tc>
          <w:tcPr>
            <w:tcW w:w="800" w:type="dxa"/>
            <w:vAlign w:val="bottom"/>
          </w:tcPr>
          <w:p>
            <w:pPr>
              <w:jc w:val="right"/>
              <w:spacing w:after="0"/>
              <w:rPr>
                <w:sz w:val="20"/>
                <w:szCs w:val="20"/>
                <w:color w:val="auto"/>
              </w:rPr>
            </w:pPr>
            <w:r>
              <w:rPr>
                <w:rFonts w:ascii="Arial" w:cs="Arial" w:eastAsia="Arial" w:hAnsi="Arial"/>
                <w:sz w:val="16"/>
                <w:szCs w:val="16"/>
                <w:color w:val="auto"/>
              </w:rPr>
              <w:t>43,668</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43,875</w:t>
            </w:r>
          </w:p>
        </w:tc>
        <w:tc>
          <w:tcPr>
            <w:tcW w:w="2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3.6%</w:t>
            </w:r>
          </w:p>
        </w:tc>
      </w:tr>
      <w:tr>
        <w:trPr>
          <w:trHeight w:val="209"/>
        </w:trPr>
        <w:tc>
          <w:tcPr>
            <w:tcW w:w="2380" w:type="dxa"/>
            <w:vAlign w:val="bottom"/>
            <w:tcBorders>
              <w:bottom w:val="single" w:sz="8" w:color="CFF0FC"/>
            </w:tcBorders>
          </w:tcPr>
          <w:p>
            <w:pPr>
              <w:spacing w:after="0"/>
              <w:rPr>
                <w:sz w:val="18"/>
                <w:szCs w:val="18"/>
                <w:color w:val="auto"/>
              </w:rPr>
            </w:pPr>
          </w:p>
        </w:tc>
        <w:tc>
          <w:tcPr>
            <w:tcW w:w="2840" w:type="dxa"/>
            <w:vAlign w:val="bottom"/>
            <w:tcBorders>
              <w:bottom w:val="single" w:sz="8" w:color="CFF0FC"/>
            </w:tcBorders>
          </w:tcPr>
          <w:p>
            <w:pPr>
              <w:ind w:left="280"/>
              <w:spacing w:after="0"/>
              <w:rPr>
                <w:sz w:val="20"/>
                <w:szCs w:val="20"/>
                <w:color w:val="auto"/>
              </w:rPr>
            </w:pPr>
            <w:r>
              <w:rPr>
                <w:rFonts w:ascii="Arial" w:cs="Arial" w:eastAsia="Arial" w:hAnsi="Arial"/>
                <w:sz w:val="16"/>
                <w:szCs w:val="16"/>
                <w:color w:val="auto"/>
              </w:rPr>
              <w:t>4/2027)</w:t>
            </w:r>
          </w:p>
        </w:tc>
        <w:tc>
          <w:tcPr>
            <w:tcW w:w="1080" w:type="dxa"/>
            <w:vAlign w:val="bottom"/>
            <w:tcBorders>
              <w:bottom w:val="single" w:sz="8" w:color="CFF0FC"/>
            </w:tcBorders>
          </w:tcPr>
          <w:p>
            <w:pPr>
              <w:spacing w:after="0"/>
              <w:rPr>
                <w:sz w:val="18"/>
                <w:szCs w:val="18"/>
                <w:color w:val="auto"/>
              </w:rPr>
            </w:pPr>
          </w:p>
        </w:tc>
        <w:tc>
          <w:tcPr>
            <w:tcW w:w="940" w:type="dxa"/>
            <w:vAlign w:val="bottom"/>
            <w:tcBorders>
              <w:bottom w:val="single" w:sz="8" w:color="CFF0FC"/>
            </w:tcBorders>
          </w:tcPr>
          <w:p>
            <w:pPr>
              <w:spacing w:after="0"/>
              <w:rPr>
                <w:sz w:val="18"/>
                <w:szCs w:val="18"/>
                <w:color w:val="auto"/>
              </w:rPr>
            </w:pPr>
          </w:p>
        </w:tc>
        <w:tc>
          <w:tcPr>
            <w:tcW w:w="1080" w:type="dxa"/>
            <w:vAlign w:val="bottom"/>
            <w:tcBorders>
              <w:bottom w:val="single" w:sz="8" w:color="CFF0FC"/>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r>
      <w:tr>
        <w:trPr>
          <w:trHeight w:val="213"/>
        </w:trPr>
        <w:tc>
          <w:tcPr>
            <w:tcW w:w="2380" w:type="dxa"/>
            <w:vAlign w:val="bottom"/>
            <w:shd w:val="clear" w:color="auto" w:fill="CFF0FC"/>
          </w:tcPr>
          <w:p>
            <w:pPr>
              <w:spacing w:after="0"/>
              <w:rPr>
                <w:sz w:val="18"/>
                <w:szCs w:val="18"/>
                <w:color w:val="auto"/>
              </w:rPr>
            </w:pPr>
          </w:p>
        </w:tc>
        <w:tc>
          <w:tcPr>
            <w:tcW w:w="28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352,577</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360,104</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29.4%</w:t>
            </w:r>
          </w:p>
        </w:tc>
      </w:tr>
      <w:tr>
        <w:trPr>
          <w:trHeight w:val="206"/>
        </w:trPr>
        <w:tc>
          <w:tcPr>
            <w:tcW w:w="2380" w:type="dxa"/>
            <w:vAlign w:val="bottom"/>
          </w:tcPr>
          <w:p>
            <w:pPr>
              <w:spacing w:after="0"/>
              <w:rPr>
                <w:sz w:val="20"/>
                <w:szCs w:val="20"/>
                <w:color w:val="auto"/>
              </w:rPr>
            </w:pPr>
            <w:r>
              <w:rPr>
                <w:rFonts w:ascii="Arial" w:cs="Arial" w:eastAsia="Arial" w:hAnsi="Arial"/>
                <w:sz w:val="16"/>
                <w:szCs w:val="16"/>
                <w:b w:val="1"/>
                <w:bCs w:val="1"/>
                <w:color w:val="auto"/>
              </w:rPr>
              <w:t>Healthcare</w:t>
            </w:r>
          </w:p>
        </w:tc>
        <w:tc>
          <w:tcPr>
            <w:tcW w:w="28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09"/>
        </w:trPr>
        <w:tc>
          <w:tcPr>
            <w:tcW w:w="238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BCTO Ace Purchaser, Inc. </w:t>
            </w:r>
            <w:r>
              <w:rPr>
                <w:rFonts w:ascii="Arial" w:cs="Arial" w:eastAsia="Arial" w:hAnsi="Arial"/>
                <w:sz w:val="24"/>
                <w:szCs w:val="24"/>
                <w:color w:val="auto"/>
                <w:vertAlign w:val="superscript"/>
              </w:rPr>
              <w:t>(3)(5)</w:t>
            </w:r>
          </w:p>
        </w:tc>
        <w:tc>
          <w:tcPr>
            <w:tcW w:w="2840" w:type="dxa"/>
            <w:vAlign w:val="bottom"/>
            <w:shd w:val="clear" w:color="auto" w:fill="CFF0FC"/>
          </w:tcPr>
          <w:p>
            <w:pPr>
              <w:ind w:left="280"/>
              <w:spacing w:after="0"/>
              <w:rPr>
                <w:sz w:val="20"/>
                <w:szCs w:val="20"/>
                <w:color w:val="auto"/>
              </w:rPr>
            </w:pPr>
            <w:r>
              <w:rPr>
                <w:rFonts w:ascii="Arial" w:cs="Arial" w:eastAsia="Arial" w:hAnsi="Arial"/>
                <w:sz w:val="16"/>
                <w:szCs w:val="16"/>
                <w:color w:val="auto"/>
              </w:rPr>
              <w:t>First-lien loan ($48,350 par, due</w:t>
            </w:r>
          </w:p>
        </w:tc>
        <w:tc>
          <w:tcPr>
            <w:tcW w:w="10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11/23/2020</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L + 6.50%</w:t>
            </w: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7.50%</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47,062</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48,471</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4.0%</w:t>
            </w:r>
          </w:p>
        </w:tc>
      </w:tr>
      <w:tr>
        <w:trPr>
          <w:trHeight w:val="212"/>
        </w:trPr>
        <w:tc>
          <w:tcPr>
            <w:tcW w:w="2380" w:type="dxa"/>
            <w:vAlign w:val="bottom"/>
            <w:shd w:val="clear" w:color="auto" w:fill="CFF0FC"/>
          </w:tcPr>
          <w:p>
            <w:pPr>
              <w:spacing w:after="0"/>
              <w:rPr>
                <w:sz w:val="18"/>
                <w:szCs w:val="18"/>
                <w:color w:val="auto"/>
              </w:rPr>
            </w:pPr>
          </w:p>
        </w:tc>
        <w:tc>
          <w:tcPr>
            <w:tcW w:w="2840" w:type="dxa"/>
            <w:vAlign w:val="bottom"/>
            <w:shd w:val="clear" w:color="auto" w:fill="CFF0FC"/>
          </w:tcPr>
          <w:p>
            <w:pPr>
              <w:ind w:left="280"/>
              <w:spacing w:after="0"/>
              <w:rPr>
                <w:sz w:val="20"/>
                <w:szCs w:val="20"/>
                <w:color w:val="auto"/>
              </w:rPr>
            </w:pPr>
            <w:r>
              <w:rPr>
                <w:rFonts w:ascii="Arial" w:cs="Arial" w:eastAsia="Arial" w:hAnsi="Arial"/>
                <w:sz w:val="16"/>
                <w:szCs w:val="16"/>
                <w:color w:val="auto"/>
              </w:rPr>
              <w:t>11/2026)</w:t>
            </w:r>
          </w:p>
        </w:tc>
        <w:tc>
          <w:tcPr>
            <w:tcW w:w="10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380" w:type="dxa"/>
            <w:vAlign w:val="bottom"/>
          </w:tcPr>
          <w:p>
            <w:pPr>
              <w:spacing w:after="0"/>
              <w:rPr>
                <w:sz w:val="20"/>
                <w:szCs w:val="20"/>
                <w:color w:val="auto"/>
              </w:rPr>
            </w:pPr>
            <w:r>
              <w:rPr>
                <w:rFonts w:ascii="Arial" w:cs="Arial" w:eastAsia="Arial" w:hAnsi="Arial"/>
                <w:sz w:val="16"/>
                <w:szCs w:val="16"/>
                <w:color w:val="auto"/>
              </w:rPr>
              <w:t>Caris Life Sciences, Inc.</w:t>
            </w:r>
          </w:p>
        </w:tc>
        <w:tc>
          <w:tcPr>
            <w:tcW w:w="2840" w:type="dxa"/>
            <w:vAlign w:val="bottom"/>
          </w:tcPr>
          <w:p>
            <w:pPr>
              <w:ind w:left="280"/>
              <w:spacing w:after="0"/>
              <w:rPr>
                <w:sz w:val="20"/>
                <w:szCs w:val="20"/>
                <w:color w:val="auto"/>
              </w:rPr>
            </w:pPr>
            <w:r>
              <w:rPr>
                <w:rFonts w:ascii="Arial" w:cs="Arial" w:eastAsia="Arial" w:hAnsi="Arial"/>
                <w:sz w:val="16"/>
                <w:szCs w:val="16"/>
                <w:color w:val="auto"/>
              </w:rPr>
              <w:t>First-lien loan ($5,000 par, due</w:t>
            </w: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9/21/2018</w:t>
            </w:r>
          </w:p>
        </w:tc>
        <w:tc>
          <w:tcPr>
            <w:tcW w:w="940" w:type="dxa"/>
            <w:vAlign w:val="bottom"/>
          </w:tcPr>
          <w:p>
            <w:pPr>
              <w:jc w:val="right"/>
              <w:spacing w:after="0"/>
              <w:rPr>
                <w:sz w:val="20"/>
                <w:szCs w:val="20"/>
                <w:color w:val="auto"/>
              </w:rPr>
            </w:pPr>
            <w:r>
              <w:rPr>
                <w:rFonts w:ascii="Arial" w:cs="Arial" w:eastAsia="Arial" w:hAnsi="Arial"/>
                <w:sz w:val="16"/>
                <w:szCs w:val="16"/>
                <w:color w:val="auto"/>
              </w:rPr>
              <w:t>11.30%</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11.30%</w:t>
            </w:r>
          </w:p>
        </w:tc>
        <w:tc>
          <w:tcPr>
            <w:tcW w:w="800" w:type="dxa"/>
            <w:vAlign w:val="bottom"/>
          </w:tcPr>
          <w:p>
            <w:pPr>
              <w:jc w:val="right"/>
              <w:spacing w:after="0"/>
              <w:rPr>
                <w:sz w:val="20"/>
                <w:szCs w:val="20"/>
                <w:color w:val="auto"/>
              </w:rPr>
            </w:pPr>
            <w:r>
              <w:rPr>
                <w:rFonts w:ascii="Arial" w:cs="Arial" w:eastAsia="Arial" w:hAnsi="Arial"/>
                <w:sz w:val="16"/>
                <w:szCs w:val="16"/>
                <w:color w:val="auto"/>
              </w:rPr>
              <w:t>4,906</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5,350</w:t>
            </w:r>
          </w:p>
        </w:tc>
        <w:tc>
          <w:tcPr>
            <w:tcW w:w="2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0.4%</w:t>
            </w:r>
          </w:p>
        </w:tc>
      </w:tr>
      <w:tr>
        <w:trPr>
          <w:trHeight w:val="209"/>
        </w:trPr>
        <w:tc>
          <w:tcPr>
            <w:tcW w:w="2380" w:type="dxa"/>
            <w:vAlign w:val="bottom"/>
          </w:tcPr>
          <w:p>
            <w:pPr>
              <w:spacing w:after="0"/>
              <w:rPr>
                <w:sz w:val="18"/>
                <w:szCs w:val="18"/>
                <w:color w:val="auto"/>
              </w:rPr>
            </w:pPr>
          </w:p>
        </w:tc>
        <w:tc>
          <w:tcPr>
            <w:tcW w:w="2840" w:type="dxa"/>
            <w:vAlign w:val="bottom"/>
          </w:tcPr>
          <w:p>
            <w:pPr>
              <w:ind w:left="280"/>
              <w:spacing w:after="0"/>
              <w:rPr>
                <w:sz w:val="20"/>
                <w:szCs w:val="20"/>
                <w:color w:val="auto"/>
              </w:rPr>
            </w:pPr>
            <w:r>
              <w:rPr>
                <w:rFonts w:ascii="Arial" w:cs="Arial" w:eastAsia="Arial" w:hAnsi="Arial"/>
                <w:sz w:val="16"/>
                <w:szCs w:val="16"/>
                <w:color w:val="auto"/>
              </w:rPr>
              <w:t>9/2023)</w:t>
            </w: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380" w:type="dxa"/>
            <w:vAlign w:val="bottom"/>
            <w:shd w:val="clear" w:color="auto" w:fill="CFF0FC"/>
          </w:tcPr>
          <w:p>
            <w:pPr>
              <w:spacing w:after="0"/>
              <w:rPr>
                <w:sz w:val="18"/>
                <w:szCs w:val="18"/>
                <w:color w:val="auto"/>
              </w:rPr>
            </w:pPr>
          </w:p>
        </w:tc>
        <w:tc>
          <w:tcPr>
            <w:tcW w:w="2840" w:type="dxa"/>
            <w:vAlign w:val="bottom"/>
            <w:shd w:val="clear" w:color="auto" w:fill="CFF0FC"/>
          </w:tcPr>
          <w:p>
            <w:pPr>
              <w:ind w:left="280"/>
              <w:spacing w:after="0"/>
              <w:rPr>
                <w:sz w:val="20"/>
                <w:szCs w:val="20"/>
                <w:color w:val="auto"/>
              </w:rPr>
            </w:pPr>
            <w:r>
              <w:rPr>
                <w:rFonts w:ascii="Arial" w:cs="Arial" w:eastAsia="Arial" w:hAnsi="Arial"/>
                <w:sz w:val="16"/>
                <w:szCs w:val="16"/>
                <w:color w:val="auto"/>
              </w:rPr>
              <w:t>First-lien loan ($3,750 par, due</w:t>
            </w:r>
          </w:p>
        </w:tc>
        <w:tc>
          <w:tcPr>
            <w:tcW w:w="10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4/2/2020</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11.30%</w:t>
            </w: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11.30%</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3,522</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4,106</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0.3%</w:t>
            </w:r>
          </w:p>
        </w:tc>
      </w:tr>
      <w:tr>
        <w:trPr>
          <w:trHeight w:val="212"/>
        </w:trPr>
        <w:tc>
          <w:tcPr>
            <w:tcW w:w="2380" w:type="dxa"/>
            <w:vAlign w:val="bottom"/>
            <w:shd w:val="clear" w:color="auto" w:fill="CFF0FC"/>
          </w:tcPr>
          <w:p>
            <w:pPr>
              <w:spacing w:after="0"/>
              <w:rPr>
                <w:sz w:val="18"/>
                <w:szCs w:val="18"/>
                <w:color w:val="auto"/>
              </w:rPr>
            </w:pPr>
          </w:p>
        </w:tc>
        <w:tc>
          <w:tcPr>
            <w:tcW w:w="2840" w:type="dxa"/>
            <w:vAlign w:val="bottom"/>
            <w:shd w:val="clear" w:color="auto" w:fill="CFF0FC"/>
          </w:tcPr>
          <w:p>
            <w:pPr>
              <w:ind w:left="280"/>
              <w:spacing w:after="0"/>
              <w:rPr>
                <w:sz w:val="20"/>
                <w:szCs w:val="20"/>
                <w:color w:val="auto"/>
              </w:rPr>
            </w:pPr>
            <w:r>
              <w:rPr>
                <w:rFonts w:ascii="Arial" w:cs="Arial" w:eastAsia="Arial" w:hAnsi="Arial"/>
                <w:sz w:val="16"/>
                <w:szCs w:val="16"/>
                <w:color w:val="auto"/>
              </w:rPr>
              <w:t>4/2025)</w:t>
            </w:r>
          </w:p>
        </w:tc>
        <w:tc>
          <w:tcPr>
            <w:tcW w:w="10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380" w:type="dxa"/>
            <w:vAlign w:val="bottom"/>
          </w:tcPr>
          <w:p>
            <w:pPr>
              <w:spacing w:after="0"/>
              <w:rPr>
                <w:sz w:val="17"/>
                <w:szCs w:val="17"/>
                <w:color w:val="auto"/>
              </w:rPr>
            </w:pPr>
          </w:p>
        </w:tc>
        <w:tc>
          <w:tcPr>
            <w:tcW w:w="2840" w:type="dxa"/>
            <w:vAlign w:val="bottom"/>
          </w:tcPr>
          <w:p>
            <w:pPr>
              <w:ind w:left="280"/>
              <w:spacing w:after="0"/>
              <w:rPr>
                <w:sz w:val="20"/>
                <w:szCs w:val="20"/>
                <w:color w:val="auto"/>
              </w:rPr>
            </w:pPr>
            <w:r>
              <w:rPr>
                <w:rFonts w:ascii="Arial" w:cs="Arial" w:eastAsia="Arial" w:hAnsi="Arial"/>
                <w:sz w:val="16"/>
                <w:szCs w:val="16"/>
                <w:color w:val="auto"/>
              </w:rPr>
              <w:t>Convertible note ($2,602 par, due</w:t>
            </w: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9/21/2018</w:t>
            </w:r>
          </w:p>
        </w:tc>
        <w:tc>
          <w:tcPr>
            <w:tcW w:w="940" w:type="dxa"/>
            <w:vAlign w:val="bottom"/>
          </w:tcPr>
          <w:p>
            <w:pPr>
              <w:jc w:val="right"/>
              <w:spacing w:after="0"/>
              <w:rPr>
                <w:sz w:val="20"/>
                <w:szCs w:val="20"/>
                <w:color w:val="auto"/>
              </w:rPr>
            </w:pPr>
            <w:r>
              <w:rPr>
                <w:rFonts w:ascii="Arial" w:cs="Arial" w:eastAsia="Arial" w:hAnsi="Arial"/>
                <w:sz w:val="16"/>
                <w:szCs w:val="16"/>
                <w:color w:val="auto"/>
              </w:rPr>
              <w:t>8.00%</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8.00%</w:t>
            </w:r>
          </w:p>
        </w:tc>
        <w:tc>
          <w:tcPr>
            <w:tcW w:w="800" w:type="dxa"/>
            <w:vAlign w:val="bottom"/>
          </w:tcPr>
          <w:p>
            <w:pPr>
              <w:jc w:val="right"/>
              <w:spacing w:after="0"/>
              <w:rPr>
                <w:sz w:val="20"/>
                <w:szCs w:val="20"/>
                <w:color w:val="auto"/>
              </w:rPr>
            </w:pPr>
            <w:r>
              <w:rPr>
                <w:rFonts w:ascii="Arial" w:cs="Arial" w:eastAsia="Arial" w:hAnsi="Arial"/>
                <w:sz w:val="16"/>
                <w:szCs w:val="16"/>
                <w:color w:val="auto"/>
              </w:rPr>
              <w:t>2,602</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12,243</w:t>
            </w:r>
          </w:p>
        </w:tc>
        <w:tc>
          <w:tcPr>
            <w:tcW w:w="2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1.0%</w:t>
            </w:r>
          </w:p>
        </w:tc>
      </w:tr>
      <w:tr>
        <w:trPr>
          <w:trHeight w:val="209"/>
        </w:trPr>
        <w:tc>
          <w:tcPr>
            <w:tcW w:w="2380" w:type="dxa"/>
            <w:vAlign w:val="bottom"/>
          </w:tcPr>
          <w:p>
            <w:pPr>
              <w:spacing w:after="0"/>
              <w:rPr>
                <w:sz w:val="18"/>
                <w:szCs w:val="18"/>
                <w:color w:val="auto"/>
              </w:rPr>
            </w:pPr>
          </w:p>
        </w:tc>
        <w:tc>
          <w:tcPr>
            <w:tcW w:w="2840" w:type="dxa"/>
            <w:vAlign w:val="bottom"/>
          </w:tcPr>
          <w:p>
            <w:pPr>
              <w:ind w:left="280"/>
              <w:spacing w:after="0"/>
              <w:rPr>
                <w:sz w:val="20"/>
                <w:szCs w:val="20"/>
                <w:color w:val="auto"/>
              </w:rPr>
            </w:pPr>
            <w:r>
              <w:rPr>
                <w:rFonts w:ascii="Arial" w:cs="Arial" w:eastAsia="Arial" w:hAnsi="Arial"/>
                <w:sz w:val="16"/>
                <w:szCs w:val="16"/>
                <w:color w:val="auto"/>
              </w:rPr>
              <w:t>9/2023)</w:t>
            </w: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38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Clinicient, Inc.</w:t>
            </w:r>
            <w:r>
              <w:rPr>
                <w:rFonts w:ascii="Arial" w:cs="Arial" w:eastAsia="Arial" w:hAnsi="Arial"/>
                <w:sz w:val="24"/>
                <w:szCs w:val="24"/>
                <w:color w:val="auto"/>
                <w:vertAlign w:val="superscript"/>
              </w:rPr>
              <w:t>(3)</w:t>
            </w:r>
          </w:p>
        </w:tc>
        <w:tc>
          <w:tcPr>
            <w:tcW w:w="2840" w:type="dxa"/>
            <w:vAlign w:val="bottom"/>
            <w:shd w:val="clear" w:color="auto" w:fill="CFF0FC"/>
          </w:tcPr>
          <w:p>
            <w:pPr>
              <w:ind w:left="280"/>
              <w:spacing w:after="0"/>
              <w:rPr>
                <w:sz w:val="20"/>
                <w:szCs w:val="20"/>
                <w:color w:val="auto"/>
              </w:rPr>
            </w:pPr>
            <w:r>
              <w:rPr>
                <w:rFonts w:ascii="Arial" w:cs="Arial" w:eastAsia="Arial" w:hAnsi="Arial"/>
                <w:sz w:val="16"/>
                <w:szCs w:val="16"/>
                <w:color w:val="auto"/>
              </w:rPr>
              <w:t>First-lien loan ($15,000 par, due</w:t>
            </w:r>
          </w:p>
        </w:tc>
        <w:tc>
          <w:tcPr>
            <w:tcW w:w="10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5/31/2019</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L + 7.00%</w:t>
            </w: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8.50%</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14,905</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15,150</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1.3%</w:t>
            </w:r>
          </w:p>
        </w:tc>
      </w:tr>
      <w:tr>
        <w:trPr>
          <w:trHeight w:val="212"/>
        </w:trPr>
        <w:tc>
          <w:tcPr>
            <w:tcW w:w="2380" w:type="dxa"/>
            <w:vAlign w:val="bottom"/>
            <w:shd w:val="clear" w:color="auto" w:fill="CFF0FC"/>
          </w:tcPr>
          <w:p>
            <w:pPr>
              <w:spacing w:after="0"/>
              <w:rPr>
                <w:sz w:val="18"/>
                <w:szCs w:val="18"/>
                <w:color w:val="auto"/>
              </w:rPr>
            </w:pPr>
          </w:p>
        </w:tc>
        <w:tc>
          <w:tcPr>
            <w:tcW w:w="2840" w:type="dxa"/>
            <w:vAlign w:val="bottom"/>
            <w:shd w:val="clear" w:color="auto" w:fill="CFF0FC"/>
          </w:tcPr>
          <w:p>
            <w:pPr>
              <w:ind w:left="280"/>
              <w:spacing w:after="0"/>
              <w:rPr>
                <w:sz w:val="20"/>
                <w:szCs w:val="20"/>
                <w:color w:val="auto"/>
              </w:rPr>
            </w:pPr>
            <w:r>
              <w:rPr>
                <w:rFonts w:ascii="Arial" w:cs="Arial" w:eastAsia="Arial" w:hAnsi="Arial"/>
                <w:sz w:val="16"/>
                <w:szCs w:val="16"/>
                <w:color w:val="auto"/>
              </w:rPr>
              <w:t>5/2024)</w:t>
            </w:r>
          </w:p>
        </w:tc>
        <w:tc>
          <w:tcPr>
            <w:tcW w:w="10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380" w:type="dxa"/>
            <w:vAlign w:val="bottom"/>
          </w:tcPr>
          <w:p>
            <w:pPr>
              <w:spacing w:after="0"/>
              <w:rPr>
                <w:sz w:val="17"/>
                <w:szCs w:val="17"/>
                <w:color w:val="auto"/>
              </w:rPr>
            </w:pPr>
          </w:p>
        </w:tc>
        <w:tc>
          <w:tcPr>
            <w:tcW w:w="2840" w:type="dxa"/>
            <w:vAlign w:val="bottom"/>
          </w:tcPr>
          <w:p>
            <w:pPr>
              <w:ind w:left="280"/>
              <w:spacing w:after="0"/>
              <w:rPr>
                <w:sz w:val="20"/>
                <w:szCs w:val="20"/>
                <w:color w:val="auto"/>
              </w:rPr>
            </w:pPr>
            <w:r>
              <w:rPr>
                <w:rFonts w:ascii="Arial" w:cs="Arial" w:eastAsia="Arial" w:hAnsi="Arial"/>
                <w:sz w:val="16"/>
                <w:szCs w:val="16"/>
                <w:color w:val="auto"/>
                <w:w w:val="99"/>
              </w:rPr>
              <w:t>First-lien revolving loan ($2,400 par,</w:t>
            </w: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5/31/2019</w:t>
            </w:r>
          </w:p>
        </w:tc>
        <w:tc>
          <w:tcPr>
            <w:tcW w:w="940" w:type="dxa"/>
            <w:vAlign w:val="bottom"/>
          </w:tcPr>
          <w:p>
            <w:pPr>
              <w:jc w:val="right"/>
              <w:spacing w:after="0"/>
              <w:rPr>
                <w:sz w:val="20"/>
                <w:szCs w:val="20"/>
                <w:color w:val="auto"/>
              </w:rPr>
            </w:pPr>
            <w:r>
              <w:rPr>
                <w:rFonts w:ascii="Arial" w:cs="Arial" w:eastAsia="Arial" w:hAnsi="Arial"/>
                <w:sz w:val="16"/>
                <w:szCs w:val="16"/>
                <w:color w:val="auto"/>
              </w:rPr>
              <w:t>L + 7.00%</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8.50%</w:t>
            </w:r>
          </w:p>
        </w:tc>
        <w:tc>
          <w:tcPr>
            <w:tcW w:w="800" w:type="dxa"/>
            <w:vAlign w:val="bottom"/>
          </w:tcPr>
          <w:p>
            <w:pPr>
              <w:jc w:val="right"/>
              <w:spacing w:after="0"/>
              <w:rPr>
                <w:sz w:val="20"/>
                <w:szCs w:val="20"/>
                <w:color w:val="auto"/>
              </w:rPr>
            </w:pPr>
            <w:r>
              <w:rPr>
                <w:rFonts w:ascii="Arial" w:cs="Arial" w:eastAsia="Arial" w:hAnsi="Arial"/>
                <w:sz w:val="16"/>
                <w:szCs w:val="16"/>
                <w:color w:val="auto"/>
              </w:rPr>
              <w:t>2,377</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2,440</w:t>
            </w:r>
          </w:p>
        </w:tc>
        <w:tc>
          <w:tcPr>
            <w:tcW w:w="2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0.2%</w:t>
            </w:r>
          </w:p>
        </w:tc>
      </w:tr>
      <w:tr>
        <w:trPr>
          <w:trHeight w:val="209"/>
        </w:trPr>
        <w:tc>
          <w:tcPr>
            <w:tcW w:w="2380" w:type="dxa"/>
            <w:vAlign w:val="bottom"/>
          </w:tcPr>
          <w:p>
            <w:pPr>
              <w:spacing w:after="0"/>
              <w:rPr>
                <w:sz w:val="18"/>
                <w:szCs w:val="18"/>
                <w:color w:val="auto"/>
              </w:rPr>
            </w:pPr>
          </w:p>
        </w:tc>
        <w:tc>
          <w:tcPr>
            <w:tcW w:w="2840" w:type="dxa"/>
            <w:vAlign w:val="bottom"/>
          </w:tcPr>
          <w:p>
            <w:pPr>
              <w:ind w:left="280"/>
              <w:spacing w:after="0"/>
              <w:rPr>
                <w:sz w:val="20"/>
                <w:szCs w:val="20"/>
                <w:color w:val="auto"/>
              </w:rPr>
            </w:pPr>
            <w:r>
              <w:rPr>
                <w:rFonts w:ascii="Arial" w:cs="Arial" w:eastAsia="Arial" w:hAnsi="Arial"/>
                <w:sz w:val="16"/>
                <w:szCs w:val="16"/>
                <w:color w:val="auto"/>
              </w:rPr>
              <w:t>due 5/2024)</w:t>
            </w: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6"/>
        </w:trPr>
        <w:tc>
          <w:tcPr>
            <w:tcW w:w="2380" w:type="dxa"/>
            <w:vAlign w:val="bottom"/>
            <w:shd w:val="clear" w:color="auto" w:fill="CFF0FC"/>
          </w:tcPr>
          <w:p>
            <w:pPr>
              <w:spacing w:after="0"/>
              <w:rPr>
                <w:sz w:val="20"/>
                <w:szCs w:val="20"/>
                <w:color w:val="auto"/>
              </w:rPr>
            </w:pPr>
            <w:r>
              <w:rPr>
                <w:rFonts w:ascii="Arial" w:cs="Arial" w:eastAsia="Arial" w:hAnsi="Arial"/>
                <w:sz w:val="16"/>
                <w:szCs w:val="16"/>
                <w:color w:val="auto"/>
              </w:rPr>
              <w:t>Integrated Practice</w:t>
            </w:r>
          </w:p>
        </w:tc>
        <w:tc>
          <w:tcPr>
            <w:tcW w:w="2840" w:type="dxa"/>
            <w:vAlign w:val="bottom"/>
            <w:shd w:val="clear" w:color="auto" w:fill="CFF0FC"/>
          </w:tcPr>
          <w:p>
            <w:pPr>
              <w:ind w:left="280"/>
              <w:spacing w:after="0"/>
              <w:rPr>
                <w:sz w:val="20"/>
                <w:szCs w:val="20"/>
                <w:color w:val="auto"/>
              </w:rPr>
            </w:pPr>
            <w:r>
              <w:rPr>
                <w:rFonts w:ascii="Arial" w:cs="Arial" w:eastAsia="Arial" w:hAnsi="Arial"/>
                <w:sz w:val="16"/>
                <w:szCs w:val="16"/>
                <w:color w:val="auto"/>
              </w:rPr>
              <w:t>First-lien loan ($49,125 par, due</w:t>
            </w:r>
          </w:p>
        </w:tc>
        <w:tc>
          <w:tcPr>
            <w:tcW w:w="10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6/30/2017</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L + 7.50%</w:t>
            </w: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8.50%</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47,837</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50,722</w:t>
            </w:r>
          </w:p>
        </w:tc>
        <w:tc>
          <w:tcPr>
            <w:tcW w:w="2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4.2%</w:t>
            </w:r>
          </w:p>
        </w:tc>
      </w:tr>
      <w:tr>
        <w:trPr>
          <w:trHeight w:val="216"/>
        </w:trPr>
        <w:tc>
          <w:tcPr>
            <w:tcW w:w="2380" w:type="dxa"/>
            <w:vAlign w:val="bottom"/>
            <w:shd w:val="clear" w:color="auto" w:fill="CFF0FC"/>
          </w:tcPr>
          <w:p>
            <w:pPr>
              <w:ind w:left="120"/>
              <w:spacing w:after="0" w:line="216" w:lineRule="exact"/>
              <w:rPr>
                <w:sz w:val="20"/>
                <w:szCs w:val="20"/>
                <w:color w:val="auto"/>
              </w:rPr>
            </w:pPr>
            <w:r>
              <w:rPr>
                <w:rFonts w:ascii="Arial" w:cs="Arial" w:eastAsia="Arial" w:hAnsi="Arial"/>
                <w:sz w:val="15"/>
                <w:szCs w:val="15"/>
                <w:color w:val="auto"/>
              </w:rPr>
              <w:t xml:space="preserve">Solutions, Inc. </w:t>
            </w:r>
            <w:r>
              <w:rPr>
                <w:rFonts w:ascii="Arial" w:cs="Arial" w:eastAsia="Arial" w:hAnsi="Arial"/>
                <w:sz w:val="25"/>
                <w:szCs w:val="25"/>
                <w:color w:val="auto"/>
                <w:vertAlign w:val="superscript"/>
              </w:rPr>
              <w:t>(3)(5)</w:t>
            </w:r>
          </w:p>
        </w:tc>
        <w:tc>
          <w:tcPr>
            <w:tcW w:w="2840" w:type="dxa"/>
            <w:vAlign w:val="bottom"/>
            <w:shd w:val="clear" w:color="auto" w:fill="CFF0FC"/>
          </w:tcPr>
          <w:p>
            <w:pPr>
              <w:ind w:left="280"/>
              <w:spacing w:after="0"/>
              <w:rPr>
                <w:sz w:val="20"/>
                <w:szCs w:val="20"/>
                <w:color w:val="auto"/>
              </w:rPr>
            </w:pPr>
            <w:r>
              <w:rPr>
                <w:rFonts w:ascii="Arial" w:cs="Arial" w:eastAsia="Arial" w:hAnsi="Arial"/>
                <w:sz w:val="16"/>
                <w:szCs w:val="16"/>
                <w:color w:val="auto"/>
              </w:rPr>
              <w:t>10/2024)</w:t>
            </w:r>
          </w:p>
        </w:tc>
        <w:tc>
          <w:tcPr>
            <w:tcW w:w="10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3"/>
        </w:trPr>
        <w:tc>
          <w:tcPr>
            <w:tcW w:w="2380" w:type="dxa"/>
            <w:vAlign w:val="bottom"/>
          </w:tcPr>
          <w:p>
            <w:pPr>
              <w:spacing w:after="0"/>
              <w:rPr>
                <w:sz w:val="20"/>
                <w:szCs w:val="20"/>
                <w:color w:val="auto"/>
              </w:rPr>
            </w:pPr>
            <w:r>
              <w:rPr>
                <w:rFonts w:ascii="Arial" w:cs="Arial" w:eastAsia="Arial" w:hAnsi="Arial"/>
                <w:sz w:val="16"/>
                <w:szCs w:val="16"/>
                <w:color w:val="auto"/>
              </w:rPr>
              <w:t>Valant Medical Solutions,</w:t>
            </w:r>
          </w:p>
        </w:tc>
        <w:tc>
          <w:tcPr>
            <w:tcW w:w="2840" w:type="dxa"/>
            <w:vAlign w:val="bottom"/>
          </w:tcPr>
          <w:p>
            <w:pPr>
              <w:ind w:left="280"/>
              <w:spacing w:after="0"/>
              <w:rPr>
                <w:sz w:val="20"/>
                <w:szCs w:val="20"/>
                <w:color w:val="auto"/>
              </w:rPr>
            </w:pPr>
            <w:r>
              <w:rPr>
                <w:rFonts w:ascii="Arial" w:cs="Arial" w:eastAsia="Arial" w:hAnsi="Arial"/>
                <w:sz w:val="16"/>
                <w:szCs w:val="16"/>
                <w:color w:val="auto"/>
              </w:rPr>
              <w:t>First-lien loan ($29,076 par, due</w:t>
            </w: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4/8/2019</w:t>
            </w:r>
          </w:p>
        </w:tc>
        <w:tc>
          <w:tcPr>
            <w:tcW w:w="940" w:type="dxa"/>
            <w:vAlign w:val="bottom"/>
          </w:tcPr>
          <w:p>
            <w:pPr>
              <w:jc w:val="right"/>
              <w:spacing w:after="0"/>
              <w:rPr>
                <w:sz w:val="20"/>
                <w:szCs w:val="20"/>
                <w:color w:val="auto"/>
              </w:rPr>
            </w:pPr>
            <w:r>
              <w:rPr>
                <w:rFonts w:ascii="Arial" w:cs="Arial" w:eastAsia="Arial" w:hAnsi="Arial"/>
                <w:sz w:val="16"/>
                <w:szCs w:val="16"/>
                <w:color w:val="auto"/>
              </w:rPr>
              <w:t>L + 8.75%</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10.25%</w:t>
            </w:r>
          </w:p>
        </w:tc>
        <w:tc>
          <w:tcPr>
            <w:tcW w:w="800" w:type="dxa"/>
            <w:vAlign w:val="bottom"/>
          </w:tcPr>
          <w:p>
            <w:pPr>
              <w:jc w:val="right"/>
              <w:spacing w:after="0"/>
              <w:rPr>
                <w:sz w:val="20"/>
                <w:szCs w:val="20"/>
                <w:color w:val="auto"/>
              </w:rPr>
            </w:pPr>
            <w:r>
              <w:rPr>
                <w:rFonts w:ascii="Arial" w:cs="Arial" w:eastAsia="Arial" w:hAnsi="Arial"/>
                <w:sz w:val="16"/>
                <w:szCs w:val="16"/>
                <w:color w:val="auto"/>
              </w:rPr>
              <w:t>28,532</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29,610</w:t>
            </w:r>
          </w:p>
        </w:tc>
        <w:tc>
          <w:tcPr>
            <w:tcW w:w="2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2.4%</w:t>
            </w:r>
          </w:p>
        </w:tc>
      </w:tr>
      <w:tr>
        <w:trPr>
          <w:trHeight w:val="216"/>
        </w:trPr>
        <w:tc>
          <w:tcPr>
            <w:tcW w:w="2380" w:type="dxa"/>
            <w:vAlign w:val="bottom"/>
          </w:tcPr>
          <w:p>
            <w:pPr>
              <w:ind w:left="120"/>
              <w:spacing w:after="0" w:line="216" w:lineRule="exact"/>
              <w:rPr>
                <w:sz w:val="20"/>
                <w:szCs w:val="20"/>
                <w:color w:val="auto"/>
              </w:rPr>
            </w:pPr>
            <w:r>
              <w:rPr>
                <w:rFonts w:ascii="Arial" w:cs="Arial" w:eastAsia="Arial" w:hAnsi="Arial"/>
                <w:sz w:val="15"/>
                <w:szCs w:val="15"/>
                <w:color w:val="auto"/>
              </w:rPr>
              <w:t xml:space="preserve">Inc. </w:t>
            </w:r>
            <w:r>
              <w:rPr>
                <w:rFonts w:ascii="Arial" w:cs="Arial" w:eastAsia="Arial" w:hAnsi="Arial"/>
                <w:sz w:val="25"/>
                <w:szCs w:val="25"/>
                <w:color w:val="auto"/>
                <w:vertAlign w:val="superscript"/>
              </w:rPr>
              <w:t>(3)</w:t>
            </w:r>
          </w:p>
        </w:tc>
        <w:tc>
          <w:tcPr>
            <w:tcW w:w="2840" w:type="dxa"/>
            <w:vAlign w:val="bottom"/>
          </w:tcPr>
          <w:p>
            <w:pPr>
              <w:ind w:left="280"/>
              <w:spacing w:after="0"/>
              <w:rPr>
                <w:sz w:val="20"/>
                <w:szCs w:val="20"/>
                <w:color w:val="auto"/>
              </w:rPr>
            </w:pPr>
            <w:r>
              <w:rPr>
                <w:rFonts w:ascii="Arial" w:cs="Arial" w:eastAsia="Arial" w:hAnsi="Arial"/>
                <w:sz w:val="16"/>
                <w:szCs w:val="16"/>
                <w:color w:val="auto"/>
              </w:rPr>
              <w:t>4/2024)</w:t>
            </w: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6"/>
        </w:trPr>
        <w:tc>
          <w:tcPr>
            <w:tcW w:w="2380" w:type="dxa"/>
            <w:vAlign w:val="bottom"/>
            <w:shd w:val="clear" w:color="auto" w:fill="CFF0FC"/>
          </w:tcPr>
          <w:p>
            <w:pPr>
              <w:spacing w:after="0"/>
              <w:rPr>
                <w:sz w:val="17"/>
                <w:szCs w:val="17"/>
                <w:color w:val="auto"/>
              </w:rPr>
            </w:pPr>
          </w:p>
        </w:tc>
        <w:tc>
          <w:tcPr>
            <w:tcW w:w="2840" w:type="dxa"/>
            <w:vAlign w:val="bottom"/>
            <w:shd w:val="clear" w:color="auto" w:fill="CFF0FC"/>
          </w:tcPr>
          <w:p>
            <w:pPr>
              <w:ind w:left="280"/>
              <w:spacing w:after="0"/>
              <w:rPr>
                <w:sz w:val="20"/>
                <w:szCs w:val="20"/>
                <w:color w:val="auto"/>
              </w:rPr>
            </w:pPr>
            <w:r>
              <w:rPr>
                <w:rFonts w:ascii="Arial" w:cs="Arial" w:eastAsia="Arial" w:hAnsi="Arial"/>
                <w:sz w:val="16"/>
                <w:szCs w:val="16"/>
                <w:color w:val="auto"/>
                <w:w w:val="99"/>
              </w:rPr>
              <w:t>First-lien revolving loan ($1,500 par,</w:t>
            </w:r>
          </w:p>
        </w:tc>
        <w:tc>
          <w:tcPr>
            <w:tcW w:w="10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4/8/2019</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L + 8.75%</w:t>
            </w: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10.25%</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1,478</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1,535</w:t>
            </w:r>
          </w:p>
        </w:tc>
        <w:tc>
          <w:tcPr>
            <w:tcW w:w="2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0.1%</w:t>
            </w:r>
          </w:p>
        </w:tc>
      </w:tr>
      <w:tr>
        <w:trPr>
          <w:trHeight w:val="209"/>
        </w:trPr>
        <w:tc>
          <w:tcPr>
            <w:tcW w:w="2380" w:type="dxa"/>
            <w:vAlign w:val="bottom"/>
            <w:shd w:val="clear" w:color="auto" w:fill="CFF0FC"/>
          </w:tcPr>
          <w:p>
            <w:pPr>
              <w:spacing w:after="0"/>
              <w:rPr>
                <w:sz w:val="18"/>
                <w:szCs w:val="18"/>
                <w:color w:val="auto"/>
              </w:rPr>
            </w:pPr>
          </w:p>
        </w:tc>
        <w:tc>
          <w:tcPr>
            <w:tcW w:w="2840" w:type="dxa"/>
            <w:vAlign w:val="bottom"/>
            <w:shd w:val="clear" w:color="auto" w:fill="CFF0FC"/>
          </w:tcPr>
          <w:p>
            <w:pPr>
              <w:ind w:left="280"/>
              <w:spacing w:after="0"/>
              <w:rPr>
                <w:sz w:val="20"/>
                <w:szCs w:val="20"/>
                <w:color w:val="auto"/>
              </w:rPr>
            </w:pPr>
            <w:r>
              <w:rPr>
                <w:rFonts w:ascii="Arial" w:cs="Arial" w:eastAsia="Arial" w:hAnsi="Arial"/>
                <w:sz w:val="16"/>
                <w:szCs w:val="16"/>
                <w:color w:val="auto"/>
              </w:rPr>
              <w:t>due 4/2024)</w:t>
            </w:r>
          </w:p>
        </w:tc>
        <w:tc>
          <w:tcPr>
            <w:tcW w:w="10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0"/>
        </w:trPr>
        <w:tc>
          <w:tcPr>
            <w:tcW w:w="23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153,221</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169,627</w:t>
            </w:r>
          </w:p>
        </w:tc>
        <w:tc>
          <w:tcPr>
            <w:tcW w:w="2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13.9%</w:t>
            </w:r>
          </w:p>
        </w:tc>
      </w:tr>
      <w:tr>
        <w:trPr>
          <w:trHeight w:val="213"/>
        </w:trPr>
        <w:tc>
          <w:tcPr>
            <w:tcW w:w="2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Hotel, gaming, and leisure</w:t>
            </w:r>
          </w:p>
        </w:tc>
        <w:tc>
          <w:tcPr>
            <w:tcW w:w="284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r>
      <w:tr>
        <w:trPr>
          <w:trHeight w:val="206"/>
        </w:trPr>
        <w:tc>
          <w:tcPr>
            <w:tcW w:w="2380" w:type="dxa"/>
            <w:vAlign w:val="bottom"/>
          </w:tcPr>
          <w:p>
            <w:pPr>
              <w:spacing w:after="0" w:line="207" w:lineRule="exact"/>
              <w:rPr>
                <w:sz w:val="20"/>
                <w:szCs w:val="20"/>
                <w:color w:val="auto"/>
              </w:rPr>
            </w:pPr>
            <w:r>
              <w:rPr>
                <w:rFonts w:ascii="Arial" w:cs="Arial" w:eastAsia="Arial" w:hAnsi="Arial"/>
                <w:sz w:val="14"/>
                <w:szCs w:val="14"/>
                <w:color w:val="auto"/>
              </w:rPr>
              <w:t xml:space="preserve">Clubessential Holdings, LLC </w:t>
            </w:r>
            <w:r>
              <w:rPr>
                <w:rFonts w:ascii="Arial" w:cs="Arial" w:eastAsia="Arial" w:hAnsi="Arial"/>
                <w:sz w:val="23"/>
                <w:szCs w:val="23"/>
                <w:color w:val="auto"/>
                <w:vertAlign w:val="superscript"/>
              </w:rPr>
              <w:t>(3)</w:t>
            </w:r>
          </w:p>
        </w:tc>
        <w:tc>
          <w:tcPr>
            <w:tcW w:w="2840" w:type="dxa"/>
            <w:vAlign w:val="bottom"/>
          </w:tcPr>
          <w:p>
            <w:pPr>
              <w:ind w:left="280"/>
              <w:spacing w:after="0"/>
              <w:rPr>
                <w:sz w:val="20"/>
                <w:szCs w:val="20"/>
                <w:color w:val="auto"/>
              </w:rPr>
            </w:pPr>
            <w:r>
              <w:rPr>
                <w:rFonts w:ascii="Arial" w:cs="Arial" w:eastAsia="Arial" w:hAnsi="Arial"/>
                <w:sz w:val="16"/>
                <w:szCs w:val="16"/>
                <w:color w:val="auto"/>
              </w:rPr>
              <w:t>First-lien loan ($10,641 par, due</w:t>
            </w: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5/25/2021</w:t>
            </w:r>
          </w:p>
        </w:tc>
        <w:tc>
          <w:tcPr>
            <w:tcW w:w="940" w:type="dxa"/>
            <w:vAlign w:val="bottom"/>
          </w:tcPr>
          <w:p>
            <w:pPr>
              <w:jc w:val="right"/>
              <w:spacing w:after="0"/>
              <w:rPr>
                <w:sz w:val="20"/>
                <w:szCs w:val="20"/>
                <w:color w:val="auto"/>
              </w:rPr>
            </w:pPr>
            <w:r>
              <w:rPr>
                <w:rFonts w:ascii="Arial" w:cs="Arial" w:eastAsia="Arial" w:hAnsi="Arial"/>
                <w:sz w:val="16"/>
                <w:szCs w:val="16"/>
                <w:color w:val="auto"/>
              </w:rPr>
              <w:t>L + 6.25%</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7.25%</w:t>
            </w:r>
          </w:p>
        </w:tc>
        <w:tc>
          <w:tcPr>
            <w:tcW w:w="800" w:type="dxa"/>
            <w:vAlign w:val="bottom"/>
          </w:tcPr>
          <w:p>
            <w:pPr>
              <w:jc w:val="right"/>
              <w:spacing w:after="0"/>
              <w:rPr>
                <w:sz w:val="20"/>
                <w:szCs w:val="20"/>
                <w:color w:val="auto"/>
              </w:rPr>
            </w:pPr>
            <w:r>
              <w:rPr>
                <w:rFonts w:ascii="Arial" w:cs="Arial" w:eastAsia="Arial" w:hAnsi="Arial"/>
                <w:sz w:val="16"/>
                <w:szCs w:val="16"/>
                <w:color w:val="auto"/>
              </w:rPr>
              <w:t>10,435</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10,454</w:t>
            </w:r>
          </w:p>
        </w:tc>
        <w:tc>
          <w:tcPr>
            <w:tcW w:w="2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0.9%</w:t>
            </w:r>
          </w:p>
        </w:tc>
      </w:tr>
      <w:tr>
        <w:trPr>
          <w:trHeight w:val="209"/>
        </w:trPr>
        <w:tc>
          <w:tcPr>
            <w:tcW w:w="2380" w:type="dxa"/>
            <w:vAlign w:val="bottom"/>
          </w:tcPr>
          <w:p>
            <w:pPr>
              <w:spacing w:after="0"/>
              <w:rPr>
                <w:sz w:val="18"/>
                <w:szCs w:val="18"/>
                <w:color w:val="auto"/>
              </w:rPr>
            </w:pPr>
          </w:p>
        </w:tc>
        <w:tc>
          <w:tcPr>
            <w:tcW w:w="2840" w:type="dxa"/>
            <w:vAlign w:val="bottom"/>
          </w:tcPr>
          <w:p>
            <w:pPr>
              <w:ind w:left="280"/>
              <w:spacing w:after="0"/>
              <w:rPr>
                <w:sz w:val="20"/>
                <w:szCs w:val="20"/>
                <w:color w:val="auto"/>
              </w:rPr>
            </w:pPr>
            <w:r>
              <w:rPr>
                <w:rFonts w:ascii="Arial" w:cs="Arial" w:eastAsia="Arial" w:hAnsi="Arial"/>
                <w:sz w:val="16"/>
                <w:szCs w:val="16"/>
                <w:color w:val="auto"/>
              </w:rPr>
              <w:t>1/2024)</w:t>
            </w: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380" w:type="dxa"/>
            <w:vAlign w:val="bottom"/>
            <w:shd w:val="clear" w:color="auto" w:fill="CFF0FC"/>
          </w:tcPr>
          <w:p>
            <w:pPr>
              <w:spacing w:after="0"/>
              <w:rPr>
                <w:sz w:val="18"/>
                <w:szCs w:val="18"/>
                <w:color w:val="auto"/>
              </w:rPr>
            </w:pPr>
          </w:p>
        </w:tc>
        <w:tc>
          <w:tcPr>
            <w:tcW w:w="2840" w:type="dxa"/>
            <w:vAlign w:val="bottom"/>
            <w:shd w:val="clear" w:color="auto" w:fill="CFF0FC"/>
          </w:tcPr>
          <w:p>
            <w:pPr>
              <w:ind w:left="280"/>
              <w:spacing w:after="0"/>
              <w:rPr>
                <w:sz w:val="20"/>
                <w:szCs w:val="20"/>
                <w:color w:val="auto"/>
              </w:rPr>
            </w:pPr>
            <w:r>
              <w:rPr>
                <w:rFonts w:ascii="Arial" w:cs="Arial" w:eastAsia="Arial" w:hAnsi="Arial"/>
                <w:sz w:val="16"/>
                <w:szCs w:val="16"/>
                <w:color w:val="auto"/>
                <w:w w:val="99"/>
              </w:rPr>
              <w:t>First-lien loan (EUR 24,107 par, due</w:t>
            </w:r>
          </w:p>
        </w:tc>
        <w:tc>
          <w:tcPr>
            <w:tcW w:w="10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5/25/2021</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E + 6.25%</w:t>
            </w: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7.25%</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28,949</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28,089</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2.3%</w:t>
            </w:r>
          </w:p>
        </w:tc>
      </w:tr>
      <w:tr>
        <w:trPr>
          <w:trHeight w:val="203"/>
        </w:trPr>
        <w:tc>
          <w:tcPr>
            <w:tcW w:w="2380" w:type="dxa"/>
            <w:vAlign w:val="bottom"/>
            <w:shd w:val="clear" w:color="auto" w:fill="CFF0FC"/>
          </w:tcPr>
          <w:p>
            <w:pPr>
              <w:spacing w:after="0"/>
              <w:rPr>
                <w:sz w:val="17"/>
                <w:szCs w:val="17"/>
                <w:color w:val="auto"/>
              </w:rPr>
            </w:pPr>
          </w:p>
        </w:tc>
        <w:tc>
          <w:tcPr>
            <w:tcW w:w="2840" w:type="dxa"/>
            <w:vAlign w:val="bottom"/>
            <w:shd w:val="clear" w:color="auto" w:fill="CFF0FC"/>
          </w:tcPr>
          <w:p>
            <w:pPr>
              <w:ind w:left="280"/>
              <w:spacing w:after="0"/>
              <w:rPr>
                <w:sz w:val="20"/>
                <w:szCs w:val="20"/>
                <w:color w:val="auto"/>
              </w:rPr>
            </w:pPr>
            <w:r>
              <w:rPr>
                <w:rFonts w:ascii="Arial" w:cs="Arial" w:eastAsia="Arial" w:hAnsi="Arial"/>
                <w:sz w:val="16"/>
                <w:szCs w:val="16"/>
                <w:color w:val="auto"/>
              </w:rPr>
              <w:t>1/2024)</w:t>
            </w:r>
          </w:p>
        </w:tc>
        <w:tc>
          <w:tcPr>
            <w:tcW w:w="10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(EUR</w:t>
            </w:r>
          </w:p>
        </w:tc>
        <w:tc>
          <w:tcPr>
            <w:tcW w:w="7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12"/>
        </w:trPr>
        <w:tc>
          <w:tcPr>
            <w:tcW w:w="2380" w:type="dxa"/>
            <w:vAlign w:val="bottom"/>
            <w:shd w:val="clear" w:color="auto" w:fill="CFF0FC"/>
          </w:tcPr>
          <w:p>
            <w:pPr>
              <w:spacing w:after="0"/>
              <w:rPr>
                <w:sz w:val="18"/>
                <w:szCs w:val="18"/>
                <w:color w:val="auto"/>
              </w:rPr>
            </w:pPr>
          </w:p>
        </w:tc>
        <w:tc>
          <w:tcPr>
            <w:tcW w:w="28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23,685)</w:t>
            </w: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380" w:type="dxa"/>
            <w:vAlign w:val="bottom"/>
          </w:tcPr>
          <w:p>
            <w:pPr>
              <w:spacing w:after="0" w:line="207" w:lineRule="exact"/>
              <w:rPr>
                <w:sz w:val="20"/>
                <w:szCs w:val="20"/>
                <w:color w:val="auto"/>
              </w:rPr>
            </w:pPr>
            <w:r>
              <w:rPr>
                <w:rFonts w:ascii="Arial" w:cs="Arial" w:eastAsia="Arial" w:hAnsi="Arial"/>
                <w:sz w:val="14"/>
                <w:szCs w:val="14"/>
                <w:color w:val="auto"/>
              </w:rPr>
              <w:t xml:space="preserve">IRGSE Holding Corp. </w:t>
            </w:r>
            <w:r>
              <w:rPr>
                <w:rFonts w:ascii="Arial" w:cs="Arial" w:eastAsia="Arial" w:hAnsi="Arial"/>
                <w:sz w:val="23"/>
                <w:szCs w:val="23"/>
                <w:color w:val="auto"/>
                <w:vertAlign w:val="superscript"/>
              </w:rPr>
              <w:t>(3)(7)</w:t>
            </w:r>
          </w:p>
        </w:tc>
        <w:tc>
          <w:tcPr>
            <w:tcW w:w="2840" w:type="dxa"/>
            <w:vAlign w:val="bottom"/>
          </w:tcPr>
          <w:p>
            <w:pPr>
              <w:ind w:left="280"/>
              <w:spacing w:after="0"/>
              <w:rPr>
                <w:sz w:val="20"/>
                <w:szCs w:val="20"/>
                <w:color w:val="auto"/>
              </w:rPr>
            </w:pPr>
            <w:r>
              <w:rPr>
                <w:rFonts w:ascii="Arial" w:cs="Arial" w:eastAsia="Arial" w:hAnsi="Arial"/>
                <w:sz w:val="16"/>
                <w:szCs w:val="16"/>
                <w:color w:val="auto"/>
              </w:rPr>
              <w:t>First-lien loan ($30,261 par, due</w:t>
            </w: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9/29/2015</w:t>
            </w:r>
          </w:p>
        </w:tc>
        <w:tc>
          <w:tcPr>
            <w:tcW w:w="940" w:type="dxa"/>
            <w:vAlign w:val="bottom"/>
          </w:tcPr>
          <w:p>
            <w:pPr>
              <w:jc w:val="right"/>
              <w:spacing w:after="0"/>
              <w:rPr>
                <w:sz w:val="20"/>
                <w:szCs w:val="20"/>
                <w:color w:val="auto"/>
              </w:rPr>
            </w:pPr>
            <w:r>
              <w:rPr>
                <w:rFonts w:ascii="Arial" w:cs="Arial" w:eastAsia="Arial" w:hAnsi="Arial"/>
                <w:sz w:val="16"/>
                <w:szCs w:val="16"/>
                <w:color w:val="auto"/>
              </w:rPr>
              <w:t>L + 9.50%</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10.00%</w:t>
            </w:r>
          </w:p>
        </w:tc>
        <w:tc>
          <w:tcPr>
            <w:tcW w:w="800" w:type="dxa"/>
            <w:vAlign w:val="bottom"/>
          </w:tcPr>
          <w:p>
            <w:pPr>
              <w:jc w:val="right"/>
              <w:spacing w:after="0"/>
              <w:rPr>
                <w:sz w:val="20"/>
                <w:szCs w:val="20"/>
                <w:color w:val="auto"/>
              </w:rPr>
            </w:pPr>
            <w:r>
              <w:rPr>
                <w:rFonts w:ascii="Arial" w:cs="Arial" w:eastAsia="Arial" w:hAnsi="Arial"/>
                <w:sz w:val="16"/>
                <w:szCs w:val="16"/>
                <w:color w:val="auto"/>
              </w:rPr>
              <w:t>28,594</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29,580</w:t>
            </w:r>
          </w:p>
        </w:tc>
        <w:tc>
          <w:tcPr>
            <w:tcW w:w="2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2.4%</w:t>
            </w:r>
          </w:p>
        </w:tc>
      </w:tr>
      <w:tr>
        <w:trPr>
          <w:trHeight w:val="209"/>
        </w:trPr>
        <w:tc>
          <w:tcPr>
            <w:tcW w:w="2380" w:type="dxa"/>
            <w:vAlign w:val="bottom"/>
          </w:tcPr>
          <w:p>
            <w:pPr>
              <w:spacing w:after="0"/>
              <w:rPr>
                <w:sz w:val="18"/>
                <w:szCs w:val="18"/>
                <w:color w:val="auto"/>
              </w:rPr>
            </w:pPr>
          </w:p>
        </w:tc>
        <w:tc>
          <w:tcPr>
            <w:tcW w:w="2840" w:type="dxa"/>
            <w:vAlign w:val="bottom"/>
          </w:tcPr>
          <w:p>
            <w:pPr>
              <w:ind w:left="280"/>
              <w:spacing w:after="0"/>
              <w:rPr>
                <w:sz w:val="20"/>
                <w:szCs w:val="20"/>
                <w:color w:val="auto"/>
              </w:rPr>
            </w:pPr>
            <w:r>
              <w:rPr>
                <w:rFonts w:ascii="Arial" w:cs="Arial" w:eastAsia="Arial" w:hAnsi="Arial"/>
                <w:sz w:val="16"/>
                <w:szCs w:val="16"/>
                <w:color w:val="auto"/>
              </w:rPr>
              <w:t>9/2021)</w:t>
            </w: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380" w:type="dxa"/>
            <w:vAlign w:val="bottom"/>
            <w:shd w:val="clear" w:color="auto" w:fill="CFF0FC"/>
          </w:tcPr>
          <w:p>
            <w:pPr>
              <w:spacing w:after="0"/>
              <w:rPr>
                <w:sz w:val="18"/>
                <w:szCs w:val="18"/>
                <w:color w:val="auto"/>
              </w:rPr>
            </w:pPr>
          </w:p>
        </w:tc>
        <w:tc>
          <w:tcPr>
            <w:tcW w:w="2840" w:type="dxa"/>
            <w:vAlign w:val="bottom"/>
            <w:shd w:val="clear" w:color="auto" w:fill="CFF0FC"/>
          </w:tcPr>
          <w:p>
            <w:pPr>
              <w:ind w:left="280"/>
              <w:spacing w:after="0"/>
              <w:rPr>
                <w:sz w:val="20"/>
                <w:szCs w:val="20"/>
                <w:color w:val="auto"/>
              </w:rPr>
            </w:pPr>
            <w:r>
              <w:rPr>
                <w:rFonts w:ascii="Arial" w:cs="Arial" w:eastAsia="Arial" w:hAnsi="Arial"/>
                <w:sz w:val="16"/>
                <w:szCs w:val="16"/>
                <w:color w:val="auto"/>
                <w:w w:val="99"/>
              </w:rPr>
              <w:t>First-lien revolving loan ($9,817 par,</w:t>
            </w:r>
          </w:p>
        </w:tc>
        <w:tc>
          <w:tcPr>
            <w:tcW w:w="10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9/29/2015</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L + 9.50%</w:t>
            </w: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10.00%</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9,818</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9,557</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0.8%</w:t>
            </w:r>
          </w:p>
        </w:tc>
      </w:tr>
      <w:tr>
        <w:trPr>
          <w:trHeight w:val="209"/>
        </w:trPr>
        <w:tc>
          <w:tcPr>
            <w:tcW w:w="2380" w:type="dxa"/>
            <w:vAlign w:val="bottom"/>
            <w:shd w:val="clear" w:color="auto" w:fill="CFF0FC"/>
          </w:tcPr>
          <w:p>
            <w:pPr>
              <w:spacing w:after="0"/>
              <w:rPr>
                <w:sz w:val="18"/>
                <w:szCs w:val="18"/>
                <w:color w:val="auto"/>
              </w:rPr>
            </w:pPr>
          </w:p>
        </w:tc>
        <w:tc>
          <w:tcPr>
            <w:tcW w:w="2840" w:type="dxa"/>
            <w:vAlign w:val="bottom"/>
            <w:shd w:val="clear" w:color="auto" w:fill="CFF0FC"/>
          </w:tcPr>
          <w:p>
            <w:pPr>
              <w:ind w:left="280"/>
              <w:spacing w:after="0"/>
              <w:rPr>
                <w:sz w:val="20"/>
                <w:szCs w:val="20"/>
                <w:color w:val="auto"/>
              </w:rPr>
            </w:pPr>
            <w:r>
              <w:rPr>
                <w:rFonts w:ascii="Arial" w:cs="Arial" w:eastAsia="Arial" w:hAnsi="Arial"/>
                <w:sz w:val="16"/>
                <w:szCs w:val="16"/>
                <w:color w:val="auto"/>
              </w:rPr>
              <w:t>due 9/2021)</w:t>
            </w:r>
          </w:p>
        </w:tc>
        <w:tc>
          <w:tcPr>
            <w:tcW w:w="10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9"/>
        </w:trPr>
        <w:tc>
          <w:tcPr>
            <w:tcW w:w="23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77,796</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77,680</w:t>
            </w:r>
          </w:p>
        </w:tc>
        <w:tc>
          <w:tcPr>
            <w:tcW w:w="2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6.4%</w:t>
            </w:r>
          </w:p>
        </w:tc>
      </w:tr>
      <w:tr>
        <w:trPr>
          <w:trHeight w:val="213"/>
        </w:trPr>
        <w:tc>
          <w:tcPr>
            <w:tcW w:w="2380" w:type="dxa"/>
            <w:vAlign w:val="bottom"/>
            <w:tcBorders>
              <w:top w:val="single" w:sz="8" w:color="CFF0FC"/>
            </w:tcBorders>
            <w:shd w:val="clear" w:color="auto" w:fill="CFF0FC"/>
          </w:tcPr>
          <w:p>
            <w:pPr>
              <w:spacing w:after="0"/>
              <w:rPr>
                <w:sz w:val="18"/>
                <w:szCs w:val="18"/>
                <w:color w:val="auto"/>
              </w:rPr>
            </w:pPr>
          </w:p>
        </w:tc>
        <w:tc>
          <w:tcPr>
            <w:tcW w:w="284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3"/>
        </w:trPr>
        <w:tc>
          <w:tcPr>
            <w:tcW w:w="2460" w:type="dxa"/>
            <w:vAlign w:val="bottom"/>
          </w:tcPr>
          <w:p>
            <w:pPr>
              <w:spacing w:after="0"/>
              <w:rPr>
                <w:sz w:val="20"/>
                <w:szCs w:val="20"/>
                <w:color w:val="auto"/>
              </w:rPr>
            </w:pPr>
            <w:r>
              <w:rPr>
                <w:rFonts w:ascii="Arial" w:cs="Arial" w:eastAsia="Arial" w:hAnsi="Arial"/>
                <w:sz w:val="16"/>
                <w:szCs w:val="16"/>
                <w:b w:val="1"/>
                <w:bCs w:val="1"/>
                <w:color w:val="auto"/>
                <w:w w:val="94"/>
              </w:rPr>
              <w:t>Human resource support services</w:t>
            </w:r>
          </w:p>
        </w:tc>
        <w:tc>
          <w:tcPr>
            <w:tcW w:w="2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46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Axonify, Inc. </w:t>
            </w:r>
            <w:r>
              <w:rPr>
                <w:rFonts w:ascii="Arial" w:cs="Arial" w:eastAsia="Arial" w:hAnsi="Arial"/>
                <w:sz w:val="24"/>
                <w:szCs w:val="24"/>
                <w:color w:val="auto"/>
                <w:vertAlign w:val="superscript"/>
              </w:rPr>
              <w:t>(3)(4)(5)</w:t>
            </w:r>
          </w:p>
        </w:tc>
        <w:tc>
          <w:tcPr>
            <w:tcW w:w="26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First-lien loan ($29,925 par, due</w:t>
            </w:r>
          </w:p>
        </w:tc>
        <w:tc>
          <w:tcPr>
            <w:tcW w:w="10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5/5/2021</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+ 7.50%</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8.50%</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29,080</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29,060</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2.4%</w:t>
            </w:r>
          </w:p>
        </w:tc>
      </w:tr>
      <w:tr>
        <w:trPr>
          <w:trHeight w:val="212"/>
        </w:trPr>
        <w:tc>
          <w:tcPr>
            <w:tcW w:w="2460" w:type="dxa"/>
            <w:vAlign w:val="bottom"/>
            <w:shd w:val="clear" w:color="auto" w:fill="CFF0FC"/>
          </w:tcPr>
          <w:p>
            <w:pPr>
              <w:spacing w:after="0"/>
              <w:rPr>
                <w:sz w:val="18"/>
                <w:szCs w:val="18"/>
                <w:color w:val="auto"/>
              </w:rPr>
            </w:pPr>
          </w:p>
        </w:tc>
        <w:tc>
          <w:tcPr>
            <w:tcW w:w="26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5/2026)</w:t>
            </w:r>
          </w:p>
        </w:tc>
        <w:tc>
          <w:tcPr>
            <w:tcW w:w="10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460" w:type="dxa"/>
            <w:vAlign w:val="bottom"/>
          </w:tcPr>
          <w:p>
            <w:pPr>
              <w:spacing w:after="0" w:line="207" w:lineRule="exact"/>
              <w:rPr>
                <w:sz w:val="20"/>
                <w:szCs w:val="20"/>
                <w:color w:val="auto"/>
              </w:rPr>
            </w:pPr>
            <w:r>
              <w:rPr>
                <w:rFonts w:ascii="Arial" w:cs="Arial" w:eastAsia="Arial" w:hAnsi="Arial"/>
                <w:sz w:val="14"/>
                <w:szCs w:val="14"/>
                <w:color w:val="auto"/>
              </w:rPr>
              <w:t xml:space="preserve">ClearCompany, LLC </w:t>
            </w:r>
            <w:r>
              <w:rPr>
                <w:rFonts w:ascii="Arial" w:cs="Arial" w:eastAsia="Arial" w:hAnsi="Arial"/>
                <w:sz w:val="23"/>
                <w:szCs w:val="23"/>
                <w:color w:val="auto"/>
                <w:vertAlign w:val="superscript"/>
              </w:rPr>
              <w:t>(3)</w:t>
            </w:r>
          </w:p>
        </w:tc>
        <w:tc>
          <w:tcPr>
            <w:tcW w:w="2660" w:type="dxa"/>
            <w:vAlign w:val="bottom"/>
          </w:tcPr>
          <w:p>
            <w:pPr>
              <w:ind w:left="120"/>
              <w:spacing w:after="0"/>
              <w:rPr>
                <w:sz w:val="20"/>
                <w:szCs w:val="20"/>
                <w:color w:val="auto"/>
              </w:rPr>
            </w:pPr>
            <w:r>
              <w:rPr>
                <w:rFonts w:ascii="Arial" w:cs="Arial" w:eastAsia="Arial" w:hAnsi="Arial"/>
                <w:sz w:val="16"/>
                <w:szCs w:val="16"/>
                <w:color w:val="auto"/>
              </w:rPr>
              <w:t>First-lien loan ($20,310 par, due</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7/23/2018</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L + 8.75%</w:t>
            </w: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10.25%</w:t>
            </w:r>
          </w:p>
        </w:tc>
        <w:tc>
          <w:tcPr>
            <w:tcW w:w="800" w:type="dxa"/>
            <w:vAlign w:val="bottom"/>
          </w:tcPr>
          <w:p>
            <w:pPr>
              <w:jc w:val="right"/>
              <w:spacing w:after="0"/>
              <w:rPr>
                <w:sz w:val="20"/>
                <w:szCs w:val="20"/>
                <w:color w:val="auto"/>
              </w:rPr>
            </w:pPr>
            <w:r>
              <w:rPr>
                <w:rFonts w:ascii="Arial" w:cs="Arial" w:eastAsia="Arial" w:hAnsi="Arial"/>
                <w:sz w:val="16"/>
                <w:szCs w:val="16"/>
                <w:color w:val="auto"/>
              </w:rPr>
              <w:t>20,190</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20,462</w:t>
            </w:r>
          </w:p>
        </w:tc>
        <w:tc>
          <w:tcPr>
            <w:tcW w:w="22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1.7%</w:t>
            </w:r>
          </w:p>
        </w:tc>
      </w:tr>
      <w:tr>
        <w:trPr>
          <w:trHeight w:val="203"/>
        </w:trPr>
        <w:tc>
          <w:tcPr>
            <w:tcW w:w="2460" w:type="dxa"/>
            <w:vAlign w:val="bottom"/>
          </w:tcPr>
          <w:p>
            <w:pPr>
              <w:spacing w:after="0"/>
              <w:rPr>
                <w:sz w:val="17"/>
                <w:szCs w:val="17"/>
                <w:color w:val="auto"/>
              </w:rPr>
            </w:pPr>
          </w:p>
        </w:tc>
        <w:tc>
          <w:tcPr>
            <w:tcW w:w="2660" w:type="dxa"/>
            <w:vAlign w:val="bottom"/>
          </w:tcPr>
          <w:p>
            <w:pPr>
              <w:ind w:left="120"/>
              <w:spacing w:after="0"/>
              <w:rPr>
                <w:sz w:val="20"/>
                <w:szCs w:val="20"/>
                <w:color w:val="auto"/>
              </w:rPr>
            </w:pPr>
            <w:r>
              <w:rPr>
                <w:rFonts w:ascii="Arial" w:cs="Arial" w:eastAsia="Arial" w:hAnsi="Arial"/>
                <w:sz w:val="16"/>
                <w:szCs w:val="16"/>
                <w:color w:val="auto"/>
              </w:rPr>
              <w:t>7/2023)</w:t>
            </w: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(incl.</w:t>
            </w: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246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2.50%</w:t>
            </w: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9"/>
        </w:trPr>
        <w:tc>
          <w:tcPr>
            <w:tcW w:w="24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PIK)</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46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DaySmart Holdings, LLC </w:t>
            </w:r>
            <w:r>
              <w:rPr>
                <w:rFonts w:ascii="Arial" w:cs="Arial" w:eastAsia="Arial" w:hAnsi="Arial"/>
                <w:sz w:val="24"/>
                <w:szCs w:val="24"/>
                <w:color w:val="auto"/>
                <w:vertAlign w:val="superscript"/>
              </w:rPr>
              <w:t>(3)(5)</w:t>
            </w:r>
          </w:p>
        </w:tc>
        <w:tc>
          <w:tcPr>
            <w:tcW w:w="26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First-lien loan ($46,711 par, due</w:t>
            </w:r>
          </w:p>
        </w:tc>
        <w:tc>
          <w:tcPr>
            <w:tcW w:w="10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12/18/2020</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+ 7.25%</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8.75%</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46,591</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46,975</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3.8%</w:t>
            </w:r>
          </w:p>
        </w:tc>
      </w:tr>
      <w:tr>
        <w:trPr>
          <w:trHeight w:val="212"/>
        </w:trPr>
        <w:tc>
          <w:tcPr>
            <w:tcW w:w="2460" w:type="dxa"/>
            <w:vAlign w:val="bottom"/>
            <w:shd w:val="clear" w:color="auto" w:fill="CFF0FC"/>
          </w:tcPr>
          <w:p>
            <w:pPr>
              <w:spacing w:after="0"/>
              <w:rPr>
                <w:sz w:val="18"/>
                <w:szCs w:val="18"/>
                <w:color w:val="auto"/>
              </w:rPr>
            </w:pPr>
          </w:p>
        </w:tc>
        <w:tc>
          <w:tcPr>
            <w:tcW w:w="26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10/2025)</w:t>
            </w:r>
          </w:p>
        </w:tc>
        <w:tc>
          <w:tcPr>
            <w:tcW w:w="10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460" w:type="dxa"/>
            <w:vAlign w:val="bottom"/>
          </w:tcPr>
          <w:p>
            <w:pPr>
              <w:spacing w:after="0"/>
              <w:rPr>
                <w:sz w:val="17"/>
                <w:szCs w:val="17"/>
                <w:color w:val="auto"/>
              </w:rPr>
            </w:pPr>
          </w:p>
        </w:tc>
        <w:tc>
          <w:tcPr>
            <w:tcW w:w="2660" w:type="dxa"/>
            <w:vAlign w:val="bottom"/>
          </w:tcPr>
          <w:p>
            <w:pPr>
              <w:ind w:left="120"/>
              <w:spacing w:after="0"/>
              <w:rPr>
                <w:sz w:val="20"/>
                <w:szCs w:val="20"/>
                <w:color w:val="auto"/>
              </w:rPr>
            </w:pPr>
            <w:r>
              <w:rPr>
                <w:rFonts w:ascii="Arial" w:cs="Arial" w:eastAsia="Arial" w:hAnsi="Arial"/>
                <w:sz w:val="16"/>
                <w:szCs w:val="16"/>
                <w:color w:val="auto"/>
                <w:w w:val="98"/>
              </w:rPr>
              <w:t>First-lien revolving loan ($3,000 par,</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12/18/2020</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L + 7.25%</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8.75%</w:t>
            </w:r>
          </w:p>
        </w:tc>
        <w:tc>
          <w:tcPr>
            <w:tcW w:w="800" w:type="dxa"/>
            <w:vAlign w:val="bottom"/>
          </w:tcPr>
          <w:p>
            <w:pPr>
              <w:jc w:val="right"/>
              <w:spacing w:after="0"/>
              <w:rPr>
                <w:sz w:val="20"/>
                <w:szCs w:val="20"/>
                <w:color w:val="auto"/>
              </w:rPr>
            </w:pPr>
            <w:r>
              <w:rPr>
                <w:rFonts w:ascii="Arial" w:cs="Arial" w:eastAsia="Arial" w:hAnsi="Arial"/>
                <w:sz w:val="16"/>
                <w:szCs w:val="16"/>
                <w:color w:val="auto"/>
              </w:rPr>
              <w:t>3,003</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3,015</w:t>
            </w:r>
          </w:p>
        </w:tc>
        <w:tc>
          <w:tcPr>
            <w:tcW w:w="22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0.3%</w:t>
            </w:r>
          </w:p>
        </w:tc>
      </w:tr>
      <w:tr>
        <w:trPr>
          <w:trHeight w:val="209"/>
        </w:trPr>
        <w:tc>
          <w:tcPr>
            <w:tcW w:w="2460" w:type="dxa"/>
            <w:vAlign w:val="bottom"/>
          </w:tcPr>
          <w:p>
            <w:pPr>
              <w:spacing w:after="0"/>
              <w:rPr>
                <w:sz w:val="18"/>
                <w:szCs w:val="18"/>
                <w:color w:val="auto"/>
              </w:rPr>
            </w:pPr>
          </w:p>
        </w:tc>
        <w:tc>
          <w:tcPr>
            <w:tcW w:w="2660" w:type="dxa"/>
            <w:vAlign w:val="bottom"/>
          </w:tcPr>
          <w:p>
            <w:pPr>
              <w:ind w:left="120"/>
              <w:spacing w:after="0"/>
              <w:rPr>
                <w:sz w:val="20"/>
                <w:szCs w:val="20"/>
                <w:color w:val="auto"/>
              </w:rPr>
            </w:pPr>
            <w:r>
              <w:rPr>
                <w:rFonts w:ascii="Arial" w:cs="Arial" w:eastAsia="Arial" w:hAnsi="Arial"/>
                <w:sz w:val="16"/>
                <w:szCs w:val="16"/>
                <w:color w:val="auto"/>
              </w:rPr>
              <w:t>due 10/2025)</w:t>
            </w: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46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PageUp People, Ltd. </w:t>
            </w:r>
            <w:r>
              <w:rPr>
                <w:rFonts w:ascii="Arial" w:cs="Arial" w:eastAsia="Arial" w:hAnsi="Arial"/>
                <w:sz w:val="24"/>
                <w:szCs w:val="24"/>
                <w:color w:val="auto"/>
                <w:vertAlign w:val="superscript"/>
              </w:rPr>
              <w:t>(3)(4)</w:t>
            </w:r>
          </w:p>
        </w:tc>
        <w:tc>
          <w:tcPr>
            <w:tcW w:w="2660" w:type="dxa"/>
            <w:vAlign w:val="bottom"/>
            <w:shd w:val="clear" w:color="auto" w:fill="CFF0FC"/>
          </w:tcPr>
          <w:p>
            <w:pPr>
              <w:ind w:left="120"/>
              <w:spacing w:after="0"/>
              <w:rPr>
                <w:sz w:val="20"/>
                <w:szCs w:val="20"/>
                <w:color w:val="auto"/>
              </w:rPr>
            </w:pPr>
            <w:r>
              <w:rPr>
                <w:rFonts w:ascii="Arial" w:cs="Arial" w:eastAsia="Arial" w:hAnsi="Arial"/>
                <w:sz w:val="16"/>
                <w:szCs w:val="16"/>
                <w:color w:val="auto"/>
                <w:w w:val="98"/>
              </w:rPr>
              <w:t>First-lien loan (AUD 51,172 par, due</w:t>
            </w:r>
          </w:p>
        </w:tc>
        <w:tc>
          <w:tcPr>
            <w:tcW w:w="10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1/11/2018</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B + 7.25%</w:t>
            </w:r>
          </w:p>
        </w:tc>
        <w:tc>
          <w:tcPr>
            <w:tcW w:w="9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8.50%</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39,370</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38,628</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3.2%</w:t>
            </w:r>
          </w:p>
        </w:tc>
      </w:tr>
      <w:tr>
        <w:trPr>
          <w:trHeight w:val="203"/>
        </w:trPr>
        <w:tc>
          <w:tcPr>
            <w:tcW w:w="2460" w:type="dxa"/>
            <w:vAlign w:val="bottom"/>
            <w:shd w:val="clear" w:color="auto" w:fill="CFF0FC"/>
          </w:tcPr>
          <w:p>
            <w:pPr>
              <w:spacing w:after="0"/>
              <w:rPr>
                <w:sz w:val="17"/>
                <w:szCs w:val="17"/>
                <w:color w:val="auto"/>
              </w:rPr>
            </w:pPr>
          </w:p>
        </w:tc>
        <w:tc>
          <w:tcPr>
            <w:tcW w:w="26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12/2022)</w:t>
            </w:r>
          </w:p>
        </w:tc>
        <w:tc>
          <w:tcPr>
            <w:tcW w:w="10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(incl.</w:t>
            </w:r>
          </w:p>
        </w:tc>
        <w:tc>
          <w:tcPr>
            <w:tcW w:w="800" w:type="dxa"/>
            <w:vAlign w:val="bottom"/>
            <w:shd w:val="clear" w:color="auto" w:fill="CFF0FC"/>
          </w:tcPr>
          <w:p>
            <w:pPr>
              <w:spacing w:after="0"/>
              <w:rPr>
                <w:sz w:val="17"/>
                <w:szCs w:val="17"/>
                <w:color w:val="auto"/>
              </w:rPr>
            </w:pPr>
          </w:p>
        </w:tc>
        <w:tc>
          <w:tcPr>
            <w:tcW w:w="1380" w:type="dxa"/>
            <w:vAlign w:val="bottom"/>
            <w:gridSpan w:val="3"/>
            <w:shd w:val="clear" w:color="auto" w:fill="CFF0FC"/>
          </w:tcPr>
          <w:p>
            <w:pPr>
              <w:ind w:left="220"/>
              <w:spacing w:after="0"/>
              <w:rPr>
                <w:sz w:val="20"/>
                <w:szCs w:val="20"/>
                <w:color w:val="auto"/>
              </w:rPr>
            </w:pPr>
            <w:r>
              <w:rPr>
                <w:rFonts w:ascii="Arial" w:cs="Arial" w:eastAsia="Arial" w:hAnsi="Arial"/>
                <w:sz w:val="16"/>
                <w:szCs w:val="16"/>
                <w:color w:val="auto"/>
              </w:rPr>
              <w:t>(AUD 51,453)</w:t>
            </w:r>
          </w:p>
        </w:tc>
        <w:tc>
          <w:tcPr>
            <w:tcW w:w="7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03"/>
        </w:trPr>
        <w:tc>
          <w:tcPr>
            <w:tcW w:w="2460" w:type="dxa"/>
            <w:vAlign w:val="bottom"/>
            <w:shd w:val="clear" w:color="auto" w:fill="CFF0FC"/>
          </w:tcPr>
          <w:p>
            <w:pPr>
              <w:spacing w:after="0"/>
              <w:rPr>
                <w:sz w:val="17"/>
                <w:szCs w:val="17"/>
                <w:color w:val="auto"/>
              </w:rPr>
            </w:pPr>
          </w:p>
        </w:tc>
        <w:tc>
          <w:tcPr>
            <w:tcW w:w="26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1.25%</w:t>
            </w: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12"/>
        </w:trPr>
        <w:tc>
          <w:tcPr>
            <w:tcW w:w="2460" w:type="dxa"/>
            <w:vAlign w:val="bottom"/>
            <w:shd w:val="clear" w:color="auto" w:fill="CFF0FC"/>
          </w:tcPr>
          <w:p>
            <w:pPr>
              <w:spacing w:after="0"/>
              <w:rPr>
                <w:sz w:val="18"/>
                <w:szCs w:val="18"/>
                <w:color w:val="auto"/>
              </w:rPr>
            </w:pPr>
          </w:p>
        </w:tc>
        <w:tc>
          <w:tcPr>
            <w:tcW w:w="26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PIK)</w:t>
            </w: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460" w:type="dxa"/>
            <w:vAlign w:val="bottom"/>
          </w:tcPr>
          <w:p>
            <w:pPr>
              <w:spacing w:after="0" w:line="207" w:lineRule="exact"/>
              <w:rPr>
                <w:sz w:val="20"/>
                <w:szCs w:val="20"/>
                <w:color w:val="auto"/>
              </w:rPr>
            </w:pPr>
            <w:r>
              <w:rPr>
                <w:rFonts w:ascii="Arial" w:cs="Arial" w:eastAsia="Arial" w:hAnsi="Arial"/>
                <w:sz w:val="14"/>
                <w:szCs w:val="14"/>
                <w:color w:val="auto"/>
              </w:rPr>
              <w:t xml:space="preserve">PayScale Holdings, Inc. </w:t>
            </w:r>
            <w:r>
              <w:rPr>
                <w:rFonts w:ascii="Arial" w:cs="Arial" w:eastAsia="Arial" w:hAnsi="Arial"/>
                <w:sz w:val="23"/>
                <w:szCs w:val="23"/>
                <w:color w:val="auto"/>
                <w:vertAlign w:val="superscript"/>
              </w:rPr>
              <w:t>(3)(5)</w:t>
            </w:r>
          </w:p>
        </w:tc>
        <w:tc>
          <w:tcPr>
            <w:tcW w:w="2660" w:type="dxa"/>
            <w:vAlign w:val="bottom"/>
          </w:tcPr>
          <w:p>
            <w:pPr>
              <w:ind w:left="120"/>
              <w:spacing w:after="0"/>
              <w:rPr>
                <w:sz w:val="20"/>
                <w:szCs w:val="20"/>
                <w:color w:val="auto"/>
              </w:rPr>
            </w:pPr>
            <w:r>
              <w:rPr>
                <w:rFonts w:ascii="Arial" w:cs="Arial" w:eastAsia="Arial" w:hAnsi="Arial"/>
                <w:sz w:val="16"/>
                <w:szCs w:val="16"/>
                <w:color w:val="auto"/>
              </w:rPr>
              <w:t>First-lien loan ($69,825 par, due</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5/3/2019</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L + 6.00%</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7.00%</w:t>
            </w:r>
          </w:p>
        </w:tc>
        <w:tc>
          <w:tcPr>
            <w:tcW w:w="800" w:type="dxa"/>
            <w:vAlign w:val="bottom"/>
          </w:tcPr>
          <w:p>
            <w:pPr>
              <w:jc w:val="right"/>
              <w:spacing w:after="0"/>
              <w:rPr>
                <w:sz w:val="20"/>
                <w:szCs w:val="20"/>
                <w:color w:val="auto"/>
              </w:rPr>
            </w:pPr>
            <w:r>
              <w:rPr>
                <w:rFonts w:ascii="Arial" w:cs="Arial" w:eastAsia="Arial" w:hAnsi="Arial"/>
                <w:sz w:val="16"/>
                <w:szCs w:val="16"/>
                <w:color w:val="auto"/>
              </w:rPr>
              <w:t>68,647</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70,174</w:t>
            </w:r>
          </w:p>
        </w:tc>
        <w:tc>
          <w:tcPr>
            <w:tcW w:w="22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5.7%</w:t>
            </w:r>
          </w:p>
        </w:tc>
      </w:tr>
      <w:tr>
        <w:trPr>
          <w:trHeight w:val="209"/>
        </w:trPr>
        <w:tc>
          <w:tcPr>
            <w:tcW w:w="2460" w:type="dxa"/>
            <w:vAlign w:val="bottom"/>
          </w:tcPr>
          <w:p>
            <w:pPr>
              <w:spacing w:after="0"/>
              <w:rPr>
                <w:sz w:val="18"/>
                <w:szCs w:val="18"/>
                <w:color w:val="auto"/>
              </w:rPr>
            </w:pPr>
          </w:p>
        </w:tc>
        <w:tc>
          <w:tcPr>
            <w:tcW w:w="2660" w:type="dxa"/>
            <w:vAlign w:val="bottom"/>
          </w:tcPr>
          <w:p>
            <w:pPr>
              <w:ind w:left="120"/>
              <w:spacing w:after="0"/>
              <w:rPr>
                <w:sz w:val="20"/>
                <w:szCs w:val="20"/>
                <w:color w:val="auto"/>
              </w:rPr>
            </w:pPr>
            <w:r>
              <w:rPr>
                <w:rFonts w:ascii="Arial" w:cs="Arial" w:eastAsia="Arial" w:hAnsi="Arial"/>
                <w:sz w:val="16"/>
                <w:szCs w:val="16"/>
                <w:color w:val="auto"/>
              </w:rPr>
              <w:t>5/2024)</w:t>
            </w: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46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Modern Hire, Inc. </w:t>
            </w:r>
            <w:r>
              <w:rPr>
                <w:rFonts w:ascii="Arial" w:cs="Arial" w:eastAsia="Arial" w:hAnsi="Arial"/>
                <w:sz w:val="24"/>
                <w:szCs w:val="24"/>
                <w:color w:val="auto"/>
                <w:vertAlign w:val="superscript"/>
              </w:rPr>
              <w:t>(3)(5)</w:t>
            </w:r>
          </w:p>
        </w:tc>
        <w:tc>
          <w:tcPr>
            <w:tcW w:w="26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First-lien loan ($29,960 par, due</w:t>
            </w:r>
          </w:p>
        </w:tc>
        <w:tc>
          <w:tcPr>
            <w:tcW w:w="10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5/15/2019</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+ 7.00%</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8.50%</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29,442</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30,634</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2.5%</w:t>
            </w:r>
          </w:p>
        </w:tc>
      </w:tr>
      <w:tr>
        <w:trPr>
          <w:trHeight w:val="212"/>
        </w:trPr>
        <w:tc>
          <w:tcPr>
            <w:tcW w:w="2460" w:type="dxa"/>
            <w:vAlign w:val="bottom"/>
            <w:shd w:val="clear" w:color="auto" w:fill="CFF0FC"/>
          </w:tcPr>
          <w:p>
            <w:pPr>
              <w:spacing w:after="0"/>
              <w:rPr>
                <w:sz w:val="18"/>
                <w:szCs w:val="18"/>
                <w:color w:val="auto"/>
              </w:rPr>
            </w:pPr>
          </w:p>
        </w:tc>
        <w:tc>
          <w:tcPr>
            <w:tcW w:w="26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5/2024)</w:t>
            </w:r>
          </w:p>
        </w:tc>
        <w:tc>
          <w:tcPr>
            <w:tcW w:w="10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460" w:type="dxa"/>
            <w:vAlign w:val="bottom"/>
          </w:tcPr>
          <w:p>
            <w:pPr>
              <w:spacing w:after="0" w:line="207" w:lineRule="exact"/>
              <w:rPr>
                <w:sz w:val="20"/>
                <w:szCs w:val="20"/>
                <w:color w:val="auto"/>
              </w:rPr>
            </w:pPr>
            <w:r>
              <w:rPr>
                <w:rFonts w:ascii="Arial" w:cs="Arial" w:eastAsia="Arial" w:hAnsi="Arial"/>
                <w:sz w:val="14"/>
                <w:szCs w:val="14"/>
                <w:color w:val="auto"/>
              </w:rPr>
              <w:t xml:space="preserve">Workwell Acquisition Co. </w:t>
            </w:r>
            <w:r>
              <w:rPr>
                <w:rFonts w:ascii="Arial" w:cs="Arial" w:eastAsia="Arial" w:hAnsi="Arial"/>
                <w:sz w:val="23"/>
                <w:szCs w:val="23"/>
                <w:color w:val="auto"/>
                <w:vertAlign w:val="superscript"/>
              </w:rPr>
              <w:t>(3)(5)</w:t>
            </w:r>
          </w:p>
        </w:tc>
        <w:tc>
          <w:tcPr>
            <w:tcW w:w="2660" w:type="dxa"/>
            <w:vAlign w:val="bottom"/>
          </w:tcPr>
          <w:p>
            <w:pPr>
              <w:ind w:left="120"/>
              <w:spacing w:after="0"/>
              <w:rPr>
                <w:sz w:val="20"/>
                <w:szCs w:val="20"/>
                <w:color w:val="auto"/>
              </w:rPr>
            </w:pPr>
            <w:r>
              <w:rPr>
                <w:rFonts w:ascii="Arial" w:cs="Arial" w:eastAsia="Arial" w:hAnsi="Arial"/>
                <w:sz w:val="16"/>
                <w:szCs w:val="16"/>
                <w:color w:val="auto"/>
              </w:rPr>
              <w:t>First-lien loan ($19,850 par, due</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10/19/2020</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L + 7.50%</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8.50%</w:t>
            </w:r>
          </w:p>
        </w:tc>
        <w:tc>
          <w:tcPr>
            <w:tcW w:w="800" w:type="dxa"/>
            <w:vAlign w:val="bottom"/>
          </w:tcPr>
          <w:p>
            <w:pPr>
              <w:jc w:val="right"/>
              <w:spacing w:after="0"/>
              <w:rPr>
                <w:sz w:val="20"/>
                <w:szCs w:val="20"/>
                <w:color w:val="auto"/>
              </w:rPr>
            </w:pPr>
            <w:r>
              <w:rPr>
                <w:rFonts w:ascii="Arial" w:cs="Arial" w:eastAsia="Arial" w:hAnsi="Arial"/>
                <w:sz w:val="16"/>
                <w:szCs w:val="16"/>
                <w:color w:val="auto"/>
              </w:rPr>
              <w:t>19,227</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19,999</w:t>
            </w:r>
          </w:p>
        </w:tc>
        <w:tc>
          <w:tcPr>
            <w:tcW w:w="22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1.6%</w:t>
            </w:r>
          </w:p>
        </w:tc>
      </w:tr>
      <w:tr>
        <w:trPr>
          <w:trHeight w:val="209"/>
        </w:trPr>
        <w:tc>
          <w:tcPr>
            <w:tcW w:w="2460" w:type="dxa"/>
            <w:vAlign w:val="bottom"/>
            <w:tcBorders>
              <w:bottom w:val="single" w:sz="8" w:color="CFF0FC"/>
            </w:tcBorders>
          </w:tcPr>
          <w:p>
            <w:pPr>
              <w:spacing w:after="0"/>
              <w:rPr>
                <w:sz w:val="18"/>
                <w:szCs w:val="18"/>
                <w:color w:val="auto"/>
              </w:rPr>
            </w:pPr>
          </w:p>
        </w:tc>
        <w:tc>
          <w:tcPr>
            <w:tcW w:w="2660" w:type="dxa"/>
            <w:vAlign w:val="bottom"/>
            <w:tcBorders>
              <w:bottom w:val="single" w:sz="8" w:color="CFF0FC"/>
            </w:tcBorders>
          </w:tcPr>
          <w:p>
            <w:pPr>
              <w:ind w:left="120"/>
              <w:spacing w:after="0"/>
              <w:rPr>
                <w:sz w:val="20"/>
                <w:szCs w:val="20"/>
                <w:color w:val="auto"/>
              </w:rPr>
            </w:pPr>
            <w:r>
              <w:rPr>
                <w:rFonts w:ascii="Arial" w:cs="Arial" w:eastAsia="Arial" w:hAnsi="Arial"/>
                <w:sz w:val="16"/>
                <w:szCs w:val="16"/>
                <w:color w:val="auto"/>
              </w:rPr>
              <w:t>10/2025)</w:t>
            </w:r>
          </w:p>
        </w:tc>
        <w:tc>
          <w:tcPr>
            <w:tcW w:w="1040" w:type="dxa"/>
            <w:vAlign w:val="bottom"/>
            <w:tcBorders>
              <w:bottom w:val="single" w:sz="8" w:color="CFF0FC"/>
            </w:tcBorders>
          </w:tcPr>
          <w:p>
            <w:pPr>
              <w:spacing w:after="0"/>
              <w:rPr>
                <w:sz w:val="18"/>
                <w:szCs w:val="18"/>
                <w:color w:val="auto"/>
              </w:rPr>
            </w:pPr>
          </w:p>
        </w:tc>
        <w:tc>
          <w:tcPr>
            <w:tcW w:w="1060" w:type="dxa"/>
            <w:vAlign w:val="bottom"/>
            <w:tcBorders>
              <w:bottom w:val="single" w:sz="8" w:color="CFF0FC"/>
            </w:tcBorders>
          </w:tcPr>
          <w:p>
            <w:pPr>
              <w:spacing w:after="0"/>
              <w:rPr>
                <w:sz w:val="18"/>
                <w:szCs w:val="18"/>
                <w:color w:val="auto"/>
              </w:rPr>
            </w:pPr>
          </w:p>
        </w:tc>
        <w:tc>
          <w:tcPr>
            <w:tcW w:w="960" w:type="dxa"/>
            <w:vAlign w:val="bottom"/>
            <w:tcBorders>
              <w:bottom w:val="single" w:sz="8" w:color="CFF0FC"/>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r>
      <w:tr>
        <w:trPr>
          <w:trHeight w:val="212"/>
        </w:trPr>
        <w:tc>
          <w:tcPr>
            <w:tcW w:w="2460" w:type="dxa"/>
            <w:vAlign w:val="bottom"/>
            <w:shd w:val="clear" w:color="auto" w:fill="CFF0FC"/>
          </w:tcPr>
          <w:p>
            <w:pPr>
              <w:spacing w:after="0"/>
              <w:rPr>
                <w:sz w:val="18"/>
                <w:szCs w:val="18"/>
                <w:color w:val="auto"/>
              </w:rPr>
            </w:pPr>
          </w:p>
        </w:tc>
        <w:tc>
          <w:tcPr>
            <w:tcW w:w="26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255,550</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258,947</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21.2%</w:t>
            </w:r>
          </w:p>
        </w:tc>
      </w:tr>
      <w:tr>
        <w:trPr>
          <w:trHeight w:val="207"/>
        </w:trPr>
        <w:tc>
          <w:tcPr>
            <w:tcW w:w="2460" w:type="dxa"/>
            <w:vAlign w:val="bottom"/>
          </w:tcPr>
          <w:p>
            <w:pPr>
              <w:spacing w:after="0"/>
              <w:rPr>
                <w:sz w:val="20"/>
                <w:szCs w:val="20"/>
                <w:color w:val="auto"/>
              </w:rPr>
            </w:pPr>
            <w:r>
              <w:rPr>
                <w:rFonts w:ascii="Arial" w:cs="Arial" w:eastAsia="Arial" w:hAnsi="Arial"/>
                <w:sz w:val="16"/>
                <w:szCs w:val="16"/>
                <w:b w:val="1"/>
                <w:bCs w:val="1"/>
                <w:color w:val="auto"/>
              </w:rPr>
              <w:t>Insurance</w:t>
            </w:r>
          </w:p>
        </w:tc>
        <w:tc>
          <w:tcPr>
            <w:tcW w:w="26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09"/>
        </w:trPr>
        <w:tc>
          <w:tcPr>
            <w:tcW w:w="246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Riskonnect, Inc. </w:t>
            </w:r>
            <w:r>
              <w:rPr>
                <w:rFonts w:ascii="Arial" w:cs="Arial" w:eastAsia="Arial" w:hAnsi="Arial"/>
                <w:sz w:val="24"/>
                <w:szCs w:val="24"/>
                <w:color w:val="auto"/>
                <w:vertAlign w:val="superscript"/>
              </w:rPr>
              <w:t>(3)(5)</w:t>
            </w:r>
          </w:p>
        </w:tc>
        <w:tc>
          <w:tcPr>
            <w:tcW w:w="26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First-lien loan ($50,379 par, due</w:t>
            </w:r>
          </w:p>
        </w:tc>
        <w:tc>
          <w:tcPr>
            <w:tcW w:w="10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6/30/2017</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+ 7.00%</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8.25%</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50,058</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51,009</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4.2%</w:t>
            </w:r>
          </w:p>
        </w:tc>
      </w:tr>
      <w:tr>
        <w:trPr>
          <w:trHeight w:val="212"/>
        </w:trPr>
        <w:tc>
          <w:tcPr>
            <w:tcW w:w="2460" w:type="dxa"/>
            <w:vAlign w:val="bottom"/>
            <w:shd w:val="clear" w:color="auto" w:fill="CFF0FC"/>
          </w:tcPr>
          <w:p>
            <w:pPr>
              <w:spacing w:after="0"/>
              <w:rPr>
                <w:sz w:val="18"/>
                <w:szCs w:val="18"/>
                <w:color w:val="auto"/>
              </w:rPr>
            </w:pPr>
          </w:p>
        </w:tc>
        <w:tc>
          <w:tcPr>
            <w:tcW w:w="26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10/2023)</w:t>
            </w:r>
          </w:p>
        </w:tc>
        <w:tc>
          <w:tcPr>
            <w:tcW w:w="10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3"/>
        </w:trPr>
        <w:tc>
          <w:tcPr>
            <w:tcW w:w="2460" w:type="dxa"/>
            <w:vAlign w:val="bottom"/>
          </w:tcPr>
          <w:p>
            <w:pPr>
              <w:spacing w:after="0"/>
              <w:rPr>
                <w:sz w:val="20"/>
                <w:szCs w:val="20"/>
                <w:color w:val="auto"/>
              </w:rPr>
            </w:pPr>
            <w:r>
              <w:rPr>
                <w:rFonts w:ascii="Arial" w:cs="Arial" w:eastAsia="Arial" w:hAnsi="Arial"/>
                <w:sz w:val="16"/>
                <w:szCs w:val="16"/>
                <w:b w:val="1"/>
                <w:bCs w:val="1"/>
                <w:color w:val="auto"/>
              </w:rPr>
              <w:t>Internet services</w:t>
            </w:r>
          </w:p>
        </w:tc>
        <w:tc>
          <w:tcPr>
            <w:tcW w:w="2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46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Higher Logic, LLC </w:t>
            </w:r>
            <w:r>
              <w:rPr>
                <w:rFonts w:ascii="Arial" w:cs="Arial" w:eastAsia="Arial" w:hAnsi="Arial"/>
                <w:sz w:val="24"/>
                <w:szCs w:val="24"/>
                <w:color w:val="auto"/>
                <w:vertAlign w:val="superscript"/>
              </w:rPr>
              <w:t>(3)(5)</w:t>
            </w:r>
          </w:p>
        </w:tc>
        <w:tc>
          <w:tcPr>
            <w:tcW w:w="26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First-lien loan ($53,723 par, due</w:t>
            </w:r>
          </w:p>
        </w:tc>
        <w:tc>
          <w:tcPr>
            <w:tcW w:w="10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6/18/2018</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+ 7.25%</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8.25%</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53,215</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54,260</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4.4%</w:t>
            </w:r>
          </w:p>
        </w:tc>
      </w:tr>
      <w:tr>
        <w:trPr>
          <w:trHeight w:val="212"/>
        </w:trPr>
        <w:tc>
          <w:tcPr>
            <w:tcW w:w="2460" w:type="dxa"/>
            <w:vAlign w:val="bottom"/>
            <w:shd w:val="clear" w:color="auto" w:fill="CFF0FC"/>
          </w:tcPr>
          <w:p>
            <w:pPr>
              <w:spacing w:after="0"/>
              <w:rPr>
                <w:sz w:val="18"/>
                <w:szCs w:val="18"/>
                <w:color w:val="auto"/>
              </w:rPr>
            </w:pPr>
          </w:p>
        </w:tc>
        <w:tc>
          <w:tcPr>
            <w:tcW w:w="26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1/2024)</w:t>
            </w:r>
          </w:p>
        </w:tc>
        <w:tc>
          <w:tcPr>
            <w:tcW w:w="10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3"/>
        </w:trPr>
        <w:tc>
          <w:tcPr>
            <w:tcW w:w="2460" w:type="dxa"/>
            <w:vAlign w:val="bottom"/>
          </w:tcPr>
          <w:p>
            <w:pPr>
              <w:spacing w:after="0"/>
              <w:rPr>
                <w:sz w:val="20"/>
                <w:szCs w:val="20"/>
                <w:color w:val="auto"/>
              </w:rPr>
            </w:pPr>
            <w:r>
              <w:rPr>
                <w:rFonts w:ascii="Arial" w:cs="Arial" w:eastAsia="Arial" w:hAnsi="Arial"/>
                <w:sz w:val="16"/>
                <w:szCs w:val="16"/>
                <w:color w:val="auto"/>
              </w:rPr>
              <w:t>Lithium Technologies,</w:t>
            </w:r>
          </w:p>
        </w:tc>
        <w:tc>
          <w:tcPr>
            <w:tcW w:w="2660" w:type="dxa"/>
            <w:vAlign w:val="bottom"/>
          </w:tcPr>
          <w:p>
            <w:pPr>
              <w:ind w:left="120"/>
              <w:spacing w:after="0"/>
              <w:rPr>
                <w:sz w:val="20"/>
                <w:szCs w:val="20"/>
                <w:color w:val="auto"/>
              </w:rPr>
            </w:pPr>
            <w:r>
              <w:rPr>
                <w:rFonts w:ascii="Arial" w:cs="Arial" w:eastAsia="Arial" w:hAnsi="Arial"/>
                <w:sz w:val="16"/>
                <w:szCs w:val="16"/>
                <w:color w:val="auto"/>
              </w:rPr>
              <w:t>First-lien loan ($54,700 par, due</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10/3/2017</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L + 8.00%</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9.00%</w:t>
            </w:r>
          </w:p>
        </w:tc>
        <w:tc>
          <w:tcPr>
            <w:tcW w:w="800" w:type="dxa"/>
            <w:vAlign w:val="bottom"/>
          </w:tcPr>
          <w:p>
            <w:pPr>
              <w:jc w:val="right"/>
              <w:spacing w:after="0"/>
              <w:rPr>
                <w:sz w:val="20"/>
                <w:szCs w:val="20"/>
                <w:color w:val="auto"/>
              </w:rPr>
            </w:pPr>
            <w:r>
              <w:rPr>
                <w:rFonts w:ascii="Arial" w:cs="Arial" w:eastAsia="Arial" w:hAnsi="Arial"/>
                <w:sz w:val="16"/>
                <w:szCs w:val="16"/>
                <w:color w:val="auto"/>
              </w:rPr>
              <w:t>54,315</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53,830</w:t>
            </w:r>
          </w:p>
        </w:tc>
        <w:tc>
          <w:tcPr>
            <w:tcW w:w="22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4.4%</w:t>
            </w:r>
          </w:p>
        </w:tc>
      </w:tr>
      <w:tr>
        <w:trPr>
          <w:trHeight w:val="213"/>
        </w:trPr>
        <w:tc>
          <w:tcPr>
            <w:tcW w:w="2460" w:type="dxa"/>
            <w:vAlign w:val="bottom"/>
          </w:tcPr>
          <w:p>
            <w:pPr>
              <w:ind w:left="120"/>
              <w:spacing w:after="0"/>
              <w:rPr>
                <w:sz w:val="20"/>
                <w:szCs w:val="20"/>
                <w:color w:val="auto"/>
              </w:rPr>
            </w:pPr>
            <w:r>
              <w:rPr>
                <w:rFonts w:ascii="Arial" w:cs="Arial" w:eastAsia="Arial" w:hAnsi="Arial"/>
                <w:sz w:val="16"/>
                <w:szCs w:val="16"/>
                <w:color w:val="auto"/>
              </w:rPr>
              <w:t xml:space="preserve">LLC </w:t>
            </w:r>
            <w:r>
              <w:rPr>
                <w:rFonts w:ascii="Arial" w:cs="Arial" w:eastAsia="Arial" w:hAnsi="Arial"/>
                <w:sz w:val="13"/>
                <w:szCs w:val="13"/>
                <w:color w:val="auto"/>
              </w:rPr>
              <w:t>(3)</w:t>
            </w:r>
          </w:p>
        </w:tc>
        <w:tc>
          <w:tcPr>
            <w:tcW w:w="2660" w:type="dxa"/>
            <w:vAlign w:val="bottom"/>
          </w:tcPr>
          <w:p>
            <w:pPr>
              <w:ind w:left="120"/>
              <w:spacing w:after="0"/>
              <w:rPr>
                <w:sz w:val="20"/>
                <w:szCs w:val="20"/>
                <w:color w:val="auto"/>
              </w:rPr>
            </w:pPr>
            <w:r>
              <w:rPr>
                <w:rFonts w:ascii="Arial" w:cs="Arial" w:eastAsia="Arial" w:hAnsi="Arial"/>
                <w:sz w:val="16"/>
                <w:szCs w:val="16"/>
                <w:color w:val="auto"/>
              </w:rPr>
              <w:t>10/2022)</w:t>
            </w: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46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Lucidworks, Inc. </w:t>
            </w:r>
            <w:r>
              <w:rPr>
                <w:rFonts w:ascii="Arial" w:cs="Arial" w:eastAsia="Arial" w:hAnsi="Arial"/>
                <w:sz w:val="24"/>
                <w:szCs w:val="24"/>
                <w:color w:val="auto"/>
                <w:vertAlign w:val="superscript"/>
              </w:rPr>
              <w:t>(9)</w:t>
            </w:r>
          </w:p>
        </w:tc>
        <w:tc>
          <w:tcPr>
            <w:tcW w:w="26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First-lien loan ($13,362 par, due</w:t>
            </w:r>
          </w:p>
        </w:tc>
        <w:tc>
          <w:tcPr>
            <w:tcW w:w="10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7/31/2019</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12.00%</w:t>
            </w:r>
          </w:p>
        </w:tc>
        <w:tc>
          <w:tcPr>
            <w:tcW w:w="9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12.00%</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13,266</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13,563</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1.1%</w:t>
            </w:r>
          </w:p>
        </w:tc>
      </w:tr>
      <w:tr>
        <w:trPr>
          <w:trHeight w:val="203"/>
        </w:trPr>
        <w:tc>
          <w:tcPr>
            <w:tcW w:w="2460" w:type="dxa"/>
            <w:vAlign w:val="bottom"/>
            <w:shd w:val="clear" w:color="auto" w:fill="CFF0FC"/>
          </w:tcPr>
          <w:p>
            <w:pPr>
              <w:spacing w:after="0"/>
              <w:rPr>
                <w:sz w:val="17"/>
                <w:szCs w:val="17"/>
                <w:color w:val="auto"/>
              </w:rPr>
            </w:pPr>
          </w:p>
        </w:tc>
        <w:tc>
          <w:tcPr>
            <w:tcW w:w="26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7/2024)</w:t>
            </w:r>
          </w:p>
        </w:tc>
        <w:tc>
          <w:tcPr>
            <w:tcW w:w="10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(incl.</w:t>
            </w: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03"/>
        </w:trPr>
        <w:tc>
          <w:tcPr>
            <w:tcW w:w="2460" w:type="dxa"/>
            <w:vAlign w:val="bottom"/>
            <w:shd w:val="clear" w:color="auto" w:fill="CFF0FC"/>
          </w:tcPr>
          <w:p>
            <w:pPr>
              <w:spacing w:after="0"/>
              <w:rPr>
                <w:sz w:val="17"/>
                <w:szCs w:val="17"/>
                <w:color w:val="auto"/>
              </w:rPr>
            </w:pPr>
          </w:p>
        </w:tc>
        <w:tc>
          <w:tcPr>
            <w:tcW w:w="26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7.00%</w:t>
            </w: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12"/>
        </w:trPr>
        <w:tc>
          <w:tcPr>
            <w:tcW w:w="2460" w:type="dxa"/>
            <w:vAlign w:val="bottom"/>
            <w:shd w:val="clear" w:color="auto" w:fill="CFF0FC"/>
          </w:tcPr>
          <w:p>
            <w:pPr>
              <w:spacing w:after="0"/>
              <w:rPr>
                <w:sz w:val="18"/>
                <w:szCs w:val="18"/>
                <w:color w:val="auto"/>
              </w:rPr>
            </w:pPr>
          </w:p>
        </w:tc>
        <w:tc>
          <w:tcPr>
            <w:tcW w:w="26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PIK)</w:t>
            </w: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460" w:type="dxa"/>
            <w:vAlign w:val="bottom"/>
          </w:tcPr>
          <w:p>
            <w:pPr>
              <w:spacing w:after="0" w:line="207" w:lineRule="exact"/>
              <w:rPr>
                <w:sz w:val="20"/>
                <w:szCs w:val="20"/>
                <w:color w:val="auto"/>
              </w:rPr>
            </w:pPr>
            <w:r>
              <w:rPr>
                <w:rFonts w:ascii="Arial" w:cs="Arial" w:eastAsia="Arial" w:hAnsi="Arial"/>
                <w:sz w:val="14"/>
                <w:szCs w:val="14"/>
                <w:color w:val="auto"/>
              </w:rPr>
              <w:t xml:space="preserve">Piano Software, Inc. </w:t>
            </w:r>
            <w:r>
              <w:rPr>
                <w:rFonts w:ascii="Arial" w:cs="Arial" w:eastAsia="Arial" w:hAnsi="Arial"/>
                <w:sz w:val="23"/>
                <w:szCs w:val="23"/>
                <w:color w:val="auto"/>
                <w:vertAlign w:val="superscript"/>
              </w:rPr>
              <w:t>(3)(5)</w:t>
            </w:r>
          </w:p>
        </w:tc>
        <w:tc>
          <w:tcPr>
            <w:tcW w:w="2660" w:type="dxa"/>
            <w:vAlign w:val="bottom"/>
          </w:tcPr>
          <w:p>
            <w:pPr>
              <w:ind w:left="120"/>
              <w:spacing w:after="0"/>
              <w:rPr>
                <w:sz w:val="20"/>
                <w:szCs w:val="20"/>
                <w:color w:val="auto"/>
              </w:rPr>
            </w:pPr>
            <w:r>
              <w:rPr>
                <w:rFonts w:ascii="Arial" w:cs="Arial" w:eastAsia="Arial" w:hAnsi="Arial"/>
                <w:sz w:val="16"/>
                <w:szCs w:val="16"/>
                <w:color w:val="auto"/>
              </w:rPr>
              <w:t>First-lien loan ($38,308 par, due</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2/25/2021</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L + 6.50%</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7.50%</w:t>
            </w:r>
          </w:p>
        </w:tc>
        <w:tc>
          <w:tcPr>
            <w:tcW w:w="800" w:type="dxa"/>
            <w:vAlign w:val="bottom"/>
          </w:tcPr>
          <w:p>
            <w:pPr>
              <w:jc w:val="right"/>
              <w:spacing w:after="0"/>
              <w:rPr>
                <w:sz w:val="20"/>
                <w:szCs w:val="20"/>
                <w:color w:val="auto"/>
              </w:rPr>
            </w:pPr>
            <w:r>
              <w:rPr>
                <w:rFonts w:ascii="Arial" w:cs="Arial" w:eastAsia="Arial" w:hAnsi="Arial"/>
                <w:sz w:val="16"/>
                <w:szCs w:val="16"/>
                <w:color w:val="auto"/>
              </w:rPr>
              <w:t>37,444</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37,541</w:t>
            </w:r>
          </w:p>
        </w:tc>
        <w:tc>
          <w:tcPr>
            <w:tcW w:w="22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3.1%</w:t>
            </w:r>
          </w:p>
        </w:tc>
      </w:tr>
      <w:tr>
        <w:trPr>
          <w:trHeight w:val="209"/>
        </w:trPr>
        <w:tc>
          <w:tcPr>
            <w:tcW w:w="2460" w:type="dxa"/>
            <w:vAlign w:val="bottom"/>
            <w:tcBorders>
              <w:bottom w:val="single" w:sz="8" w:color="CFF0FC"/>
            </w:tcBorders>
          </w:tcPr>
          <w:p>
            <w:pPr>
              <w:spacing w:after="0"/>
              <w:rPr>
                <w:sz w:val="18"/>
                <w:szCs w:val="18"/>
                <w:color w:val="auto"/>
              </w:rPr>
            </w:pPr>
          </w:p>
        </w:tc>
        <w:tc>
          <w:tcPr>
            <w:tcW w:w="2660" w:type="dxa"/>
            <w:vAlign w:val="bottom"/>
            <w:tcBorders>
              <w:bottom w:val="single" w:sz="8" w:color="CFF0FC"/>
            </w:tcBorders>
          </w:tcPr>
          <w:p>
            <w:pPr>
              <w:ind w:left="120"/>
              <w:spacing w:after="0"/>
              <w:rPr>
                <w:sz w:val="20"/>
                <w:szCs w:val="20"/>
                <w:color w:val="auto"/>
              </w:rPr>
            </w:pPr>
            <w:r>
              <w:rPr>
                <w:rFonts w:ascii="Arial" w:cs="Arial" w:eastAsia="Arial" w:hAnsi="Arial"/>
                <w:sz w:val="16"/>
                <w:szCs w:val="16"/>
                <w:color w:val="auto"/>
              </w:rPr>
              <w:t>2/2026)</w:t>
            </w:r>
          </w:p>
        </w:tc>
        <w:tc>
          <w:tcPr>
            <w:tcW w:w="1040" w:type="dxa"/>
            <w:vAlign w:val="bottom"/>
            <w:tcBorders>
              <w:bottom w:val="single" w:sz="8" w:color="CFF0FC"/>
            </w:tcBorders>
          </w:tcPr>
          <w:p>
            <w:pPr>
              <w:spacing w:after="0"/>
              <w:rPr>
                <w:sz w:val="18"/>
                <w:szCs w:val="18"/>
                <w:color w:val="auto"/>
              </w:rPr>
            </w:pPr>
          </w:p>
        </w:tc>
        <w:tc>
          <w:tcPr>
            <w:tcW w:w="1060" w:type="dxa"/>
            <w:vAlign w:val="bottom"/>
            <w:tcBorders>
              <w:bottom w:val="single" w:sz="8" w:color="CFF0FC"/>
            </w:tcBorders>
          </w:tcPr>
          <w:p>
            <w:pPr>
              <w:spacing w:after="0"/>
              <w:rPr>
                <w:sz w:val="18"/>
                <w:szCs w:val="18"/>
                <w:color w:val="auto"/>
              </w:rPr>
            </w:pPr>
          </w:p>
        </w:tc>
        <w:tc>
          <w:tcPr>
            <w:tcW w:w="960" w:type="dxa"/>
            <w:vAlign w:val="bottom"/>
            <w:tcBorders>
              <w:bottom w:val="single" w:sz="8" w:color="CFF0FC"/>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r>
      <w:tr>
        <w:trPr>
          <w:trHeight w:val="213"/>
        </w:trPr>
        <w:tc>
          <w:tcPr>
            <w:tcW w:w="2460" w:type="dxa"/>
            <w:vAlign w:val="bottom"/>
            <w:shd w:val="clear" w:color="auto" w:fill="CFF0FC"/>
          </w:tcPr>
          <w:p>
            <w:pPr>
              <w:spacing w:after="0"/>
              <w:rPr>
                <w:sz w:val="18"/>
                <w:szCs w:val="18"/>
                <w:color w:val="auto"/>
              </w:rPr>
            </w:pPr>
          </w:p>
        </w:tc>
        <w:tc>
          <w:tcPr>
            <w:tcW w:w="26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158,240</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159,194</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13.0%</w:t>
            </w:r>
          </w:p>
        </w:tc>
      </w:tr>
      <w:tr>
        <w:trPr>
          <w:trHeight w:val="207"/>
        </w:trPr>
        <w:tc>
          <w:tcPr>
            <w:tcW w:w="2460" w:type="dxa"/>
            <w:vAlign w:val="bottom"/>
          </w:tcPr>
          <w:p>
            <w:pPr>
              <w:spacing w:after="0"/>
              <w:rPr>
                <w:sz w:val="20"/>
                <w:szCs w:val="20"/>
                <w:color w:val="auto"/>
              </w:rPr>
            </w:pPr>
            <w:r>
              <w:rPr>
                <w:rFonts w:ascii="Arial" w:cs="Arial" w:eastAsia="Arial" w:hAnsi="Arial"/>
                <w:sz w:val="16"/>
                <w:szCs w:val="16"/>
                <w:b w:val="1"/>
                <w:bCs w:val="1"/>
                <w:color w:val="auto"/>
              </w:rPr>
              <w:t>Marketing Services</w:t>
            </w:r>
          </w:p>
        </w:tc>
        <w:tc>
          <w:tcPr>
            <w:tcW w:w="26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09"/>
        </w:trPr>
        <w:tc>
          <w:tcPr>
            <w:tcW w:w="246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Acoustic, L.P. </w:t>
            </w:r>
            <w:r>
              <w:rPr>
                <w:rFonts w:ascii="Arial" w:cs="Arial" w:eastAsia="Arial" w:hAnsi="Arial"/>
                <w:sz w:val="24"/>
                <w:szCs w:val="24"/>
                <w:color w:val="auto"/>
                <w:vertAlign w:val="superscript"/>
              </w:rPr>
              <w:t>(3)</w:t>
            </w:r>
          </w:p>
        </w:tc>
        <w:tc>
          <w:tcPr>
            <w:tcW w:w="26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First-lien note ($33,000 par, due</w:t>
            </w:r>
          </w:p>
        </w:tc>
        <w:tc>
          <w:tcPr>
            <w:tcW w:w="10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12/17/2019</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+ 7.00%</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8.50%</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32,454</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31,680</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2.6%</w:t>
            </w:r>
          </w:p>
        </w:tc>
      </w:tr>
      <w:tr>
        <w:trPr>
          <w:trHeight w:val="212"/>
        </w:trPr>
        <w:tc>
          <w:tcPr>
            <w:tcW w:w="2460" w:type="dxa"/>
            <w:vAlign w:val="bottom"/>
            <w:shd w:val="clear" w:color="auto" w:fill="CFF0FC"/>
          </w:tcPr>
          <w:p>
            <w:pPr>
              <w:spacing w:after="0"/>
              <w:rPr>
                <w:sz w:val="18"/>
                <w:szCs w:val="18"/>
                <w:color w:val="auto"/>
              </w:rPr>
            </w:pPr>
          </w:p>
        </w:tc>
        <w:tc>
          <w:tcPr>
            <w:tcW w:w="26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6/2024)</w:t>
            </w:r>
          </w:p>
        </w:tc>
        <w:tc>
          <w:tcPr>
            <w:tcW w:w="10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3"/>
        </w:trPr>
        <w:tc>
          <w:tcPr>
            <w:tcW w:w="2460" w:type="dxa"/>
            <w:vAlign w:val="bottom"/>
          </w:tcPr>
          <w:p>
            <w:pPr>
              <w:spacing w:after="0"/>
              <w:rPr>
                <w:sz w:val="20"/>
                <w:szCs w:val="20"/>
                <w:color w:val="auto"/>
              </w:rPr>
            </w:pPr>
            <w:r>
              <w:rPr>
                <w:rFonts w:ascii="Arial" w:cs="Arial" w:eastAsia="Arial" w:hAnsi="Arial"/>
                <w:sz w:val="16"/>
                <w:szCs w:val="16"/>
                <w:b w:val="1"/>
                <w:bCs w:val="1"/>
                <w:color w:val="auto"/>
              </w:rPr>
              <w:t>Office products</w:t>
            </w:r>
          </w:p>
        </w:tc>
        <w:tc>
          <w:tcPr>
            <w:tcW w:w="2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46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USR Parent, Inc. </w:t>
            </w:r>
            <w:r>
              <w:rPr>
                <w:rFonts w:ascii="Arial" w:cs="Arial" w:eastAsia="Arial" w:hAnsi="Arial"/>
                <w:sz w:val="24"/>
                <w:szCs w:val="24"/>
                <w:color w:val="auto"/>
                <w:vertAlign w:val="superscript"/>
              </w:rPr>
              <w:t>(3)(5)</w:t>
            </w:r>
          </w:p>
        </w:tc>
        <w:tc>
          <w:tcPr>
            <w:tcW w:w="26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ABL FILO term loan ($6,732 par,</w:t>
            </w:r>
          </w:p>
        </w:tc>
        <w:tc>
          <w:tcPr>
            <w:tcW w:w="10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9/12/2017</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+ 7.75%</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8.75%</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6,686</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6,766</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0.6%</w:t>
            </w:r>
          </w:p>
        </w:tc>
      </w:tr>
      <w:tr>
        <w:trPr>
          <w:trHeight w:val="212"/>
        </w:trPr>
        <w:tc>
          <w:tcPr>
            <w:tcW w:w="2460" w:type="dxa"/>
            <w:vAlign w:val="bottom"/>
            <w:shd w:val="clear" w:color="auto" w:fill="CFF0FC"/>
          </w:tcPr>
          <w:p>
            <w:pPr>
              <w:spacing w:after="0"/>
              <w:rPr>
                <w:sz w:val="18"/>
                <w:szCs w:val="18"/>
                <w:color w:val="auto"/>
              </w:rPr>
            </w:pPr>
          </w:p>
        </w:tc>
        <w:tc>
          <w:tcPr>
            <w:tcW w:w="26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due 9/2022)</w:t>
            </w:r>
          </w:p>
        </w:tc>
        <w:tc>
          <w:tcPr>
            <w:tcW w:w="10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3"/>
        </w:trPr>
        <w:tc>
          <w:tcPr>
            <w:tcW w:w="2460" w:type="dxa"/>
            <w:vAlign w:val="bottom"/>
          </w:tcPr>
          <w:p>
            <w:pPr>
              <w:spacing w:after="0"/>
              <w:rPr>
                <w:sz w:val="20"/>
                <w:szCs w:val="20"/>
                <w:color w:val="auto"/>
              </w:rPr>
            </w:pPr>
            <w:r>
              <w:rPr>
                <w:rFonts w:ascii="Arial" w:cs="Arial" w:eastAsia="Arial" w:hAnsi="Arial"/>
                <w:sz w:val="16"/>
                <w:szCs w:val="16"/>
                <w:b w:val="1"/>
                <w:bCs w:val="1"/>
                <w:color w:val="auto"/>
              </w:rPr>
              <w:t>Oil, gas and consumable fuels</w:t>
            </w:r>
          </w:p>
        </w:tc>
        <w:tc>
          <w:tcPr>
            <w:tcW w:w="2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6"/>
        </w:trPr>
        <w:tc>
          <w:tcPr>
            <w:tcW w:w="2460" w:type="dxa"/>
            <w:vAlign w:val="bottom"/>
            <w:shd w:val="clear" w:color="auto" w:fill="CFF0FC"/>
          </w:tcPr>
          <w:p>
            <w:pPr>
              <w:spacing w:after="0"/>
              <w:rPr>
                <w:sz w:val="20"/>
                <w:szCs w:val="20"/>
                <w:color w:val="auto"/>
              </w:rPr>
            </w:pPr>
            <w:r>
              <w:rPr>
                <w:rFonts w:ascii="Arial" w:cs="Arial" w:eastAsia="Arial" w:hAnsi="Arial"/>
                <w:sz w:val="16"/>
                <w:szCs w:val="16"/>
                <w:color w:val="auto"/>
              </w:rPr>
              <w:t>MD America Energy,</w:t>
            </w:r>
          </w:p>
        </w:tc>
        <w:tc>
          <w:tcPr>
            <w:tcW w:w="26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First-lien loan ($8,888 par, due</w:t>
            </w:r>
          </w:p>
        </w:tc>
        <w:tc>
          <w:tcPr>
            <w:tcW w:w="10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11/14/2018</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+ 7.75%</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9.25%</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8,888</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8,888</w:t>
            </w:r>
          </w:p>
        </w:tc>
        <w:tc>
          <w:tcPr>
            <w:tcW w:w="22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0.7%</w:t>
            </w:r>
          </w:p>
        </w:tc>
      </w:tr>
      <w:tr>
        <w:trPr>
          <w:trHeight w:val="216"/>
        </w:trPr>
        <w:tc>
          <w:tcPr>
            <w:tcW w:w="24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 xml:space="preserve">LLC </w:t>
            </w:r>
            <w:r>
              <w:rPr>
                <w:rFonts w:ascii="Arial" w:cs="Arial" w:eastAsia="Arial" w:hAnsi="Arial"/>
                <w:sz w:val="13"/>
                <w:szCs w:val="13"/>
                <w:color w:val="auto"/>
              </w:rPr>
              <w:t>(3)(6)</w:t>
            </w:r>
          </w:p>
        </w:tc>
        <w:tc>
          <w:tcPr>
            <w:tcW w:w="26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12/2024)</w:t>
            </w:r>
          </w:p>
        </w:tc>
        <w:tc>
          <w:tcPr>
            <w:tcW w:w="10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3"/>
        </w:trPr>
        <w:tc>
          <w:tcPr>
            <w:tcW w:w="2460" w:type="dxa"/>
            <w:vAlign w:val="bottom"/>
          </w:tcPr>
          <w:p>
            <w:pPr>
              <w:spacing w:after="0"/>
              <w:rPr>
                <w:sz w:val="20"/>
                <w:szCs w:val="20"/>
                <w:color w:val="auto"/>
              </w:rPr>
            </w:pPr>
            <w:r>
              <w:rPr>
                <w:rFonts w:ascii="Arial" w:cs="Arial" w:eastAsia="Arial" w:hAnsi="Arial"/>
                <w:sz w:val="16"/>
                <w:szCs w:val="16"/>
                <w:color w:val="auto"/>
              </w:rPr>
              <w:t>Mississippi Resources,</w:t>
            </w:r>
          </w:p>
        </w:tc>
        <w:tc>
          <w:tcPr>
            <w:tcW w:w="2660" w:type="dxa"/>
            <w:vAlign w:val="bottom"/>
          </w:tcPr>
          <w:p>
            <w:pPr>
              <w:ind w:left="120"/>
              <w:spacing w:after="0"/>
              <w:rPr>
                <w:sz w:val="20"/>
                <w:szCs w:val="20"/>
                <w:color w:val="auto"/>
              </w:rPr>
            </w:pPr>
            <w:r>
              <w:rPr>
                <w:rFonts w:ascii="Arial" w:cs="Arial" w:eastAsia="Arial" w:hAnsi="Arial"/>
                <w:sz w:val="16"/>
                <w:szCs w:val="16"/>
                <w:color w:val="auto"/>
              </w:rPr>
              <w:t>First-lien loan ($1,500 par, due</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6/29/2018</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P + 8.00%</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12.00%</w:t>
            </w:r>
          </w:p>
        </w:tc>
        <w:tc>
          <w:tcPr>
            <w:tcW w:w="800" w:type="dxa"/>
            <w:vAlign w:val="bottom"/>
          </w:tcPr>
          <w:p>
            <w:pPr>
              <w:jc w:val="right"/>
              <w:spacing w:after="0"/>
              <w:rPr>
                <w:sz w:val="20"/>
                <w:szCs w:val="20"/>
                <w:color w:val="auto"/>
              </w:rPr>
            </w:pPr>
            <w:r>
              <w:rPr>
                <w:rFonts w:ascii="Arial" w:cs="Arial" w:eastAsia="Arial" w:hAnsi="Arial"/>
                <w:sz w:val="16"/>
                <w:szCs w:val="16"/>
                <w:color w:val="auto"/>
              </w:rPr>
              <w:t>1,498</w:t>
            </w:r>
          </w:p>
        </w:tc>
        <w:tc>
          <w:tcPr>
            <w:tcW w:w="22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0.0%</w:t>
            </w:r>
          </w:p>
        </w:tc>
      </w:tr>
      <w:tr>
        <w:trPr>
          <w:trHeight w:val="213"/>
        </w:trPr>
        <w:tc>
          <w:tcPr>
            <w:tcW w:w="2460" w:type="dxa"/>
            <w:vAlign w:val="bottom"/>
          </w:tcPr>
          <w:p>
            <w:pPr>
              <w:ind w:left="120"/>
              <w:spacing w:after="0"/>
              <w:rPr>
                <w:sz w:val="20"/>
                <w:szCs w:val="20"/>
                <w:color w:val="auto"/>
              </w:rPr>
            </w:pPr>
            <w:r>
              <w:rPr>
                <w:rFonts w:ascii="Arial" w:cs="Arial" w:eastAsia="Arial" w:hAnsi="Arial"/>
                <w:sz w:val="16"/>
                <w:szCs w:val="16"/>
                <w:color w:val="auto"/>
              </w:rPr>
              <w:t xml:space="preserve">LLC </w:t>
            </w:r>
            <w:r>
              <w:rPr>
                <w:rFonts w:ascii="Arial" w:cs="Arial" w:eastAsia="Arial" w:hAnsi="Arial"/>
                <w:sz w:val="13"/>
                <w:szCs w:val="13"/>
                <w:color w:val="auto"/>
              </w:rPr>
              <w:t>(3)(7)(16)</w:t>
            </w:r>
          </w:p>
        </w:tc>
        <w:tc>
          <w:tcPr>
            <w:tcW w:w="2660" w:type="dxa"/>
            <w:vAlign w:val="bottom"/>
          </w:tcPr>
          <w:p>
            <w:pPr>
              <w:ind w:left="120"/>
              <w:spacing w:after="0"/>
              <w:rPr>
                <w:sz w:val="20"/>
                <w:szCs w:val="20"/>
                <w:color w:val="auto"/>
              </w:rPr>
            </w:pPr>
            <w:r>
              <w:rPr>
                <w:rFonts w:ascii="Arial" w:cs="Arial" w:eastAsia="Arial" w:hAnsi="Arial"/>
                <w:sz w:val="16"/>
                <w:szCs w:val="16"/>
                <w:color w:val="auto"/>
              </w:rPr>
              <w:t>12/2021)</w:t>
            </w: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6"/>
        </w:trPr>
        <w:tc>
          <w:tcPr>
            <w:tcW w:w="2460" w:type="dxa"/>
            <w:vAlign w:val="bottom"/>
            <w:shd w:val="clear" w:color="auto" w:fill="CFF0FC"/>
          </w:tcPr>
          <w:p>
            <w:pPr>
              <w:spacing w:after="0"/>
              <w:rPr>
                <w:sz w:val="20"/>
                <w:szCs w:val="20"/>
                <w:color w:val="auto"/>
              </w:rPr>
            </w:pPr>
            <w:r>
              <w:rPr>
                <w:rFonts w:ascii="Arial" w:cs="Arial" w:eastAsia="Arial" w:hAnsi="Arial"/>
                <w:sz w:val="16"/>
                <w:szCs w:val="16"/>
                <w:color w:val="auto"/>
              </w:rPr>
              <w:t>Verdad Resources Intermediate</w:t>
            </w:r>
          </w:p>
        </w:tc>
        <w:tc>
          <w:tcPr>
            <w:tcW w:w="26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First-lien loan ($25,233 par, due</w:t>
            </w:r>
          </w:p>
        </w:tc>
        <w:tc>
          <w:tcPr>
            <w:tcW w:w="10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4/10/2019</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+ 7.50%</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9.50%</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24,780</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25,641</w:t>
            </w:r>
          </w:p>
        </w:tc>
        <w:tc>
          <w:tcPr>
            <w:tcW w:w="22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2.1%</w:t>
            </w:r>
          </w:p>
        </w:tc>
      </w:tr>
      <w:tr>
        <w:trPr>
          <w:trHeight w:val="216"/>
        </w:trPr>
        <w:tc>
          <w:tcPr>
            <w:tcW w:w="2460" w:type="dxa"/>
            <w:vAlign w:val="bottom"/>
            <w:shd w:val="clear" w:color="auto" w:fill="CFF0FC"/>
          </w:tcPr>
          <w:p>
            <w:pPr>
              <w:ind w:left="120"/>
              <w:spacing w:after="0" w:line="216" w:lineRule="exact"/>
              <w:rPr>
                <w:sz w:val="20"/>
                <w:szCs w:val="20"/>
                <w:color w:val="auto"/>
              </w:rPr>
            </w:pPr>
            <w:r>
              <w:rPr>
                <w:rFonts w:ascii="Arial" w:cs="Arial" w:eastAsia="Arial" w:hAnsi="Arial"/>
                <w:sz w:val="15"/>
                <w:szCs w:val="15"/>
                <w:color w:val="auto"/>
              </w:rPr>
              <w:t xml:space="preserve">Holdings, LLC </w:t>
            </w:r>
            <w:r>
              <w:rPr>
                <w:rFonts w:ascii="Arial" w:cs="Arial" w:eastAsia="Arial" w:hAnsi="Arial"/>
                <w:sz w:val="25"/>
                <w:szCs w:val="25"/>
                <w:color w:val="auto"/>
                <w:vertAlign w:val="superscript"/>
              </w:rPr>
              <w:t>(3)</w:t>
            </w:r>
          </w:p>
        </w:tc>
        <w:tc>
          <w:tcPr>
            <w:tcW w:w="26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10/2024)</w:t>
            </w:r>
          </w:p>
        </w:tc>
        <w:tc>
          <w:tcPr>
            <w:tcW w:w="10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7"/>
        </w:trPr>
        <w:tc>
          <w:tcPr>
            <w:tcW w:w="246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35,166</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34,529</w:t>
            </w:r>
          </w:p>
        </w:tc>
        <w:tc>
          <w:tcPr>
            <w:tcW w:w="22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2.8%</w:t>
            </w:r>
          </w:p>
        </w:tc>
      </w:tr>
      <w:tr>
        <w:trPr>
          <w:trHeight w:val="213"/>
        </w:trPr>
        <w:tc>
          <w:tcPr>
            <w:tcW w:w="2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Other</w:t>
            </w:r>
          </w:p>
        </w:tc>
        <w:tc>
          <w:tcPr>
            <w:tcW w:w="266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r>
      <w:tr>
        <w:trPr>
          <w:trHeight w:val="206"/>
        </w:trPr>
        <w:tc>
          <w:tcPr>
            <w:tcW w:w="2460" w:type="dxa"/>
            <w:vAlign w:val="bottom"/>
          </w:tcPr>
          <w:p>
            <w:pPr>
              <w:spacing w:after="0" w:line="207" w:lineRule="exact"/>
              <w:rPr>
                <w:sz w:val="20"/>
                <w:szCs w:val="20"/>
                <w:color w:val="auto"/>
              </w:rPr>
            </w:pPr>
            <w:r>
              <w:rPr>
                <w:rFonts w:ascii="Arial" w:cs="Arial" w:eastAsia="Arial" w:hAnsi="Arial"/>
                <w:sz w:val="14"/>
                <w:szCs w:val="14"/>
                <w:color w:val="auto"/>
              </w:rPr>
              <w:t xml:space="preserve">Lexipol, LLC </w:t>
            </w:r>
            <w:r>
              <w:rPr>
                <w:rFonts w:ascii="Arial" w:cs="Arial" w:eastAsia="Arial" w:hAnsi="Arial"/>
                <w:sz w:val="23"/>
                <w:szCs w:val="23"/>
                <w:color w:val="auto"/>
                <w:vertAlign w:val="superscript"/>
              </w:rPr>
              <w:t>(3)(5)</w:t>
            </w:r>
          </w:p>
        </w:tc>
        <w:tc>
          <w:tcPr>
            <w:tcW w:w="2660" w:type="dxa"/>
            <w:vAlign w:val="bottom"/>
          </w:tcPr>
          <w:p>
            <w:pPr>
              <w:ind w:left="120"/>
              <w:spacing w:after="0"/>
              <w:rPr>
                <w:sz w:val="20"/>
                <w:szCs w:val="20"/>
                <w:color w:val="auto"/>
              </w:rPr>
            </w:pPr>
            <w:r>
              <w:rPr>
                <w:rFonts w:ascii="Arial" w:cs="Arial" w:eastAsia="Arial" w:hAnsi="Arial"/>
                <w:sz w:val="16"/>
                <w:szCs w:val="16"/>
                <w:color w:val="auto"/>
              </w:rPr>
              <w:t>First-lien loan ($19,663 par, due</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10/8/2020</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L + 5.75%</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6.75%</w:t>
            </w:r>
          </w:p>
        </w:tc>
        <w:tc>
          <w:tcPr>
            <w:tcW w:w="800" w:type="dxa"/>
            <w:vAlign w:val="bottom"/>
          </w:tcPr>
          <w:p>
            <w:pPr>
              <w:jc w:val="right"/>
              <w:spacing w:after="0"/>
              <w:rPr>
                <w:sz w:val="20"/>
                <w:szCs w:val="20"/>
                <w:color w:val="auto"/>
              </w:rPr>
            </w:pPr>
            <w:r>
              <w:rPr>
                <w:rFonts w:ascii="Arial" w:cs="Arial" w:eastAsia="Arial" w:hAnsi="Arial"/>
                <w:sz w:val="16"/>
                <w:szCs w:val="16"/>
                <w:color w:val="auto"/>
              </w:rPr>
              <w:t>19,360</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19,861</w:t>
            </w:r>
          </w:p>
        </w:tc>
        <w:tc>
          <w:tcPr>
            <w:tcW w:w="22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1.6%</w:t>
            </w:r>
          </w:p>
        </w:tc>
      </w:tr>
      <w:tr>
        <w:trPr>
          <w:trHeight w:val="209"/>
        </w:trPr>
        <w:tc>
          <w:tcPr>
            <w:tcW w:w="2460" w:type="dxa"/>
            <w:vAlign w:val="bottom"/>
          </w:tcPr>
          <w:p>
            <w:pPr>
              <w:spacing w:after="0"/>
              <w:rPr>
                <w:sz w:val="18"/>
                <w:szCs w:val="18"/>
                <w:color w:val="auto"/>
              </w:rPr>
            </w:pPr>
          </w:p>
        </w:tc>
        <w:tc>
          <w:tcPr>
            <w:tcW w:w="2660" w:type="dxa"/>
            <w:vAlign w:val="bottom"/>
          </w:tcPr>
          <w:p>
            <w:pPr>
              <w:ind w:left="120"/>
              <w:spacing w:after="0"/>
              <w:rPr>
                <w:sz w:val="20"/>
                <w:szCs w:val="20"/>
                <w:color w:val="auto"/>
              </w:rPr>
            </w:pPr>
            <w:r>
              <w:rPr>
                <w:rFonts w:ascii="Arial" w:cs="Arial" w:eastAsia="Arial" w:hAnsi="Arial"/>
                <w:sz w:val="16"/>
                <w:szCs w:val="16"/>
                <w:color w:val="auto"/>
              </w:rPr>
              <w:t>10/2025)</w:t>
            </w: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46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Omnigo Software, LLC </w:t>
            </w:r>
            <w:r>
              <w:rPr>
                <w:rFonts w:ascii="Arial" w:cs="Arial" w:eastAsia="Arial" w:hAnsi="Arial"/>
                <w:sz w:val="24"/>
                <w:szCs w:val="24"/>
                <w:color w:val="auto"/>
                <w:vertAlign w:val="superscript"/>
              </w:rPr>
              <w:t>(3)(5)</w:t>
            </w:r>
          </w:p>
        </w:tc>
        <w:tc>
          <w:tcPr>
            <w:tcW w:w="26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First-lien loan ($33,915 par, due</w:t>
            </w:r>
          </w:p>
        </w:tc>
        <w:tc>
          <w:tcPr>
            <w:tcW w:w="10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3/31/2021</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+ 6.50%</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7.50%</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33,167</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33,321</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2.7%</w:t>
            </w:r>
          </w:p>
        </w:tc>
      </w:tr>
      <w:tr>
        <w:trPr>
          <w:trHeight w:val="209"/>
        </w:trPr>
        <w:tc>
          <w:tcPr>
            <w:tcW w:w="2460" w:type="dxa"/>
            <w:vAlign w:val="bottom"/>
            <w:shd w:val="clear" w:color="auto" w:fill="CFF0FC"/>
          </w:tcPr>
          <w:p>
            <w:pPr>
              <w:spacing w:after="0"/>
              <w:rPr>
                <w:sz w:val="18"/>
                <w:szCs w:val="18"/>
                <w:color w:val="auto"/>
              </w:rPr>
            </w:pPr>
          </w:p>
        </w:tc>
        <w:tc>
          <w:tcPr>
            <w:tcW w:w="26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3/2026)</w:t>
            </w:r>
          </w:p>
        </w:tc>
        <w:tc>
          <w:tcPr>
            <w:tcW w:w="10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0"/>
        </w:trPr>
        <w:tc>
          <w:tcPr>
            <w:tcW w:w="24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52,527</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53,182</w:t>
            </w:r>
          </w:p>
        </w:tc>
        <w:tc>
          <w:tcPr>
            <w:tcW w:w="2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4.3%</w:t>
            </w:r>
          </w:p>
        </w:tc>
      </w:tr>
      <w:tr>
        <w:trPr>
          <w:trHeight w:val="213"/>
        </w:trPr>
        <w:tc>
          <w:tcPr>
            <w:tcW w:w="2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Pharmaceuticals</w:t>
            </w:r>
          </w:p>
        </w:tc>
        <w:tc>
          <w:tcPr>
            <w:tcW w:w="266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r>
      <w:tr>
        <w:trPr>
          <w:trHeight w:val="203"/>
        </w:trPr>
        <w:tc>
          <w:tcPr>
            <w:tcW w:w="2460" w:type="dxa"/>
            <w:vAlign w:val="bottom"/>
          </w:tcPr>
          <w:p>
            <w:pPr>
              <w:spacing w:after="0"/>
              <w:rPr>
                <w:sz w:val="20"/>
                <w:szCs w:val="20"/>
                <w:color w:val="auto"/>
              </w:rPr>
            </w:pPr>
            <w:r>
              <w:rPr>
                <w:rFonts w:ascii="Arial" w:cs="Arial" w:eastAsia="Arial" w:hAnsi="Arial"/>
                <w:sz w:val="16"/>
                <w:szCs w:val="16"/>
                <w:color w:val="auto"/>
              </w:rPr>
              <w:t>Biohaven Pharmaceuticals,</w:t>
            </w:r>
          </w:p>
        </w:tc>
        <w:tc>
          <w:tcPr>
            <w:tcW w:w="2660" w:type="dxa"/>
            <w:vAlign w:val="bottom"/>
          </w:tcPr>
          <w:p>
            <w:pPr>
              <w:ind w:left="120"/>
              <w:spacing w:after="0"/>
              <w:rPr>
                <w:sz w:val="20"/>
                <w:szCs w:val="20"/>
                <w:color w:val="auto"/>
              </w:rPr>
            </w:pPr>
            <w:r>
              <w:rPr>
                <w:rFonts w:ascii="Arial" w:cs="Arial" w:eastAsia="Arial" w:hAnsi="Arial"/>
                <w:sz w:val="16"/>
                <w:szCs w:val="16"/>
                <w:color w:val="auto"/>
              </w:rPr>
              <w:t>First-lien loan ($28,513 par, due</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8/7/2020</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L + 9.00%</w:t>
            </w: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10.00%</w:t>
            </w:r>
          </w:p>
        </w:tc>
        <w:tc>
          <w:tcPr>
            <w:tcW w:w="800" w:type="dxa"/>
            <w:vAlign w:val="bottom"/>
          </w:tcPr>
          <w:p>
            <w:pPr>
              <w:jc w:val="right"/>
              <w:spacing w:after="0"/>
              <w:rPr>
                <w:sz w:val="20"/>
                <w:szCs w:val="20"/>
                <w:color w:val="auto"/>
              </w:rPr>
            </w:pPr>
            <w:r>
              <w:rPr>
                <w:rFonts w:ascii="Arial" w:cs="Arial" w:eastAsia="Arial" w:hAnsi="Arial"/>
                <w:sz w:val="16"/>
                <w:szCs w:val="16"/>
                <w:color w:val="auto"/>
              </w:rPr>
              <w:t>27,579</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29,533</w:t>
            </w:r>
          </w:p>
        </w:tc>
        <w:tc>
          <w:tcPr>
            <w:tcW w:w="22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2.4%</w:t>
            </w:r>
          </w:p>
        </w:tc>
      </w:tr>
      <w:tr>
        <w:trPr>
          <w:trHeight w:val="206"/>
        </w:trPr>
        <w:tc>
          <w:tcPr>
            <w:tcW w:w="2460" w:type="dxa"/>
            <w:vAlign w:val="bottom"/>
          </w:tcPr>
          <w:p>
            <w:pPr>
              <w:ind w:left="120"/>
              <w:spacing w:after="0"/>
              <w:rPr>
                <w:sz w:val="20"/>
                <w:szCs w:val="20"/>
                <w:color w:val="auto"/>
              </w:rPr>
            </w:pPr>
            <w:r>
              <w:rPr>
                <w:rFonts w:ascii="Arial" w:cs="Arial" w:eastAsia="Arial" w:hAnsi="Arial"/>
                <w:sz w:val="16"/>
                <w:szCs w:val="16"/>
                <w:color w:val="auto"/>
              </w:rPr>
              <w:t xml:space="preserve">Inc. </w:t>
            </w:r>
            <w:r>
              <w:rPr>
                <w:rFonts w:ascii="Arial" w:cs="Arial" w:eastAsia="Arial" w:hAnsi="Arial"/>
                <w:sz w:val="13"/>
                <w:szCs w:val="13"/>
                <w:color w:val="auto"/>
              </w:rPr>
              <w:t>(3)(4)</w:t>
            </w:r>
          </w:p>
        </w:tc>
        <w:tc>
          <w:tcPr>
            <w:tcW w:w="2660" w:type="dxa"/>
            <w:vAlign w:val="bottom"/>
          </w:tcPr>
          <w:p>
            <w:pPr>
              <w:ind w:left="120"/>
              <w:spacing w:after="0"/>
              <w:rPr>
                <w:sz w:val="20"/>
                <w:szCs w:val="20"/>
                <w:color w:val="auto"/>
              </w:rPr>
            </w:pPr>
            <w:r>
              <w:rPr>
                <w:rFonts w:ascii="Arial" w:cs="Arial" w:eastAsia="Arial" w:hAnsi="Arial"/>
                <w:sz w:val="16"/>
                <w:szCs w:val="16"/>
                <w:color w:val="auto"/>
              </w:rPr>
              <w:t>8/2025)</w:t>
            </w: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(incl.</w:t>
            </w: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246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4.00%</w:t>
            </w: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6"/>
        </w:trPr>
        <w:tc>
          <w:tcPr>
            <w:tcW w:w="246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PIK)</w:t>
            </w: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310"/>
        </w:trPr>
        <w:tc>
          <w:tcPr>
            <w:tcW w:w="2380" w:type="dxa"/>
            <w:vAlign w:val="bottom"/>
            <w:shd w:val="clear" w:color="auto" w:fill="CFF0FC"/>
          </w:tcPr>
          <w:p>
            <w:pPr>
              <w:spacing w:after="0"/>
              <w:rPr>
                <w:sz w:val="20"/>
                <w:szCs w:val="20"/>
                <w:color w:val="auto"/>
              </w:rPr>
            </w:pPr>
            <w:r>
              <w:rPr>
                <w:rFonts w:ascii="Arial" w:cs="Arial" w:eastAsia="Arial" w:hAnsi="Arial"/>
                <w:sz w:val="16"/>
                <w:szCs w:val="16"/>
                <w:color w:val="auto"/>
              </w:rPr>
              <w:t xml:space="preserve">TherapeuticsMD, Inc. </w:t>
            </w:r>
            <w:r>
              <w:rPr>
                <w:rFonts w:ascii="Arial" w:cs="Arial" w:eastAsia="Arial" w:hAnsi="Arial"/>
                <w:sz w:val="27"/>
                <w:szCs w:val="27"/>
                <w:color w:val="auto"/>
                <w:vertAlign w:val="superscript"/>
              </w:rPr>
              <w:t>(3)(4)</w:t>
            </w:r>
          </w:p>
        </w:tc>
        <w:tc>
          <w:tcPr>
            <w:tcW w:w="29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First-lien loan ($30,000 par, due</w:t>
            </w: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4/24/2019</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L + 7.75%</w:t>
            </w: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10.45%</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28,883</w:t>
            </w:r>
          </w:p>
        </w:tc>
        <w:tc>
          <w:tcPr>
            <w:tcW w:w="220" w:type="dxa"/>
            <w:vAlign w:val="bottom"/>
            <w:shd w:val="clear" w:color="auto" w:fill="CFF0FC"/>
          </w:tcPr>
          <w:p>
            <w:pPr>
              <w:spacing w:after="0"/>
              <w:rPr>
                <w:sz w:val="24"/>
                <w:szCs w:val="2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30,000</w:t>
            </w:r>
          </w:p>
        </w:tc>
        <w:tc>
          <w:tcPr>
            <w:tcW w:w="200" w:type="dxa"/>
            <w:vAlign w:val="bottom"/>
            <w:shd w:val="clear" w:color="auto" w:fill="CFF0FC"/>
          </w:tcPr>
          <w:p>
            <w:pPr>
              <w:spacing w:after="0"/>
              <w:rPr>
                <w:sz w:val="24"/>
                <w:szCs w:val="24"/>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09"/>
        </w:trPr>
        <w:tc>
          <w:tcPr>
            <w:tcW w:w="2380" w:type="dxa"/>
            <w:vAlign w:val="bottom"/>
            <w:shd w:val="clear" w:color="auto" w:fill="CFF0FC"/>
          </w:tcPr>
          <w:p>
            <w:pPr>
              <w:spacing w:after="0"/>
              <w:rPr>
                <w:sz w:val="18"/>
                <w:szCs w:val="18"/>
                <w:color w:val="auto"/>
              </w:rPr>
            </w:pPr>
          </w:p>
        </w:tc>
        <w:tc>
          <w:tcPr>
            <w:tcW w:w="29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3/2024)</w:t>
            </w:r>
          </w:p>
        </w:tc>
        <w:tc>
          <w:tcPr>
            <w:tcW w:w="9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3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56,462</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59,533</w:t>
            </w:r>
          </w:p>
        </w:tc>
        <w:tc>
          <w:tcPr>
            <w:tcW w:w="2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13"/>
        </w:trPr>
        <w:tc>
          <w:tcPr>
            <w:tcW w:w="2380" w:type="dxa"/>
            <w:vAlign w:val="bottom"/>
            <w:tcBorders>
              <w:top w:val="single" w:sz="8" w:color="CFF0FC"/>
            </w:tcBorders>
            <w:shd w:val="clear" w:color="auto" w:fill="CFF0FC"/>
          </w:tcPr>
          <w:p>
            <w:pPr>
              <w:spacing w:after="0"/>
              <w:rPr>
                <w:sz w:val="18"/>
                <w:szCs w:val="18"/>
                <w:color w:val="auto"/>
              </w:rPr>
            </w:pPr>
          </w:p>
        </w:tc>
        <w:tc>
          <w:tcPr>
            <w:tcW w:w="290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80" w:type="dxa"/>
            <w:vAlign w:val="bottom"/>
          </w:tcPr>
          <w:p>
            <w:pPr>
              <w:spacing w:after="0"/>
              <w:rPr>
                <w:sz w:val="20"/>
                <w:szCs w:val="20"/>
                <w:color w:val="auto"/>
              </w:rPr>
            </w:pPr>
            <w:r>
              <w:rPr>
                <w:rFonts w:ascii="Arial" w:cs="Arial" w:eastAsia="Arial" w:hAnsi="Arial"/>
                <w:sz w:val="16"/>
                <w:szCs w:val="16"/>
                <w:b w:val="1"/>
                <w:bCs w:val="1"/>
                <w:color w:val="auto"/>
              </w:rPr>
              <w:t>Real Estate</w:t>
            </w:r>
          </w:p>
        </w:tc>
        <w:tc>
          <w:tcPr>
            <w:tcW w:w="29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38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ResMan, LLC </w:t>
            </w:r>
            <w:r>
              <w:rPr>
                <w:rFonts w:ascii="Arial" w:cs="Arial" w:eastAsia="Arial" w:hAnsi="Arial"/>
                <w:sz w:val="24"/>
                <w:szCs w:val="24"/>
                <w:color w:val="auto"/>
                <w:vertAlign w:val="superscript"/>
              </w:rPr>
              <w:t>(3)</w:t>
            </w:r>
          </w:p>
        </w:tc>
        <w:tc>
          <w:tcPr>
            <w:tcW w:w="29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First-lien loan ($47,727 par, due</w:t>
            </w: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10/3/2019</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L + 9.50%</w:t>
            </w: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10.50%</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47,411</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48,157</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12"/>
        </w:trPr>
        <w:tc>
          <w:tcPr>
            <w:tcW w:w="2380" w:type="dxa"/>
            <w:vAlign w:val="bottom"/>
            <w:shd w:val="clear" w:color="auto" w:fill="CFF0FC"/>
          </w:tcPr>
          <w:p>
            <w:pPr>
              <w:spacing w:after="0"/>
              <w:rPr>
                <w:sz w:val="18"/>
                <w:szCs w:val="18"/>
                <w:color w:val="auto"/>
              </w:rPr>
            </w:pPr>
          </w:p>
        </w:tc>
        <w:tc>
          <w:tcPr>
            <w:tcW w:w="29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10/2024)</w:t>
            </w:r>
          </w:p>
        </w:tc>
        <w:tc>
          <w:tcPr>
            <w:tcW w:w="9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80" w:type="dxa"/>
            <w:vAlign w:val="bottom"/>
          </w:tcPr>
          <w:p>
            <w:pPr>
              <w:spacing w:after="0"/>
              <w:rPr>
                <w:sz w:val="20"/>
                <w:szCs w:val="20"/>
                <w:color w:val="auto"/>
              </w:rPr>
            </w:pPr>
            <w:r>
              <w:rPr>
                <w:rFonts w:ascii="Arial" w:cs="Arial" w:eastAsia="Arial" w:hAnsi="Arial"/>
                <w:sz w:val="16"/>
                <w:szCs w:val="16"/>
                <w:b w:val="1"/>
                <w:bCs w:val="1"/>
                <w:color w:val="auto"/>
              </w:rPr>
              <w:t>Retail and consumer products</w:t>
            </w:r>
          </w:p>
        </w:tc>
        <w:tc>
          <w:tcPr>
            <w:tcW w:w="29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380" w:type="dxa"/>
            <w:vAlign w:val="bottom"/>
            <w:shd w:val="clear" w:color="auto" w:fill="CFF0FC"/>
          </w:tcPr>
          <w:p>
            <w:pPr>
              <w:spacing w:after="0"/>
              <w:rPr>
                <w:sz w:val="20"/>
                <w:szCs w:val="20"/>
                <w:color w:val="auto"/>
              </w:rPr>
            </w:pPr>
            <w:r>
              <w:rPr>
                <w:rFonts w:ascii="Arial" w:cs="Arial" w:eastAsia="Arial" w:hAnsi="Arial"/>
                <w:sz w:val="16"/>
                <w:szCs w:val="16"/>
                <w:color w:val="auto"/>
              </w:rPr>
              <w:t>99 Cents Only Stores</w:t>
            </w:r>
          </w:p>
        </w:tc>
        <w:tc>
          <w:tcPr>
            <w:tcW w:w="29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ABL FILO term loan ($25,000 par,</w:t>
            </w: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9/6/2017</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L + 8.50%</w:t>
            </w: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9.50%</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24,667</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25,750</w:t>
            </w:r>
          </w:p>
        </w:tc>
        <w:tc>
          <w:tcPr>
            <w:tcW w:w="2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6"/>
        </w:trPr>
        <w:tc>
          <w:tcPr>
            <w:tcW w:w="2380" w:type="dxa"/>
            <w:vAlign w:val="bottom"/>
            <w:shd w:val="clear" w:color="auto" w:fill="CFF0FC"/>
          </w:tcPr>
          <w:p>
            <w:pPr>
              <w:ind w:left="120"/>
              <w:spacing w:after="0" w:line="216" w:lineRule="exact"/>
              <w:rPr>
                <w:sz w:val="20"/>
                <w:szCs w:val="20"/>
                <w:color w:val="auto"/>
              </w:rPr>
            </w:pPr>
            <w:r>
              <w:rPr>
                <w:rFonts w:ascii="Arial" w:cs="Arial" w:eastAsia="Arial" w:hAnsi="Arial"/>
                <w:sz w:val="15"/>
                <w:szCs w:val="15"/>
                <w:color w:val="auto"/>
              </w:rPr>
              <w:t xml:space="preserve">LLC </w:t>
            </w:r>
            <w:r>
              <w:rPr>
                <w:rFonts w:ascii="Arial" w:cs="Arial" w:eastAsia="Arial" w:hAnsi="Arial"/>
                <w:sz w:val="25"/>
                <w:szCs w:val="25"/>
                <w:color w:val="auto"/>
                <w:vertAlign w:val="superscript"/>
              </w:rPr>
              <w:t>(3)</w:t>
            </w:r>
          </w:p>
        </w:tc>
        <w:tc>
          <w:tcPr>
            <w:tcW w:w="29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due 5/2025)</w:t>
            </w:r>
          </w:p>
        </w:tc>
        <w:tc>
          <w:tcPr>
            <w:tcW w:w="9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380" w:type="dxa"/>
            <w:vAlign w:val="bottom"/>
          </w:tcPr>
          <w:p>
            <w:pPr>
              <w:spacing w:after="0"/>
              <w:rPr>
                <w:sz w:val="20"/>
                <w:szCs w:val="20"/>
                <w:color w:val="auto"/>
              </w:rPr>
            </w:pPr>
            <w:r>
              <w:rPr>
                <w:rFonts w:ascii="Arial" w:cs="Arial" w:eastAsia="Arial" w:hAnsi="Arial"/>
                <w:sz w:val="16"/>
                <w:szCs w:val="16"/>
                <w:color w:val="auto"/>
              </w:rPr>
              <w:t>American Achievement,</w:t>
            </w:r>
          </w:p>
        </w:tc>
        <w:tc>
          <w:tcPr>
            <w:tcW w:w="2900" w:type="dxa"/>
            <w:vAlign w:val="bottom"/>
          </w:tcPr>
          <w:p>
            <w:pPr>
              <w:ind w:left="280"/>
              <w:spacing w:after="0"/>
              <w:rPr>
                <w:sz w:val="20"/>
                <w:szCs w:val="20"/>
                <w:color w:val="auto"/>
              </w:rPr>
            </w:pPr>
            <w:r>
              <w:rPr>
                <w:rFonts w:ascii="Arial" w:cs="Arial" w:eastAsia="Arial" w:hAnsi="Arial"/>
                <w:sz w:val="16"/>
                <w:szCs w:val="16"/>
                <w:color w:val="auto"/>
              </w:rPr>
              <w:t>First-lien loan ($24,350 par, due</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9/30/2015</w:t>
            </w:r>
          </w:p>
        </w:tc>
        <w:tc>
          <w:tcPr>
            <w:tcW w:w="980" w:type="dxa"/>
            <w:vAlign w:val="bottom"/>
          </w:tcPr>
          <w:p>
            <w:pPr>
              <w:jc w:val="right"/>
              <w:spacing w:after="0"/>
              <w:rPr>
                <w:sz w:val="20"/>
                <w:szCs w:val="20"/>
                <w:color w:val="auto"/>
              </w:rPr>
            </w:pPr>
            <w:r>
              <w:rPr>
                <w:rFonts w:ascii="Arial" w:cs="Arial" w:eastAsia="Arial" w:hAnsi="Arial"/>
                <w:sz w:val="16"/>
                <w:szCs w:val="16"/>
                <w:color w:val="auto"/>
              </w:rPr>
              <w:t>L + 6.25%</w:t>
            </w:r>
          </w:p>
        </w:tc>
        <w:tc>
          <w:tcPr>
            <w:tcW w:w="1080" w:type="dxa"/>
            <w:vAlign w:val="bottom"/>
          </w:tcPr>
          <w:p>
            <w:pPr>
              <w:jc w:val="right"/>
              <w:ind w:right="179"/>
              <w:spacing w:after="0"/>
              <w:rPr>
                <w:sz w:val="20"/>
                <w:szCs w:val="20"/>
                <w:color w:val="auto"/>
              </w:rPr>
            </w:pPr>
            <w:r>
              <w:rPr>
                <w:rFonts w:ascii="Arial" w:cs="Arial" w:eastAsia="Arial" w:hAnsi="Arial"/>
                <w:sz w:val="16"/>
                <w:szCs w:val="16"/>
                <w:color w:val="auto"/>
              </w:rPr>
              <w:t>7.25%</w:t>
            </w:r>
          </w:p>
        </w:tc>
        <w:tc>
          <w:tcPr>
            <w:tcW w:w="800" w:type="dxa"/>
            <w:vAlign w:val="bottom"/>
          </w:tcPr>
          <w:p>
            <w:pPr>
              <w:jc w:val="right"/>
              <w:spacing w:after="0"/>
              <w:rPr>
                <w:sz w:val="20"/>
                <w:szCs w:val="20"/>
                <w:color w:val="auto"/>
              </w:rPr>
            </w:pPr>
            <w:r>
              <w:rPr>
                <w:rFonts w:ascii="Arial" w:cs="Arial" w:eastAsia="Arial" w:hAnsi="Arial"/>
                <w:sz w:val="16"/>
                <w:szCs w:val="16"/>
                <w:color w:val="auto"/>
              </w:rPr>
              <w:t>23,377</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21,367</w:t>
            </w:r>
          </w:p>
        </w:tc>
        <w:tc>
          <w:tcPr>
            <w:tcW w:w="2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6"/>
        </w:trPr>
        <w:tc>
          <w:tcPr>
            <w:tcW w:w="2380" w:type="dxa"/>
            <w:vAlign w:val="bottom"/>
          </w:tcPr>
          <w:p>
            <w:pPr>
              <w:ind w:left="120"/>
              <w:spacing w:after="0" w:line="205" w:lineRule="exact"/>
              <w:rPr>
                <w:sz w:val="20"/>
                <w:szCs w:val="20"/>
                <w:color w:val="auto"/>
              </w:rPr>
            </w:pPr>
            <w:r>
              <w:rPr>
                <w:rFonts w:ascii="Arial" w:cs="Arial" w:eastAsia="Arial" w:hAnsi="Arial"/>
                <w:sz w:val="14"/>
                <w:szCs w:val="14"/>
                <w:color w:val="auto"/>
              </w:rPr>
              <w:t xml:space="preserve">Corp. </w:t>
            </w:r>
            <w:r>
              <w:rPr>
                <w:rFonts w:ascii="Arial" w:cs="Arial" w:eastAsia="Arial" w:hAnsi="Arial"/>
                <w:sz w:val="23"/>
                <w:szCs w:val="23"/>
                <w:color w:val="auto"/>
                <w:vertAlign w:val="superscript"/>
              </w:rPr>
              <w:t>(3)</w:t>
            </w:r>
          </w:p>
        </w:tc>
        <w:tc>
          <w:tcPr>
            <w:tcW w:w="2900" w:type="dxa"/>
            <w:vAlign w:val="bottom"/>
          </w:tcPr>
          <w:p>
            <w:pPr>
              <w:ind w:left="280"/>
              <w:spacing w:after="0"/>
              <w:rPr>
                <w:sz w:val="20"/>
                <w:szCs w:val="20"/>
                <w:color w:val="auto"/>
              </w:rPr>
            </w:pPr>
            <w:r>
              <w:rPr>
                <w:rFonts w:ascii="Arial" w:cs="Arial" w:eastAsia="Arial" w:hAnsi="Arial"/>
                <w:sz w:val="16"/>
                <w:szCs w:val="16"/>
                <w:color w:val="auto"/>
              </w:rPr>
              <w:t>9/2026)</w:t>
            </w:r>
          </w:p>
        </w:tc>
        <w:tc>
          <w:tcPr>
            <w:tcW w:w="9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80" w:type="dxa"/>
            <w:vAlign w:val="bottom"/>
          </w:tcPr>
          <w:p>
            <w:pPr>
              <w:jc w:val="right"/>
              <w:ind w:right="179"/>
              <w:spacing w:after="0"/>
              <w:rPr>
                <w:sz w:val="20"/>
                <w:szCs w:val="20"/>
                <w:color w:val="auto"/>
              </w:rPr>
            </w:pPr>
            <w:r>
              <w:rPr>
                <w:rFonts w:ascii="Arial" w:cs="Arial" w:eastAsia="Arial" w:hAnsi="Arial"/>
                <w:sz w:val="16"/>
                <w:szCs w:val="16"/>
                <w:color w:val="auto"/>
              </w:rPr>
              <w:t>(incl.</w:t>
            </w: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80" w:type="dxa"/>
            <w:vAlign w:val="bottom"/>
          </w:tcPr>
          <w:p>
            <w:pPr>
              <w:jc w:val="right"/>
              <w:ind w:right="179"/>
              <w:spacing w:after="0"/>
              <w:rPr>
                <w:sz w:val="20"/>
                <w:szCs w:val="20"/>
                <w:color w:val="auto"/>
              </w:rPr>
            </w:pPr>
            <w:r>
              <w:rPr>
                <w:rFonts w:ascii="Arial" w:cs="Arial" w:eastAsia="Arial" w:hAnsi="Arial"/>
                <w:sz w:val="16"/>
                <w:szCs w:val="16"/>
                <w:color w:val="auto"/>
              </w:rPr>
              <w:t>6.75%</w:t>
            </w: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3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80" w:type="dxa"/>
            <w:vAlign w:val="bottom"/>
          </w:tcPr>
          <w:p>
            <w:pPr>
              <w:jc w:val="right"/>
              <w:ind w:right="179"/>
              <w:spacing w:after="0"/>
              <w:rPr>
                <w:sz w:val="20"/>
                <w:szCs w:val="20"/>
                <w:color w:val="auto"/>
              </w:rPr>
            </w:pPr>
            <w:r>
              <w:rPr>
                <w:rFonts w:ascii="Arial" w:cs="Arial" w:eastAsia="Arial" w:hAnsi="Arial"/>
                <w:sz w:val="16"/>
                <w:szCs w:val="16"/>
                <w:color w:val="auto"/>
              </w:rPr>
              <w:t>PIK)</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380" w:type="dxa"/>
            <w:vAlign w:val="bottom"/>
            <w:shd w:val="clear" w:color="auto" w:fill="CFF0FC"/>
          </w:tcPr>
          <w:p>
            <w:pPr>
              <w:spacing w:after="0"/>
              <w:rPr>
                <w:sz w:val="18"/>
                <w:szCs w:val="18"/>
                <w:color w:val="auto"/>
              </w:rPr>
            </w:pPr>
          </w:p>
        </w:tc>
        <w:tc>
          <w:tcPr>
            <w:tcW w:w="29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First-lien loan ($1,373 par, due</w:t>
            </w: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6/10/2021</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L + 14.00%</w:t>
            </w:r>
          </w:p>
        </w:tc>
        <w:tc>
          <w:tcPr>
            <w:tcW w:w="10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15.00%</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1,373</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1,339</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03"/>
        </w:trPr>
        <w:tc>
          <w:tcPr>
            <w:tcW w:w="2380" w:type="dxa"/>
            <w:vAlign w:val="bottom"/>
            <w:shd w:val="clear" w:color="auto" w:fill="CFF0FC"/>
          </w:tcPr>
          <w:p>
            <w:pPr>
              <w:spacing w:after="0"/>
              <w:rPr>
                <w:sz w:val="17"/>
                <w:szCs w:val="17"/>
                <w:color w:val="auto"/>
              </w:rPr>
            </w:pPr>
          </w:p>
        </w:tc>
        <w:tc>
          <w:tcPr>
            <w:tcW w:w="29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9/2026)</w:t>
            </w:r>
          </w:p>
        </w:tc>
        <w:tc>
          <w:tcPr>
            <w:tcW w:w="9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(incl.</w:t>
            </w: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shd w:val="clear" w:color="auto" w:fill="CFF0FC"/>
          </w:tcPr>
          <w:p>
            <w:pPr>
              <w:spacing w:after="0"/>
              <w:rPr>
                <w:sz w:val="17"/>
                <w:szCs w:val="17"/>
                <w:color w:val="auto"/>
              </w:rPr>
            </w:pPr>
          </w:p>
        </w:tc>
        <w:tc>
          <w:tcPr>
            <w:tcW w:w="29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14.50%</w:t>
            </w: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380" w:type="dxa"/>
            <w:vAlign w:val="bottom"/>
            <w:shd w:val="clear" w:color="auto" w:fill="CFF0FC"/>
          </w:tcPr>
          <w:p>
            <w:pPr>
              <w:spacing w:after="0"/>
              <w:rPr>
                <w:sz w:val="18"/>
                <w:szCs w:val="18"/>
                <w:color w:val="auto"/>
              </w:rPr>
            </w:pPr>
          </w:p>
        </w:tc>
        <w:tc>
          <w:tcPr>
            <w:tcW w:w="29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PIK)</w:t>
            </w: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2900" w:type="dxa"/>
            <w:vAlign w:val="bottom"/>
          </w:tcPr>
          <w:p>
            <w:pPr>
              <w:ind w:left="280"/>
              <w:spacing w:after="0"/>
              <w:rPr>
                <w:sz w:val="20"/>
                <w:szCs w:val="20"/>
                <w:color w:val="auto"/>
              </w:rPr>
            </w:pPr>
            <w:r>
              <w:rPr>
                <w:rFonts w:ascii="Arial" w:cs="Arial" w:eastAsia="Arial" w:hAnsi="Arial"/>
                <w:sz w:val="16"/>
                <w:szCs w:val="16"/>
                <w:color w:val="auto"/>
              </w:rPr>
              <w:t>Subordinated note ($4,740 par, due</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3/16/2021</w:t>
            </w:r>
          </w:p>
        </w:tc>
        <w:tc>
          <w:tcPr>
            <w:tcW w:w="980" w:type="dxa"/>
            <w:vAlign w:val="bottom"/>
          </w:tcPr>
          <w:p>
            <w:pPr>
              <w:jc w:val="right"/>
              <w:spacing w:after="0"/>
              <w:rPr>
                <w:sz w:val="20"/>
                <w:szCs w:val="20"/>
                <w:color w:val="auto"/>
              </w:rPr>
            </w:pPr>
            <w:r>
              <w:rPr>
                <w:rFonts w:ascii="Arial" w:cs="Arial" w:eastAsia="Arial" w:hAnsi="Arial"/>
                <w:sz w:val="16"/>
                <w:szCs w:val="16"/>
                <w:color w:val="auto"/>
              </w:rPr>
              <w:t>L + 1.00%</w:t>
            </w:r>
          </w:p>
        </w:tc>
        <w:tc>
          <w:tcPr>
            <w:tcW w:w="1080" w:type="dxa"/>
            <w:vAlign w:val="bottom"/>
          </w:tcPr>
          <w:p>
            <w:pPr>
              <w:jc w:val="right"/>
              <w:ind w:right="179"/>
              <w:spacing w:after="0"/>
              <w:rPr>
                <w:sz w:val="20"/>
                <w:szCs w:val="20"/>
                <w:color w:val="auto"/>
              </w:rPr>
            </w:pPr>
            <w:r>
              <w:rPr>
                <w:rFonts w:ascii="Arial" w:cs="Arial" w:eastAsia="Arial" w:hAnsi="Arial"/>
                <w:sz w:val="16"/>
                <w:szCs w:val="16"/>
                <w:color w:val="auto"/>
              </w:rPr>
              <w:t>2.00% PIK</w:t>
            </w:r>
          </w:p>
        </w:tc>
        <w:tc>
          <w:tcPr>
            <w:tcW w:w="800" w:type="dxa"/>
            <w:vAlign w:val="bottom"/>
          </w:tcPr>
          <w:p>
            <w:pPr>
              <w:jc w:val="right"/>
              <w:spacing w:after="0"/>
              <w:rPr>
                <w:sz w:val="20"/>
                <w:szCs w:val="20"/>
                <w:color w:val="auto"/>
              </w:rPr>
            </w:pPr>
            <w:r>
              <w:rPr>
                <w:rFonts w:ascii="Arial" w:cs="Arial" w:eastAsia="Arial" w:hAnsi="Arial"/>
                <w:sz w:val="16"/>
                <w:szCs w:val="16"/>
                <w:color w:val="auto"/>
              </w:rPr>
              <w:t>545</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545</w:t>
            </w:r>
          </w:p>
        </w:tc>
        <w:tc>
          <w:tcPr>
            <w:tcW w:w="2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2900" w:type="dxa"/>
            <w:vAlign w:val="bottom"/>
          </w:tcPr>
          <w:p>
            <w:pPr>
              <w:ind w:left="280"/>
              <w:spacing w:after="0" w:line="216" w:lineRule="exact"/>
              <w:rPr>
                <w:sz w:val="20"/>
                <w:szCs w:val="20"/>
                <w:color w:val="auto"/>
              </w:rPr>
            </w:pPr>
            <w:r>
              <w:rPr>
                <w:rFonts w:ascii="Arial" w:cs="Arial" w:eastAsia="Arial" w:hAnsi="Arial"/>
                <w:sz w:val="15"/>
                <w:szCs w:val="15"/>
                <w:color w:val="auto"/>
              </w:rPr>
              <w:t xml:space="preserve">9/2026) </w:t>
            </w:r>
            <w:r>
              <w:rPr>
                <w:rFonts w:ascii="Arial" w:cs="Arial" w:eastAsia="Arial" w:hAnsi="Arial"/>
                <w:sz w:val="25"/>
                <w:szCs w:val="25"/>
                <w:color w:val="auto"/>
                <w:vertAlign w:val="superscript"/>
              </w:rPr>
              <w:t>(16)</w:t>
            </w:r>
          </w:p>
        </w:tc>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380" w:type="dxa"/>
            <w:vAlign w:val="bottom"/>
            <w:shd w:val="clear" w:color="auto" w:fill="CFF0FC"/>
          </w:tcPr>
          <w:p>
            <w:pPr>
              <w:spacing w:after="0" w:line="207" w:lineRule="exact"/>
              <w:rPr>
                <w:sz w:val="20"/>
                <w:szCs w:val="20"/>
                <w:color w:val="auto"/>
              </w:rPr>
            </w:pPr>
            <w:r>
              <w:rPr>
                <w:rFonts w:ascii="Arial" w:cs="Arial" w:eastAsia="Arial" w:hAnsi="Arial"/>
                <w:sz w:val="14"/>
                <w:szCs w:val="14"/>
                <w:color w:val="auto"/>
              </w:rPr>
              <w:t xml:space="preserve">Designer Brands, Inc. </w:t>
            </w:r>
            <w:r>
              <w:rPr>
                <w:rFonts w:ascii="Arial" w:cs="Arial" w:eastAsia="Arial" w:hAnsi="Arial"/>
                <w:sz w:val="23"/>
                <w:szCs w:val="23"/>
                <w:color w:val="auto"/>
                <w:vertAlign w:val="superscript"/>
              </w:rPr>
              <w:t>(3)(4)</w:t>
            </w:r>
          </w:p>
        </w:tc>
        <w:tc>
          <w:tcPr>
            <w:tcW w:w="2900" w:type="dxa"/>
            <w:vAlign w:val="bottom"/>
            <w:shd w:val="clear" w:color="auto" w:fill="CFF0FC"/>
          </w:tcPr>
          <w:p>
            <w:pPr>
              <w:ind w:left="280"/>
              <w:spacing w:after="0"/>
              <w:rPr>
                <w:sz w:val="20"/>
                <w:szCs w:val="20"/>
                <w:color w:val="auto"/>
              </w:rPr>
            </w:pPr>
            <w:r>
              <w:rPr>
                <w:rFonts w:ascii="Arial" w:cs="Arial" w:eastAsia="Arial" w:hAnsi="Arial"/>
                <w:sz w:val="16"/>
                <w:szCs w:val="16"/>
                <w:color w:val="auto"/>
                <w:w w:val="99"/>
              </w:rPr>
              <w:t>ABL First-lien loan ($48,125 par, due</w:t>
            </w: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8/7/2020</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L + 8.50%</w:t>
            </w: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9.75%</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47,096</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49,208</w:t>
            </w:r>
          </w:p>
        </w:tc>
        <w:tc>
          <w:tcPr>
            <w:tcW w:w="2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2"/>
        </w:trPr>
        <w:tc>
          <w:tcPr>
            <w:tcW w:w="2380" w:type="dxa"/>
            <w:vAlign w:val="bottom"/>
            <w:shd w:val="clear" w:color="auto" w:fill="CFF0FC"/>
          </w:tcPr>
          <w:p>
            <w:pPr>
              <w:spacing w:after="0"/>
              <w:rPr>
                <w:sz w:val="18"/>
                <w:szCs w:val="18"/>
                <w:color w:val="auto"/>
              </w:rPr>
            </w:pPr>
          </w:p>
        </w:tc>
        <w:tc>
          <w:tcPr>
            <w:tcW w:w="29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8/2025)</w:t>
            </w:r>
          </w:p>
        </w:tc>
        <w:tc>
          <w:tcPr>
            <w:tcW w:w="9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380" w:type="dxa"/>
            <w:vAlign w:val="bottom"/>
          </w:tcPr>
          <w:p>
            <w:pPr>
              <w:spacing w:after="0"/>
              <w:rPr>
                <w:sz w:val="20"/>
                <w:szCs w:val="20"/>
                <w:color w:val="auto"/>
              </w:rPr>
            </w:pPr>
            <w:r>
              <w:rPr>
                <w:rFonts w:ascii="Arial" w:cs="Arial" w:eastAsia="Arial" w:hAnsi="Arial"/>
                <w:sz w:val="16"/>
                <w:szCs w:val="16"/>
                <w:color w:val="auto"/>
              </w:rPr>
              <w:t>J.C. Penney Company,</w:t>
            </w:r>
          </w:p>
        </w:tc>
        <w:tc>
          <w:tcPr>
            <w:tcW w:w="2900" w:type="dxa"/>
            <w:vAlign w:val="bottom"/>
          </w:tcPr>
          <w:p>
            <w:pPr>
              <w:ind w:left="280"/>
              <w:spacing w:after="0"/>
              <w:rPr>
                <w:sz w:val="20"/>
                <w:szCs w:val="20"/>
                <w:color w:val="auto"/>
              </w:rPr>
            </w:pPr>
            <w:r>
              <w:rPr>
                <w:rFonts w:ascii="Arial" w:cs="Arial" w:eastAsia="Arial" w:hAnsi="Arial"/>
                <w:sz w:val="16"/>
                <w:szCs w:val="16"/>
                <w:color w:val="auto"/>
              </w:rPr>
              <w:t>First-lien loan ($4,129 par, due</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6/5/2019</w:t>
            </w: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3,153</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w:t>
            </w:r>
          </w:p>
        </w:tc>
        <w:tc>
          <w:tcPr>
            <w:tcW w:w="2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13"/>
        </w:trPr>
        <w:tc>
          <w:tcPr>
            <w:tcW w:w="2380" w:type="dxa"/>
            <w:vAlign w:val="bottom"/>
          </w:tcPr>
          <w:p>
            <w:pPr>
              <w:ind w:left="120"/>
              <w:spacing w:after="0"/>
              <w:rPr>
                <w:sz w:val="20"/>
                <w:szCs w:val="20"/>
                <w:color w:val="auto"/>
              </w:rPr>
            </w:pPr>
            <w:r>
              <w:rPr>
                <w:rFonts w:ascii="Arial" w:cs="Arial" w:eastAsia="Arial" w:hAnsi="Arial"/>
                <w:sz w:val="16"/>
                <w:szCs w:val="16"/>
                <w:color w:val="auto"/>
              </w:rPr>
              <w:t xml:space="preserve">Inc. </w:t>
            </w:r>
            <w:r>
              <w:rPr>
                <w:rFonts w:ascii="Arial" w:cs="Arial" w:eastAsia="Arial" w:hAnsi="Arial"/>
                <w:sz w:val="13"/>
                <w:szCs w:val="13"/>
                <w:color w:val="auto"/>
              </w:rPr>
              <w:t>(11)(13)</w:t>
            </w:r>
          </w:p>
        </w:tc>
        <w:tc>
          <w:tcPr>
            <w:tcW w:w="2900" w:type="dxa"/>
            <w:vAlign w:val="bottom"/>
          </w:tcPr>
          <w:p>
            <w:pPr>
              <w:ind w:left="280"/>
              <w:spacing w:after="0"/>
              <w:rPr>
                <w:sz w:val="20"/>
                <w:szCs w:val="20"/>
                <w:color w:val="auto"/>
              </w:rPr>
            </w:pPr>
            <w:r>
              <w:rPr>
                <w:rFonts w:ascii="Arial" w:cs="Arial" w:eastAsia="Arial" w:hAnsi="Arial"/>
                <w:sz w:val="16"/>
                <w:szCs w:val="16"/>
                <w:color w:val="auto"/>
              </w:rPr>
              <w:t>6/2023)</w:t>
            </w:r>
          </w:p>
        </w:tc>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380" w:type="dxa"/>
            <w:vAlign w:val="bottom"/>
            <w:shd w:val="clear" w:color="auto" w:fill="CFF0FC"/>
          </w:tcPr>
          <w:p>
            <w:pPr>
              <w:spacing w:after="0"/>
              <w:rPr>
                <w:sz w:val="18"/>
                <w:szCs w:val="18"/>
                <w:color w:val="auto"/>
              </w:rPr>
            </w:pPr>
          </w:p>
        </w:tc>
        <w:tc>
          <w:tcPr>
            <w:tcW w:w="29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First-lien secured note ($12,372 par,</w:t>
            </w: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6/5/2019</w:t>
            </w:r>
          </w:p>
        </w:tc>
        <w:tc>
          <w:tcPr>
            <w:tcW w:w="98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10,112</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12"/>
        </w:trPr>
        <w:tc>
          <w:tcPr>
            <w:tcW w:w="2380" w:type="dxa"/>
            <w:vAlign w:val="bottom"/>
            <w:shd w:val="clear" w:color="auto" w:fill="CFF0FC"/>
          </w:tcPr>
          <w:p>
            <w:pPr>
              <w:spacing w:after="0"/>
              <w:rPr>
                <w:sz w:val="18"/>
                <w:szCs w:val="18"/>
                <w:color w:val="auto"/>
              </w:rPr>
            </w:pPr>
          </w:p>
        </w:tc>
        <w:tc>
          <w:tcPr>
            <w:tcW w:w="29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due 7/2023)</w:t>
            </w:r>
          </w:p>
        </w:tc>
        <w:tc>
          <w:tcPr>
            <w:tcW w:w="9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380" w:type="dxa"/>
            <w:vAlign w:val="bottom"/>
          </w:tcPr>
          <w:p>
            <w:pPr>
              <w:spacing w:after="0" w:line="207" w:lineRule="exact"/>
              <w:rPr>
                <w:sz w:val="20"/>
                <w:szCs w:val="20"/>
                <w:color w:val="auto"/>
              </w:rPr>
            </w:pPr>
            <w:r>
              <w:rPr>
                <w:rFonts w:ascii="Arial" w:cs="Arial" w:eastAsia="Arial" w:hAnsi="Arial"/>
                <w:sz w:val="14"/>
                <w:szCs w:val="14"/>
                <w:color w:val="auto"/>
              </w:rPr>
              <w:t xml:space="preserve">Maurices, Inc. </w:t>
            </w:r>
            <w:r>
              <w:rPr>
                <w:rFonts w:ascii="Arial" w:cs="Arial" w:eastAsia="Arial" w:hAnsi="Arial"/>
                <w:sz w:val="23"/>
                <w:szCs w:val="23"/>
                <w:color w:val="auto"/>
                <w:vertAlign w:val="superscript"/>
              </w:rPr>
              <w:t>(3)(5)</w:t>
            </w:r>
          </w:p>
        </w:tc>
        <w:tc>
          <w:tcPr>
            <w:tcW w:w="2900" w:type="dxa"/>
            <w:vAlign w:val="bottom"/>
          </w:tcPr>
          <w:p>
            <w:pPr>
              <w:ind w:left="280"/>
              <w:spacing w:after="0"/>
              <w:rPr>
                <w:sz w:val="20"/>
                <w:szCs w:val="20"/>
                <w:color w:val="auto"/>
              </w:rPr>
            </w:pPr>
            <w:r>
              <w:rPr>
                <w:rFonts w:ascii="Arial" w:cs="Arial" w:eastAsia="Arial" w:hAnsi="Arial"/>
                <w:sz w:val="16"/>
                <w:szCs w:val="16"/>
                <w:color w:val="auto"/>
              </w:rPr>
              <w:t>ABL FILO term loan ($29,444 par,</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5/6/2019</w:t>
            </w:r>
          </w:p>
        </w:tc>
        <w:tc>
          <w:tcPr>
            <w:tcW w:w="980" w:type="dxa"/>
            <w:vAlign w:val="bottom"/>
          </w:tcPr>
          <w:p>
            <w:pPr>
              <w:jc w:val="right"/>
              <w:spacing w:after="0"/>
              <w:rPr>
                <w:sz w:val="20"/>
                <w:szCs w:val="20"/>
                <w:color w:val="auto"/>
              </w:rPr>
            </w:pPr>
            <w:r>
              <w:rPr>
                <w:rFonts w:ascii="Arial" w:cs="Arial" w:eastAsia="Arial" w:hAnsi="Arial"/>
                <w:sz w:val="16"/>
                <w:szCs w:val="16"/>
                <w:color w:val="auto"/>
              </w:rPr>
              <w:t>L + 6.50%</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7.75%</w:t>
            </w:r>
          </w:p>
        </w:tc>
        <w:tc>
          <w:tcPr>
            <w:tcW w:w="800" w:type="dxa"/>
            <w:vAlign w:val="bottom"/>
          </w:tcPr>
          <w:p>
            <w:pPr>
              <w:jc w:val="right"/>
              <w:spacing w:after="0"/>
              <w:rPr>
                <w:sz w:val="20"/>
                <w:szCs w:val="20"/>
                <w:color w:val="auto"/>
              </w:rPr>
            </w:pPr>
            <w:r>
              <w:rPr>
                <w:rFonts w:ascii="Arial" w:cs="Arial" w:eastAsia="Arial" w:hAnsi="Arial"/>
                <w:sz w:val="16"/>
                <w:szCs w:val="16"/>
                <w:color w:val="auto"/>
              </w:rPr>
              <w:t>28,845</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30,181</w:t>
            </w:r>
          </w:p>
        </w:tc>
        <w:tc>
          <w:tcPr>
            <w:tcW w:w="2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09"/>
        </w:trPr>
        <w:tc>
          <w:tcPr>
            <w:tcW w:w="2380" w:type="dxa"/>
            <w:vAlign w:val="bottom"/>
          </w:tcPr>
          <w:p>
            <w:pPr>
              <w:spacing w:after="0"/>
              <w:rPr>
                <w:sz w:val="18"/>
                <w:szCs w:val="18"/>
                <w:color w:val="auto"/>
              </w:rPr>
            </w:pPr>
          </w:p>
        </w:tc>
        <w:tc>
          <w:tcPr>
            <w:tcW w:w="2900" w:type="dxa"/>
            <w:vAlign w:val="bottom"/>
          </w:tcPr>
          <w:p>
            <w:pPr>
              <w:ind w:left="280"/>
              <w:spacing w:after="0"/>
              <w:rPr>
                <w:sz w:val="20"/>
                <w:szCs w:val="20"/>
                <w:color w:val="auto"/>
              </w:rPr>
            </w:pPr>
            <w:r>
              <w:rPr>
                <w:rFonts w:ascii="Arial" w:cs="Arial" w:eastAsia="Arial" w:hAnsi="Arial"/>
                <w:sz w:val="16"/>
                <w:szCs w:val="16"/>
                <w:color w:val="auto"/>
              </w:rPr>
              <w:t>due 5/2024)</w:t>
            </w:r>
          </w:p>
        </w:tc>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38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Moran Foods, LLC </w:t>
            </w:r>
            <w:r>
              <w:rPr>
                <w:rFonts w:ascii="Arial" w:cs="Arial" w:eastAsia="Arial" w:hAnsi="Arial"/>
                <w:sz w:val="24"/>
                <w:szCs w:val="24"/>
                <w:color w:val="auto"/>
                <w:vertAlign w:val="superscript"/>
              </w:rPr>
              <w:t>(3)</w:t>
            </w:r>
          </w:p>
        </w:tc>
        <w:tc>
          <w:tcPr>
            <w:tcW w:w="29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ABL FILO term loan ($35,300 par,</w:t>
            </w: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4/1/2020</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L + 7.50%</w:t>
            </w: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9.00%</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34,789</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36,006</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2"/>
        </w:trPr>
        <w:tc>
          <w:tcPr>
            <w:tcW w:w="2380" w:type="dxa"/>
            <w:vAlign w:val="bottom"/>
            <w:shd w:val="clear" w:color="auto" w:fill="CFF0FC"/>
          </w:tcPr>
          <w:p>
            <w:pPr>
              <w:spacing w:after="0"/>
              <w:rPr>
                <w:sz w:val="18"/>
                <w:szCs w:val="18"/>
                <w:color w:val="auto"/>
              </w:rPr>
            </w:pPr>
          </w:p>
        </w:tc>
        <w:tc>
          <w:tcPr>
            <w:tcW w:w="29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due 4/2024)</w:t>
            </w:r>
          </w:p>
        </w:tc>
        <w:tc>
          <w:tcPr>
            <w:tcW w:w="9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380" w:type="dxa"/>
            <w:vAlign w:val="bottom"/>
          </w:tcPr>
          <w:p>
            <w:pPr>
              <w:spacing w:after="0" w:line="207" w:lineRule="exact"/>
              <w:rPr>
                <w:sz w:val="20"/>
                <w:szCs w:val="20"/>
                <w:color w:val="auto"/>
              </w:rPr>
            </w:pPr>
            <w:r>
              <w:rPr>
                <w:rFonts w:ascii="Arial" w:cs="Arial" w:eastAsia="Arial" w:hAnsi="Arial"/>
                <w:sz w:val="14"/>
                <w:szCs w:val="14"/>
                <w:color w:val="auto"/>
              </w:rPr>
              <w:t xml:space="preserve">Penney Borrower, LLC </w:t>
            </w:r>
            <w:r>
              <w:rPr>
                <w:rFonts w:ascii="Arial" w:cs="Arial" w:eastAsia="Arial" w:hAnsi="Arial"/>
                <w:sz w:val="23"/>
                <w:szCs w:val="23"/>
                <w:color w:val="auto"/>
                <w:vertAlign w:val="superscript"/>
              </w:rPr>
              <w:t>(3)</w:t>
            </w:r>
          </w:p>
        </w:tc>
        <w:tc>
          <w:tcPr>
            <w:tcW w:w="2900" w:type="dxa"/>
            <w:vAlign w:val="bottom"/>
          </w:tcPr>
          <w:p>
            <w:pPr>
              <w:ind w:left="280"/>
              <w:spacing w:after="0"/>
              <w:rPr>
                <w:sz w:val="20"/>
                <w:szCs w:val="20"/>
                <w:color w:val="auto"/>
              </w:rPr>
            </w:pPr>
            <w:r>
              <w:rPr>
                <w:rFonts w:ascii="Arial" w:cs="Arial" w:eastAsia="Arial" w:hAnsi="Arial"/>
                <w:sz w:val="16"/>
                <w:szCs w:val="16"/>
                <w:color w:val="auto"/>
              </w:rPr>
              <w:t>ABL FILO term loan ($71,100 par,</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12/7/2020</w:t>
            </w:r>
          </w:p>
        </w:tc>
        <w:tc>
          <w:tcPr>
            <w:tcW w:w="980" w:type="dxa"/>
            <w:vAlign w:val="bottom"/>
          </w:tcPr>
          <w:p>
            <w:pPr>
              <w:jc w:val="right"/>
              <w:spacing w:after="0"/>
              <w:rPr>
                <w:sz w:val="20"/>
                <w:szCs w:val="20"/>
                <w:color w:val="auto"/>
              </w:rPr>
            </w:pPr>
            <w:r>
              <w:rPr>
                <w:rFonts w:ascii="Arial" w:cs="Arial" w:eastAsia="Arial" w:hAnsi="Arial"/>
                <w:sz w:val="16"/>
                <w:szCs w:val="16"/>
                <w:color w:val="auto"/>
              </w:rPr>
              <w:t>L + 8.50%</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9.25%</w:t>
            </w:r>
          </w:p>
        </w:tc>
        <w:tc>
          <w:tcPr>
            <w:tcW w:w="800" w:type="dxa"/>
            <w:vAlign w:val="bottom"/>
          </w:tcPr>
          <w:p>
            <w:pPr>
              <w:jc w:val="right"/>
              <w:spacing w:after="0"/>
              <w:rPr>
                <w:sz w:val="20"/>
                <w:szCs w:val="20"/>
                <w:color w:val="auto"/>
              </w:rPr>
            </w:pPr>
            <w:r>
              <w:rPr>
                <w:rFonts w:ascii="Arial" w:cs="Arial" w:eastAsia="Arial" w:hAnsi="Arial"/>
                <w:sz w:val="16"/>
                <w:szCs w:val="16"/>
                <w:color w:val="auto"/>
              </w:rPr>
              <w:t>69,576</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71,456</w:t>
            </w:r>
          </w:p>
        </w:tc>
        <w:tc>
          <w:tcPr>
            <w:tcW w:w="2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09"/>
        </w:trPr>
        <w:tc>
          <w:tcPr>
            <w:tcW w:w="2380" w:type="dxa"/>
            <w:vAlign w:val="bottom"/>
          </w:tcPr>
          <w:p>
            <w:pPr>
              <w:spacing w:after="0"/>
              <w:rPr>
                <w:sz w:val="18"/>
                <w:szCs w:val="18"/>
                <w:color w:val="auto"/>
              </w:rPr>
            </w:pPr>
          </w:p>
        </w:tc>
        <w:tc>
          <w:tcPr>
            <w:tcW w:w="2900" w:type="dxa"/>
            <w:vAlign w:val="bottom"/>
          </w:tcPr>
          <w:p>
            <w:pPr>
              <w:ind w:left="280"/>
              <w:spacing w:after="0"/>
              <w:rPr>
                <w:sz w:val="20"/>
                <w:szCs w:val="20"/>
                <w:color w:val="auto"/>
              </w:rPr>
            </w:pPr>
            <w:r>
              <w:rPr>
                <w:rFonts w:ascii="Arial" w:cs="Arial" w:eastAsia="Arial" w:hAnsi="Arial"/>
                <w:sz w:val="16"/>
                <w:szCs w:val="16"/>
                <w:color w:val="auto"/>
              </w:rPr>
              <w:t>due 12/2025)</w:t>
            </w:r>
          </w:p>
        </w:tc>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380" w:type="dxa"/>
            <w:vAlign w:val="bottom"/>
            <w:shd w:val="clear" w:color="auto" w:fill="CFF0FC"/>
          </w:tcPr>
          <w:p>
            <w:pPr>
              <w:spacing w:after="0"/>
              <w:rPr>
                <w:sz w:val="17"/>
                <w:szCs w:val="17"/>
                <w:color w:val="auto"/>
              </w:rPr>
            </w:pPr>
          </w:p>
        </w:tc>
        <w:tc>
          <w:tcPr>
            <w:tcW w:w="29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First-lien term loan ($6,895 par, due</w:t>
            </w: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12/7/2020</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L + 8.50%</w:t>
            </w: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9.50%</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5,874</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6,705</w:t>
            </w:r>
          </w:p>
        </w:tc>
        <w:tc>
          <w:tcPr>
            <w:tcW w:w="2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16"/>
        </w:trPr>
        <w:tc>
          <w:tcPr>
            <w:tcW w:w="2380" w:type="dxa"/>
            <w:vAlign w:val="bottom"/>
            <w:shd w:val="clear" w:color="auto" w:fill="CFF0FC"/>
          </w:tcPr>
          <w:p>
            <w:pPr>
              <w:spacing w:after="0"/>
              <w:rPr>
                <w:sz w:val="18"/>
                <w:szCs w:val="18"/>
                <w:color w:val="auto"/>
              </w:rPr>
            </w:pPr>
          </w:p>
        </w:tc>
        <w:tc>
          <w:tcPr>
            <w:tcW w:w="2900" w:type="dxa"/>
            <w:vAlign w:val="bottom"/>
            <w:shd w:val="clear" w:color="auto" w:fill="CFF0FC"/>
          </w:tcPr>
          <w:p>
            <w:pPr>
              <w:ind w:left="280"/>
              <w:spacing w:after="0" w:line="216" w:lineRule="exact"/>
              <w:rPr>
                <w:sz w:val="20"/>
                <w:szCs w:val="20"/>
                <w:color w:val="auto"/>
              </w:rPr>
            </w:pPr>
            <w:r>
              <w:rPr>
                <w:rFonts w:ascii="Arial" w:cs="Arial" w:eastAsia="Arial" w:hAnsi="Arial"/>
                <w:sz w:val="15"/>
                <w:szCs w:val="15"/>
                <w:color w:val="auto"/>
              </w:rPr>
              <w:t xml:space="preserve">12/2026) </w:t>
            </w:r>
            <w:r>
              <w:rPr>
                <w:rFonts w:ascii="Arial" w:cs="Arial" w:eastAsia="Arial" w:hAnsi="Arial"/>
                <w:sz w:val="25"/>
                <w:szCs w:val="25"/>
                <w:color w:val="auto"/>
                <w:vertAlign w:val="superscript"/>
              </w:rPr>
              <w:t>(11)</w:t>
            </w:r>
          </w:p>
        </w:tc>
        <w:tc>
          <w:tcPr>
            <w:tcW w:w="9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38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249,407</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242,598</w:t>
            </w:r>
          </w:p>
        </w:tc>
        <w:tc>
          <w:tcPr>
            <w:tcW w:w="2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19.6%</w:t>
            </w:r>
          </w:p>
        </w:tc>
        <w:tc>
          <w:tcPr>
            <w:tcW w:w="0" w:type="dxa"/>
            <w:vAlign w:val="bottom"/>
          </w:tcPr>
          <w:p>
            <w:pPr>
              <w:spacing w:after="0"/>
              <w:rPr>
                <w:sz w:val="1"/>
                <w:szCs w:val="1"/>
                <w:color w:val="auto"/>
              </w:rPr>
            </w:pPr>
          </w:p>
        </w:tc>
      </w:tr>
      <w:tr>
        <w:trPr>
          <w:trHeight w:val="20"/>
        </w:trPr>
        <w:tc>
          <w:tcPr>
            <w:tcW w:w="2380" w:type="dxa"/>
            <w:vAlign w:val="bottom"/>
            <w:vMerge w:val="restart"/>
            <w:shd w:val="clear" w:color="auto" w:fill="CFF0FC"/>
          </w:tcPr>
          <w:p>
            <w:pPr>
              <w:spacing w:after="0"/>
              <w:rPr>
                <w:sz w:val="20"/>
                <w:szCs w:val="20"/>
                <w:color w:val="auto"/>
              </w:rPr>
            </w:pPr>
            <w:r>
              <w:rPr>
                <w:rFonts w:ascii="Arial" w:cs="Arial" w:eastAsia="Arial" w:hAnsi="Arial"/>
                <w:sz w:val="16"/>
                <w:szCs w:val="16"/>
                <w:b w:val="1"/>
                <w:bCs w:val="1"/>
                <w:color w:val="auto"/>
              </w:rPr>
              <w:t>Total Debt Investments</w:t>
            </w:r>
          </w:p>
        </w:tc>
        <w:tc>
          <w:tcPr>
            <w:tcW w:w="290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380" w:type="dxa"/>
            <w:vAlign w:val="bottom"/>
            <w:vMerge w:val="continue"/>
            <w:shd w:val="clear" w:color="auto" w:fill="CFF0FC"/>
          </w:tcPr>
          <w:p>
            <w:pPr>
              <w:spacing w:after="0"/>
              <w:rPr>
                <w:sz w:val="18"/>
                <w:szCs w:val="18"/>
                <w:color w:val="auto"/>
              </w:rPr>
            </w:pPr>
          </w:p>
        </w:tc>
        <w:tc>
          <w:tcPr>
            <w:tcW w:w="29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2,377,724</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2,428,057</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198.4%</w:t>
            </w:r>
          </w:p>
        </w:tc>
        <w:tc>
          <w:tcPr>
            <w:tcW w:w="0" w:type="dxa"/>
            <w:vAlign w:val="bottom"/>
          </w:tcPr>
          <w:p>
            <w:pPr>
              <w:spacing w:after="0"/>
              <w:rPr>
                <w:sz w:val="1"/>
                <w:szCs w:val="1"/>
                <w:color w:val="auto"/>
              </w:rPr>
            </w:pPr>
          </w:p>
        </w:tc>
      </w:tr>
      <w:tr>
        <w:trPr>
          <w:trHeight w:val="213"/>
        </w:trPr>
        <w:tc>
          <w:tcPr>
            <w:tcW w:w="23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Equity and Other Investments</w:t>
            </w:r>
          </w:p>
        </w:tc>
        <w:tc>
          <w:tcPr>
            <w:tcW w:w="29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80" w:type="dxa"/>
            <w:vAlign w:val="bottom"/>
          </w:tcPr>
          <w:p>
            <w:pPr>
              <w:spacing w:after="0"/>
              <w:rPr>
                <w:sz w:val="20"/>
                <w:szCs w:val="20"/>
                <w:color w:val="auto"/>
              </w:rPr>
            </w:pPr>
            <w:r>
              <w:rPr>
                <w:rFonts w:ascii="Arial" w:cs="Arial" w:eastAsia="Arial" w:hAnsi="Arial"/>
                <w:sz w:val="16"/>
                <w:szCs w:val="16"/>
                <w:b w:val="1"/>
                <w:bCs w:val="1"/>
                <w:color w:val="auto"/>
              </w:rPr>
              <w:t>Business Services</w:t>
            </w:r>
          </w:p>
        </w:tc>
        <w:tc>
          <w:tcPr>
            <w:tcW w:w="29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380" w:type="dxa"/>
            <w:vAlign w:val="bottom"/>
            <w:shd w:val="clear" w:color="auto" w:fill="CFF0FC"/>
          </w:tcPr>
          <w:p>
            <w:pPr>
              <w:spacing w:after="0" w:line="218" w:lineRule="exact"/>
              <w:rPr>
                <w:sz w:val="20"/>
                <w:szCs w:val="20"/>
                <w:color w:val="auto"/>
              </w:rPr>
            </w:pPr>
            <w:r>
              <w:rPr>
                <w:rFonts w:ascii="Arial" w:cs="Arial" w:eastAsia="Arial" w:hAnsi="Arial"/>
                <w:sz w:val="15"/>
                <w:szCs w:val="15"/>
                <w:color w:val="auto"/>
              </w:rPr>
              <w:t xml:space="preserve">Motus, LLC </w:t>
            </w:r>
            <w:r>
              <w:rPr>
                <w:rFonts w:ascii="Arial" w:cs="Arial" w:eastAsia="Arial" w:hAnsi="Arial"/>
                <w:sz w:val="25"/>
                <w:szCs w:val="25"/>
                <w:color w:val="auto"/>
                <w:vertAlign w:val="superscript"/>
              </w:rPr>
              <w:t>(13)</w:t>
            </w:r>
          </w:p>
        </w:tc>
        <w:tc>
          <w:tcPr>
            <w:tcW w:w="29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Class A Units (1,262 units)</w:t>
            </w: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1/17/2018</w:t>
            </w:r>
          </w:p>
        </w:tc>
        <w:tc>
          <w:tcPr>
            <w:tcW w:w="9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1,262</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5,353</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13"/>
        </w:trPr>
        <w:tc>
          <w:tcPr>
            <w:tcW w:w="2380" w:type="dxa"/>
            <w:vAlign w:val="bottom"/>
          </w:tcPr>
          <w:p>
            <w:pPr>
              <w:spacing w:after="0"/>
              <w:rPr>
                <w:sz w:val="18"/>
                <w:szCs w:val="18"/>
                <w:color w:val="auto"/>
              </w:rPr>
            </w:pPr>
          </w:p>
        </w:tc>
        <w:tc>
          <w:tcPr>
            <w:tcW w:w="2900" w:type="dxa"/>
            <w:vAlign w:val="bottom"/>
          </w:tcPr>
          <w:p>
            <w:pPr>
              <w:ind w:left="280"/>
              <w:spacing w:after="0"/>
              <w:rPr>
                <w:sz w:val="20"/>
                <w:szCs w:val="20"/>
                <w:color w:val="auto"/>
              </w:rPr>
            </w:pPr>
            <w:r>
              <w:rPr>
                <w:rFonts w:ascii="Arial" w:cs="Arial" w:eastAsia="Arial" w:hAnsi="Arial"/>
                <w:sz w:val="16"/>
                <w:szCs w:val="16"/>
                <w:color w:val="auto"/>
              </w:rPr>
              <w:t>Class B Units (517,020 units)</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1/17/2018</w:t>
            </w:r>
          </w:p>
        </w:tc>
        <w:tc>
          <w:tcPr>
            <w:tcW w:w="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19"/>
        </w:trPr>
        <w:tc>
          <w:tcPr>
            <w:tcW w:w="2380" w:type="dxa"/>
            <w:vAlign w:val="bottom"/>
            <w:shd w:val="clear" w:color="auto" w:fill="CFF0FC"/>
          </w:tcPr>
          <w:p>
            <w:pPr>
              <w:spacing w:after="0" w:line="218" w:lineRule="exact"/>
              <w:rPr>
                <w:sz w:val="20"/>
                <w:szCs w:val="20"/>
                <w:color w:val="auto"/>
              </w:rPr>
            </w:pPr>
            <w:r>
              <w:rPr>
                <w:rFonts w:ascii="Arial" w:cs="Arial" w:eastAsia="Arial" w:hAnsi="Arial"/>
                <w:sz w:val="15"/>
                <w:szCs w:val="15"/>
                <w:color w:val="auto"/>
              </w:rPr>
              <w:t xml:space="preserve">Nintex Global, Ltd. </w:t>
            </w:r>
            <w:r>
              <w:rPr>
                <w:rFonts w:ascii="Arial" w:cs="Arial" w:eastAsia="Arial" w:hAnsi="Arial"/>
                <w:sz w:val="25"/>
                <w:szCs w:val="25"/>
                <w:color w:val="auto"/>
                <w:vertAlign w:val="superscript"/>
              </w:rPr>
              <w:t>(13)</w:t>
            </w:r>
          </w:p>
        </w:tc>
        <w:tc>
          <w:tcPr>
            <w:tcW w:w="29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Class A Shares (1,197 shares)</w:t>
            </w: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3/30/2018</w:t>
            </w:r>
          </w:p>
        </w:tc>
        <w:tc>
          <w:tcPr>
            <w:tcW w:w="9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1,197</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4,325</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13"/>
        </w:trPr>
        <w:tc>
          <w:tcPr>
            <w:tcW w:w="2380" w:type="dxa"/>
            <w:vAlign w:val="bottom"/>
          </w:tcPr>
          <w:p>
            <w:pPr>
              <w:spacing w:after="0"/>
              <w:rPr>
                <w:sz w:val="18"/>
                <w:szCs w:val="18"/>
                <w:color w:val="auto"/>
              </w:rPr>
            </w:pPr>
          </w:p>
        </w:tc>
        <w:tc>
          <w:tcPr>
            <w:tcW w:w="2900" w:type="dxa"/>
            <w:vAlign w:val="bottom"/>
          </w:tcPr>
          <w:p>
            <w:pPr>
              <w:ind w:left="280"/>
              <w:spacing w:after="0"/>
              <w:rPr>
                <w:sz w:val="20"/>
                <w:szCs w:val="20"/>
                <w:color w:val="auto"/>
              </w:rPr>
            </w:pPr>
            <w:r>
              <w:rPr>
                <w:rFonts w:ascii="Arial" w:cs="Arial" w:eastAsia="Arial" w:hAnsi="Arial"/>
                <w:sz w:val="16"/>
                <w:szCs w:val="16"/>
                <w:color w:val="auto"/>
              </w:rPr>
              <w:t>Class B Shares (398,557 shares)</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3/30/2018</w:t>
            </w:r>
          </w:p>
        </w:tc>
        <w:tc>
          <w:tcPr>
            <w:tcW w:w="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44</w:t>
            </w:r>
          </w:p>
        </w:tc>
        <w:tc>
          <w:tcPr>
            <w:tcW w:w="2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06"/>
        </w:trPr>
        <w:tc>
          <w:tcPr>
            <w:tcW w:w="2380" w:type="dxa"/>
            <w:vAlign w:val="bottom"/>
            <w:shd w:val="clear" w:color="auto" w:fill="CFF0FC"/>
          </w:tcPr>
          <w:p>
            <w:pPr>
              <w:spacing w:after="0"/>
              <w:rPr>
                <w:sz w:val="20"/>
                <w:szCs w:val="20"/>
                <w:color w:val="auto"/>
              </w:rPr>
            </w:pPr>
            <w:r>
              <w:rPr>
                <w:rFonts w:ascii="Arial" w:cs="Arial" w:eastAsia="Arial" w:hAnsi="Arial"/>
                <w:sz w:val="16"/>
                <w:szCs w:val="16"/>
                <w:color w:val="auto"/>
              </w:rPr>
              <w:t>ServiceChannel Holdings,</w:t>
            </w:r>
          </w:p>
        </w:tc>
        <w:tc>
          <w:tcPr>
            <w:tcW w:w="29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207,991 Warrants</w:t>
            </w: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6/3/2020</w:t>
            </w:r>
          </w:p>
        </w:tc>
        <w:tc>
          <w:tcPr>
            <w:tcW w:w="9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335</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1,678</w:t>
            </w:r>
          </w:p>
        </w:tc>
        <w:tc>
          <w:tcPr>
            <w:tcW w:w="2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6"/>
        </w:trPr>
        <w:tc>
          <w:tcPr>
            <w:tcW w:w="23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 xml:space="preserve">Inc. </w:t>
            </w:r>
            <w:r>
              <w:rPr>
                <w:rFonts w:ascii="Arial" w:cs="Arial" w:eastAsia="Arial" w:hAnsi="Arial"/>
                <w:sz w:val="13"/>
                <w:szCs w:val="13"/>
                <w:color w:val="auto"/>
              </w:rPr>
              <w:t>(13)</w:t>
            </w:r>
          </w:p>
        </w:tc>
        <w:tc>
          <w:tcPr>
            <w:tcW w:w="29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80" w:type="dxa"/>
            <w:vAlign w:val="bottom"/>
          </w:tcPr>
          <w:p>
            <w:pPr>
              <w:spacing w:after="0"/>
              <w:rPr>
                <w:sz w:val="20"/>
                <w:szCs w:val="20"/>
                <w:color w:val="auto"/>
              </w:rPr>
            </w:pPr>
            <w:r>
              <w:rPr>
                <w:rFonts w:ascii="Arial" w:cs="Arial" w:eastAsia="Arial" w:hAnsi="Arial"/>
                <w:sz w:val="16"/>
                <w:szCs w:val="16"/>
                <w:color w:val="auto"/>
              </w:rPr>
              <w:t xml:space="preserve">Sprinklr, Inc. </w:t>
            </w:r>
            <w:r>
              <w:rPr>
                <w:rFonts w:ascii="Arial" w:cs="Arial" w:eastAsia="Arial" w:hAnsi="Arial"/>
                <w:sz w:val="13"/>
                <w:szCs w:val="13"/>
                <w:color w:val="auto"/>
              </w:rPr>
              <w:t>(4)(11)(13)(14)</w:t>
            </w:r>
          </w:p>
        </w:tc>
        <w:tc>
          <w:tcPr>
            <w:tcW w:w="2900" w:type="dxa"/>
            <w:vAlign w:val="bottom"/>
          </w:tcPr>
          <w:p>
            <w:pPr>
              <w:ind w:left="280"/>
              <w:spacing w:after="0"/>
              <w:rPr>
                <w:sz w:val="20"/>
                <w:szCs w:val="20"/>
                <w:color w:val="auto"/>
              </w:rPr>
            </w:pPr>
            <w:r>
              <w:rPr>
                <w:rFonts w:ascii="Arial" w:cs="Arial" w:eastAsia="Arial" w:hAnsi="Arial"/>
                <w:sz w:val="16"/>
                <w:szCs w:val="16"/>
                <w:color w:val="auto"/>
              </w:rPr>
              <w:t>Common Shares (484,700 shares)</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6/24/2021</w:t>
            </w:r>
          </w:p>
        </w:tc>
        <w:tc>
          <w:tcPr>
            <w:tcW w:w="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4,180</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9,326</w:t>
            </w:r>
          </w:p>
        </w:tc>
        <w:tc>
          <w:tcPr>
            <w:tcW w:w="2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19"/>
        </w:trPr>
        <w:tc>
          <w:tcPr>
            <w:tcW w:w="2380" w:type="dxa"/>
            <w:vAlign w:val="bottom"/>
            <w:shd w:val="clear" w:color="auto" w:fill="CFF0FC"/>
          </w:tcPr>
          <w:p>
            <w:pPr>
              <w:spacing w:after="0" w:line="218" w:lineRule="exact"/>
              <w:rPr>
                <w:sz w:val="20"/>
                <w:szCs w:val="20"/>
                <w:color w:val="auto"/>
              </w:rPr>
            </w:pPr>
            <w:r>
              <w:rPr>
                <w:rFonts w:ascii="Arial" w:cs="Arial" w:eastAsia="Arial" w:hAnsi="Arial"/>
                <w:sz w:val="15"/>
                <w:szCs w:val="15"/>
                <w:color w:val="auto"/>
              </w:rPr>
              <w:t xml:space="preserve">WideOrbit, Inc. </w:t>
            </w:r>
            <w:r>
              <w:rPr>
                <w:rFonts w:ascii="Arial" w:cs="Arial" w:eastAsia="Arial" w:hAnsi="Arial"/>
                <w:sz w:val="25"/>
                <w:szCs w:val="25"/>
                <w:color w:val="auto"/>
                <w:vertAlign w:val="superscript"/>
              </w:rPr>
              <w:t>(13)(14)</w:t>
            </w:r>
          </w:p>
        </w:tc>
        <w:tc>
          <w:tcPr>
            <w:tcW w:w="29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1,567,807 Warrants</w:t>
            </w: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7/8/2020</w:t>
            </w:r>
          </w:p>
        </w:tc>
        <w:tc>
          <w:tcPr>
            <w:tcW w:w="9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327</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327</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38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7,313</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21,053</w:t>
            </w:r>
          </w:p>
        </w:tc>
        <w:tc>
          <w:tcPr>
            <w:tcW w:w="2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3"/>
        </w:trPr>
        <w:tc>
          <w:tcPr>
            <w:tcW w:w="2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Communications</w:t>
            </w:r>
          </w:p>
        </w:tc>
        <w:tc>
          <w:tcPr>
            <w:tcW w:w="290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380" w:type="dxa"/>
            <w:vAlign w:val="bottom"/>
          </w:tcPr>
          <w:p>
            <w:pPr>
              <w:spacing w:after="0" w:line="203" w:lineRule="exact"/>
              <w:rPr>
                <w:sz w:val="20"/>
                <w:szCs w:val="20"/>
                <w:color w:val="auto"/>
              </w:rPr>
            </w:pPr>
            <w:r>
              <w:rPr>
                <w:rFonts w:ascii="Arial" w:cs="Arial" w:eastAsia="Arial" w:hAnsi="Arial"/>
                <w:sz w:val="14"/>
                <w:szCs w:val="14"/>
                <w:color w:val="auto"/>
              </w:rPr>
              <w:t xml:space="preserve">IntelePeer Holdings, Inc. </w:t>
            </w:r>
            <w:r>
              <w:rPr>
                <w:rFonts w:ascii="Arial" w:cs="Arial" w:eastAsia="Arial" w:hAnsi="Arial"/>
                <w:sz w:val="23"/>
                <w:szCs w:val="23"/>
                <w:color w:val="auto"/>
                <w:vertAlign w:val="superscript"/>
              </w:rPr>
              <w:t>(13)</w:t>
            </w:r>
          </w:p>
        </w:tc>
        <w:tc>
          <w:tcPr>
            <w:tcW w:w="2900" w:type="dxa"/>
            <w:vAlign w:val="bottom"/>
          </w:tcPr>
          <w:p>
            <w:pPr>
              <w:ind w:left="280"/>
              <w:spacing w:after="0"/>
              <w:rPr>
                <w:sz w:val="20"/>
                <w:szCs w:val="20"/>
                <w:color w:val="auto"/>
              </w:rPr>
            </w:pPr>
            <w:r>
              <w:rPr>
                <w:rFonts w:ascii="Arial" w:cs="Arial" w:eastAsia="Arial" w:hAnsi="Arial"/>
                <w:sz w:val="16"/>
                <w:szCs w:val="16"/>
                <w:color w:val="auto"/>
                <w:w w:val="96"/>
              </w:rPr>
              <w:t>Series C Preferred Shares (1,816,295</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4/8/2021</w:t>
            </w:r>
          </w:p>
        </w:tc>
        <w:tc>
          <w:tcPr>
            <w:tcW w:w="9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1,816</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2,829</w:t>
            </w:r>
          </w:p>
        </w:tc>
        <w:tc>
          <w:tcPr>
            <w:tcW w:w="2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2900" w:type="dxa"/>
            <w:vAlign w:val="bottom"/>
          </w:tcPr>
          <w:p>
            <w:pPr>
              <w:ind w:left="280"/>
              <w:spacing w:after="0" w:line="216" w:lineRule="exact"/>
              <w:rPr>
                <w:sz w:val="20"/>
                <w:szCs w:val="20"/>
                <w:color w:val="auto"/>
              </w:rPr>
            </w:pPr>
            <w:r>
              <w:rPr>
                <w:rFonts w:ascii="Arial" w:cs="Arial" w:eastAsia="Arial" w:hAnsi="Arial"/>
                <w:sz w:val="15"/>
                <w:szCs w:val="15"/>
                <w:color w:val="auto"/>
              </w:rPr>
              <w:t xml:space="preserve">shares) </w:t>
            </w:r>
            <w:r>
              <w:rPr>
                <w:rFonts w:ascii="Arial" w:cs="Arial" w:eastAsia="Arial" w:hAnsi="Arial"/>
                <w:sz w:val="25"/>
                <w:szCs w:val="25"/>
                <w:color w:val="auto"/>
                <w:vertAlign w:val="superscript"/>
              </w:rPr>
              <w:t>(14)</w:t>
            </w:r>
          </w:p>
        </w:tc>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380" w:type="dxa"/>
            <w:vAlign w:val="bottom"/>
            <w:shd w:val="clear" w:color="auto" w:fill="CFF0FC"/>
          </w:tcPr>
          <w:p>
            <w:pPr>
              <w:spacing w:after="0"/>
              <w:rPr>
                <w:sz w:val="17"/>
                <w:szCs w:val="17"/>
                <w:color w:val="auto"/>
              </w:rPr>
            </w:pPr>
          </w:p>
        </w:tc>
        <w:tc>
          <w:tcPr>
            <w:tcW w:w="2900" w:type="dxa"/>
            <w:vAlign w:val="bottom"/>
            <w:shd w:val="clear" w:color="auto" w:fill="CFF0FC"/>
          </w:tcPr>
          <w:p>
            <w:pPr>
              <w:ind w:left="280"/>
              <w:spacing w:after="0"/>
              <w:rPr>
                <w:sz w:val="20"/>
                <w:szCs w:val="20"/>
                <w:color w:val="auto"/>
              </w:rPr>
            </w:pPr>
            <w:r>
              <w:rPr>
                <w:rFonts w:ascii="Arial" w:cs="Arial" w:eastAsia="Arial" w:hAnsi="Arial"/>
                <w:sz w:val="16"/>
                <w:szCs w:val="16"/>
                <w:color w:val="auto"/>
                <w:w w:val="96"/>
              </w:rPr>
              <w:t>Series D Preferred Shares (1,065,916</w:t>
            </w: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4/8/2021</w:t>
            </w:r>
          </w:p>
        </w:tc>
        <w:tc>
          <w:tcPr>
            <w:tcW w:w="9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1,950</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1,950</w:t>
            </w:r>
          </w:p>
        </w:tc>
        <w:tc>
          <w:tcPr>
            <w:tcW w:w="2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6"/>
        </w:trPr>
        <w:tc>
          <w:tcPr>
            <w:tcW w:w="2380" w:type="dxa"/>
            <w:vAlign w:val="bottom"/>
            <w:shd w:val="clear" w:color="auto" w:fill="CFF0FC"/>
          </w:tcPr>
          <w:p>
            <w:pPr>
              <w:spacing w:after="0"/>
              <w:rPr>
                <w:sz w:val="18"/>
                <w:szCs w:val="18"/>
                <w:color w:val="auto"/>
              </w:rPr>
            </w:pPr>
          </w:p>
        </w:tc>
        <w:tc>
          <w:tcPr>
            <w:tcW w:w="2900" w:type="dxa"/>
            <w:vAlign w:val="bottom"/>
            <w:shd w:val="clear" w:color="auto" w:fill="CFF0FC"/>
          </w:tcPr>
          <w:p>
            <w:pPr>
              <w:ind w:left="280"/>
              <w:spacing w:after="0" w:line="216" w:lineRule="exact"/>
              <w:rPr>
                <w:sz w:val="20"/>
                <w:szCs w:val="20"/>
                <w:color w:val="auto"/>
              </w:rPr>
            </w:pPr>
            <w:r>
              <w:rPr>
                <w:rFonts w:ascii="Arial" w:cs="Arial" w:eastAsia="Arial" w:hAnsi="Arial"/>
                <w:sz w:val="15"/>
                <w:szCs w:val="15"/>
                <w:color w:val="auto"/>
              </w:rPr>
              <w:t xml:space="preserve">shares) </w:t>
            </w:r>
            <w:r>
              <w:rPr>
                <w:rFonts w:ascii="Arial" w:cs="Arial" w:eastAsia="Arial" w:hAnsi="Arial"/>
                <w:sz w:val="25"/>
                <w:szCs w:val="25"/>
                <w:color w:val="auto"/>
                <w:vertAlign w:val="superscript"/>
              </w:rPr>
              <w:t>(14)</w:t>
            </w:r>
          </w:p>
        </w:tc>
        <w:tc>
          <w:tcPr>
            <w:tcW w:w="9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80" w:type="dxa"/>
            <w:vAlign w:val="bottom"/>
          </w:tcPr>
          <w:p>
            <w:pPr>
              <w:spacing w:after="0"/>
              <w:rPr>
                <w:sz w:val="18"/>
                <w:szCs w:val="18"/>
                <w:color w:val="auto"/>
              </w:rPr>
            </w:pPr>
          </w:p>
        </w:tc>
        <w:tc>
          <w:tcPr>
            <w:tcW w:w="2900" w:type="dxa"/>
            <w:vAlign w:val="bottom"/>
          </w:tcPr>
          <w:p>
            <w:pPr>
              <w:ind w:left="280"/>
              <w:spacing w:after="0"/>
              <w:rPr>
                <w:sz w:val="20"/>
                <w:szCs w:val="20"/>
                <w:color w:val="auto"/>
              </w:rPr>
            </w:pPr>
            <w:r>
              <w:rPr>
                <w:rFonts w:ascii="Arial" w:cs="Arial" w:eastAsia="Arial" w:hAnsi="Arial"/>
                <w:sz w:val="16"/>
                <w:szCs w:val="16"/>
                <w:color w:val="auto"/>
              </w:rPr>
              <w:t>280,000 Warrants</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2/28/2020</w:t>
            </w:r>
          </w:p>
        </w:tc>
        <w:tc>
          <w:tcPr>
            <w:tcW w:w="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183</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293</w:t>
            </w:r>
          </w:p>
        </w:tc>
        <w:tc>
          <w:tcPr>
            <w:tcW w:w="2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19"/>
        </w:trPr>
        <w:tc>
          <w:tcPr>
            <w:tcW w:w="2380" w:type="dxa"/>
            <w:vAlign w:val="bottom"/>
            <w:shd w:val="clear" w:color="auto" w:fill="CFF0FC"/>
          </w:tcPr>
          <w:p>
            <w:pPr>
              <w:spacing w:after="0"/>
              <w:rPr>
                <w:sz w:val="19"/>
                <w:szCs w:val="19"/>
                <w:color w:val="auto"/>
              </w:rPr>
            </w:pPr>
          </w:p>
        </w:tc>
        <w:tc>
          <w:tcPr>
            <w:tcW w:w="2900" w:type="dxa"/>
            <w:vAlign w:val="bottom"/>
            <w:shd w:val="clear" w:color="auto" w:fill="CFF0FC"/>
          </w:tcPr>
          <w:p>
            <w:pPr>
              <w:ind w:left="280"/>
              <w:spacing w:after="0" w:line="218" w:lineRule="exact"/>
              <w:rPr>
                <w:sz w:val="20"/>
                <w:szCs w:val="20"/>
                <w:color w:val="auto"/>
              </w:rPr>
            </w:pPr>
            <w:r>
              <w:rPr>
                <w:rFonts w:ascii="Arial" w:cs="Arial" w:eastAsia="Arial" w:hAnsi="Arial"/>
                <w:sz w:val="15"/>
                <w:szCs w:val="15"/>
                <w:color w:val="auto"/>
              </w:rPr>
              <w:t xml:space="preserve">106,592 Warrants </w:t>
            </w:r>
            <w:r>
              <w:rPr>
                <w:rFonts w:ascii="Arial" w:cs="Arial" w:eastAsia="Arial" w:hAnsi="Arial"/>
                <w:sz w:val="25"/>
                <w:szCs w:val="25"/>
                <w:color w:val="auto"/>
                <w:vertAlign w:val="superscript"/>
              </w:rPr>
              <w:t>(14)</w:t>
            </w: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4/8/2021</w:t>
            </w:r>
          </w:p>
        </w:tc>
        <w:tc>
          <w:tcPr>
            <w:tcW w:w="9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38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3,949</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5,114</w:t>
            </w:r>
          </w:p>
        </w:tc>
        <w:tc>
          <w:tcPr>
            <w:tcW w:w="2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12"/>
        </w:trPr>
        <w:tc>
          <w:tcPr>
            <w:tcW w:w="2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Education</w:t>
            </w:r>
          </w:p>
        </w:tc>
        <w:tc>
          <w:tcPr>
            <w:tcW w:w="290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tcPr>
          <w:p>
            <w:pPr>
              <w:spacing w:after="0" w:line="216" w:lineRule="exact"/>
              <w:rPr>
                <w:sz w:val="20"/>
                <w:szCs w:val="20"/>
                <w:color w:val="auto"/>
              </w:rPr>
            </w:pPr>
            <w:r>
              <w:rPr>
                <w:rFonts w:ascii="Arial" w:cs="Arial" w:eastAsia="Arial" w:hAnsi="Arial"/>
                <w:sz w:val="15"/>
                <w:szCs w:val="15"/>
                <w:color w:val="auto"/>
              </w:rPr>
              <w:t xml:space="preserve">EMS Linq, Inc. </w:t>
            </w:r>
            <w:r>
              <w:rPr>
                <w:rFonts w:ascii="Arial" w:cs="Arial" w:eastAsia="Arial" w:hAnsi="Arial"/>
                <w:sz w:val="25"/>
                <w:szCs w:val="25"/>
                <w:color w:val="auto"/>
                <w:vertAlign w:val="superscript"/>
              </w:rPr>
              <w:t>(13)(14)</w:t>
            </w:r>
          </w:p>
        </w:tc>
        <w:tc>
          <w:tcPr>
            <w:tcW w:w="2900" w:type="dxa"/>
            <w:vAlign w:val="bottom"/>
          </w:tcPr>
          <w:p>
            <w:pPr>
              <w:ind w:left="280"/>
              <w:spacing w:after="0"/>
              <w:rPr>
                <w:sz w:val="20"/>
                <w:szCs w:val="20"/>
                <w:color w:val="auto"/>
              </w:rPr>
            </w:pPr>
            <w:r>
              <w:rPr>
                <w:rFonts w:ascii="Arial" w:cs="Arial" w:eastAsia="Arial" w:hAnsi="Arial"/>
                <w:sz w:val="16"/>
                <w:szCs w:val="16"/>
                <w:color w:val="auto"/>
              </w:rPr>
              <w:t>Common Units (474,684 units)</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11/2/2020</w:t>
            </w:r>
          </w:p>
        </w:tc>
        <w:tc>
          <w:tcPr>
            <w:tcW w:w="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1,500</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1,500</w:t>
            </w:r>
          </w:p>
        </w:tc>
        <w:tc>
          <w:tcPr>
            <w:tcW w:w="2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03"/>
        </w:trPr>
        <w:tc>
          <w:tcPr>
            <w:tcW w:w="2380" w:type="dxa"/>
            <w:vAlign w:val="bottom"/>
            <w:shd w:val="clear" w:color="auto" w:fill="CFF0FC"/>
          </w:tcPr>
          <w:p>
            <w:pPr>
              <w:spacing w:after="0"/>
              <w:rPr>
                <w:sz w:val="20"/>
                <w:szCs w:val="20"/>
                <w:color w:val="auto"/>
              </w:rPr>
            </w:pPr>
            <w:r>
              <w:rPr>
                <w:rFonts w:ascii="Arial" w:cs="Arial" w:eastAsia="Arial" w:hAnsi="Arial"/>
                <w:sz w:val="16"/>
                <w:szCs w:val="16"/>
                <w:color w:val="auto"/>
              </w:rPr>
              <w:t>RMCF IV CIV XXXV,</w:t>
            </w:r>
          </w:p>
        </w:tc>
        <w:tc>
          <w:tcPr>
            <w:tcW w:w="29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Partnership Interest (16.72%</w:t>
            </w: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6/8/2021</w:t>
            </w:r>
          </w:p>
        </w:tc>
        <w:tc>
          <w:tcPr>
            <w:tcW w:w="9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1,000</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1,000</w:t>
            </w:r>
          </w:p>
        </w:tc>
        <w:tc>
          <w:tcPr>
            <w:tcW w:w="2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3"/>
        </w:trPr>
        <w:tc>
          <w:tcPr>
            <w:tcW w:w="23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 xml:space="preserve">LP. </w:t>
            </w:r>
            <w:r>
              <w:rPr>
                <w:rFonts w:ascii="Arial" w:cs="Arial" w:eastAsia="Arial" w:hAnsi="Arial"/>
                <w:sz w:val="13"/>
                <w:szCs w:val="13"/>
                <w:color w:val="auto"/>
              </w:rPr>
              <w:t>(4)(13)(14)</w:t>
            </w:r>
          </w:p>
        </w:tc>
        <w:tc>
          <w:tcPr>
            <w:tcW w:w="29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ownership)</w:t>
            </w:r>
          </w:p>
        </w:tc>
        <w:tc>
          <w:tcPr>
            <w:tcW w:w="9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2,500</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2,500</w:t>
            </w:r>
          </w:p>
        </w:tc>
        <w:tc>
          <w:tcPr>
            <w:tcW w:w="2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51"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29"/>
        </w:trPr>
        <w:tc>
          <w:tcPr>
            <w:tcW w:w="2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Financial services</w:t>
            </w:r>
          </w:p>
        </w:tc>
        <w:tc>
          <w:tcPr>
            <w:tcW w:w="2720" w:type="dxa"/>
            <w:vAlign w:val="bottom"/>
            <w:tcBorders>
              <w:top w:val="single" w:sz="8" w:color="CFF0FC"/>
            </w:tcBorders>
            <w:shd w:val="clear" w:color="auto" w:fill="CFF0FC"/>
          </w:tcPr>
          <w:p>
            <w:pPr>
              <w:spacing w:after="0"/>
              <w:rPr>
                <w:sz w:val="19"/>
                <w:szCs w:val="19"/>
                <w:color w:val="auto"/>
              </w:rPr>
            </w:pPr>
          </w:p>
        </w:tc>
        <w:tc>
          <w:tcPr>
            <w:tcW w:w="300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r>
      <w:tr>
        <w:trPr>
          <w:trHeight w:val="216"/>
        </w:trPr>
        <w:tc>
          <w:tcPr>
            <w:tcW w:w="2600" w:type="dxa"/>
            <w:vAlign w:val="bottom"/>
          </w:tcPr>
          <w:p>
            <w:pPr>
              <w:spacing w:after="0"/>
              <w:rPr>
                <w:sz w:val="20"/>
                <w:szCs w:val="20"/>
                <w:color w:val="auto"/>
              </w:rPr>
            </w:pPr>
            <w:r>
              <w:rPr>
                <w:rFonts w:ascii="Arial" w:cs="Arial" w:eastAsia="Arial" w:hAnsi="Arial"/>
                <w:sz w:val="16"/>
                <w:szCs w:val="16"/>
                <w:color w:val="auto"/>
              </w:rPr>
              <w:t>AvidXchange, Inc.</w:t>
            </w:r>
          </w:p>
        </w:tc>
        <w:tc>
          <w:tcPr>
            <w:tcW w:w="2720" w:type="dxa"/>
            <w:vAlign w:val="bottom"/>
          </w:tcPr>
          <w:p>
            <w:pPr>
              <w:ind w:left="100"/>
              <w:spacing w:after="0" w:line="216" w:lineRule="exact"/>
              <w:rPr>
                <w:sz w:val="20"/>
                <w:szCs w:val="20"/>
                <w:color w:val="auto"/>
              </w:rPr>
            </w:pPr>
            <w:r>
              <w:rPr>
                <w:rFonts w:ascii="Arial" w:cs="Arial" w:eastAsia="Arial" w:hAnsi="Arial"/>
                <w:sz w:val="15"/>
                <w:szCs w:val="15"/>
                <w:color w:val="auto"/>
              </w:rPr>
              <w:t xml:space="preserve">Common Shares (2,198 shares) </w:t>
            </w:r>
            <w:r>
              <w:rPr>
                <w:rFonts w:ascii="Arial" w:cs="Arial" w:eastAsia="Arial" w:hAnsi="Arial"/>
                <w:sz w:val="25"/>
                <w:szCs w:val="25"/>
                <w:color w:val="auto"/>
                <w:vertAlign w:val="superscript"/>
              </w:rPr>
              <w:t>(13)</w:t>
            </w:r>
          </w:p>
        </w:tc>
        <w:tc>
          <w:tcPr>
            <w:tcW w:w="3000" w:type="dxa"/>
            <w:vAlign w:val="bottom"/>
          </w:tcPr>
          <w:p>
            <w:pPr>
              <w:jc w:val="right"/>
              <w:ind w:right="2039"/>
              <w:spacing w:after="0"/>
              <w:rPr>
                <w:sz w:val="20"/>
                <w:szCs w:val="20"/>
                <w:color w:val="auto"/>
              </w:rPr>
            </w:pPr>
            <w:r>
              <w:rPr>
                <w:rFonts w:ascii="Arial" w:cs="Arial" w:eastAsia="Arial" w:hAnsi="Arial"/>
                <w:sz w:val="16"/>
                <w:szCs w:val="16"/>
                <w:color w:val="auto"/>
              </w:rPr>
              <w:t>4/7/2020</w:t>
            </w:r>
          </w:p>
        </w:tc>
        <w:tc>
          <w:tcPr>
            <w:tcW w:w="800" w:type="dxa"/>
            <w:vAlign w:val="bottom"/>
          </w:tcPr>
          <w:p>
            <w:pPr>
              <w:jc w:val="right"/>
              <w:spacing w:after="0"/>
              <w:rPr>
                <w:sz w:val="20"/>
                <w:szCs w:val="20"/>
                <w:color w:val="auto"/>
              </w:rPr>
            </w:pPr>
            <w:r>
              <w:rPr>
                <w:rFonts w:ascii="Arial" w:cs="Arial" w:eastAsia="Arial" w:hAnsi="Arial"/>
                <w:sz w:val="16"/>
                <w:szCs w:val="16"/>
                <w:color w:val="auto"/>
              </w:rPr>
              <w:t>109</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161</w:t>
            </w:r>
          </w:p>
        </w:tc>
        <w:tc>
          <w:tcPr>
            <w:tcW w:w="2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0.0%</w:t>
            </w:r>
          </w:p>
        </w:tc>
      </w:tr>
      <w:tr>
        <w:trPr>
          <w:trHeight w:val="216"/>
        </w:trPr>
        <w:tc>
          <w:tcPr>
            <w:tcW w:w="2600" w:type="dxa"/>
            <w:vAlign w:val="bottom"/>
            <w:shd w:val="clear" w:color="auto" w:fill="CFF0FC"/>
          </w:tcPr>
          <w:p>
            <w:pPr>
              <w:spacing w:after="0"/>
              <w:rPr>
                <w:sz w:val="18"/>
                <w:szCs w:val="18"/>
                <w:color w:val="auto"/>
              </w:rPr>
            </w:pPr>
          </w:p>
        </w:tc>
        <w:tc>
          <w:tcPr>
            <w:tcW w:w="2720" w:type="dxa"/>
            <w:vAlign w:val="bottom"/>
            <w:shd w:val="clear" w:color="auto" w:fill="CFF0FC"/>
          </w:tcPr>
          <w:p>
            <w:pPr>
              <w:ind w:left="100"/>
              <w:spacing w:after="0"/>
              <w:rPr>
                <w:sz w:val="20"/>
                <w:szCs w:val="20"/>
                <w:color w:val="auto"/>
              </w:rPr>
            </w:pPr>
            <w:r>
              <w:rPr>
                <w:rFonts w:ascii="Arial" w:cs="Arial" w:eastAsia="Arial" w:hAnsi="Arial"/>
                <w:sz w:val="16"/>
                <w:szCs w:val="16"/>
                <w:color w:val="auto"/>
              </w:rPr>
              <w:t>Preferred Shares (293,232 shares)</w:t>
            </w:r>
          </w:p>
        </w:tc>
        <w:tc>
          <w:tcPr>
            <w:tcW w:w="3000" w:type="dxa"/>
            <w:vAlign w:val="bottom"/>
            <w:shd w:val="clear" w:color="auto" w:fill="CFF0FC"/>
          </w:tcPr>
          <w:p>
            <w:pPr>
              <w:jc w:val="right"/>
              <w:ind w:right="2039"/>
              <w:spacing w:after="0"/>
              <w:rPr>
                <w:sz w:val="20"/>
                <w:szCs w:val="20"/>
                <w:color w:val="auto"/>
              </w:rPr>
            </w:pPr>
            <w:r>
              <w:rPr>
                <w:rFonts w:ascii="Arial" w:cs="Arial" w:eastAsia="Arial" w:hAnsi="Arial"/>
                <w:sz w:val="16"/>
                <w:szCs w:val="16"/>
                <w:color w:val="auto"/>
              </w:rPr>
              <w:t>10/1/2019</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16,744</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17,288</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1.4%</w:t>
            </w:r>
          </w:p>
        </w:tc>
      </w:tr>
      <w:tr>
        <w:trPr>
          <w:trHeight w:val="203"/>
        </w:trPr>
        <w:tc>
          <w:tcPr>
            <w:tcW w:w="2600" w:type="dxa"/>
            <w:vAlign w:val="bottom"/>
          </w:tcPr>
          <w:p>
            <w:pPr>
              <w:spacing w:after="0"/>
              <w:rPr>
                <w:sz w:val="17"/>
                <w:szCs w:val="17"/>
                <w:color w:val="auto"/>
              </w:rPr>
            </w:pPr>
          </w:p>
        </w:tc>
        <w:tc>
          <w:tcPr>
            <w:tcW w:w="2720" w:type="dxa"/>
            <w:vAlign w:val="bottom"/>
          </w:tcPr>
          <w:p>
            <w:pPr>
              <w:ind w:left="100"/>
              <w:spacing w:after="0"/>
              <w:rPr>
                <w:sz w:val="20"/>
                <w:szCs w:val="20"/>
                <w:color w:val="auto"/>
              </w:rPr>
            </w:pPr>
            <w:r>
              <w:rPr>
                <w:rFonts w:ascii="Arial" w:cs="Arial" w:eastAsia="Arial" w:hAnsi="Arial"/>
                <w:sz w:val="16"/>
                <w:szCs w:val="16"/>
                <w:color w:val="auto"/>
              </w:rPr>
              <w:t>Series F Preferred Shares (8,791</w:t>
            </w:r>
          </w:p>
        </w:tc>
        <w:tc>
          <w:tcPr>
            <w:tcW w:w="3000" w:type="dxa"/>
            <w:vAlign w:val="bottom"/>
          </w:tcPr>
          <w:p>
            <w:pPr>
              <w:jc w:val="right"/>
              <w:ind w:right="2039"/>
              <w:spacing w:after="0"/>
              <w:rPr>
                <w:sz w:val="20"/>
                <w:szCs w:val="20"/>
                <w:color w:val="auto"/>
              </w:rPr>
            </w:pPr>
            <w:r>
              <w:rPr>
                <w:rFonts w:ascii="Arial" w:cs="Arial" w:eastAsia="Arial" w:hAnsi="Arial"/>
                <w:sz w:val="16"/>
                <w:szCs w:val="16"/>
                <w:color w:val="auto"/>
              </w:rPr>
              <w:t>4/7/2020</w:t>
            </w:r>
          </w:p>
        </w:tc>
        <w:tc>
          <w:tcPr>
            <w:tcW w:w="800" w:type="dxa"/>
            <w:vAlign w:val="bottom"/>
          </w:tcPr>
          <w:p>
            <w:pPr>
              <w:jc w:val="right"/>
              <w:spacing w:after="0"/>
              <w:rPr>
                <w:sz w:val="20"/>
                <w:szCs w:val="20"/>
                <w:color w:val="auto"/>
              </w:rPr>
            </w:pPr>
            <w:r>
              <w:rPr>
                <w:rFonts w:ascii="Arial" w:cs="Arial" w:eastAsia="Arial" w:hAnsi="Arial"/>
                <w:sz w:val="16"/>
                <w:szCs w:val="16"/>
                <w:color w:val="auto"/>
              </w:rPr>
              <w:t>438</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642</w:t>
            </w:r>
          </w:p>
        </w:tc>
        <w:tc>
          <w:tcPr>
            <w:tcW w:w="2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0.1%</w:t>
            </w:r>
          </w:p>
        </w:tc>
      </w:tr>
      <w:tr>
        <w:trPr>
          <w:trHeight w:val="216"/>
        </w:trPr>
        <w:tc>
          <w:tcPr>
            <w:tcW w:w="2600" w:type="dxa"/>
            <w:vAlign w:val="bottom"/>
          </w:tcPr>
          <w:p>
            <w:pPr>
              <w:spacing w:after="0"/>
              <w:rPr>
                <w:sz w:val="18"/>
                <w:szCs w:val="18"/>
                <w:color w:val="auto"/>
              </w:rPr>
            </w:pPr>
          </w:p>
        </w:tc>
        <w:tc>
          <w:tcPr>
            <w:tcW w:w="2720" w:type="dxa"/>
            <w:vAlign w:val="bottom"/>
          </w:tcPr>
          <w:p>
            <w:pPr>
              <w:ind w:left="100"/>
              <w:spacing w:after="0" w:line="216" w:lineRule="exact"/>
              <w:rPr>
                <w:sz w:val="20"/>
                <w:szCs w:val="20"/>
                <w:color w:val="auto"/>
              </w:rPr>
            </w:pPr>
            <w:r>
              <w:rPr>
                <w:rFonts w:ascii="Arial" w:cs="Arial" w:eastAsia="Arial" w:hAnsi="Arial"/>
                <w:sz w:val="15"/>
                <w:szCs w:val="15"/>
                <w:color w:val="auto"/>
              </w:rPr>
              <w:t xml:space="preserve">shares) </w:t>
            </w:r>
            <w:r>
              <w:rPr>
                <w:rFonts w:ascii="Arial" w:cs="Arial" w:eastAsia="Arial" w:hAnsi="Arial"/>
                <w:sz w:val="25"/>
                <w:szCs w:val="25"/>
                <w:color w:val="auto"/>
                <w:vertAlign w:val="superscript"/>
              </w:rPr>
              <w:t>(13)</w:t>
            </w:r>
          </w:p>
        </w:tc>
        <w:tc>
          <w:tcPr>
            <w:tcW w:w="3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600" w:type="dxa"/>
            <w:vAlign w:val="bottom"/>
            <w:shd w:val="clear" w:color="auto" w:fill="CFF0FC"/>
          </w:tcPr>
          <w:p>
            <w:pPr>
              <w:spacing w:after="0"/>
              <w:rPr>
                <w:sz w:val="18"/>
                <w:szCs w:val="18"/>
                <w:color w:val="auto"/>
              </w:rPr>
            </w:pPr>
          </w:p>
        </w:tc>
        <w:tc>
          <w:tcPr>
            <w:tcW w:w="2720" w:type="dxa"/>
            <w:vAlign w:val="bottom"/>
            <w:shd w:val="clear" w:color="auto" w:fill="CFF0FC"/>
          </w:tcPr>
          <w:p>
            <w:pPr>
              <w:ind w:left="100"/>
              <w:spacing w:after="0" w:line="216" w:lineRule="exact"/>
              <w:rPr>
                <w:sz w:val="20"/>
                <w:szCs w:val="20"/>
                <w:color w:val="auto"/>
              </w:rPr>
            </w:pPr>
            <w:r>
              <w:rPr>
                <w:rFonts w:ascii="Arial" w:cs="Arial" w:eastAsia="Arial" w:hAnsi="Arial"/>
                <w:sz w:val="15"/>
                <w:szCs w:val="15"/>
                <w:color w:val="auto"/>
              </w:rPr>
              <w:t xml:space="preserve">75,016 Warrants </w:t>
            </w:r>
            <w:r>
              <w:rPr>
                <w:rFonts w:ascii="Arial" w:cs="Arial" w:eastAsia="Arial" w:hAnsi="Arial"/>
                <w:sz w:val="25"/>
                <w:szCs w:val="25"/>
                <w:color w:val="auto"/>
                <w:vertAlign w:val="superscript"/>
              </w:rPr>
              <w:t>(13)</w:t>
            </w:r>
          </w:p>
        </w:tc>
        <w:tc>
          <w:tcPr>
            <w:tcW w:w="3000" w:type="dxa"/>
            <w:vAlign w:val="bottom"/>
            <w:shd w:val="clear" w:color="auto" w:fill="CFF0FC"/>
          </w:tcPr>
          <w:p>
            <w:pPr>
              <w:jc w:val="right"/>
              <w:ind w:right="2039"/>
              <w:spacing w:after="0"/>
              <w:rPr>
                <w:sz w:val="20"/>
                <w:szCs w:val="20"/>
                <w:color w:val="auto"/>
              </w:rPr>
            </w:pPr>
            <w:r>
              <w:rPr>
                <w:rFonts w:ascii="Arial" w:cs="Arial" w:eastAsia="Arial" w:hAnsi="Arial"/>
                <w:sz w:val="16"/>
                <w:szCs w:val="16"/>
                <w:color w:val="auto"/>
              </w:rPr>
              <w:t>10/1/2019</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475</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2,708</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0.2%</w:t>
            </w:r>
          </w:p>
        </w:tc>
      </w:tr>
      <w:tr>
        <w:trPr>
          <w:trHeight w:val="216"/>
        </w:trPr>
        <w:tc>
          <w:tcPr>
            <w:tcW w:w="2600" w:type="dxa"/>
            <w:vAlign w:val="bottom"/>
          </w:tcPr>
          <w:p>
            <w:pPr>
              <w:spacing w:after="0" w:line="216" w:lineRule="exact"/>
              <w:rPr>
                <w:sz w:val="20"/>
                <w:szCs w:val="20"/>
                <w:color w:val="auto"/>
              </w:rPr>
            </w:pPr>
            <w:r>
              <w:rPr>
                <w:rFonts w:ascii="Arial" w:cs="Arial" w:eastAsia="Arial" w:hAnsi="Arial"/>
                <w:sz w:val="15"/>
                <w:szCs w:val="15"/>
                <w:color w:val="auto"/>
              </w:rPr>
              <w:t xml:space="preserve">Newport Parent Holdings, LP </w:t>
            </w:r>
            <w:r>
              <w:rPr>
                <w:rFonts w:ascii="Arial" w:cs="Arial" w:eastAsia="Arial" w:hAnsi="Arial"/>
                <w:sz w:val="25"/>
                <w:szCs w:val="25"/>
                <w:color w:val="auto"/>
                <w:vertAlign w:val="superscript"/>
              </w:rPr>
              <w:t>(13)(14)</w:t>
            </w:r>
          </w:p>
        </w:tc>
        <w:tc>
          <w:tcPr>
            <w:tcW w:w="2720" w:type="dxa"/>
            <w:vAlign w:val="bottom"/>
          </w:tcPr>
          <w:p>
            <w:pPr>
              <w:ind w:left="100"/>
              <w:spacing w:after="0"/>
              <w:rPr>
                <w:sz w:val="20"/>
                <w:szCs w:val="20"/>
                <w:color w:val="auto"/>
              </w:rPr>
            </w:pPr>
            <w:r>
              <w:rPr>
                <w:rFonts w:ascii="Arial" w:cs="Arial" w:eastAsia="Arial" w:hAnsi="Arial"/>
                <w:sz w:val="16"/>
                <w:szCs w:val="16"/>
                <w:color w:val="auto"/>
              </w:rPr>
              <w:t>Class A-2 Units (131,569 units)</w:t>
            </w:r>
          </w:p>
        </w:tc>
        <w:tc>
          <w:tcPr>
            <w:tcW w:w="3000" w:type="dxa"/>
            <w:vAlign w:val="bottom"/>
          </w:tcPr>
          <w:p>
            <w:pPr>
              <w:jc w:val="right"/>
              <w:ind w:right="2039"/>
              <w:spacing w:after="0"/>
              <w:rPr>
                <w:sz w:val="20"/>
                <w:szCs w:val="20"/>
                <w:color w:val="auto"/>
              </w:rPr>
            </w:pPr>
            <w:r>
              <w:rPr>
                <w:rFonts w:ascii="Arial" w:cs="Arial" w:eastAsia="Arial" w:hAnsi="Arial"/>
                <w:sz w:val="16"/>
                <w:szCs w:val="16"/>
                <w:color w:val="auto"/>
              </w:rPr>
              <w:t>12/10/2020</w:t>
            </w:r>
          </w:p>
        </w:tc>
        <w:tc>
          <w:tcPr>
            <w:tcW w:w="800" w:type="dxa"/>
            <w:vAlign w:val="bottom"/>
          </w:tcPr>
          <w:p>
            <w:pPr>
              <w:jc w:val="right"/>
              <w:spacing w:after="0"/>
              <w:rPr>
                <w:sz w:val="20"/>
                <w:szCs w:val="20"/>
                <w:color w:val="auto"/>
              </w:rPr>
            </w:pPr>
            <w:r>
              <w:rPr>
                <w:rFonts w:ascii="Arial" w:cs="Arial" w:eastAsia="Arial" w:hAnsi="Arial"/>
                <w:sz w:val="16"/>
                <w:szCs w:val="16"/>
                <w:color w:val="auto"/>
              </w:rPr>
              <w:t>4,177</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4,125</w:t>
            </w:r>
          </w:p>
        </w:tc>
        <w:tc>
          <w:tcPr>
            <w:tcW w:w="2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0.4%</w:t>
            </w:r>
          </w:p>
        </w:tc>
      </w:tr>
      <w:tr>
        <w:trPr>
          <w:trHeight w:val="203"/>
        </w:trPr>
        <w:tc>
          <w:tcPr>
            <w:tcW w:w="2600" w:type="dxa"/>
            <w:vAlign w:val="bottom"/>
            <w:shd w:val="clear" w:color="auto" w:fill="CFF0FC"/>
          </w:tcPr>
          <w:p>
            <w:pPr>
              <w:spacing w:after="0"/>
              <w:rPr>
                <w:sz w:val="20"/>
                <w:szCs w:val="20"/>
                <w:color w:val="auto"/>
              </w:rPr>
            </w:pPr>
            <w:r>
              <w:rPr>
                <w:rFonts w:ascii="Arial" w:cs="Arial" w:eastAsia="Arial" w:hAnsi="Arial"/>
                <w:sz w:val="16"/>
                <w:szCs w:val="16"/>
                <w:color w:val="auto"/>
              </w:rPr>
              <w:t>Oxford Square Capital</w:t>
            </w:r>
          </w:p>
        </w:tc>
        <w:tc>
          <w:tcPr>
            <w:tcW w:w="2720" w:type="dxa"/>
            <w:vAlign w:val="bottom"/>
            <w:shd w:val="clear" w:color="auto" w:fill="CFF0FC"/>
          </w:tcPr>
          <w:p>
            <w:pPr>
              <w:ind w:left="100"/>
              <w:spacing w:after="0"/>
              <w:rPr>
                <w:sz w:val="20"/>
                <w:szCs w:val="20"/>
                <w:color w:val="auto"/>
              </w:rPr>
            </w:pPr>
            <w:r>
              <w:rPr>
                <w:rFonts w:ascii="Arial" w:cs="Arial" w:eastAsia="Arial" w:hAnsi="Arial"/>
                <w:sz w:val="16"/>
                <w:szCs w:val="16"/>
                <w:color w:val="auto"/>
              </w:rPr>
              <w:t>Common Shares (1,620 shares)</w:t>
            </w:r>
          </w:p>
        </w:tc>
        <w:tc>
          <w:tcPr>
            <w:tcW w:w="3000" w:type="dxa"/>
            <w:vAlign w:val="bottom"/>
            <w:shd w:val="clear" w:color="auto" w:fill="CFF0FC"/>
          </w:tcPr>
          <w:p>
            <w:pPr>
              <w:jc w:val="right"/>
              <w:ind w:right="2039"/>
              <w:spacing w:after="0"/>
              <w:rPr>
                <w:sz w:val="20"/>
                <w:szCs w:val="20"/>
                <w:color w:val="auto"/>
              </w:rPr>
            </w:pPr>
            <w:r>
              <w:rPr>
                <w:rFonts w:ascii="Arial" w:cs="Arial" w:eastAsia="Arial" w:hAnsi="Arial"/>
                <w:sz w:val="16"/>
                <w:szCs w:val="16"/>
                <w:color w:val="auto"/>
              </w:rPr>
              <w:t>8/5/2015</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2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0.0%</w:t>
            </w:r>
          </w:p>
        </w:tc>
      </w:tr>
      <w:tr>
        <w:trPr>
          <w:trHeight w:val="216"/>
        </w:trPr>
        <w:tc>
          <w:tcPr>
            <w:tcW w:w="26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 xml:space="preserve">Corp. </w:t>
            </w:r>
            <w:r>
              <w:rPr>
                <w:rFonts w:ascii="Arial" w:cs="Arial" w:eastAsia="Arial" w:hAnsi="Arial"/>
                <w:sz w:val="13"/>
                <w:szCs w:val="13"/>
                <w:color w:val="auto"/>
              </w:rPr>
              <w:t>(4)(12)</w:t>
            </w:r>
          </w:p>
        </w:tc>
        <w:tc>
          <w:tcPr>
            <w:tcW w:w="2720" w:type="dxa"/>
            <w:vAlign w:val="bottom"/>
            <w:shd w:val="clear" w:color="auto" w:fill="CFF0FC"/>
          </w:tcPr>
          <w:p>
            <w:pPr>
              <w:spacing w:after="0"/>
              <w:rPr>
                <w:sz w:val="18"/>
                <w:szCs w:val="18"/>
                <w:color w:val="auto"/>
              </w:rPr>
            </w:pPr>
          </w:p>
        </w:tc>
        <w:tc>
          <w:tcPr>
            <w:tcW w:w="30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6"/>
        </w:trPr>
        <w:tc>
          <w:tcPr>
            <w:tcW w:w="2600" w:type="dxa"/>
            <w:vAlign w:val="bottom"/>
          </w:tcPr>
          <w:p>
            <w:pPr>
              <w:spacing w:after="0" w:line="216" w:lineRule="exact"/>
              <w:rPr>
                <w:sz w:val="20"/>
                <w:szCs w:val="20"/>
                <w:color w:val="auto"/>
              </w:rPr>
            </w:pPr>
            <w:r>
              <w:rPr>
                <w:rFonts w:ascii="Arial" w:cs="Arial" w:eastAsia="Arial" w:hAnsi="Arial"/>
                <w:sz w:val="15"/>
                <w:szCs w:val="15"/>
                <w:color w:val="auto"/>
              </w:rPr>
              <w:t xml:space="preserve">Passport Labs, Inc. </w:t>
            </w:r>
            <w:r>
              <w:rPr>
                <w:rFonts w:ascii="Arial" w:cs="Arial" w:eastAsia="Arial" w:hAnsi="Arial"/>
                <w:sz w:val="25"/>
                <w:szCs w:val="25"/>
                <w:color w:val="auto"/>
                <w:vertAlign w:val="superscript"/>
              </w:rPr>
              <w:t>(13)(14)</w:t>
            </w:r>
          </w:p>
        </w:tc>
        <w:tc>
          <w:tcPr>
            <w:tcW w:w="2720" w:type="dxa"/>
            <w:vAlign w:val="bottom"/>
          </w:tcPr>
          <w:p>
            <w:pPr>
              <w:ind w:left="100"/>
              <w:spacing w:after="0"/>
              <w:rPr>
                <w:sz w:val="20"/>
                <w:szCs w:val="20"/>
                <w:color w:val="auto"/>
              </w:rPr>
            </w:pPr>
            <w:r>
              <w:rPr>
                <w:rFonts w:ascii="Arial" w:cs="Arial" w:eastAsia="Arial" w:hAnsi="Arial"/>
                <w:sz w:val="16"/>
                <w:szCs w:val="16"/>
                <w:color w:val="auto"/>
              </w:rPr>
              <w:t>17,534 Warrants</w:t>
            </w:r>
          </w:p>
        </w:tc>
        <w:tc>
          <w:tcPr>
            <w:tcW w:w="3000" w:type="dxa"/>
            <w:vAlign w:val="bottom"/>
          </w:tcPr>
          <w:p>
            <w:pPr>
              <w:jc w:val="right"/>
              <w:ind w:right="2039"/>
              <w:spacing w:after="0"/>
              <w:rPr>
                <w:sz w:val="20"/>
                <w:szCs w:val="20"/>
                <w:color w:val="auto"/>
              </w:rPr>
            </w:pPr>
            <w:r>
              <w:rPr>
                <w:rFonts w:ascii="Arial" w:cs="Arial" w:eastAsia="Arial" w:hAnsi="Arial"/>
                <w:sz w:val="16"/>
                <w:szCs w:val="16"/>
                <w:color w:val="auto"/>
              </w:rPr>
              <w:t>4/28/2021</w:t>
            </w:r>
          </w:p>
        </w:tc>
        <w:tc>
          <w:tcPr>
            <w:tcW w:w="800" w:type="dxa"/>
            <w:vAlign w:val="bottom"/>
          </w:tcPr>
          <w:p>
            <w:pPr>
              <w:jc w:val="right"/>
              <w:spacing w:after="0"/>
              <w:rPr>
                <w:sz w:val="20"/>
                <w:szCs w:val="20"/>
                <w:color w:val="auto"/>
              </w:rPr>
            </w:pPr>
            <w:r>
              <w:rPr>
                <w:rFonts w:ascii="Arial" w:cs="Arial" w:eastAsia="Arial" w:hAnsi="Arial"/>
                <w:sz w:val="16"/>
                <w:szCs w:val="16"/>
                <w:color w:val="auto"/>
              </w:rPr>
              <w:t>192</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192</w:t>
            </w:r>
          </w:p>
        </w:tc>
        <w:tc>
          <w:tcPr>
            <w:tcW w:w="2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0.0%</w:t>
            </w:r>
          </w:p>
        </w:tc>
      </w:tr>
      <w:tr>
        <w:trPr>
          <w:trHeight w:val="216"/>
        </w:trPr>
        <w:tc>
          <w:tcPr>
            <w:tcW w:w="2600" w:type="dxa"/>
            <w:vAlign w:val="bottom"/>
            <w:shd w:val="clear" w:color="auto" w:fill="CFF0FC"/>
          </w:tcPr>
          <w:p>
            <w:pPr>
              <w:spacing w:after="0" w:line="216" w:lineRule="exact"/>
              <w:rPr>
                <w:sz w:val="20"/>
                <w:szCs w:val="20"/>
                <w:color w:val="auto"/>
              </w:rPr>
            </w:pPr>
            <w:r>
              <w:rPr>
                <w:rFonts w:ascii="Arial" w:cs="Arial" w:eastAsia="Arial" w:hAnsi="Arial"/>
                <w:sz w:val="15"/>
                <w:szCs w:val="15"/>
                <w:color w:val="auto"/>
              </w:rPr>
              <w:t xml:space="preserve">TradingScreen, Inc. </w:t>
            </w:r>
            <w:r>
              <w:rPr>
                <w:rFonts w:ascii="Arial" w:cs="Arial" w:eastAsia="Arial" w:hAnsi="Arial"/>
                <w:sz w:val="25"/>
                <w:szCs w:val="25"/>
                <w:color w:val="auto"/>
                <w:vertAlign w:val="superscript"/>
              </w:rPr>
              <w:t>(13)(14)(15)</w:t>
            </w:r>
          </w:p>
        </w:tc>
        <w:tc>
          <w:tcPr>
            <w:tcW w:w="2720" w:type="dxa"/>
            <w:vAlign w:val="bottom"/>
            <w:shd w:val="clear" w:color="auto" w:fill="CFF0FC"/>
          </w:tcPr>
          <w:p>
            <w:pPr>
              <w:ind w:left="100"/>
              <w:spacing w:after="0"/>
              <w:rPr>
                <w:sz w:val="20"/>
                <w:szCs w:val="20"/>
                <w:color w:val="auto"/>
              </w:rPr>
            </w:pPr>
            <w:r>
              <w:rPr>
                <w:rFonts w:ascii="Arial" w:cs="Arial" w:eastAsia="Arial" w:hAnsi="Arial"/>
                <w:sz w:val="16"/>
                <w:szCs w:val="16"/>
                <w:color w:val="auto"/>
              </w:rPr>
              <w:t>Class A Units (600,000 units)</w:t>
            </w:r>
          </w:p>
        </w:tc>
        <w:tc>
          <w:tcPr>
            <w:tcW w:w="3000" w:type="dxa"/>
            <w:vAlign w:val="bottom"/>
            <w:shd w:val="clear" w:color="auto" w:fill="CFF0FC"/>
          </w:tcPr>
          <w:p>
            <w:pPr>
              <w:jc w:val="right"/>
              <w:ind w:right="2039"/>
              <w:spacing w:after="0"/>
              <w:rPr>
                <w:sz w:val="20"/>
                <w:szCs w:val="20"/>
                <w:color w:val="auto"/>
              </w:rPr>
            </w:pPr>
            <w:r>
              <w:rPr>
                <w:rFonts w:ascii="Arial" w:cs="Arial" w:eastAsia="Arial" w:hAnsi="Arial"/>
                <w:sz w:val="16"/>
                <w:szCs w:val="16"/>
                <w:color w:val="auto"/>
              </w:rPr>
              <w:t>5/14/2021</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600</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600</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0.0%</w:t>
            </w:r>
          </w:p>
        </w:tc>
      </w:tr>
      <w:tr>
        <w:trPr>
          <w:trHeight w:val="20"/>
        </w:trPr>
        <w:tc>
          <w:tcPr>
            <w:tcW w:w="26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7"/>
        </w:trPr>
        <w:tc>
          <w:tcPr>
            <w:tcW w:w="260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22,741</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25,724</w:t>
            </w:r>
          </w:p>
        </w:tc>
        <w:tc>
          <w:tcPr>
            <w:tcW w:w="2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2.1%</w:t>
            </w:r>
          </w:p>
        </w:tc>
      </w:tr>
      <w:tr>
        <w:trPr>
          <w:trHeight w:val="212"/>
        </w:trPr>
        <w:tc>
          <w:tcPr>
            <w:tcW w:w="2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Healthcare</w:t>
            </w:r>
          </w:p>
        </w:tc>
        <w:tc>
          <w:tcPr>
            <w:tcW w:w="2720" w:type="dxa"/>
            <w:vAlign w:val="bottom"/>
            <w:tcBorders>
              <w:top w:val="single" w:sz="8" w:color="CFF0FC"/>
            </w:tcBorders>
            <w:shd w:val="clear" w:color="auto" w:fill="CFF0FC"/>
          </w:tcPr>
          <w:p>
            <w:pPr>
              <w:spacing w:after="0"/>
              <w:rPr>
                <w:sz w:val="18"/>
                <w:szCs w:val="18"/>
                <w:color w:val="auto"/>
              </w:rPr>
            </w:pPr>
          </w:p>
        </w:tc>
        <w:tc>
          <w:tcPr>
            <w:tcW w:w="300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r>
      <w:tr>
        <w:trPr>
          <w:trHeight w:val="203"/>
        </w:trPr>
        <w:tc>
          <w:tcPr>
            <w:tcW w:w="2600" w:type="dxa"/>
            <w:vAlign w:val="bottom"/>
          </w:tcPr>
          <w:p>
            <w:pPr>
              <w:spacing w:after="0" w:line="203" w:lineRule="exact"/>
              <w:rPr>
                <w:sz w:val="20"/>
                <w:szCs w:val="20"/>
                <w:color w:val="auto"/>
              </w:rPr>
            </w:pPr>
            <w:r>
              <w:rPr>
                <w:rFonts w:ascii="Arial" w:cs="Arial" w:eastAsia="Arial" w:hAnsi="Arial"/>
                <w:sz w:val="14"/>
                <w:szCs w:val="14"/>
                <w:color w:val="auto"/>
              </w:rPr>
              <w:t xml:space="preserve">Caris Life Sciences, Inc. </w:t>
            </w:r>
            <w:r>
              <w:rPr>
                <w:rFonts w:ascii="Arial" w:cs="Arial" w:eastAsia="Arial" w:hAnsi="Arial"/>
                <w:sz w:val="23"/>
                <w:szCs w:val="23"/>
                <w:color w:val="auto"/>
                <w:vertAlign w:val="superscript"/>
              </w:rPr>
              <w:t>(13)</w:t>
            </w:r>
          </w:p>
        </w:tc>
        <w:tc>
          <w:tcPr>
            <w:tcW w:w="2720" w:type="dxa"/>
            <w:vAlign w:val="bottom"/>
          </w:tcPr>
          <w:p>
            <w:pPr>
              <w:ind w:left="100"/>
              <w:spacing w:after="0"/>
              <w:rPr>
                <w:sz w:val="20"/>
                <w:szCs w:val="20"/>
                <w:color w:val="auto"/>
              </w:rPr>
            </w:pPr>
            <w:r>
              <w:rPr>
                <w:rFonts w:ascii="Arial" w:cs="Arial" w:eastAsia="Arial" w:hAnsi="Arial"/>
                <w:sz w:val="16"/>
                <w:szCs w:val="16"/>
                <w:color w:val="auto"/>
              </w:rPr>
              <w:t>Series C Preferred Shares (362,319</w:t>
            </w:r>
          </w:p>
        </w:tc>
        <w:tc>
          <w:tcPr>
            <w:tcW w:w="3000" w:type="dxa"/>
            <w:vAlign w:val="bottom"/>
          </w:tcPr>
          <w:p>
            <w:pPr>
              <w:jc w:val="right"/>
              <w:ind w:right="2039"/>
              <w:spacing w:after="0"/>
              <w:rPr>
                <w:sz w:val="20"/>
                <w:szCs w:val="20"/>
                <w:color w:val="auto"/>
              </w:rPr>
            </w:pPr>
            <w:r>
              <w:rPr>
                <w:rFonts w:ascii="Arial" w:cs="Arial" w:eastAsia="Arial" w:hAnsi="Arial"/>
                <w:sz w:val="16"/>
                <w:szCs w:val="16"/>
                <w:color w:val="auto"/>
              </w:rPr>
              <w:t>10/13/2020</w:t>
            </w:r>
          </w:p>
        </w:tc>
        <w:tc>
          <w:tcPr>
            <w:tcW w:w="800" w:type="dxa"/>
            <w:vAlign w:val="bottom"/>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2,787</w:t>
            </w:r>
          </w:p>
        </w:tc>
        <w:tc>
          <w:tcPr>
            <w:tcW w:w="2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0.2%</w:t>
            </w:r>
          </w:p>
        </w:tc>
      </w:tr>
      <w:tr>
        <w:trPr>
          <w:trHeight w:val="216"/>
        </w:trPr>
        <w:tc>
          <w:tcPr>
            <w:tcW w:w="2600" w:type="dxa"/>
            <w:vAlign w:val="bottom"/>
          </w:tcPr>
          <w:p>
            <w:pPr>
              <w:spacing w:after="0"/>
              <w:rPr>
                <w:sz w:val="18"/>
                <w:szCs w:val="18"/>
                <w:color w:val="auto"/>
              </w:rPr>
            </w:pPr>
          </w:p>
        </w:tc>
        <w:tc>
          <w:tcPr>
            <w:tcW w:w="2720" w:type="dxa"/>
            <w:vAlign w:val="bottom"/>
          </w:tcPr>
          <w:p>
            <w:pPr>
              <w:ind w:left="100"/>
              <w:spacing w:after="0" w:line="216" w:lineRule="exact"/>
              <w:rPr>
                <w:sz w:val="20"/>
                <w:szCs w:val="20"/>
                <w:color w:val="auto"/>
              </w:rPr>
            </w:pPr>
            <w:r>
              <w:rPr>
                <w:rFonts w:ascii="Arial" w:cs="Arial" w:eastAsia="Arial" w:hAnsi="Arial"/>
                <w:sz w:val="15"/>
                <w:szCs w:val="15"/>
                <w:color w:val="auto"/>
              </w:rPr>
              <w:t xml:space="preserve">shares) </w:t>
            </w:r>
            <w:r>
              <w:rPr>
                <w:rFonts w:ascii="Arial" w:cs="Arial" w:eastAsia="Arial" w:hAnsi="Arial"/>
                <w:sz w:val="25"/>
                <w:szCs w:val="25"/>
                <w:color w:val="auto"/>
                <w:vertAlign w:val="superscript"/>
              </w:rPr>
              <w:t>(14)</w:t>
            </w:r>
          </w:p>
        </w:tc>
        <w:tc>
          <w:tcPr>
            <w:tcW w:w="3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3"/>
        </w:trPr>
        <w:tc>
          <w:tcPr>
            <w:tcW w:w="2600" w:type="dxa"/>
            <w:vAlign w:val="bottom"/>
            <w:shd w:val="clear" w:color="auto" w:fill="CFF0FC"/>
          </w:tcPr>
          <w:p>
            <w:pPr>
              <w:spacing w:after="0"/>
              <w:rPr>
                <w:sz w:val="17"/>
                <w:szCs w:val="17"/>
                <w:color w:val="auto"/>
              </w:rPr>
            </w:pPr>
          </w:p>
        </w:tc>
        <w:tc>
          <w:tcPr>
            <w:tcW w:w="2720" w:type="dxa"/>
            <w:vAlign w:val="bottom"/>
            <w:shd w:val="clear" w:color="auto" w:fill="CFF0FC"/>
          </w:tcPr>
          <w:p>
            <w:pPr>
              <w:ind w:left="100"/>
              <w:spacing w:after="0"/>
              <w:rPr>
                <w:sz w:val="20"/>
                <w:szCs w:val="20"/>
                <w:color w:val="auto"/>
              </w:rPr>
            </w:pPr>
            <w:r>
              <w:rPr>
                <w:rFonts w:ascii="Arial" w:cs="Arial" w:eastAsia="Arial" w:hAnsi="Arial"/>
                <w:sz w:val="16"/>
                <w:szCs w:val="16"/>
                <w:color w:val="auto"/>
                <w:w w:val="96"/>
              </w:rPr>
              <w:t>Series D Preferred Shares (1,240,740</w:t>
            </w:r>
          </w:p>
        </w:tc>
        <w:tc>
          <w:tcPr>
            <w:tcW w:w="3000" w:type="dxa"/>
            <w:vAlign w:val="bottom"/>
            <w:shd w:val="clear" w:color="auto" w:fill="CFF0FC"/>
          </w:tcPr>
          <w:p>
            <w:pPr>
              <w:jc w:val="right"/>
              <w:ind w:right="2039"/>
              <w:spacing w:after="0"/>
              <w:rPr>
                <w:sz w:val="20"/>
                <w:szCs w:val="20"/>
                <w:color w:val="auto"/>
              </w:rPr>
            </w:pPr>
            <w:r>
              <w:rPr>
                <w:rFonts w:ascii="Arial" w:cs="Arial" w:eastAsia="Arial" w:hAnsi="Arial"/>
                <w:sz w:val="16"/>
                <w:szCs w:val="16"/>
                <w:color w:val="auto"/>
              </w:rPr>
              <w:t>5/11/2021</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10,050</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10,050</w:t>
            </w:r>
          </w:p>
        </w:tc>
        <w:tc>
          <w:tcPr>
            <w:tcW w:w="2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0.8%</w:t>
            </w:r>
          </w:p>
        </w:tc>
      </w:tr>
      <w:tr>
        <w:trPr>
          <w:trHeight w:val="216"/>
        </w:trPr>
        <w:tc>
          <w:tcPr>
            <w:tcW w:w="2600" w:type="dxa"/>
            <w:vAlign w:val="bottom"/>
            <w:shd w:val="clear" w:color="auto" w:fill="CFF0FC"/>
          </w:tcPr>
          <w:p>
            <w:pPr>
              <w:spacing w:after="0"/>
              <w:rPr>
                <w:sz w:val="18"/>
                <w:szCs w:val="18"/>
                <w:color w:val="auto"/>
              </w:rPr>
            </w:pPr>
          </w:p>
        </w:tc>
        <w:tc>
          <w:tcPr>
            <w:tcW w:w="2720" w:type="dxa"/>
            <w:vAlign w:val="bottom"/>
            <w:shd w:val="clear" w:color="auto" w:fill="CFF0FC"/>
          </w:tcPr>
          <w:p>
            <w:pPr>
              <w:ind w:left="100"/>
              <w:spacing w:after="0" w:line="216" w:lineRule="exact"/>
              <w:rPr>
                <w:sz w:val="20"/>
                <w:szCs w:val="20"/>
                <w:color w:val="auto"/>
              </w:rPr>
            </w:pPr>
            <w:r>
              <w:rPr>
                <w:rFonts w:ascii="Arial" w:cs="Arial" w:eastAsia="Arial" w:hAnsi="Arial"/>
                <w:sz w:val="15"/>
                <w:szCs w:val="15"/>
                <w:color w:val="auto"/>
              </w:rPr>
              <w:t xml:space="preserve">shares) </w:t>
            </w:r>
            <w:r>
              <w:rPr>
                <w:rFonts w:ascii="Arial" w:cs="Arial" w:eastAsia="Arial" w:hAnsi="Arial"/>
                <w:sz w:val="25"/>
                <w:szCs w:val="25"/>
                <w:color w:val="auto"/>
                <w:vertAlign w:val="superscript"/>
              </w:rPr>
              <w:t>(14)</w:t>
            </w:r>
          </w:p>
        </w:tc>
        <w:tc>
          <w:tcPr>
            <w:tcW w:w="30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3"/>
        </w:trPr>
        <w:tc>
          <w:tcPr>
            <w:tcW w:w="2600" w:type="dxa"/>
            <w:vAlign w:val="bottom"/>
          </w:tcPr>
          <w:p>
            <w:pPr>
              <w:spacing w:after="0"/>
              <w:rPr>
                <w:sz w:val="18"/>
                <w:szCs w:val="18"/>
                <w:color w:val="auto"/>
              </w:rPr>
            </w:pPr>
          </w:p>
        </w:tc>
        <w:tc>
          <w:tcPr>
            <w:tcW w:w="2720" w:type="dxa"/>
            <w:vAlign w:val="bottom"/>
          </w:tcPr>
          <w:p>
            <w:pPr>
              <w:ind w:left="100"/>
              <w:spacing w:after="0"/>
              <w:rPr>
                <w:sz w:val="20"/>
                <w:szCs w:val="20"/>
                <w:color w:val="auto"/>
              </w:rPr>
            </w:pPr>
            <w:r>
              <w:rPr>
                <w:rFonts w:ascii="Arial" w:cs="Arial" w:eastAsia="Arial" w:hAnsi="Arial"/>
                <w:sz w:val="16"/>
                <w:szCs w:val="16"/>
                <w:color w:val="auto"/>
              </w:rPr>
              <w:t>633,376 Warrants</w:t>
            </w:r>
          </w:p>
        </w:tc>
        <w:tc>
          <w:tcPr>
            <w:tcW w:w="3000" w:type="dxa"/>
            <w:vAlign w:val="bottom"/>
          </w:tcPr>
          <w:p>
            <w:pPr>
              <w:jc w:val="right"/>
              <w:ind w:right="2039"/>
              <w:spacing w:after="0"/>
              <w:rPr>
                <w:sz w:val="20"/>
                <w:szCs w:val="20"/>
                <w:color w:val="auto"/>
              </w:rPr>
            </w:pPr>
            <w:r>
              <w:rPr>
                <w:rFonts w:ascii="Arial" w:cs="Arial" w:eastAsia="Arial" w:hAnsi="Arial"/>
                <w:sz w:val="16"/>
                <w:szCs w:val="16"/>
                <w:color w:val="auto"/>
              </w:rPr>
              <w:t>9/21/2018</w:t>
            </w:r>
          </w:p>
        </w:tc>
        <w:tc>
          <w:tcPr>
            <w:tcW w:w="800" w:type="dxa"/>
            <w:vAlign w:val="bottom"/>
          </w:tcPr>
          <w:p>
            <w:pPr>
              <w:jc w:val="right"/>
              <w:spacing w:after="0"/>
              <w:rPr>
                <w:sz w:val="20"/>
                <w:szCs w:val="20"/>
                <w:color w:val="auto"/>
              </w:rPr>
            </w:pPr>
            <w:r>
              <w:rPr>
                <w:rFonts w:ascii="Arial" w:cs="Arial" w:eastAsia="Arial" w:hAnsi="Arial"/>
                <w:sz w:val="16"/>
                <w:szCs w:val="16"/>
                <w:color w:val="auto"/>
              </w:rPr>
              <w:t>192</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3,602</w:t>
            </w:r>
          </w:p>
        </w:tc>
        <w:tc>
          <w:tcPr>
            <w:tcW w:w="2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0.3%</w:t>
            </w:r>
          </w:p>
        </w:tc>
      </w:tr>
      <w:tr>
        <w:trPr>
          <w:trHeight w:val="219"/>
        </w:trPr>
        <w:tc>
          <w:tcPr>
            <w:tcW w:w="2600" w:type="dxa"/>
            <w:vAlign w:val="bottom"/>
            <w:shd w:val="clear" w:color="auto" w:fill="CFF0FC"/>
          </w:tcPr>
          <w:p>
            <w:pPr>
              <w:spacing w:after="0"/>
              <w:rPr>
                <w:sz w:val="19"/>
                <w:szCs w:val="19"/>
                <w:color w:val="auto"/>
              </w:rPr>
            </w:pPr>
          </w:p>
        </w:tc>
        <w:tc>
          <w:tcPr>
            <w:tcW w:w="2720" w:type="dxa"/>
            <w:vAlign w:val="bottom"/>
            <w:shd w:val="clear" w:color="auto" w:fill="CFF0FC"/>
          </w:tcPr>
          <w:p>
            <w:pPr>
              <w:ind w:left="100"/>
              <w:spacing w:after="0"/>
              <w:rPr>
                <w:sz w:val="20"/>
                <w:szCs w:val="20"/>
                <w:color w:val="auto"/>
              </w:rPr>
            </w:pPr>
            <w:r>
              <w:rPr>
                <w:rFonts w:ascii="Arial" w:cs="Arial" w:eastAsia="Arial" w:hAnsi="Arial"/>
                <w:sz w:val="16"/>
                <w:szCs w:val="16"/>
                <w:color w:val="auto"/>
              </w:rPr>
              <w:t>569,991 Warrants</w:t>
            </w:r>
          </w:p>
        </w:tc>
        <w:tc>
          <w:tcPr>
            <w:tcW w:w="3000" w:type="dxa"/>
            <w:vAlign w:val="bottom"/>
            <w:shd w:val="clear" w:color="auto" w:fill="CFF0FC"/>
          </w:tcPr>
          <w:p>
            <w:pPr>
              <w:jc w:val="right"/>
              <w:ind w:right="2039"/>
              <w:spacing w:after="0"/>
              <w:rPr>
                <w:sz w:val="20"/>
                <w:szCs w:val="20"/>
                <w:color w:val="auto"/>
              </w:rPr>
            </w:pPr>
            <w:r>
              <w:rPr>
                <w:rFonts w:ascii="Arial" w:cs="Arial" w:eastAsia="Arial" w:hAnsi="Arial"/>
                <w:sz w:val="16"/>
                <w:szCs w:val="16"/>
                <w:color w:val="auto"/>
              </w:rPr>
              <w:t>4/2/2020</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250</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3,169</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0.3%</w:t>
            </w:r>
          </w:p>
        </w:tc>
      </w:tr>
      <w:tr>
        <w:trPr>
          <w:trHeight w:val="203"/>
        </w:trPr>
        <w:tc>
          <w:tcPr>
            <w:tcW w:w="2600" w:type="dxa"/>
            <w:vAlign w:val="bottom"/>
          </w:tcPr>
          <w:p>
            <w:pPr>
              <w:spacing w:after="0"/>
              <w:rPr>
                <w:sz w:val="20"/>
                <w:szCs w:val="20"/>
                <w:color w:val="auto"/>
              </w:rPr>
            </w:pPr>
            <w:r>
              <w:rPr>
                <w:rFonts w:ascii="Arial" w:cs="Arial" w:eastAsia="Arial" w:hAnsi="Arial"/>
                <w:sz w:val="16"/>
                <w:szCs w:val="16"/>
                <w:color w:val="auto"/>
              </w:rPr>
              <w:t>Valant Medical Solutions,</w:t>
            </w:r>
          </w:p>
        </w:tc>
        <w:tc>
          <w:tcPr>
            <w:tcW w:w="2720" w:type="dxa"/>
            <w:vAlign w:val="bottom"/>
          </w:tcPr>
          <w:p>
            <w:pPr>
              <w:ind w:left="100"/>
              <w:spacing w:after="0" w:line="203" w:lineRule="exact"/>
              <w:rPr>
                <w:sz w:val="20"/>
                <w:szCs w:val="20"/>
                <w:color w:val="auto"/>
              </w:rPr>
            </w:pPr>
            <w:r>
              <w:rPr>
                <w:rFonts w:ascii="Arial" w:cs="Arial" w:eastAsia="Arial" w:hAnsi="Arial"/>
                <w:sz w:val="14"/>
                <w:szCs w:val="14"/>
                <w:color w:val="auto"/>
              </w:rPr>
              <w:t xml:space="preserve">Class A Units (51,429 units) </w:t>
            </w:r>
            <w:r>
              <w:rPr>
                <w:rFonts w:ascii="Arial" w:cs="Arial" w:eastAsia="Arial" w:hAnsi="Arial"/>
                <w:sz w:val="23"/>
                <w:szCs w:val="23"/>
                <w:color w:val="auto"/>
                <w:vertAlign w:val="superscript"/>
              </w:rPr>
              <w:t>(14)</w:t>
            </w:r>
          </w:p>
        </w:tc>
        <w:tc>
          <w:tcPr>
            <w:tcW w:w="3000" w:type="dxa"/>
            <w:vAlign w:val="bottom"/>
          </w:tcPr>
          <w:p>
            <w:pPr>
              <w:jc w:val="right"/>
              <w:ind w:right="2039"/>
              <w:spacing w:after="0"/>
              <w:rPr>
                <w:sz w:val="20"/>
                <w:szCs w:val="20"/>
                <w:color w:val="auto"/>
              </w:rPr>
            </w:pPr>
            <w:r>
              <w:rPr>
                <w:rFonts w:ascii="Arial" w:cs="Arial" w:eastAsia="Arial" w:hAnsi="Arial"/>
                <w:sz w:val="16"/>
                <w:szCs w:val="16"/>
                <w:color w:val="auto"/>
              </w:rPr>
              <w:t>3/10/2021</w:t>
            </w:r>
          </w:p>
        </w:tc>
        <w:tc>
          <w:tcPr>
            <w:tcW w:w="800" w:type="dxa"/>
            <w:vAlign w:val="bottom"/>
          </w:tcPr>
          <w:p>
            <w:pPr>
              <w:jc w:val="right"/>
              <w:spacing w:after="0"/>
              <w:rPr>
                <w:sz w:val="20"/>
                <w:szCs w:val="20"/>
                <w:color w:val="auto"/>
              </w:rPr>
            </w:pPr>
            <w:r>
              <w:rPr>
                <w:rFonts w:ascii="Arial" w:cs="Arial" w:eastAsia="Arial" w:hAnsi="Arial"/>
                <w:sz w:val="16"/>
                <w:szCs w:val="16"/>
                <w:color w:val="auto"/>
              </w:rPr>
              <w:t>51</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51</w:t>
            </w:r>
          </w:p>
        </w:tc>
        <w:tc>
          <w:tcPr>
            <w:tcW w:w="2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0.0%</w:t>
            </w:r>
          </w:p>
        </w:tc>
      </w:tr>
      <w:tr>
        <w:trPr>
          <w:trHeight w:val="213"/>
        </w:trPr>
        <w:tc>
          <w:tcPr>
            <w:tcW w:w="2600" w:type="dxa"/>
            <w:vAlign w:val="bottom"/>
          </w:tcPr>
          <w:p>
            <w:pPr>
              <w:ind w:left="120"/>
              <w:spacing w:after="0"/>
              <w:rPr>
                <w:sz w:val="20"/>
                <w:szCs w:val="20"/>
                <w:color w:val="auto"/>
              </w:rPr>
            </w:pPr>
            <w:r>
              <w:rPr>
                <w:rFonts w:ascii="Arial" w:cs="Arial" w:eastAsia="Arial" w:hAnsi="Arial"/>
                <w:sz w:val="16"/>
                <w:szCs w:val="16"/>
                <w:color w:val="auto"/>
              </w:rPr>
              <w:t xml:space="preserve">Inc. </w:t>
            </w:r>
            <w:r>
              <w:rPr>
                <w:rFonts w:ascii="Arial" w:cs="Arial" w:eastAsia="Arial" w:hAnsi="Arial"/>
                <w:sz w:val="13"/>
                <w:szCs w:val="13"/>
                <w:color w:val="auto"/>
              </w:rPr>
              <w:t>(13)(15)</w:t>
            </w:r>
          </w:p>
        </w:tc>
        <w:tc>
          <w:tcPr>
            <w:tcW w:w="27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600" w:type="dxa"/>
            <w:vAlign w:val="bottom"/>
            <w:shd w:val="clear" w:color="auto" w:fill="CFF0FC"/>
          </w:tcPr>
          <w:p>
            <w:pPr>
              <w:spacing w:after="0"/>
              <w:rPr>
                <w:sz w:val="18"/>
                <w:szCs w:val="18"/>
                <w:color w:val="auto"/>
              </w:rPr>
            </w:pPr>
          </w:p>
        </w:tc>
        <w:tc>
          <w:tcPr>
            <w:tcW w:w="2720" w:type="dxa"/>
            <w:vAlign w:val="bottom"/>
            <w:shd w:val="clear" w:color="auto" w:fill="CFF0FC"/>
          </w:tcPr>
          <w:p>
            <w:pPr>
              <w:ind w:left="100"/>
              <w:spacing w:after="0"/>
              <w:rPr>
                <w:sz w:val="20"/>
                <w:szCs w:val="20"/>
                <w:color w:val="auto"/>
              </w:rPr>
            </w:pPr>
            <w:r>
              <w:rPr>
                <w:rFonts w:ascii="Arial" w:cs="Arial" w:eastAsia="Arial" w:hAnsi="Arial"/>
                <w:sz w:val="16"/>
                <w:szCs w:val="16"/>
                <w:color w:val="auto"/>
              </w:rPr>
              <w:t>954,478 Warrants</w:t>
            </w:r>
          </w:p>
        </w:tc>
        <w:tc>
          <w:tcPr>
            <w:tcW w:w="3000" w:type="dxa"/>
            <w:vAlign w:val="bottom"/>
            <w:shd w:val="clear" w:color="auto" w:fill="CFF0FC"/>
          </w:tcPr>
          <w:p>
            <w:pPr>
              <w:jc w:val="right"/>
              <w:ind w:right="2039"/>
              <w:spacing w:after="0"/>
              <w:rPr>
                <w:sz w:val="20"/>
                <w:szCs w:val="20"/>
                <w:color w:val="auto"/>
              </w:rPr>
            </w:pPr>
            <w:r>
              <w:rPr>
                <w:rFonts w:ascii="Arial" w:cs="Arial" w:eastAsia="Arial" w:hAnsi="Arial"/>
                <w:sz w:val="16"/>
                <w:szCs w:val="16"/>
                <w:color w:val="auto"/>
              </w:rPr>
              <w:t>4/8/2019</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281</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281</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0.0%</w:t>
            </w:r>
          </w:p>
        </w:tc>
      </w:tr>
      <w:tr>
        <w:trPr>
          <w:trHeight w:val="20"/>
        </w:trPr>
        <w:tc>
          <w:tcPr>
            <w:tcW w:w="26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6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11,824</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19,940</w:t>
            </w:r>
          </w:p>
        </w:tc>
        <w:tc>
          <w:tcPr>
            <w:tcW w:w="2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1.6%</w:t>
            </w:r>
          </w:p>
        </w:tc>
      </w:tr>
      <w:tr>
        <w:trPr>
          <w:trHeight w:val="212"/>
        </w:trPr>
        <w:tc>
          <w:tcPr>
            <w:tcW w:w="2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Hotel, gaming, and leisure</w:t>
            </w:r>
          </w:p>
        </w:tc>
        <w:tc>
          <w:tcPr>
            <w:tcW w:w="2720" w:type="dxa"/>
            <w:vAlign w:val="bottom"/>
            <w:tcBorders>
              <w:top w:val="single" w:sz="8" w:color="CFF0FC"/>
            </w:tcBorders>
            <w:shd w:val="clear" w:color="auto" w:fill="CFF0FC"/>
          </w:tcPr>
          <w:p>
            <w:pPr>
              <w:spacing w:after="0"/>
              <w:rPr>
                <w:sz w:val="18"/>
                <w:szCs w:val="18"/>
                <w:color w:val="auto"/>
              </w:rPr>
            </w:pPr>
          </w:p>
        </w:tc>
        <w:tc>
          <w:tcPr>
            <w:tcW w:w="300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r>
      <w:tr>
        <w:trPr>
          <w:trHeight w:val="216"/>
        </w:trPr>
        <w:tc>
          <w:tcPr>
            <w:tcW w:w="2600" w:type="dxa"/>
            <w:vAlign w:val="bottom"/>
          </w:tcPr>
          <w:p>
            <w:pPr>
              <w:spacing w:after="0" w:line="216" w:lineRule="exact"/>
              <w:rPr>
                <w:sz w:val="20"/>
                <w:szCs w:val="20"/>
                <w:color w:val="auto"/>
              </w:rPr>
            </w:pPr>
            <w:r>
              <w:rPr>
                <w:rFonts w:ascii="Arial" w:cs="Arial" w:eastAsia="Arial" w:hAnsi="Arial"/>
                <w:sz w:val="15"/>
                <w:szCs w:val="15"/>
                <w:color w:val="auto"/>
              </w:rPr>
              <w:t xml:space="preserve">IRGSE Holding Corp. </w:t>
            </w:r>
            <w:r>
              <w:rPr>
                <w:rFonts w:ascii="Arial" w:cs="Arial" w:eastAsia="Arial" w:hAnsi="Arial"/>
                <w:sz w:val="25"/>
                <w:szCs w:val="25"/>
                <w:color w:val="auto"/>
                <w:vertAlign w:val="superscript"/>
              </w:rPr>
              <w:t>(7)(13)</w:t>
            </w:r>
          </w:p>
        </w:tc>
        <w:tc>
          <w:tcPr>
            <w:tcW w:w="2720" w:type="dxa"/>
            <w:vAlign w:val="bottom"/>
          </w:tcPr>
          <w:p>
            <w:pPr>
              <w:ind w:left="100"/>
              <w:spacing w:after="0" w:line="216" w:lineRule="exact"/>
              <w:rPr>
                <w:sz w:val="20"/>
                <w:szCs w:val="20"/>
                <w:color w:val="auto"/>
              </w:rPr>
            </w:pPr>
            <w:r>
              <w:rPr>
                <w:rFonts w:ascii="Arial" w:cs="Arial" w:eastAsia="Arial" w:hAnsi="Arial"/>
                <w:sz w:val="15"/>
                <w:szCs w:val="15"/>
                <w:color w:val="auto"/>
              </w:rPr>
              <w:t xml:space="preserve">Class A Units (33,790,171 units) </w:t>
            </w:r>
            <w:r>
              <w:rPr>
                <w:rFonts w:ascii="Arial" w:cs="Arial" w:eastAsia="Arial" w:hAnsi="Arial"/>
                <w:sz w:val="25"/>
                <w:szCs w:val="25"/>
                <w:color w:val="auto"/>
                <w:vertAlign w:val="superscript"/>
              </w:rPr>
              <w:t>(14)</w:t>
            </w:r>
          </w:p>
        </w:tc>
        <w:tc>
          <w:tcPr>
            <w:tcW w:w="3000" w:type="dxa"/>
            <w:vAlign w:val="bottom"/>
          </w:tcPr>
          <w:p>
            <w:pPr>
              <w:jc w:val="right"/>
              <w:ind w:right="2039"/>
              <w:spacing w:after="0"/>
              <w:rPr>
                <w:sz w:val="20"/>
                <w:szCs w:val="20"/>
                <w:color w:val="auto"/>
              </w:rPr>
            </w:pPr>
            <w:r>
              <w:rPr>
                <w:rFonts w:ascii="Arial" w:cs="Arial" w:eastAsia="Arial" w:hAnsi="Arial"/>
                <w:sz w:val="16"/>
                <w:szCs w:val="16"/>
                <w:color w:val="auto"/>
              </w:rPr>
              <w:t>12/21/2018</w:t>
            </w:r>
          </w:p>
        </w:tc>
        <w:tc>
          <w:tcPr>
            <w:tcW w:w="800" w:type="dxa"/>
            <w:vAlign w:val="bottom"/>
          </w:tcPr>
          <w:p>
            <w:pPr>
              <w:jc w:val="right"/>
              <w:spacing w:after="0"/>
              <w:rPr>
                <w:sz w:val="20"/>
                <w:szCs w:val="20"/>
                <w:color w:val="auto"/>
              </w:rPr>
            </w:pPr>
            <w:r>
              <w:rPr>
                <w:rFonts w:ascii="Arial" w:cs="Arial" w:eastAsia="Arial" w:hAnsi="Arial"/>
                <w:sz w:val="16"/>
                <w:szCs w:val="16"/>
                <w:color w:val="auto"/>
              </w:rPr>
              <w:t>21,842</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507</w:t>
            </w:r>
          </w:p>
        </w:tc>
        <w:tc>
          <w:tcPr>
            <w:tcW w:w="2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0.0%</w:t>
            </w:r>
          </w:p>
        </w:tc>
      </w:tr>
      <w:tr>
        <w:trPr>
          <w:trHeight w:val="213"/>
        </w:trPr>
        <w:tc>
          <w:tcPr>
            <w:tcW w:w="2600" w:type="dxa"/>
            <w:vAlign w:val="bottom"/>
            <w:shd w:val="clear" w:color="auto" w:fill="CFF0FC"/>
          </w:tcPr>
          <w:p>
            <w:pPr>
              <w:spacing w:after="0"/>
              <w:rPr>
                <w:sz w:val="18"/>
                <w:szCs w:val="18"/>
                <w:color w:val="auto"/>
              </w:rPr>
            </w:pPr>
          </w:p>
        </w:tc>
        <w:tc>
          <w:tcPr>
            <w:tcW w:w="2720" w:type="dxa"/>
            <w:vAlign w:val="bottom"/>
            <w:shd w:val="clear" w:color="auto" w:fill="CFF0FC"/>
          </w:tcPr>
          <w:p>
            <w:pPr>
              <w:ind w:left="100"/>
              <w:spacing w:after="0"/>
              <w:rPr>
                <w:sz w:val="20"/>
                <w:szCs w:val="20"/>
                <w:color w:val="auto"/>
              </w:rPr>
            </w:pPr>
            <w:r>
              <w:rPr>
                <w:rFonts w:ascii="Arial" w:cs="Arial" w:eastAsia="Arial" w:hAnsi="Arial"/>
                <w:sz w:val="16"/>
                <w:szCs w:val="16"/>
                <w:color w:val="auto"/>
              </w:rPr>
              <w:t>Class C-1 Units (8,800,000 units)</w:t>
            </w:r>
          </w:p>
        </w:tc>
        <w:tc>
          <w:tcPr>
            <w:tcW w:w="3000" w:type="dxa"/>
            <w:vAlign w:val="bottom"/>
            <w:shd w:val="clear" w:color="auto" w:fill="CFF0FC"/>
          </w:tcPr>
          <w:p>
            <w:pPr>
              <w:jc w:val="right"/>
              <w:ind w:right="2039"/>
              <w:spacing w:after="0"/>
              <w:rPr>
                <w:sz w:val="20"/>
                <w:szCs w:val="20"/>
                <w:color w:val="auto"/>
              </w:rPr>
            </w:pPr>
            <w:r>
              <w:rPr>
                <w:rFonts w:ascii="Arial" w:cs="Arial" w:eastAsia="Arial" w:hAnsi="Arial"/>
                <w:sz w:val="16"/>
                <w:szCs w:val="16"/>
                <w:color w:val="auto"/>
              </w:rPr>
              <w:t>12/21/2018</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0.0%</w:t>
            </w:r>
          </w:p>
        </w:tc>
      </w:tr>
      <w:tr>
        <w:trPr>
          <w:trHeight w:val="20"/>
        </w:trPr>
        <w:tc>
          <w:tcPr>
            <w:tcW w:w="26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26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21,942</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550</w:t>
            </w:r>
          </w:p>
        </w:tc>
        <w:tc>
          <w:tcPr>
            <w:tcW w:w="2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0.0%</w:t>
            </w:r>
          </w:p>
        </w:tc>
      </w:tr>
      <w:tr>
        <w:trPr>
          <w:trHeight w:val="213"/>
        </w:trPr>
        <w:tc>
          <w:tcPr>
            <w:tcW w:w="2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w w:val="99"/>
              </w:rPr>
              <w:t>Human resource support services</w:t>
            </w:r>
          </w:p>
        </w:tc>
        <w:tc>
          <w:tcPr>
            <w:tcW w:w="2720" w:type="dxa"/>
            <w:vAlign w:val="bottom"/>
            <w:tcBorders>
              <w:top w:val="single" w:sz="8" w:color="CFF0FC"/>
            </w:tcBorders>
            <w:shd w:val="clear" w:color="auto" w:fill="CFF0FC"/>
          </w:tcPr>
          <w:p>
            <w:pPr>
              <w:spacing w:after="0"/>
              <w:rPr>
                <w:sz w:val="18"/>
                <w:szCs w:val="18"/>
                <w:color w:val="auto"/>
              </w:rPr>
            </w:pPr>
          </w:p>
        </w:tc>
        <w:tc>
          <w:tcPr>
            <w:tcW w:w="300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r>
      <w:tr>
        <w:trPr>
          <w:trHeight w:val="213"/>
        </w:trPr>
        <w:tc>
          <w:tcPr>
            <w:tcW w:w="2600" w:type="dxa"/>
            <w:vAlign w:val="bottom"/>
          </w:tcPr>
          <w:p>
            <w:pPr>
              <w:spacing w:after="0"/>
              <w:rPr>
                <w:sz w:val="20"/>
                <w:szCs w:val="20"/>
                <w:color w:val="auto"/>
              </w:rPr>
            </w:pPr>
            <w:r>
              <w:rPr>
                <w:rFonts w:ascii="Arial" w:cs="Arial" w:eastAsia="Arial" w:hAnsi="Arial"/>
                <w:sz w:val="16"/>
                <w:szCs w:val="16"/>
                <w:color w:val="auto"/>
              </w:rPr>
              <w:t xml:space="preserve">Axonify, Inc. </w:t>
            </w:r>
            <w:r>
              <w:rPr>
                <w:rFonts w:ascii="Arial" w:cs="Arial" w:eastAsia="Arial" w:hAnsi="Arial"/>
                <w:sz w:val="13"/>
                <w:szCs w:val="13"/>
                <w:color w:val="auto"/>
              </w:rPr>
              <w:t>(4)(13)(14)(15)</w:t>
            </w:r>
          </w:p>
        </w:tc>
        <w:tc>
          <w:tcPr>
            <w:tcW w:w="2720" w:type="dxa"/>
            <w:vAlign w:val="bottom"/>
          </w:tcPr>
          <w:p>
            <w:pPr>
              <w:ind w:left="100"/>
              <w:spacing w:after="0"/>
              <w:rPr>
                <w:sz w:val="20"/>
                <w:szCs w:val="20"/>
                <w:color w:val="auto"/>
              </w:rPr>
            </w:pPr>
            <w:r>
              <w:rPr>
                <w:rFonts w:ascii="Arial" w:cs="Arial" w:eastAsia="Arial" w:hAnsi="Arial"/>
                <w:sz w:val="16"/>
                <w:szCs w:val="16"/>
                <w:color w:val="auto"/>
              </w:rPr>
              <w:t>Class A-1 Units (3,780,000 units)</w:t>
            </w:r>
          </w:p>
        </w:tc>
        <w:tc>
          <w:tcPr>
            <w:tcW w:w="3000" w:type="dxa"/>
            <w:vAlign w:val="bottom"/>
          </w:tcPr>
          <w:p>
            <w:pPr>
              <w:jc w:val="right"/>
              <w:ind w:right="2039"/>
              <w:spacing w:after="0"/>
              <w:rPr>
                <w:sz w:val="20"/>
                <w:szCs w:val="20"/>
                <w:color w:val="auto"/>
              </w:rPr>
            </w:pPr>
            <w:r>
              <w:rPr>
                <w:rFonts w:ascii="Arial" w:cs="Arial" w:eastAsia="Arial" w:hAnsi="Arial"/>
                <w:sz w:val="16"/>
                <w:szCs w:val="16"/>
                <w:color w:val="auto"/>
              </w:rPr>
              <w:t>5/5/2021</w:t>
            </w:r>
          </w:p>
        </w:tc>
        <w:tc>
          <w:tcPr>
            <w:tcW w:w="800" w:type="dxa"/>
            <w:vAlign w:val="bottom"/>
          </w:tcPr>
          <w:p>
            <w:pPr>
              <w:jc w:val="right"/>
              <w:spacing w:after="0"/>
              <w:rPr>
                <w:sz w:val="20"/>
                <w:szCs w:val="20"/>
                <w:color w:val="auto"/>
              </w:rPr>
            </w:pPr>
            <w:r>
              <w:rPr>
                <w:rFonts w:ascii="Arial" w:cs="Arial" w:eastAsia="Arial" w:hAnsi="Arial"/>
                <w:sz w:val="16"/>
                <w:szCs w:val="16"/>
                <w:color w:val="auto"/>
              </w:rPr>
              <w:t>3,780</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3,780</w:t>
            </w:r>
          </w:p>
        </w:tc>
        <w:tc>
          <w:tcPr>
            <w:tcW w:w="2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0.3%</w:t>
            </w:r>
          </w:p>
        </w:tc>
      </w:tr>
      <w:tr>
        <w:trPr>
          <w:trHeight w:val="209"/>
        </w:trPr>
        <w:tc>
          <w:tcPr>
            <w:tcW w:w="260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ClearCompany, LLC </w:t>
            </w:r>
            <w:r>
              <w:rPr>
                <w:rFonts w:ascii="Arial" w:cs="Arial" w:eastAsia="Arial" w:hAnsi="Arial"/>
                <w:sz w:val="24"/>
                <w:szCs w:val="24"/>
                <w:color w:val="auto"/>
                <w:vertAlign w:val="superscript"/>
              </w:rPr>
              <w:t>(13)(15)</w:t>
            </w:r>
          </w:p>
        </w:tc>
        <w:tc>
          <w:tcPr>
            <w:tcW w:w="2720" w:type="dxa"/>
            <w:vAlign w:val="bottom"/>
            <w:shd w:val="clear" w:color="auto" w:fill="CFF0FC"/>
          </w:tcPr>
          <w:p>
            <w:pPr>
              <w:ind w:left="100"/>
              <w:spacing w:after="0"/>
              <w:rPr>
                <w:sz w:val="20"/>
                <w:szCs w:val="20"/>
                <w:color w:val="auto"/>
              </w:rPr>
            </w:pPr>
            <w:r>
              <w:rPr>
                <w:rFonts w:ascii="Arial" w:cs="Arial" w:eastAsia="Arial" w:hAnsi="Arial"/>
                <w:sz w:val="16"/>
                <w:szCs w:val="16"/>
                <w:color w:val="auto"/>
              </w:rPr>
              <w:t>Series A Preferred Units (1,429,228</w:t>
            </w:r>
          </w:p>
        </w:tc>
        <w:tc>
          <w:tcPr>
            <w:tcW w:w="3000" w:type="dxa"/>
            <w:vAlign w:val="bottom"/>
            <w:shd w:val="clear" w:color="auto" w:fill="CFF0FC"/>
          </w:tcPr>
          <w:p>
            <w:pPr>
              <w:jc w:val="right"/>
              <w:ind w:right="2039"/>
              <w:spacing w:after="0"/>
              <w:rPr>
                <w:sz w:val="20"/>
                <w:szCs w:val="20"/>
                <w:color w:val="auto"/>
              </w:rPr>
            </w:pPr>
            <w:r>
              <w:rPr>
                <w:rFonts w:ascii="Arial" w:cs="Arial" w:eastAsia="Arial" w:hAnsi="Arial"/>
                <w:sz w:val="16"/>
                <w:szCs w:val="16"/>
                <w:color w:val="auto"/>
              </w:rPr>
              <w:t>8/24/2018</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2,014</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4,768</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0.4%</w:t>
            </w:r>
          </w:p>
        </w:tc>
      </w:tr>
      <w:tr>
        <w:trPr>
          <w:trHeight w:val="212"/>
        </w:trPr>
        <w:tc>
          <w:tcPr>
            <w:tcW w:w="2600" w:type="dxa"/>
            <w:vAlign w:val="bottom"/>
            <w:shd w:val="clear" w:color="auto" w:fill="CFF0FC"/>
          </w:tcPr>
          <w:p>
            <w:pPr>
              <w:spacing w:after="0"/>
              <w:rPr>
                <w:sz w:val="18"/>
                <w:szCs w:val="18"/>
                <w:color w:val="auto"/>
              </w:rPr>
            </w:pPr>
          </w:p>
        </w:tc>
        <w:tc>
          <w:tcPr>
            <w:tcW w:w="2720" w:type="dxa"/>
            <w:vAlign w:val="bottom"/>
            <w:shd w:val="clear" w:color="auto" w:fill="CFF0FC"/>
          </w:tcPr>
          <w:p>
            <w:pPr>
              <w:ind w:left="100"/>
              <w:spacing w:after="0"/>
              <w:rPr>
                <w:sz w:val="20"/>
                <w:szCs w:val="20"/>
                <w:color w:val="auto"/>
              </w:rPr>
            </w:pPr>
            <w:r>
              <w:rPr>
                <w:rFonts w:ascii="Arial" w:cs="Arial" w:eastAsia="Arial" w:hAnsi="Arial"/>
                <w:sz w:val="16"/>
                <w:szCs w:val="16"/>
                <w:color w:val="auto"/>
              </w:rPr>
              <w:t>units)</w:t>
            </w:r>
          </w:p>
        </w:tc>
        <w:tc>
          <w:tcPr>
            <w:tcW w:w="30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6"/>
        </w:trPr>
        <w:tc>
          <w:tcPr>
            <w:tcW w:w="2600" w:type="dxa"/>
            <w:vAlign w:val="bottom"/>
          </w:tcPr>
          <w:p>
            <w:pPr>
              <w:spacing w:after="0" w:line="216" w:lineRule="exact"/>
              <w:rPr>
                <w:sz w:val="20"/>
                <w:szCs w:val="20"/>
                <w:color w:val="auto"/>
              </w:rPr>
            </w:pPr>
            <w:r>
              <w:rPr>
                <w:rFonts w:ascii="Arial" w:cs="Arial" w:eastAsia="Arial" w:hAnsi="Arial"/>
                <w:sz w:val="15"/>
                <w:szCs w:val="15"/>
                <w:color w:val="auto"/>
                <w:w w:val="99"/>
              </w:rPr>
              <w:t xml:space="preserve">DaySmart Holdings, LLC </w:t>
            </w:r>
            <w:r>
              <w:rPr>
                <w:rFonts w:ascii="Arial" w:cs="Arial" w:eastAsia="Arial" w:hAnsi="Arial"/>
                <w:sz w:val="25"/>
                <w:szCs w:val="25"/>
                <w:color w:val="auto"/>
                <w:w w:val="99"/>
                <w:vertAlign w:val="superscript"/>
              </w:rPr>
              <w:t>(13)(14)(15)</w:t>
            </w:r>
          </w:p>
        </w:tc>
        <w:tc>
          <w:tcPr>
            <w:tcW w:w="2720" w:type="dxa"/>
            <w:vAlign w:val="bottom"/>
          </w:tcPr>
          <w:p>
            <w:pPr>
              <w:ind w:left="100"/>
              <w:spacing w:after="0"/>
              <w:rPr>
                <w:sz w:val="20"/>
                <w:szCs w:val="20"/>
                <w:color w:val="auto"/>
              </w:rPr>
            </w:pPr>
            <w:r>
              <w:rPr>
                <w:rFonts w:ascii="Arial" w:cs="Arial" w:eastAsia="Arial" w:hAnsi="Arial"/>
                <w:sz w:val="16"/>
                <w:szCs w:val="16"/>
                <w:color w:val="auto"/>
              </w:rPr>
              <w:t>Class A Units (166,811 units)</w:t>
            </w:r>
          </w:p>
        </w:tc>
        <w:tc>
          <w:tcPr>
            <w:tcW w:w="3000" w:type="dxa"/>
            <w:vAlign w:val="bottom"/>
          </w:tcPr>
          <w:p>
            <w:pPr>
              <w:jc w:val="right"/>
              <w:ind w:right="2039"/>
              <w:spacing w:after="0"/>
              <w:rPr>
                <w:sz w:val="20"/>
                <w:szCs w:val="20"/>
                <w:color w:val="auto"/>
              </w:rPr>
            </w:pPr>
            <w:r>
              <w:rPr>
                <w:rFonts w:ascii="Arial" w:cs="Arial" w:eastAsia="Arial" w:hAnsi="Arial"/>
                <w:sz w:val="16"/>
                <w:szCs w:val="16"/>
                <w:color w:val="auto"/>
              </w:rPr>
              <w:t>10/1/2019</w:t>
            </w:r>
          </w:p>
        </w:tc>
        <w:tc>
          <w:tcPr>
            <w:tcW w:w="800" w:type="dxa"/>
            <w:vAlign w:val="bottom"/>
          </w:tcPr>
          <w:p>
            <w:pPr>
              <w:jc w:val="right"/>
              <w:spacing w:after="0"/>
              <w:rPr>
                <w:sz w:val="20"/>
                <w:szCs w:val="20"/>
                <w:color w:val="auto"/>
              </w:rPr>
            </w:pPr>
            <w:r>
              <w:rPr>
                <w:rFonts w:ascii="Arial" w:cs="Arial" w:eastAsia="Arial" w:hAnsi="Arial"/>
                <w:sz w:val="16"/>
                <w:szCs w:val="16"/>
                <w:color w:val="auto"/>
              </w:rPr>
              <w:t>1,347</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1,714</w:t>
            </w:r>
          </w:p>
        </w:tc>
        <w:tc>
          <w:tcPr>
            <w:tcW w:w="2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0.2%</w:t>
            </w:r>
          </w:p>
        </w:tc>
      </w:tr>
      <w:tr>
        <w:trPr>
          <w:trHeight w:val="20"/>
        </w:trPr>
        <w:tc>
          <w:tcPr>
            <w:tcW w:w="2600" w:type="dxa"/>
            <w:vAlign w:val="bottom"/>
            <w:shd w:val="clear" w:color="auto" w:fill="CFF0FC"/>
          </w:tcPr>
          <w:p>
            <w:pPr>
              <w:spacing w:after="0" w:line="20" w:lineRule="exact"/>
              <w:rPr>
                <w:sz w:val="1"/>
                <w:szCs w:val="1"/>
                <w:color w:val="auto"/>
              </w:rPr>
            </w:pPr>
          </w:p>
        </w:tc>
        <w:tc>
          <w:tcPr>
            <w:tcW w:w="2720" w:type="dxa"/>
            <w:vAlign w:val="bottom"/>
            <w:shd w:val="clear" w:color="auto" w:fill="CFF0FC"/>
          </w:tcPr>
          <w:p>
            <w:pPr>
              <w:spacing w:after="0" w:line="20" w:lineRule="exact"/>
              <w:rPr>
                <w:sz w:val="1"/>
                <w:szCs w:val="1"/>
                <w:color w:val="auto"/>
              </w:rPr>
            </w:pPr>
          </w:p>
        </w:tc>
        <w:tc>
          <w:tcPr>
            <w:tcW w:w="30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210"/>
        </w:trPr>
        <w:tc>
          <w:tcPr>
            <w:tcW w:w="2600" w:type="dxa"/>
            <w:vAlign w:val="bottom"/>
            <w:shd w:val="clear" w:color="auto" w:fill="CFF0FC"/>
          </w:tcPr>
          <w:p>
            <w:pPr>
              <w:spacing w:after="0"/>
              <w:rPr>
                <w:sz w:val="18"/>
                <w:szCs w:val="18"/>
                <w:color w:val="auto"/>
              </w:rPr>
            </w:pPr>
          </w:p>
        </w:tc>
        <w:tc>
          <w:tcPr>
            <w:tcW w:w="2720" w:type="dxa"/>
            <w:vAlign w:val="bottom"/>
            <w:shd w:val="clear" w:color="auto" w:fill="CFF0FC"/>
          </w:tcPr>
          <w:p>
            <w:pPr>
              <w:spacing w:after="0"/>
              <w:rPr>
                <w:sz w:val="18"/>
                <w:szCs w:val="18"/>
                <w:color w:val="auto"/>
              </w:rPr>
            </w:pPr>
          </w:p>
        </w:tc>
        <w:tc>
          <w:tcPr>
            <w:tcW w:w="30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7,141</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10,262</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0.9%</w:t>
            </w:r>
          </w:p>
        </w:tc>
      </w:tr>
      <w:tr>
        <w:trPr>
          <w:trHeight w:val="207"/>
        </w:trPr>
        <w:tc>
          <w:tcPr>
            <w:tcW w:w="2600" w:type="dxa"/>
            <w:vAlign w:val="bottom"/>
          </w:tcPr>
          <w:p>
            <w:pPr>
              <w:spacing w:after="0"/>
              <w:rPr>
                <w:sz w:val="20"/>
                <w:szCs w:val="20"/>
                <w:color w:val="auto"/>
              </w:rPr>
            </w:pPr>
            <w:r>
              <w:rPr>
                <w:rFonts w:ascii="Arial" w:cs="Arial" w:eastAsia="Arial" w:hAnsi="Arial"/>
                <w:sz w:val="16"/>
                <w:szCs w:val="16"/>
                <w:b w:val="1"/>
                <w:bCs w:val="1"/>
                <w:color w:val="auto"/>
              </w:rPr>
              <w:t>Insurance</w:t>
            </w:r>
          </w:p>
        </w:tc>
        <w:tc>
          <w:tcPr>
            <w:tcW w:w="27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19"/>
        </w:trPr>
        <w:tc>
          <w:tcPr>
            <w:tcW w:w="2600" w:type="dxa"/>
            <w:vAlign w:val="bottom"/>
            <w:shd w:val="clear" w:color="auto" w:fill="CFF0FC"/>
          </w:tcPr>
          <w:p>
            <w:pPr>
              <w:spacing w:after="0" w:line="218" w:lineRule="exact"/>
              <w:rPr>
                <w:sz w:val="20"/>
                <w:szCs w:val="20"/>
                <w:color w:val="auto"/>
              </w:rPr>
            </w:pPr>
            <w:r>
              <w:rPr>
                <w:rFonts w:ascii="Arial" w:cs="Arial" w:eastAsia="Arial" w:hAnsi="Arial"/>
                <w:sz w:val="15"/>
                <w:szCs w:val="15"/>
                <w:color w:val="auto"/>
              </w:rPr>
              <w:t xml:space="preserve">Riskonnect, Inc. </w:t>
            </w:r>
            <w:r>
              <w:rPr>
                <w:rFonts w:ascii="Arial" w:cs="Arial" w:eastAsia="Arial" w:hAnsi="Arial"/>
                <w:sz w:val="25"/>
                <w:szCs w:val="25"/>
                <w:color w:val="auto"/>
                <w:vertAlign w:val="superscript"/>
              </w:rPr>
              <w:t>(13)</w:t>
            </w:r>
          </w:p>
        </w:tc>
        <w:tc>
          <w:tcPr>
            <w:tcW w:w="2720" w:type="dxa"/>
            <w:vAlign w:val="bottom"/>
            <w:shd w:val="clear" w:color="auto" w:fill="CFF0FC"/>
          </w:tcPr>
          <w:p>
            <w:pPr>
              <w:ind w:left="100"/>
              <w:spacing w:after="0"/>
              <w:rPr>
                <w:sz w:val="20"/>
                <w:szCs w:val="20"/>
                <w:color w:val="auto"/>
              </w:rPr>
            </w:pPr>
            <w:r>
              <w:rPr>
                <w:rFonts w:ascii="Arial" w:cs="Arial" w:eastAsia="Arial" w:hAnsi="Arial"/>
                <w:sz w:val="16"/>
                <w:szCs w:val="16"/>
                <w:color w:val="auto"/>
                <w:w w:val="95"/>
              </w:rPr>
              <w:t>Common Shares Class A (1,020 units)</w:t>
            </w:r>
          </w:p>
        </w:tc>
        <w:tc>
          <w:tcPr>
            <w:tcW w:w="3000" w:type="dxa"/>
            <w:vAlign w:val="bottom"/>
            <w:shd w:val="clear" w:color="auto" w:fill="CFF0FC"/>
          </w:tcPr>
          <w:p>
            <w:pPr>
              <w:jc w:val="right"/>
              <w:ind w:right="2039"/>
              <w:spacing w:after="0"/>
              <w:rPr>
                <w:sz w:val="20"/>
                <w:szCs w:val="20"/>
                <w:color w:val="auto"/>
              </w:rPr>
            </w:pPr>
            <w:r>
              <w:rPr>
                <w:rFonts w:ascii="Arial" w:cs="Arial" w:eastAsia="Arial" w:hAnsi="Arial"/>
                <w:sz w:val="16"/>
                <w:szCs w:val="16"/>
                <w:color w:val="auto"/>
              </w:rPr>
              <w:t>6/30/2017</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1,020</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3,878</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0.3%</w:t>
            </w:r>
          </w:p>
        </w:tc>
      </w:tr>
      <w:tr>
        <w:trPr>
          <w:trHeight w:val="206"/>
        </w:trPr>
        <w:tc>
          <w:tcPr>
            <w:tcW w:w="2600" w:type="dxa"/>
            <w:vAlign w:val="bottom"/>
          </w:tcPr>
          <w:p>
            <w:pPr>
              <w:spacing w:after="0"/>
              <w:rPr>
                <w:sz w:val="17"/>
                <w:szCs w:val="17"/>
                <w:color w:val="auto"/>
              </w:rPr>
            </w:pPr>
          </w:p>
        </w:tc>
        <w:tc>
          <w:tcPr>
            <w:tcW w:w="2720" w:type="dxa"/>
            <w:vAlign w:val="bottom"/>
          </w:tcPr>
          <w:p>
            <w:pPr>
              <w:ind w:left="100"/>
              <w:spacing w:after="0"/>
              <w:rPr>
                <w:sz w:val="20"/>
                <w:szCs w:val="20"/>
                <w:color w:val="auto"/>
              </w:rPr>
            </w:pPr>
            <w:r>
              <w:rPr>
                <w:rFonts w:ascii="Arial" w:cs="Arial" w:eastAsia="Arial" w:hAnsi="Arial"/>
                <w:sz w:val="16"/>
                <w:szCs w:val="16"/>
                <w:color w:val="auto"/>
              </w:rPr>
              <w:t>Common Shares Class B (987,929</w:t>
            </w:r>
          </w:p>
        </w:tc>
        <w:tc>
          <w:tcPr>
            <w:tcW w:w="3000" w:type="dxa"/>
            <w:vAlign w:val="bottom"/>
          </w:tcPr>
          <w:p>
            <w:pPr>
              <w:jc w:val="right"/>
              <w:ind w:right="2039"/>
              <w:spacing w:after="0"/>
              <w:rPr>
                <w:sz w:val="20"/>
                <w:szCs w:val="20"/>
                <w:color w:val="auto"/>
              </w:rPr>
            </w:pPr>
            <w:r>
              <w:rPr>
                <w:rFonts w:ascii="Arial" w:cs="Arial" w:eastAsia="Arial" w:hAnsi="Arial"/>
                <w:sz w:val="16"/>
                <w:szCs w:val="16"/>
                <w:color w:val="auto"/>
              </w:rPr>
              <w:t>6/30/2017</w:t>
            </w:r>
          </w:p>
        </w:tc>
        <w:tc>
          <w:tcPr>
            <w:tcW w:w="800" w:type="dxa"/>
            <w:vAlign w:val="bottom"/>
          </w:tcPr>
          <w:p>
            <w:pPr>
              <w:jc w:val="right"/>
              <w:spacing w:after="0"/>
              <w:rPr>
                <w:sz w:val="20"/>
                <w:szCs w:val="20"/>
                <w:color w:val="auto"/>
              </w:rPr>
            </w:pPr>
            <w:r>
              <w:rPr>
                <w:rFonts w:ascii="Arial" w:cs="Arial" w:eastAsia="Arial" w:hAnsi="Arial"/>
                <w:sz w:val="16"/>
                <w:szCs w:val="16"/>
                <w:color w:val="auto"/>
              </w:rPr>
              <w:t>10</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39</w:t>
            </w:r>
          </w:p>
        </w:tc>
        <w:tc>
          <w:tcPr>
            <w:tcW w:w="2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0.0%</w:t>
            </w:r>
          </w:p>
        </w:tc>
      </w:tr>
      <w:tr>
        <w:trPr>
          <w:trHeight w:val="209"/>
        </w:trPr>
        <w:tc>
          <w:tcPr>
            <w:tcW w:w="2600" w:type="dxa"/>
            <w:vAlign w:val="bottom"/>
            <w:tcBorders>
              <w:bottom w:val="single" w:sz="8" w:color="CFF0FC"/>
            </w:tcBorders>
          </w:tcPr>
          <w:p>
            <w:pPr>
              <w:spacing w:after="0"/>
              <w:rPr>
                <w:sz w:val="18"/>
                <w:szCs w:val="18"/>
                <w:color w:val="auto"/>
              </w:rPr>
            </w:pPr>
          </w:p>
        </w:tc>
        <w:tc>
          <w:tcPr>
            <w:tcW w:w="2720" w:type="dxa"/>
            <w:vAlign w:val="bottom"/>
            <w:tcBorders>
              <w:bottom w:val="single" w:sz="8" w:color="CFF0FC"/>
            </w:tcBorders>
          </w:tcPr>
          <w:p>
            <w:pPr>
              <w:ind w:left="100"/>
              <w:spacing w:after="0"/>
              <w:rPr>
                <w:sz w:val="20"/>
                <w:szCs w:val="20"/>
                <w:color w:val="auto"/>
              </w:rPr>
            </w:pPr>
            <w:r>
              <w:rPr>
                <w:rFonts w:ascii="Arial" w:cs="Arial" w:eastAsia="Arial" w:hAnsi="Arial"/>
                <w:sz w:val="16"/>
                <w:szCs w:val="16"/>
                <w:color w:val="auto"/>
              </w:rPr>
              <w:t>units)</w:t>
            </w:r>
          </w:p>
        </w:tc>
        <w:tc>
          <w:tcPr>
            <w:tcW w:w="3000" w:type="dxa"/>
            <w:vAlign w:val="bottom"/>
            <w:tcBorders>
              <w:bottom w:val="single" w:sz="8" w:color="CFF0FC"/>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r>
      <w:tr>
        <w:trPr>
          <w:trHeight w:val="213"/>
        </w:trPr>
        <w:tc>
          <w:tcPr>
            <w:tcW w:w="2600" w:type="dxa"/>
            <w:vAlign w:val="bottom"/>
            <w:shd w:val="clear" w:color="auto" w:fill="CFF0FC"/>
          </w:tcPr>
          <w:p>
            <w:pPr>
              <w:spacing w:after="0"/>
              <w:rPr>
                <w:sz w:val="18"/>
                <w:szCs w:val="18"/>
                <w:color w:val="auto"/>
              </w:rPr>
            </w:pPr>
          </w:p>
        </w:tc>
        <w:tc>
          <w:tcPr>
            <w:tcW w:w="2720" w:type="dxa"/>
            <w:vAlign w:val="bottom"/>
            <w:shd w:val="clear" w:color="auto" w:fill="CFF0FC"/>
          </w:tcPr>
          <w:p>
            <w:pPr>
              <w:spacing w:after="0"/>
              <w:rPr>
                <w:sz w:val="18"/>
                <w:szCs w:val="18"/>
                <w:color w:val="auto"/>
              </w:rPr>
            </w:pPr>
          </w:p>
        </w:tc>
        <w:tc>
          <w:tcPr>
            <w:tcW w:w="30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1,030</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3,917</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0.3%</w:t>
            </w:r>
          </w:p>
        </w:tc>
      </w:tr>
      <w:tr>
        <w:trPr>
          <w:trHeight w:val="207"/>
        </w:trPr>
        <w:tc>
          <w:tcPr>
            <w:tcW w:w="2600" w:type="dxa"/>
            <w:vAlign w:val="bottom"/>
          </w:tcPr>
          <w:p>
            <w:pPr>
              <w:spacing w:after="0"/>
              <w:rPr>
                <w:sz w:val="20"/>
                <w:szCs w:val="20"/>
                <w:color w:val="auto"/>
              </w:rPr>
            </w:pPr>
            <w:r>
              <w:rPr>
                <w:rFonts w:ascii="Arial" w:cs="Arial" w:eastAsia="Arial" w:hAnsi="Arial"/>
                <w:sz w:val="16"/>
                <w:szCs w:val="16"/>
                <w:b w:val="1"/>
                <w:bCs w:val="1"/>
                <w:color w:val="auto"/>
              </w:rPr>
              <w:t>Internet Services</w:t>
            </w:r>
          </w:p>
        </w:tc>
        <w:tc>
          <w:tcPr>
            <w:tcW w:w="27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09"/>
        </w:trPr>
        <w:tc>
          <w:tcPr>
            <w:tcW w:w="260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Lucidworks, Inc. </w:t>
            </w:r>
            <w:r>
              <w:rPr>
                <w:rFonts w:ascii="Arial" w:cs="Arial" w:eastAsia="Arial" w:hAnsi="Arial"/>
                <w:sz w:val="24"/>
                <w:szCs w:val="24"/>
                <w:color w:val="auto"/>
                <w:vertAlign w:val="superscript"/>
              </w:rPr>
              <w:t>(13)</w:t>
            </w:r>
          </w:p>
        </w:tc>
        <w:tc>
          <w:tcPr>
            <w:tcW w:w="2720" w:type="dxa"/>
            <w:vAlign w:val="bottom"/>
            <w:shd w:val="clear" w:color="auto" w:fill="CFF0FC"/>
          </w:tcPr>
          <w:p>
            <w:pPr>
              <w:ind w:left="100"/>
              <w:spacing w:after="0"/>
              <w:rPr>
                <w:sz w:val="20"/>
                <w:szCs w:val="20"/>
                <w:color w:val="auto"/>
              </w:rPr>
            </w:pPr>
            <w:r>
              <w:rPr>
                <w:rFonts w:ascii="Arial" w:cs="Arial" w:eastAsia="Arial" w:hAnsi="Arial"/>
                <w:sz w:val="16"/>
                <w:szCs w:val="16"/>
                <w:color w:val="auto"/>
              </w:rPr>
              <w:t>Series F Preferred Shares (199,054</w:t>
            </w:r>
          </w:p>
        </w:tc>
        <w:tc>
          <w:tcPr>
            <w:tcW w:w="3000" w:type="dxa"/>
            <w:vAlign w:val="bottom"/>
            <w:shd w:val="clear" w:color="auto" w:fill="CFF0FC"/>
          </w:tcPr>
          <w:p>
            <w:pPr>
              <w:jc w:val="right"/>
              <w:ind w:right="2039"/>
              <w:spacing w:after="0"/>
              <w:rPr>
                <w:sz w:val="20"/>
                <w:szCs w:val="20"/>
                <w:color w:val="auto"/>
              </w:rPr>
            </w:pPr>
            <w:r>
              <w:rPr>
                <w:rFonts w:ascii="Arial" w:cs="Arial" w:eastAsia="Arial" w:hAnsi="Arial"/>
                <w:sz w:val="16"/>
                <w:szCs w:val="16"/>
                <w:color w:val="auto"/>
              </w:rPr>
              <w:t>8/2/2019</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800</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976</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0.1%</w:t>
            </w:r>
          </w:p>
        </w:tc>
      </w:tr>
      <w:tr>
        <w:trPr>
          <w:trHeight w:val="212"/>
        </w:trPr>
        <w:tc>
          <w:tcPr>
            <w:tcW w:w="2600" w:type="dxa"/>
            <w:vAlign w:val="bottom"/>
            <w:shd w:val="clear" w:color="auto" w:fill="CFF0FC"/>
          </w:tcPr>
          <w:p>
            <w:pPr>
              <w:spacing w:after="0"/>
              <w:rPr>
                <w:sz w:val="18"/>
                <w:szCs w:val="18"/>
                <w:color w:val="auto"/>
              </w:rPr>
            </w:pPr>
          </w:p>
        </w:tc>
        <w:tc>
          <w:tcPr>
            <w:tcW w:w="2720" w:type="dxa"/>
            <w:vAlign w:val="bottom"/>
            <w:shd w:val="clear" w:color="auto" w:fill="CFF0FC"/>
          </w:tcPr>
          <w:p>
            <w:pPr>
              <w:ind w:left="100"/>
              <w:spacing w:after="0"/>
              <w:rPr>
                <w:sz w:val="20"/>
                <w:szCs w:val="20"/>
                <w:color w:val="auto"/>
              </w:rPr>
            </w:pPr>
            <w:r>
              <w:rPr>
                <w:rFonts w:ascii="Arial" w:cs="Arial" w:eastAsia="Arial" w:hAnsi="Arial"/>
                <w:sz w:val="16"/>
                <w:szCs w:val="16"/>
                <w:color w:val="auto"/>
              </w:rPr>
              <w:t>shares)</w:t>
            </w:r>
          </w:p>
        </w:tc>
        <w:tc>
          <w:tcPr>
            <w:tcW w:w="30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3"/>
        </w:trPr>
        <w:tc>
          <w:tcPr>
            <w:tcW w:w="2600" w:type="dxa"/>
            <w:vAlign w:val="bottom"/>
          </w:tcPr>
          <w:p>
            <w:pPr>
              <w:spacing w:after="0"/>
              <w:rPr>
                <w:sz w:val="20"/>
                <w:szCs w:val="20"/>
                <w:color w:val="auto"/>
              </w:rPr>
            </w:pPr>
            <w:r>
              <w:rPr>
                <w:rFonts w:ascii="Arial" w:cs="Arial" w:eastAsia="Arial" w:hAnsi="Arial"/>
                <w:sz w:val="16"/>
                <w:szCs w:val="16"/>
                <w:b w:val="1"/>
                <w:bCs w:val="1"/>
                <w:color w:val="auto"/>
              </w:rPr>
              <w:t>Marketing services</w:t>
            </w:r>
          </w:p>
        </w:tc>
        <w:tc>
          <w:tcPr>
            <w:tcW w:w="27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60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Validity, Inc. </w:t>
            </w:r>
            <w:r>
              <w:rPr>
                <w:rFonts w:ascii="Arial" w:cs="Arial" w:eastAsia="Arial" w:hAnsi="Arial"/>
                <w:sz w:val="24"/>
                <w:szCs w:val="24"/>
                <w:color w:val="auto"/>
                <w:vertAlign w:val="superscript"/>
              </w:rPr>
              <w:t>(13)</w:t>
            </w:r>
          </w:p>
        </w:tc>
        <w:tc>
          <w:tcPr>
            <w:tcW w:w="2720" w:type="dxa"/>
            <w:vAlign w:val="bottom"/>
            <w:shd w:val="clear" w:color="auto" w:fill="CFF0FC"/>
          </w:tcPr>
          <w:p>
            <w:pPr>
              <w:ind w:left="100"/>
              <w:spacing w:after="0"/>
              <w:rPr>
                <w:sz w:val="20"/>
                <w:szCs w:val="20"/>
                <w:color w:val="auto"/>
              </w:rPr>
            </w:pPr>
            <w:r>
              <w:rPr>
                <w:rFonts w:ascii="Arial" w:cs="Arial" w:eastAsia="Arial" w:hAnsi="Arial"/>
                <w:sz w:val="16"/>
                <w:szCs w:val="16"/>
                <w:color w:val="auto"/>
                <w:w w:val="97"/>
              </w:rPr>
              <w:t>Series A Preferred Shares (3,840,000</w:t>
            </w:r>
          </w:p>
        </w:tc>
        <w:tc>
          <w:tcPr>
            <w:tcW w:w="3000" w:type="dxa"/>
            <w:vAlign w:val="bottom"/>
            <w:shd w:val="clear" w:color="auto" w:fill="CFF0FC"/>
          </w:tcPr>
          <w:p>
            <w:pPr>
              <w:jc w:val="right"/>
              <w:ind w:right="2039"/>
              <w:spacing w:after="0"/>
              <w:rPr>
                <w:sz w:val="20"/>
                <w:szCs w:val="20"/>
                <w:color w:val="auto"/>
              </w:rPr>
            </w:pPr>
            <w:r>
              <w:rPr>
                <w:rFonts w:ascii="Arial" w:cs="Arial" w:eastAsia="Arial" w:hAnsi="Arial"/>
                <w:sz w:val="16"/>
                <w:szCs w:val="16"/>
                <w:color w:val="auto"/>
              </w:rPr>
              <w:t>5/31/2018</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3,840</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13,824</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1.1%</w:t>
            </w:r>
          </w:p>
        </w:tc>
      </w:tr>
      <w:tr>
        <w:trPr>
          <w:trHeight w:val="212"/>
        </w:trPr>
        <w:tc>
          <w:tcPr>
            <w:tcW w:w="2600" w:type="dxa"/>
            <w:vAlign w:val="bottom"/>
            <w:shd w:val="clear" w:color="auto" w:fill="CFF0FC"/>
          </w:tcPr>
          <w:p>
            <w:pPr>
              <w:spacing w:after="0"/>
              <w:rPr>
                <w:sz w:val="18"/>
                <w:szCs w:val="18"/>
                <w:color w:val="auto"/>
              </w:rPr>
            </w:pPr>
          </w:p>
        </w:tc>
        <w:tc>
          <w:tcPr>
            <w:tcW w:w="2720" w:type="dxa"/>
            <w:vAlign w:val="bottom"/>
            <w:shd w:val="clear" w:color="auto" w:fill="CFF0FC"/>
          </w:tcPr>
          <w:p>
            <w:pPr>
              <w:ind w:left="100"/>
              <w:spacing w:after="0"/>
              <w:rPr>
                <w:sz w:val="20"/>
                <w:szCs w:val="20"/>
                <w:color w:val="auto"/>
              </w:rPr>
            </w:pPr>
            <w:r>
              <w:rPr>
                <w:rFonts w:ascii="Arial" w:cs="Arial" w:eastAsia="Arial" w:hAnsi="Arial"/>
                <w:sz w:val="16"/>
                <w:szCs w:val="16"/>
                <w:color w:val="auto"/>
              </w:rPr>
              <w:t>shares)</w:t>
            </w:r>
          </w:p>
        </w:tc>
        <w:tc>
          <w:tcPr>
            <w:tcW w:w="30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3"/>
        </w:trPr>
        <w:tc>
          <w:tcPr>
            <w:tcW w:w="2600" w:type="dxa"/>
            <w:vAlign w:val="bottom"/>
          </w:tcPr>
          <w:p>
            <w:pPr>
              <w:spacing w:after="0"/>
              <w:rPr>
                <w:sz w:val="20"/>
                <w:szCs w:val="20"/>
                <w:color w:val="auto"/>
              </w:rPr>
            </w:pPr>
            <w:r>
              <w:rPr>
                <w:rFonts w:ascii="Arial" w:cs="Arial" w:eastAsia="Arial" w:hAnsi="Arial"/>
                <w:sz w:val="16"/>
                <w:szCs w:val="16"/>
                <w:b w:val="1"/>
                <w:bCs w:val="1"/>
                <w:color w:val="auto"/>
              </w:rPr>
              <w:t>Oil, gas and consumable fuels</w:t>
            </w:r>
          </w:p>
        </w:tc>
        <w:tc>
          <w:tcPr>
            <w:tcW w:w="27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2600" w:type="dxa"/>
            <w:vAlign w:val="bottom"/>
            <w:shd w:val="clear" w:color="auto" w:fill="CFF0FC"/>
          </w:tcPr>
          <w:p>
            <w:pPr>
              <w:spacing w:after="0" w:line="218" w:lineRule="exact"/>
              <w:rPr>
                <w:sz w:val="20"/>
                <w:szCs w:val="20"/>
                <w:color w:val="auto"/>
              </w:rPr>
            </w:pPr>
            <w:r>
              <w:rPr>
                <w:rFonts w:ascii="Arial" w:cs="Arial" w:eastAsia="Arial" w:hAnsi="Arial"/>
                <w:sz w:val="15"/>
                <w:szCs w:val="15"/>
                <w:color w:val="auto"/>
              </w:rPr>
              <w:t xml:space="preserve">SMPA Holdings, LLC </w:t>
            </w:r>
            <w:r>
              <w:rPr>
                <w:rFonts w:ascii="Arial" w:cs="Arial" w:eastAsia="Arial" w:hAnsi="Arial"/>
                <w:sz w:val="25"/>
                <w:szCs w:val="25"/>
                <w:color w:val="auto"/>
                <w:vertAlign w:val="superscript"/>
              </w:rPr>
              <w:t>(6)(14)</w:t>
            </w:r>
          </w:p>
        </w:tc>
        <w:tc>
          <w:tcPr>
            <w:tcW w:w="2720" w:type="dxa"/>
            <w:vAlign w:val="bottom"/>
            <w:shd w:val="clear" w:color="auto" w:fill="CFF0FC"/>
          </w:tcPr>
          <w:p>
            <w:pPr>
              <w:ind w:left="100"/>
              <w:spacing w:after="0"/>
              <w:rPr>
                <w:sz w:val="20"/>
                <w:szCs w:val="20"/>
                <w:color w:val="auto"/>
              </w:rPr>
            </w:pPr>
            <w:r>
              <w:rPr>
                <w:rFonts w:ascii="Arial" w:cs="Arial" w:eastAsia="Arial" w:hAnsi="Arial"/>
                <w:sz w:val="16"/>
                <w:szCs w:val="16"/>
                <w:color w:val="auto"/>
              </w:rPr>
              <w:t>Common Units (15,000 units)</w:t>
            </w:r>
          </w:p>
        </w:tc>
        <w:tc>
          <w:tcPr>
            <w:tcW w:w="3000" w:type="dxa"/>
            <w:vAlign w:val="bottom"/>
            <w:shd w:val="clear" w:color="auto" w:fill="CFF0FC"/>
          </w:tcPr>
          <w:p>
            <w:pPr>
              <w:jc w:val="right"/>
              <w:ind w:right="2039"/>
              <w:spacing w:after="0"/>
              <w:rPr>
                <w:sz w:val="20"/>
                <w:szCs w:val="20"/>
                <w:color w:val="auto"/>
              </w:rPr>
            </w:pPr>
            <w:r>
              <w:rPr>
                <w:rFonts w:ascii="Arial" w:cs="Arial" w:eastAsia="Arial" w:hAnsi="Arial"/>
                <w:sz w:val="16"/>
                <w:szCs w:val="16"/>
                <w:color w:val="auto"/>
              </w:rPr>
              <w:t>12/24/2020</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3,891</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9,982</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0.8%</w:t>
            </w:r>
          </w:p>
        </w:tc>
      </w:tr>
      <w:tr>
        <w:trPr>
          <w:trHeight w:val="213"/>
        </w:trPr>
        <w:tc>
          <w:tcPr>
            <w:tcW w:w="2600" w:type="dxa"/>
            <w:vAlign w:val="bottom"/>
          </w:tcPr>
          <w:p>
            <w:pPr>
              <w:spacing w:after="0"/>
              <w:rPr>
                <w:sz w:val="20"/>
                <w:szCs w:val="20"/>
                <w:color w:val="auto"/>
              </w:rPr>
            </w:pPr>
            <w:r>
              <w:rPr>
                <w:rFonts w:ascii="Arial" w:cs="Arial" w:eastAsia="Arial" w:hAnsi="Arial"/>
                <w:sz w:val="16"/>
                <w:szCs w:val="16"/>
                <w:b w:val="1"/>
                <w:bCs w:val="1"/>
                <w:color w:val="auto"/>
              </w:rPr>
              <w:t>Pharmaceuticals</w:t>
            </w:r>
          </w:p>
        </w:tc>
        <w:tc>
          <w:tcPr>
            <w:tcW w:w="27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2600" w:type="dxa"/>
            <w:vAlign w:val="bottom"/>
            <w:shd w:val="clear" w:color="auto" w:fill="CFF0FC"/>
          </w:tcPr>
          <w:p>
            <w:pPr>
              <w:spacing w:after="0" w:line="218" w:lineRule="exact"/>
              <w:rPr>
                <w:sz w:val="20"/>
                <w:szCs w:val="20"/>
                <w:color w:val="auto"/>
              </w:rPr>
            </w:pPr>
            <w:r>
              <w:rPr>
                <w:rFonts w:ascii="Arial" w:cs="Arial" w:eastAsia="Arial" w:hAnsi="Arial"/>
                <w:sz w:val="15"/>
                <w:szCs w:val="15"/>
                <w:color w:val="auto"/>
              </w:rPr>
              <w:t xml:space="preserve">TherapeuticsMD, Inc. </w:t>
            </w:r>
            <w:r>
              <w:rPr>
                <w:rFonts w:ascii="Arial" w:cs="Arial" w:eastAsia="Arial" w:hAnsi="Arial"/>
                <w:sz w:val="25"/>
                <w:szCs w:val="25"/>
                <w:color w:val="auto"/>
                <w:vertAlign w:val="superscript"/>
              </w:rPr>
              <w:t>(13)(14)</w:t>
            </w:r>
          </w:p>
        </w:tc>
        <w:tc>
          <w:tcPr>
            <w:tcW w:w="2720" w:type="dxa"/>
            <w:vAlign w:val="bottom"/>
            <w:shd w:val="clear" w:color="auto" w:fill="CFF0FC"/>
          </w:tcPr>
          <w:p>
            <w:pPr>
              <w:ind w:left="100"/>
              <w:spacing w:after="0"/>
              <w:rPr>
                <w:sz w:val="20"/>
                <w:szCs w:val="20"/>
                <w:color w:val="auto"/>
              </w:rPr>
            </w:pPr>
            <w:r>
              <w:rPr>
                <w:rFonts w:ascii="Arial" w:cs="Arial" w:eastAsia="Arial" w:hAnsi="Arial"/>
                <w:sz w:val="16"/>
                <w:szCs w:val="16"/>
                <w:color w:val="auto"/>
              </w:rPr>
              <w:t>712,817 Warrants</w:t>
            </w:r>
          </w:p>
        </w:tc>
        <w:tc>
          <w:tcPr>
            <w:tcW w:w="3000" w:type="dxa"/>
            <w:vAlign w:val="bottom"/>
            <w:shd w:val="clear" w:color="auto" w:fill="CFF0FC"/>
          </w:tcPr>
          <w:p>
            <w:pPr>
              <w:jc w:val="right"/>
              <w:ind w:right="2039"/>
              <w:spacing w:after="0"/>
              <w:rPr>
                <w:sz w:val="20"/>
                <w:szCs w:val="20"/>
                <w:color w:val="auto"/>
              </w:rPr>
            </w:pPr>
            <w:r>
              <w:rPr>
                <w:rFonts w:ascii="Arial" w:cs="Arial" w:eastAsia="Arial" w:hAnsi="Arial"/>
                <w:sz w:val="16"/>
                <w:szCs w:val="16"/>
                <w:color w:val="auto"/>
              </w:rPr>
              <w:t>8/5/2020</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1,029</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566</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0.0%</w:t>
            </w:r>
          </w:p>
        </w:tc>
      </w:tr>
      <w:tr>
        <w:trPr>
          <w:trHeight w:val="213"/>
        </w:trPr>
        <w:tc>
          <w:tcPr>
            <w:tcW w:w="2600" w:type="dxa"/>
            <w:vAlign w:val="bottom"/>
          </w:tcPr>
          <w:p>
            <w:pPr>
              <w:spacing w:after="0"/>
              <w:rPr>
                <w:sz w:val="20"/>
                <w:szCs w:val="20"/>
                <w:color w:val="auto"/>
              </w:rPr>
            </w:pPr>
            <w:r>
              <w:rPr>
                <w:rFonts w:ascii="Arial" w:cs="Arial" w:eastAsia="Arial" w:hAnsi="Arial"/>
                <w:sz w:val="16"/>
                <w:szCs w:val="16"/>
                <w:b w:val="1"/>
                <w:bCs w:val="1"/>
                <w:color w:val="auto"/>
              </w:rPr>
              <w:t>Retail and consumer products</w:t>
            </w:r>
          </w:p>
        </w:tc>
        <w:tc>
          <w:tcPr>
            <w:tcW w:w="27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2600" w:type="dxa"/>
            <w:vAlign w:val="bottom"/>
            <w:shd w:val="clear" w:color="auto" w:fill="CFF0FC"/>
          </w:tcPr>
          <w:p>
            <w:pPr>
              <w:spacing w:after="0" w:line="218" w:lineRule="exact"/>
              <w:rPr>
                <w:sz w:val="20"/>
                <w:szCs w:val="20"/>
                <w:color w:val="auto"/>
              </w:rPr>
            </w:pPr>
            <w:r>
              <w:rPr>
                <w:rFonts w:ascii="Arial" w:cs="Arial" w:eastAsia="Arial" w:hAnsi="Arial"/>
                <w:sz w:val="15"/>
                <w:szCs w:val="15"/>
                <w:color w:val="auto"/>
                <w:w w:val="98"/>
              </w:rPr>
              <w:t xml:space="preserve">American Achievement, Corp. </w:t>
            </w:r>
            <w:r>
              <w:rPr>
                <w:rFonts w:ascii="Arial" w:cs="Arial" w:eastAsia="Arial" w:hAnsi="Arial"/>
                <w:sz w:val="25"/>
                <w:szCs w:val="25"/>
                <w:color w:val="auto"/>
                <w:w w:val="98"/>
                <w:vertAlign w:val="superscript"/>
              </w:rPr>
              <w:t>(13)(14)</w:t>
            </w:r>
          </w:p>
        </w:tc>
        <w:tc>
          <w:tcPr>
            <w:tcW w:w="2720" w:type="dxa"/>
            <w:vAlign w:val="bottom"/>
            <w:shd w:val="clear" w:color="auto" w:fill="CFF0FC"/>
          </w:tcPr>
          <w:p>
            <w:pPr>
              <w:ind w:left="100"/>
              <w:spacing w:after="0"/>
              <w:rPr>
                <w:sz w:val="20"/>
                <w:szCs w:val="20"/>
                <w:color w:val="auto"/>
              </w:rPr>
            </w:pPr>
            <w:r>
              <w:rPr>
                <w:rFonts w:ascii="Arial" w:cs="Arial" w:eastAsia="Arial" w:hAnsi="Arial"/>
                <w:sz w:val="16"/>
                <w:szCs w:val="16"/>
                <w:color w:val="auto"/>
              </w:rPr>
              <w:t>Class A Units (687 units)</w:t>
            </w:r>
          </w:p>
        </w:tc>
        <w:tc>
          <w:tcPr>
            <w:tcW w:w="3000" w:type="dxa"/>
            <w:vAlign w:val="bottom"/>
            <w:shd w:val="clear" w:color="auto" w:fill="CFF0FC"/>
          </w:tcPr>
          <w:p>
            <w:pPr>
              <w:jc w:val="right"/>
              <w:ind w:right="2039"/>
              <w:spacing w:after="0"/>
              <w:rPr>
                <w:sz w:val="20"/>
                <w:szCs w:val="20"/>
                <w:color w:val="auto"/>
              </w:rPr>
            </w:pPr>
            <w:r>
              <w:rPr>
                <w:rFonts w:ascii="Arial" w:cs="Arial" w:eastAsia="Arial" w:hAnsi="Arial"/>
                <w:sz w:val="16"/>
                <w:szCs w:val="16"/>
                <w:color w:val="auto"/>
              </w:rPr>
              <w:t>3/16/2021</w:t>
            </w: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0.0%</w:t>
            </w:r>
          </w:p>
        </w:tc>
      </w:tr>
      <w:tr>
        <w:trPr>
          <w:trHeight w:val="206"/>
        </w:trPr>
        <w:tc>
          <w:tcPr>
            <w:tcW w:w="2600" w:type="dxa"/>
            <w:vAlign w:val="bottom"/>
          </w:tcPr>
          <w:p>
            <w:pPr>
              <w:spacing w:after="0" w:line="207" w:lineRule="exact"/>
              <w:rPr>
                <w:sz w:val="20"/>
                <w:szCs w:val="20"/>
                <w:color w:val="auto"/>
              </w:rPr>
            </w:pPr>
            <w:r>
              <w:rPr>
                <w:rFonts w:ascii="Arial" w:cs="Arial" w:eastAsia="Arial" w:hAnsi="Arial"/>
                <w:sz w:val="14"/>
                <w:szCs w:val="14"/>
                <w:color w:val="auto"/>
              </w:rPr>
              <w:t xml:space="preserve">Copper Bidco, LLC </w:t>
            </w:r>
            <w:r>
              <w:rPr>
                <w:rFonts w:ascii="Arial" w:cs="Arial" w:eastAsia="Arial" w:hAnsi="Arial"/>
                <w:sz w:val="23"/>
                <w:szCs w:val="23"/>
                <w:color w:val="auto"/>
                <w:vertAlign w:val="superscript"/>
              </w:rPr>
              <w:t>(11)(14)</w:t>
            </w:r>
          </w:p>
        </w:tc>
        <w:tc>
          <w:tcPr>
            <w:tcW w:w="2720" w:type="dxa"/>
            <w:vAlign w:val="bottom"/>
          </w:tcPr>
          <w:p>
            <w:pPr>
              <w:ind w:left="100"/>
              <w:spacing w:after="0"/>
              <w:rPr>
                <w:sz w:val="20"/>
                <w:szCs w:val="20"/>
                <w:color w:val="auto"/>
              </w:rPr>
            </w:pPr>
            <w:r>
              <w:rPr>
                <w:rFonts w:ascii="Arial" w:cs="Arial" w:eastAsia="Arial" w:hAnsi="Arial"/>
                <w:sz w:val="16"/>
                <w:szCs w:val="16"/>
                <w:color w:val="auto"/>
              </w:rPr>
              <w:t>Trust Certificates (132,928</w:t>
            </w:r>
          </w:p>
        </w:tc>
        <w:tc>
          <w:tcPr>
            <w:tcW w:w="3000" w:type="dxa"/>
            <w:vAlign w:val="bottom"/>
          </w:tcPr>
          <w:p>
            <w:pPr>
              <w:jc w:val="right"/>
              <w:ind w:right="2039"/>
              <w:spacing w:after="0"/>
              <w:rPr>
                <w:sz w:val="20"/>
                <w:szCs w:val="20"/>
                <w:color w:val="auto"/>
              </w:rPr>
            </w:pPr>
            <w:r>
              <w:rPr>
                <w:rFonts w:ascii="Arial" w:cs="Arial" w:eastAsia="Arial" w:hAnsi="Arial"/>
                <w:sz w:val="16"/>
                <w:szCs w:val="16"/>
                <w:color w:val="auto"/>
              </w:rPr>
              <w:t>12/7/2020</w:t>
            </w:r>
          </w:p>
        </w:tc>
        <w:tc>
          <w:tcPr>
            <w:tcW w:w="800" w:type="dxa"/>
            <w:vAlign w:val="bottom"/>
          </w:tcPr>
          <w:p>
            <w:pPr>
              <w:jc w:val="right"/>
              <w:spacing w:after="0"/>
              <w:rPr>
                <w:sz w:val="20"/>
                <w:szCs w:val="20"/>
                <w:color w:val="auto"/>
              </w:rPr>
            </w:pPr>
            <w:r>
              <w:rPr>
                <w:rFonts w:ascii="Arial" w:cs="Arial" w:eastAsia="Arial" w:hAnsi="Arial"/>
                <w:sz w:val="16"/>
                <w:szCs w:val="16"/>
                <w:color w:val="auto"/>
              </w:rPr>
              <w:t>526</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930</w:t>
            </w:r>
          </w:p>
        </w:tc>
        <w:tc>
          <w:tcPr>
            <w:tcW w:w="2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0.1%</w:t>
            </w:r>
          </w:p>
        </w:tc>
      </w:tr>
      <w:tr>
        <w:trPr>
          <w:trHeight w:val="206"/>
        </w:trPr>
        <w:tc>
          <w:tcPr>
            <w:tcW w:w="2600" w:type="dxa"/>
            <w:vAlign w:val="bottom"/>
          </w:tcPr>
          <w:p>
            <w:pPr>
              <w:spacing w:after="0"/>
              <w:rPr>
                <w:sz w:val="17"/>
                <w:szCs w:val="17"/>
                <w:color w:val="auto"/>
              </w:rPr>
            </w:pPr>
          </w:p>
        </w:tc>
        <w:tc>
          <w:tcPr>
            <w:tcW w:w="2720" w:type="dxa"/>
            <w:vAlign w:val="bottom"/>
          </w:tcPr>
          <w:p>
            <w:pPr>
              <w:ind w:left="100"/>
              <w:spacing w:after="0"/>
              <w:rPr>
                <w:sz w:val="20"/>
                <w:szCs w:val="20"/>
                <w:color w:val="auto"/>
              </w:rPr>
            </w:pPr>
            <w:r>
              <w:rPr>
                <w:rFonts w:ascii="Arial" w:cs="Arial" w:eastAsia="Arial" w:hAnsi="Arial"/>
                <w:sz w:val="16"/>
                <w:szCs w:val="16"/>
                <w:color w:val="auto"/>
              </w:rPr>
              <w:t>Certificates)</w:t>
            </w:r>
          </w:p>
        </w:tc>
        <w:tc>
          <w:tcPr>
            <w:tcW w:w="3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6"/>
        </w:trPr>
        <w:tc>
          <w:tcPr>
            <w:tcW w:w="2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60" w:type="dxa"/>
            <w:vAlign w:val="bottom"/>
            <w:gridSpan w:val="6"/>
            <w:shd w:val="clear" w:color="auto" w:fill="CFF0FC"/>
          </w:tcPr>
          <w:p>
            <w:pPr>
              <w:ind w:left="420"/>
              <w:spacing w:after="0"/>
              <w:rPr>
                <w:sz w:val="20"/>
                <w:szCs w:val="20"/>
                <w:color w:val="auto"/>
              </w:rPr>
            </w:pPr>
            <w:r>
              <w:rPr>
                <w:rFonts w:ascii="Arial" w:cs="Arial" w:eastAsia="Arial" w:hAnsi="Arial"/>
                <w:sz w:val="16"/>
                <w:szCs w:val="16"/>
                <w:color w:val="auto"/>
              </w:rPr>
              <w:t>Trust Certificates (996,958</w:t>
            </w:r>
          </w:p>
        </w:tc>
        <w:tc>
          <w:tcPr>
            <w:tcW w:w="220" w:type="dxa"/>
            <w:vAlign w:val="bottom"/>
            <w:shd w:val="clear" w:color="auto" w:fill="CFF0FC"/>
          </w:tcPr>
          <w:p>
            <w:pPr>
              <w:spacing w:after="0"/>
              <w:rPr>
                <w:sz w:val="17"/>
                <w:szCs w:val="17"/>
                <w:color w:val="auto"/>
              </w:rPr>
            </w:pPr>
          </w:p>
        </w:tc>
        <w:tc>
          <w:tcPr>
            <w:tcW w:w="1160" w:type="dxa"/>
            <w:vAlign w:val="bottom"/>
            <w:gridSpan w:val="3"/>
            <w:shd w:val="clear" w:color="auto" w:fill="CFF0FC"/>
          </w:tcPr>
          <w:p>
            <w:pPr>
              <w:jc w:val="right"/>
              <w:ind w:right="50"/>
              <w:spacing w:after="0"/>
              <w:rPr>
                <w:sz w:val="20"/>
                <w:szCs w:val="20"/>
                <w:color w:val="auto"/>
              </w:rPr>
            </w:pPr>
            <w:r>
              <w:rPr>
                <w:rFonts w:ascii="Arial" w:cs="Arial" w:eastAsia="Arial" w:hAnsi="Arial"/>
                <w:sz w:val="16"/>
                <w:szCs w:val="16"/>
                <w:color w:val="auto"/>
              </w:rPr>
              <w:t>1/30/2021</w:t>
            </w: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15,453</w:t>
            </w:r>
          </w:p>
        </w:tc>
        <w:tc>
          <w:tcPr>
            <w:tcW w:w="1000" w:type="dxa"/>
            <w:vAlign w:val="bottom"/>
            <w:gridSpan w:val="4"/>
            <w:shd w:val="clear" w:color="auto" w:fill="CFF0FC"/>
          </w:tcPr>
          <w:p>
            <w:pPr>
              <w:jc w:val="right"/>
              <w:spacing w:after="0"/>
              <w:rPr>
                <w:sz w:val="20"/>
                <w:szCs w:val="20"/>
                <w:color w:val="auto"/>
              </w:rPr>
            </w:pPr>
            <w:r>
              <w:rPr>
                <w:rFonts w:ascii="Arial" w:cs="Arial" w:eastAsia="Arial" w:hAnsi="Arial"/>
                <w:sz w:val="16"/>
                <w:szCs w:val="16"/>
                <w:color w:val="auto"/>
              </w:rPr>
              <w:t>18,394</w:t>
            </w:r>
          </w:p>
        </w:tc>
        <w:tc>
          <w:tcPr>
            <w:tcW w:w="80" w:type="dxa"/>
            <w:vAlign w:val="bottom"/>
            <w:shd w:val="clear" w:color="auto" w:fill="CFF0FC"/>
          </w:tcPr>
          <w:p>
            <w:pPr>
              <w:spacing w:after="0"/>
              <w:rPr>
                <w:sz w:val="17"/>
                <w:szCs w:val="17"/>
                <w:color w:val="auto"/>
              </w:rPr>
            </w:pPr>
          </w:p>
        </w:tc>
        <w:tc>
          <w:tcPr>
            <w:tcW w:w="1060" w:type="dxa"/>
            <w:vAlign w:val="bottom"/>
            <w:gridSpan w:val="4"/>
            <w:shd w:val="clear" w:color="auto" w:fill="CFF0FC"/>
          </w:tcPr>
          <w:p>
            <w:pPr>
              <w:jc w:val="right"/>
              <w:ind w:right="4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9"/>
        </w:trPr>
        <w:tc>
          <w:tcPr>
            <w:tcW w:w="2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00" w:type="dxa"/>
            <w:vAlign w:val="bottom"/>
            <w:gridSpan w:val="3"/>
            <w:shd w:val="clear" w:color="auto" w:fill="CFF0FC"/>
          </w:tcPr>
          <w:p>
            <w:pPr>
              <w:ind w:left="420"/>
              <w:spacing w:after="0"/>
              <w:rPr>
                <w:sz w:val="20"/>
                <w:szCs w:val="20"/>
                <w:color w:val="auto"/>
              </w:rPr>
            </w:pPr>
            <w:r>
              <w:rPr>
                <w:rFonts w:ascii="Arial" w:cs="Arial" w:eastAsia="Arial" w:hAnsi="Arial"/>
                <w:sz w:val="16"/>
                <w:szCs w:val="16"/>
                <w:color w:val="auto"/>
              </w:rPr>
              <w:t>Certificates)</w:t>
            </w: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15,979</w:t>
            </w:r>
          </w:p>
        </w:tc>
        <w:tc>
          <w:tcPr>
            <w:tcW w:w="1000" w:type="dxa"/>
            <w:vAlign w:val="bottom"/>
            <w:gridSpan w:val="4"/>
          </w:tcPr>
          <w:p>
            <w:pPr>
              <w:jc w:val="right"/>
              <w:spacing w:after="0"/>
              <w:rPr>
                <w:sz w:val="20"/>
                <w:szCs w:val="20"/>
                <w:color w:val="auto"/>
              </w:rPr>
            </w:pPr>
            <w:r>
              <w:rPr>
                <w:rFonts w:ascii="Arial" w:cs="Arial" w:eastAsia="Arial" w:hAnsi="Arial"/>
                <w:sz w:val="16"/>
                <w:szCs w:val="16"/>
                <w:color w:val="auto"/>
              </w:rPr>
              <w:t>19,324</w:t>
            </w:r>
          </w:p>
        </w:tc>
        <w:tc>
          <w:tcPr>
            <w:tcW w:w="80" w:type="dxa"/>
            <w:vAlign w:val="bottom"/>
          </w:tcPr>
          <w:p>
            <w:pPr>
              <w:spacing w:after="0"/>
              <w:rPr>
                <w:sz w:val="18"/>
                <w:szCs w:val="18"/>
                <w:color w:val="auto"/>
              </w:rPr>
            </w:pPr>
          </w:p>
        </w:tc>
        <w:tc>
          <w:tcPr>
            <w:tcW w:w="1060" w:type="dxa"/>
            <w:vAlign w:val="bottom"/>
            <w:gridSpan w:val="4"/>
          </w:tcPr>
          <w:p>
            <w:pPr>
              <w:jc w:val="right"/>
              <w:ind w:right="4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2"/>
        </w:trPr>
        <w:tc>
          <w:tcPr>
            <w:tcW w:w="2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200" w:type="dxa"/>
            <w:vAlign w:val="bottom"/>
            <w:gridSpan w:val="2"/>
          </w:tcPr>
          <w:p>
            <w:pPr>
              <w:spacing w:after="0"/>
              <w:rPr>
                <w:sz w:val="20"/>
                <w:szCs w:val="20"/>
                <w:color w:val="auto"/>
              </w:rPr>
            </w:pPr>
            <w:r>
              <w:rPr>
                <w:rFonts w:ascii="Arial" w:cs="Arial" w:eastAsia="Arial" w:hAnsi="Arial"/>
                <w:sz w:val="16"/>
                <w:szCs w:val="16"/>
                <w:b w:val="1"/>
                <w:bCs w:val="1"/>
                <w:color w:val="auto"/>
              </w:rPr>
              <w:t>Other Investments</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2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Bain Capital Credit CLO Ltd,</w:t>
            </w:r>
          </w:p>
        </w:tc>
        <w:tc>
          <w:tcPr>
            <w:tcW w:w="2660" w:type="dxa"/>
            <w:vAlign w:val="bottom"/>
            <w:gridSpan w:val="6"/>
            <w:shd w:val="clear" w:color="auto" w:fill="CFF0FC"/>
          </w:tcPr>
          <w:p>
            <w:pPr>
              <w:ind w:left="420"/>
              <w:spacing w:after="0"/>
              <w:rPr>
                <w:sz w:val="20"/>
                <w:szCs w:val="20"/>
                <w:color w:val="auto"/>
              </w:rPr>
            </w:pPr>
            <w:r>
              <w:rPr>
                <w:rFonts w:ascii="Arial" w:cs="Arial" w:eastAsia="Arial" w:hAnsi="Arial"/>
                <w:sz w:val="16"/>
                <w:szCs w:val="16"/>
                <w:color w:val="auto"/>
                <w:w w:val="91"/>
              </w:rPr>
              <w:t>Structured Product ($500 par, due</w:t>
            </w:r>
          </w:p>
        </w:tc>
        <w:tc>
          <w:tcPr>
            <w:tcW w:w="220" w:type="dxa"/>
            <w:vAlign w:val="bottom"/>
            <w:shd w:val="clear" w:color="auto" w:fill="CFF0FC"/>
          </w:tcPr>
          <w:p>
            <w:pPr>
              <w:spacing w:after="0"/>
              <w:rPr>
                <w:sz w:val="17"/>
                <w:szCs w:val="17"/>
                <w:color w:val="auto"/>
              </w:rPr>
            </w:pPr>
          </w:p>
        </w:tc>
        <w:tc>
          <w:tcPr>
            <w:tcW w:w="1160" w:type="dxa"/>
            <w:vAlign w:val="bottom"/>
            <w:gridSpan w:val="3"/>
            <w:shd w:val="clear" w:color="auto" w:fill="CFF0FC"/>
          </w:tcPr>
          <w:p>
            <w:pPr>
              <w:jc w:val="right"/>
              <w:ind w:right="50"/>
              <w:spacing w:after="0"/>
              <w:rPr>
                <w:sz w:val="20"/>
                <w:szCs w:val="20"/>
                <w:color w:val="auto"/>
              </w:rPr>
            </w:pPr>
            <w:r>
              <w:rPr>
                <w:rFonts w:ascii="Arial" w:cs="Arial" w:eastAsia="Arial" w:hAnsi="Arial"/>
                <w:sz w:val="16"/>
                <w:szCs w:val="16"/>
                <w:color w:val="auto"/>
              </w:rPr>
              <w:t>10/15/2020</w:t>
            </w:r>
          </w:p>
        </w:tc>
        <w:tc>
          <w:tcPr>
            <w:tcW w:w="114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L + 5.35%</w:t>
            </w: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ind w:left="160"/>
              <w:spacing w:after="0"/>
              <w:rPr>
                <w:sz w:val="20"/>
                <w:szCs w:val="20"/>
                <w:color w:val="auto"/>
              </w:rPr>
            </w:pPr>
            <w:r>
              <w:rPr>
                <w:rFonts w:ascii="Arial" w:cs="Arial" w:eastAsia="Arial" w:hAnsi="Arial"/>
                <w:sz w:val="16"/>
                <w:szCs w:val="16"/>
                <w:color w:val="auto"/>
              </w:rPr>
              <w:t>5.57%</w:t>
            </w:r>
          </w:p>
        </w:tc>
        <w:tc>
          <w:tcPr>
            <w:tcW w:w="1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414</w:t>
            </w:r>
          </w:p>
        </w:tc>
        <w:tc>
          <w:tcPr>
            <w:tcW w:w="2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467</w:t>
            </w:r>
          </w:p>
        </w:tc>
        <w:tc>
          <w:tcPr>
            <w:tcW w:w="80" w:type="dxa"/>
            <w:vAlign w:val="bottom"/>
            <w:shd w:val="clear" w:color="auto" w:fill="CFF0FC"/>
          </w:tcPr>
          <w:p>
            <w:pPr>
              <w:spacing w:after="0"/>
              <w:rPr>
                <w:sz w:val="17"/>
                <w:szCs w:val="17"/>
                <w:color w:val="auto"/>
              </w:rPr>
            </w:pPr>
          </w:p>
        </w:tc>
        <w:tc>
          <w:tcPr>
            <w:tcW w:w="1060" w:type="dxa"/>
            <w:vAlign w:val="bottom"/>
            <w:gridSpan w:val="4"/>
            <w:shd w:val="clear" w:color="auto" w:fill="CFF0FC"/>
          </w:tcPr>
          <w:p>
            <w:pPr>
              <w:jc w:val="right"/>
              <w:ind w:right="4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16"/>
        </w:trPr>
        <w:tc>
          <w:tcPr>
            <w:tcW w:w="2200" w:type="dxa"/>
            <w:vAlign w:val="bottom"/>
            <w:gridSpan w:val="2"/>
            <w:shd w:val="clear" w:color="auto" w:fill="CFF0FC"/>
          </w:tcPr>
          <w:p>
            <w:pPr>
              <w:ind w:left="120"/>
              <w:spacing w:after="0" w:line="216" w:lineRule="exact"/>
              <w:rPr>
                <w:sz w:val="20"/>
                <w:szCs w:val="20"/>
                <w:color w:val="auto"/>
              </w:rPr>
            </w:pPr>
            <w:r>
              <w:rPr>
                <w:rFonts w:ascii="Arial" w:cs="Arial" w:eastAsia="Arial" w:hAnsi="Arial"/>
                <w:sz w:val="15"/>
                <w:szCs w:val="15"/>
                <w:color w:val="auto"/>
              </w:rPr>
              <w:t xml:space="preserve">Series 2018-1A </w:t>
            </w:r>
            <w:r>
              <w:rPr>
                <w:rFonts w:ascii="Arial" w:cs="Arial" w:eastAsia="Arial" w:hAnsi="Arial"/>
                <w:sz w:val="25"/>
                <w:szCs w:val="25"/>
                <w:color w:val="auto"/>
                <w:vertAlign w:val="superscript"/>
              </w:rPr>
              <w:t>(3)(4)(11)</w:t>
            </w:r>
          </w:p>
        </w:tc>
        <w:tc>
          <w:tcPr>
            <w:tcW w:w="1000" w:type="dxa"/>
            <w:vAlign w:val="bottom"/>
            <w:shd w:val="clear" w:color="auto" w:fill="CFF0FC"/>
          </w:tcPr>
          <w:p>
            <w:pPr>
              <w:ind w:left="420"/>
              <w:spacing w:after="0"/>
              <w:rPr>
                <w:sz w:val="20"/>
                <w:szCs w:val="20"/>
                <w:color w:val="auto"/>
              </w:rPr>
            </w:pPr>
            <w:r>
              <w:rPr>
                <w:rFonts w:ascii="Arial" w:cs="Arial" w:eastAsia="Arial" w:hAnsi="Arial"/>
                <w:sz w:val="16"/>
                <w:szCs w:val="16"/>
                <w:color w:val="auto"/>
              </w:rPr>
              <w:t>4/2031)</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200" w:type="dxa"/>
            <w:vAlign w:val="bottom"/>
            <w:gridSpan w:val="2"/>
          </w:tcPr>
          <w:p>
            <w:pPr>
              <w:spacing w:after="0"/>
              <w:rPr>
                <w:sz w:val="20"/>
                <w:szCs w:val="20"/>
                <w:color w:val="auto"/>
              </w:rPr>
            </w:pPr>
            <w:r>
              <w:rPr>
                <w:rFonts w:ascii="Arial" w:cs="Arial" w:eastAsia="Arial" w:hAnsi="Arial"/>
                <w:sz w:val="16"/>
                <w:szCs w:val="16"/>
                <w:color w:val="auto"/>
                <w:w w:val="94"/>
              </w:rPr>
              <w:t>Carlyle Global Market Strategies</w:t>
            </w:r>
          </w:p>
        </w:tc>
        <w:tc>
          <w:tcPr>
            <w:tcW w:w="2880" w:type="dxa"/>
            <w:vAlign w:val="bottom"/>
            <w:gridSpan w:val="7"/>
          </w:tcPr>
          <w:p>
            <w:pPr>
              <w:ind w:left="420"/>
              <w:spacing w:after="0"/>
              <w:rPr>
                <w:sz w:val="20"/>
                <w:szCs w:val="20"/>
                <w:color w:val="auto"/>
              </w:rPr>
            </w:pPr>
            <w:r>
              <w:rPr>
                <w:rFonts w:ascii="Arial" w:cs="Arial" w:eastAsia="Arial" w:hAnsi="Arial"/>
                <w:sz w:val="16"/>
                <w:szCs w:val="16"/>
                <w:color w:val="auto"/>
                <w:w w:val="95"/>
              </w:rPr>
              <w:t>Structured Product ($1,550 par, due</w:t>
            </w:r>
          </w:p>
        </w:tc>
        <w:tc>
          <w:tcPr>
            <w:tcW w:w="1160" w:type="dxa"/>
            <w:vAlign w:val="bottom"/>
            <w:gridSpan w:val="3"/>
          </w:tcPr>
          <w:p>
            <w:pPr>
              <w:jc w:val="right"/>
              <w:ind w:right="50"/>
              <w:spacing w:after="0"/>
              <w:rPr>
                <w:sz w:val="20"/>
                <w:szCs w:val="20"/>
                <w:color w:val="auto"/>
              </w:rPr>
            </w:pPr>
            <w:r>
              <w:rPr>
                <w:rFonts w:ascii="Arial" w:cs="Arial" w:eastAsia="Arial" w:hAnsi="Arial"/>
                <w:sz w:val="16"/>
                <w:szCs w:val="16"/>
                <w:color w:val="auto"/>
              </w:rPr>
              <w:t>8/11/2020</w:t>
            </w:r>
          </w:p>
        </w:tc>
        <w:tc>
          <w:tcPr>
            <w:tcW w:w="1140" w:type="dxa"/>
            <w:vAlign w:val="bottom"/>
            <w:gridSpan w:val="2"/>
          </w:tcPr>
          <w:p>
            <w:pPr>
              <w:ind w:left="200"/>
              <w:spacing w:after="0"/>
              <w:rPr>
                <w:sz w:val="20"/>
                <w:szCs w:val="20"/>
                <w:color w:val="auto"/>
              </w:rPr>
            </w:pPr>
            <w:r>
              <w:rPr>
                <w:rFonts w:ascii="Arial" w:cs="Arial" w:eastAsia="Arial" w:hAnsi="Arial"/>
                <w:sz w:val="16"/>
                <w:szCs w:val="16"/>
                <w:color w:val="auto"/>
              </w:rPr>
              <w:t>L + 5.75%</w:t>
            </w:r>
          </w:p>
        </w:tc>
        <w:tc>
          <w:tcPr>
            <w:tcW w:w="200" w:type="dxa"/>
            <w:vAlign w:val="bottom"/>
          </w:tcPr>
          <w:p>
            <w:pPr>
              <w:spacing w:after="0"/>
              <w:rPr>
                <w:sz w:val="17"/>
                <w:szCs w:val="17"/>
                <w:color w:val="auto"/>
              </w:rPr>
            </w:pPr>
          </w:p>
        </w:tc>
        <w:tc>
          <w:tcPr>
            <w:tcW w:w="720" w:type="dxa"/>
            <w:vAlign w:val="bottom"/>
          </w:tcPr>
          <w:p>
            <w:pPr>
              <w:ind w:left="160"/>
              <w:spacing w:after="0"/>
              <w:rPr>
                <w:sz w:val="20"/>
                <w:szCs w:val="20"/>
                <w:color w:val="auto"/>
              </w:rPr>
            </w:pPr>
            <w:r>
              <w:rPr>
                <w:rFonts w:ascii="Arial" w:cs="Arial" w:eastAsia="Arial" w:hAnsi="Arial"/>
                <w:sz w:val="16"/>
                <w:szCs w:val="16"/>
                <w:color w:val="auto"/>
              </w:rPr>
              <w:t>5.97%</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1,213</w:t>
            </w:r>
          </w:p>
        </w:tc>
        <w:tc>
          <w:tcPr>
            <w:tcW w:w="1000" w:type="dxa"/>
            <w:vAlign w:val="bottom"/>
            <w:gridSpan w:val="4"/>
          </w:tcPr>
          <w:p>
            <w:pPr>
              <w:jc w:val="right"/>
              <w:spacing w:after="0"/>
              <w:rPr>
                <w:sz w:val="20"/>
                <w:szCs w:val="20"/>
                <w:color w:val="auto"/>
              </w:rPr>
            </w:pPr>
            <w:r>
              <w:rPr>
                <w:rFonts w:ascii="Arial" w:cs="Arial" w:eastAsia="Arial" w:hAnsi="Arial"/>
                <w:sz w:val="16"/>
                <w:szCs w:val="16"/>
                <w:color w:val="auto"/>
              </w:rPr>
              <w:t>1,476</w:t>
            </w:r>
          </w:p>
        </w:tc>
        <w:tc>
          <w:tcPr>
            <w:tcW w:w="80" w:type="dxa"/>
            <w:vAlign w:val="bottom"/>
          </w:tcPr>
          <w:p>
            <w:pPr>
              <w:spacing w:after="0"/>
              <w:rPr>
                <w:sz w:val="17"/>
                <w:szCs w:val="17"/>
                <w:color w:val="auto"/>
              </w:rPr>
            </w:pPr>
          </w:p>
        </w:tc>
        <w:tc>
          <w:tcPr>
            <w:tcW w:w="1060" w:type="dxa"/>
            <w:vAlign w:val="bottom"/>
            <w:gridSpan w:val="4"/>
          </w:tcPr>
          <w:p>
            <w:pPr>
              <w:jc w:val="right"/>
              <w:ind w:right="4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199"/>
        </w:trPr>
        <w:tc>
          <w:tcPr>
            <w:tcW w:w="2200" w:type="dxa"/>
            <w:vAlign w:val="bottom"/>
            <w:gridSpan w:val="2"/>
          </w:tcPr>
          <w:p>
            <w:pPr>
              <w:ind w:left="120"/>
              <w:spacing w:after="0"/>
              <w:rPr>
                <w:sz w:val="20"/>
                <w:szCs w:val="20"/>
                <w:color w:val="auto"/>
              </w:rPr>
            </w:pPr>
            <w:r>
              <w:rPr>
                <w:rFonts w:ascii="Arial" w:cs="Arial" w:eastAsia="Arial" w:hAnsi="Arial"/>
                <w:sz w:val="16"/>
                <w:szCs w:val="16"/>
                <w:color w:val="auto"/>
              </w:rPr>
              <w:t>CLO Ltd, Series 2018-1A</w:t>
            </w:r>
          </w:p>
        </w:tc>
        <w:tc>
          <w:tcPr>
            <w:tcW w:w="1000" w:type="dxa"/>
            <w:vAlign w:val="bottom"/>
          </w:tcPr>
          <w:p>
            <w:pPr>
              <w:ind w:left="420"/>
              <w:spacing w:after="0"/>
              <w:rPr>
                <w:sz w:val="20"/>
                <w:szCs w:val="20"/>
                <w:color w:val="auto"/>
              </w:rPr>
            </w:pPr>
            <w:r>
              <w:rPr>
                <w:rFonts w:ascii="Arial" w:cs="Arial" w:eastAsia="Arial" w:hAnsi="Arial"/>
                <w:sz w:val="16"/>
                <w:szCs w:val="16"/>
                <w:color w:val="auto"/>
              </w:rPr>
              <w:t>4/2031)</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120" w:type="dxa"/>
            <w:vAlign w:val="bottom"/>
          </w:tcPr>
          <w:p>
            <w:pPr>
              <w:ind w:left="120"/>
              <w:spacing w:after="0"/>
              <w:rPr>
                <w:sz w:val="20"/>
                <w:szCs w:val="20"/>
                <w:color w:val="auto"/>
              </w:rPr>
            </w:pPr>
            <w:r>
              <w:rPr>
                <w:rFonts w:ascii="Arial" w:cs="Arial" w:eastAsia="Arial" w:hAnsi="Arial"/>
                <w:sz w:val="14"/>
                <w:szCs w:val="14"/>
                <w:color w:val="auto"/>
              </w:rPr>
              <w:t>(3)(4)(11)</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2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gridSpan w:val="2"/>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gridSpan w:val="2"/>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200" w:type="dxa"/>
            <w:vAlign w:val="bottom"/>
            <w:gridSpan w:val="2"/>
            <w:shd w:val="clear" w:color="auto" w:fill="CFF0FC"/>
          </w:tcPr>
          <w:p>
            <w:pPr>
              <w:spacing w:after="0"/>
              <w:rPr>
                <w:sz w:val="20"/>
                <w:szCs w:val="20"/>
                <w:color w:val="auto"/>
              </w:rPr>
            </w:pPr>
            <w:r>
              <w:rPr>
                <w:rFonts w:ascii="Arial" w:cs="Arial" w:eastAsia="Arial" w:hAnsi="Arial"/>
                <w:sz w:val="16"/>
                <w:szCs w:val="16"/>
                <w:color w:val="auto"/>
                <w:w w:val="94"/>
              </w:rPr>
              <w:t>Carlyle Global Market Strategies</w:t>
            </w:r>
          </w:p>
        </w:tc>
        <w:tc>
          <w:tcPr>
            <w:tcW w:w="2880" w:type="dxa"/>
            <w:vAlign w:val="bottom"/>
            <w:gridSpan w:val="7"/>
            <w:shd w:val="clear" w:color="auto" w:fill="CFF0FC"/>
          </w:tcPr>
          <w:p>
            <w:pPr>
              <w:ind w:left="420"/>
              <w:spacing w:after="0"/>
              <w:rPr>
                <w:sz w:val="20"/>
                <w:szCs w:val="20"/>
                <w:color w:val="auto"/>
              </w:rPr>
            </w:pPr>
            <w:r>
              <w:rPr>
                <w:rFonts w:ascii="Arial" w:cs="Arial" w:eastAsia="Arial" w:hAnsi="Arial"/>
                <w:sz w:val="16"/>
                <w:szCs w:val="16"/>
                <w:color w:val="auto"/>
                <w:w w:val="95"/>
              </w:rPr>
              <w:t>Structured Product ($4,150 par, due</w:t>
            </w:r>
          </w:p>
        </w:tc>
        <w:tc>
          <w:tcPr>
            <w:tcW w:w="1160" w:type="dxa"/>
            <w:vAlign w:val="bottom"/>
            <w:gridSpan w:val="3"/>
            <w:shd w:val="clear" w:color="auto" w:fill="CFF0FC"/>
          </w:tcPr>
          <w:p>
            <w:pPr>
              <w:jc w:val="right"/>
              <w:ind w:right="50"/>
              <w:spacing w:after="0"/>
              <w:rPr>
                <w:sz w:val="20"/>
                <w:szCs w:val="20"/>
                <w:color w:val="auto"/>
              </w:rPr>
            </w:pPr>
            <w:r>
              <w:rPr>
                <w:rFonts w:ascii="Arial" w:cs="Arial" w:eastAsia="Arial" w:hAnsi="Arial"/>
                <w:sz w:val="16"/>
                <w:szCs w:val="16"/>
                <w:color w:val="auto"/>
              </w:rPr>
              <w:t>9/3/2020</w:t>
            </w:r>
          </w:p>
        </w:tc>
        <w:tc>
          <w:tcPr>
            <w:tcW w:w="114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L + 6.15%</w:t>
            </w: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ind w:left="160"/>
              <w:spacing w:after="0"/>
              <w:rPr>
                <w:sz w:val="20"/>
                <w:szCs w:val="20"/>
                <w:color w:val="auto"/>
              </w:rPr>
            </w:pPr>
            <w:r>
              <w:rPr>
                <w:rFonts w:ascii="Arial" w:cs="Arial" w:eastAsia="Arial" w:hAnsi="Arial"/>
                <w:sz w:val="16"/>
                <w:szCs w:val="16"/>
                <w:color w:val="auto"/>
              </w:rPr>
              <w:t>6.39%</w:t>
            </w:r>
          </w:p>
        </w:tc>
        <w:tc>
          <w:tcPr>
            <w:tcW w:w="1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3,427</w:t>
            </w:r>
          </w:p>
        </w:tc>
        <w:tc>
          <w:tcPr>
            <w:tcW w:w="1000" w:type="dxa"/>
            <w:vAlign w:val="bottom"/>
            <w:gridSpan w:val="4"/>
            <w:shd w:val="clear" w:color="auto" w:fill="CFF0FC"/>
          </w:tcPr>
          <w:p>
            <w:pPr>
              <w:jc w:val="right"/>
              <w:spacing w:after="0"/>
              <w:rPr>
                <w:sz w:val="20"/>
                <w:szCs w:val="20"/>
                <w:color w:val="auto"/>
              </w:rPr>
            </w:pPr>
            <w:r>
              <w:rPr>
                <w:rFonts w:ascii="Arial" w:cs="Arial" w:eastAsia="Arial" w:hAnsi="Arial"/>
                <w:sz w:val="16"/>
                <w:szCs w:val="16"/>
                <w:color w:val="auto"/>
              </w:rPr>
              <w:t>3,920</w:t>
            </w:r>
          </w:p>
        </w:tc>
        <w:tc>
          <w:tcPr>
            <w:tcW w:w="80" w:type="dxa"/>
            <w:vAlign w:val="bottom"/>
            <w:shd w:val="clear" w:color="auto" w:fill="CFF0FC"/>
          </w:tcPr>
          <w:p>
            <w:pPr>
              <w:spacing w:after="0"/>
              <w:rPr>
                <w:sz w:val="17"/>
                <w:szCs w:val="17"/>
                <w:color w:val="auto"/>
              </w:rPr>
            </w:pPr>
          </w:p>
        </w:tc>
        <w:tc>
          <w:tcPr>
            <w:tcW w:w="1060" w:type="dxa"/>
            <w:vAlign w:val="bottom"/>
            <w:gridSpan w:val="4"/>
            <w:shd w:val="clear" w:color="auto" w:fill="CFF0FC"/>
          </w:tcPr>
          <w:p>
            <w:pPr>
              <w:jc w:val="right"/>
              <w:ind w:right="40"/>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199"/>
        </w:trPr>
        <w:tc>
          <w:tcPr>
            <w:tcW w:w="220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CLO Ltd, Series 2017-4A</w:t>
            </w:r>
          </w:p>
        </w:tc>
        <w:tc>
          <w:tcPr>
            <w:tcW w:w="1000" w:type="dxa"/>
            <w:vAlign w:val="bottom"/>
            <w:shd w:val="clear" w:color="auto" w:fill="CFF0FC"/>
          </w:tcPr>
          <w:p>
            <w:pPr>
              <w:ind w:left="420"/>
              <w:spacing w:after="0"/>
              <w:rPr>
                <w:sz w:val="20"/>
                <w:szCs w:val="20"/>
                <w:color w:val="auto"/>
              </w:rPr>
            </w:pPr>
            <w:r>
              <w:rPr>
                <w:rFonts w:ascii="Arial" w:cs="Arial" w:eastAsia="Arial" w:hAnsi="Arial"/>
                <w:sz w:val="16"/>
                <w:szCs w:val="16"/>
                <w:color w:val="auto"/>
              </w:rPr>
              <w:t>1/2030)</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1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4"/>
                <w:szCs w:val="14"/>
                <w:color w:val="auto"/>
              </w:rPr>
              <w:t>(3)(4)(11)</w:t>
            </w:r>
          </w:p>
        </w:tc>
        <w:tc>
          <w:tcPr>
            <w:tcW w:w="8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5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00" w:type="dxa"/>
            <w:vAlign w:val="bottom"/>
            <w:gridSpan w:val="2"/>
          </w:tcPr>
          <w:p>
            <w:pPr>
              <w:spacing w:after="0"/>
              <w:rPr>
                <w:sz w:val="20"/>
                <w:szCs w:val="20"/>
                <w:color w:val="auto"/>
              </w:rPr>
            </w:pPr>
            <w:r>
              <w:rPr>
                <w:rFonts w:ascii="Arial" w:cs="Arial" w:eastAsia="Arial" w:hAnsi="Arial"/>
                <w:sz w:val="16"/>
                <w:szCs w:val="16"/>
                <w:color w:val="auto"/>
              </w:rPr>
              <w:t>Madison Park Funding Ltd,</w:t>
            </w:r>
          </w:p>
        </w:tc>
        <w:tc>
          <w:tcPr>
            <w:tcW w:w="2880" w:type="dxa"/>
            <w:vAlign w:val="bottom"/>
            <w:gridSpan w:val="7"/>
          </w:tcPr>
          <w:p>
            <w:pPr>
              <w:ind w:left="420"/>
              <w:spacing w:after="0"/>
              <w:rPr>
                <w:sz w:val="20"/>
                <w:szCs w:val="20"/>
                <w:color w:val="auto"/>
              </w:rPr>
            </w:pPr>
            <w:r>
              <w:rPr>
                <w:rFonts w:ascii="Arial" w:cs="Arial" w:eastAsia="Arial" w:hAnsi="Arial"/>
                <w:sz w:val="16"/>
                <w:szCs w:val="16"/>
                <w:color w:val="auto"/>
                <w:w w:val="95"/>
              </w:rPr>
              <w:t>Structured Product ($2,400 par, due</w:t>
            </w:r>
          </w:p>
        </w:tc>
        <w:tc>
          <w:tcPr>
            <w:tcW w:w="1160" w:type="dxa"/>
            <w:vAlign w:val="bottom"/>
            <w:gridSpan w:val="3"/>
          </w:tcPr>
          <w:p>
            <w:pPr>
              <w:jc w:val="right"/>
              <w:ind w:right="50"/>
              <w:spacing w:after="0"/>
              <w:rPr>
                <w:sz w:val="20"/>
                <w:szCs w:val="20"/>
                <w:color w:val="auto"/>
              </w:rPr>
            </w:pPr>
            <w:r>
              <w:rPr>
                <w:rFonts w:ascii="Arial" w:cs="Arial" w:eastAsia="Arial" w:hAnsi="Arial"/>
                <w:sz w:val="16"/>
                <w:szCs w:val="16"/>
                <w:color w:val="auto"/>
              </w:rPr>
              <w:t>8/11/2020</w:t>
            </w:r>
          </w:p>
        </w:tc>
        <w:tc>
          <w:tcPr>
            <w:tcW w:w="1140" w:type="dxa"/>
            <w:vAlign w:val="bottom"/>
            <w:gridSpan w:val="2"/>
          </w:tcPr>
          <w:p>
            <w:pPr>
              <w:ind w:left="200"/>
              <w:spacing w:after="0"/>
              <w:rPr>
                <w:sz w:val="20"/>
                <w:szCs w:val="20"/>
                <w:color w:val="auto"/>
              </w:rPr>
            </w:pPr>
            <w:r>
              <w:rPr>
                <w:rFonts w:ascii="Arial" w:cs="Arial" w:eastAsia="Arial" w:hAnsi="Arial"/>
                <w:sz w:val="16"/>
                <w:szCs w:val="16"/>
                <w:color w:val="auto"/>
              </w:rPr>
              <w:t>L + 5.80%</w:t>
            </w:r>
          </w:p>
        </w:tc>
        <w:tc>
          <w:tcPr>
            <w:tcW w:w="200" w:type="dxa"/>
            <w:vAlign w:val="bottom"/>
          </w:tcPr>
          <w:p>
            <w:pPr>
              <w:spacing w:after="0"/>
              <w:rPr>
                <w:sz w:val="17"/>
                <w:szCs w:val="17"/>
                <w:color w:val="auto"/>
              </w:rPr>
            </w:pPr>
          </w:p>
        </w:tc>
        <w:tc>
          <w:tcPr>
            <w:tcW w:w="720" w:type="dxa"/>
            <w:vAlign w:val="bottom"/>
          </w:tcPr>
          <w:p>
            <w:pPr>
              <w:ind w:left="160"/>
              <w:spacing w:after="0"/>
              <w:rPr>
                <w:sz w:val="20"/>
                <w:szCs w:val="20"/>
                <w:color w:val="auto"/>
              </w:rPr>
            </w:pPr>
            <w:r>
              <w:rPr>
                <w:rFonts w:ascii="Arial" w:cs="Arial" w:eastAsia="Arial" w:hAnsi="Arial"/>
                <w:sz w:val="16"/>
                <w:szCs w:val="16"/>
                <w:color w:val="auto"/>
              </w:rPr>
              <w:t>6.02%</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1,997</w:t>
            </w:r>
          </w:p>
        </w:tc>
        <w:tc>
          <w:tcPr>
            <w:tcW w:w="1000" w:type="dxa"/>
            <w:vAlign w:val="bottom"/>
            <w:gridSpan w:val="4"/>
          </w:tcPr>
          <w:p>
            <w:pPr>
              <w:jc w:val="right"/>
              <w:spacing w:after="0"/>
              <w:rPr>
                <w:sz w:val="20"/>
                <w:szCs w:val="20"/>
                <w:color w:val="auto"/>
              </w:rPr>
            </w:pPr>
            <w:r>
              <w:rPr>
                <w:rFonts w:ascii="Arial" w:cs="Arial" w:eastAsia="Arial" w:hAnsi="Arial"/>
                <w:sz w:val="16"/>
                <w:szCs w:val="16"/>
                <w:color w:val="auto"/>
              </w:rPr>
              <w:t>2,340</w:t>
            </w:r>
          </w:p>
        </w:tc>
        <w:tc>
          <w:tcPr>
            <w:tcW w:w="80" w:type="dxa"/>
            <w:vAlign w:val="bottom"/>
          </w:tcPr>
          <w:p>
            <w:pPr>
              <w:spacing w:after="0"/>
              <w:rPr>
                <w:sz w:val="17"/>
                <w:szCs w:val="17"/>
                <w:color w:val="auto"/>
              </w:rPr>
            </w:pPr>
          </w:p>
        </w:tc>
        <w:tc>
          <w:tcPr>
            <w:tcW w:w="1060" w:type="dxa"/>
            <w:vAlign w:val="bottom"/>
            <w:gridSpan w:val="4"/>
          </w:tcPr>
          <w:p>
            <w:pPr>
              <w:jc w:val="right"/>
              <w:ind w:right="4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6"/>
        </w:trPr>
        <w:tc>
          <w:tcPr>
            <w:tcW w:w="2200" w:type="dxa"/>
            <w:vAlign w:val="bottom"/>
            <w:tcBorders>
              <w:bottom w:val="single" w:sz="8" w:color="CFF0FC"/>
            </w:tcBorders>
            <w:gridSpan w:val="2"/>
          </w:tcPr>
          <w:p>
            <w:pPr>
              <w:ind w:left="120"/>
              <w:spacing w:after="0" w:line="216" w:lineRule="exact"/>
              <w:rPr>
                <w:sz w:val="20"/>
                <w:szCs w:val="20"/>
                <w:color w:val="auto"/>
              </w:rPr>
            </w:pPr>
            <w:r>
              <w:rPr>
                <w:rFonts w:ascii="Arial" w:cs="Arial" w:eastAsia="Arial" w:hAnsi="Arial"/>
                <w:sz w:val="15"/>
                <w:szCs w:val="15"/>
                <w:color w:val="auto"/>
              </w:rPr>
              <w:t xml:space="preserve">Series 2014-14A </w:t>
            </w:r>
            <w:r>
              <w:rPr>
                <w:rFonts w:ascii="Arial" w:cs="Arial" w:eastAsia="Arial" w:hAnsi="Arial"/>
                <w:sz w:val="25"/>
                <w:szCs w:val="25"/>
                <w:color w:val="auto"/>
                <w:vertAlign w:val="superscript"/>
              </w:rPr>
              <w:t>(3)(4)(11)</w:t>
            </w:r>
          </w:p>
        </w:tc>
        <w:tc>
          <w:tcPr>
            <w:tcW w:w="1220" w:type="dxa"/>
            <w:vAlign w:val="bottom"/>
            <w:tcBorders>
              <w:bottom w:val="single" w:sz="8" w:color="CFF0FC"/>
            </w:tcBorders>
            <w:gridSpan w:val="2"/>
          </w:tcPr>
          <w:p>
            <w:pPr>
              <w:ind w:left="420"/>
              <w:spacing w:after="0"/>
              <w:rPr>
                <w:sz w:val="20"/>
                <w:szCs w:val="20"/>
                <w:color w:val="auto"/>
              </w:rPr>
            </w:pPr>
            <w:r>
              <w:rPr>
                <w:rFonts w:ascii="Arial" w:cs="Arial" w:eastAsia="Arial" w:hAnsi="Arial"/>
                <w:sz w:val="16"/>
                <w:szCs w:val="16"/>
                <w:color w:val="auto"/>
              </w:rPr>
              <w:t>10/2030)</w:t>
            </w:r>
          </w:p>
        </w:tc>
        <w:tc>
          <w:tcPr>
            <w:tcW w:w="80" w:type="dxa"/>
            <w:vAlign w:val="bottom"/>
            <w:tcBorders>
              <w:bottom w:val="single" w:sz="8" w:color="CFF0FC"/>
            </w:tcBorders>
          </w:tcPr>
          <w:p>
            <w:pPr>
              <w:spacing w:after="0"/>
              <w:rPr>
                <w:sz w:val="18"/>
                <w:szCs w:val="18"/>
                <w:color w:val="auto"/>
              </w:rPr>
            </w:pPr>
          </w:p>
        </w:tc>
        <w:tc>
          <w:tcPr>
            <w:tcW w:w="100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8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90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7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7,051</w:t>
            </w:r>
          </w:p>
        </w:tc>
        <w:tc>
          <w:tcPr>
            <w:tcW w:w="200" w:type="dxa"/>
            <w:vAlign w:val="bottom"/>
            <w:shd w:val="clear" w:color="auto" w:fill="CFF0FC"/>
          </w:tcPr>
          <w:p>
            <w:pPr>
              <w:spacing w:after="0"/>
              <w:rPr>
                <w:sz w:val="18"/>
                <w:szCs w:val="18"/>
                <w:color w:val="auto"/>
              </w:rPr>
            </w:pPr>
          </w:p>
        </w:tc>
        <w:tc>
          <w:tcPr>
            <w:tcW w:w="80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8,203</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gridSpan w:val="3"/>
            <w:shd w:val="clear" w:color="auto" w:fill="CFF0FC"/>
          </w:tcPr>
          <w:p>
            <w:pPr>
              <w:jc w:val="right"/>
              <w:ind w:right="40"/>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0"/>
        </w:trPr>
        <w:tc>
          <w:tcPr>
            <w:tcW w:w="22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Total Equity and Other</w:t>
            </w: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0" w:type="dxa"/>
            <w:vAlign w:val="bottom"/>
            <w:gridSpan w:val="2"/>
            <w:vMerge w:val="continue"/>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gridSpan w:val="2"/>
          </w:tcPr>
          <w:p>
            <w:pPr>
              <w:jc w:val="right"/>
              <w:spacing w:after="0"/>
              <w:rPr>
                <w:sz w:val="20"/>
                <w:szCs w:val="20"/>
                <w:color w:val="auto"/>
              </w:rPr>
            </w:pPr>
            <w:r>
              <w:rPr>
                <w:rFonts w:ascii="Arial" w:cs="Arial" w:eastAsia="Arial" w:hAnsi="Arial"/>
                <w:sz w:val="16"/>
                <w:szCs w:val="16"/>
                <w:color w:val="auto"/>
                <w:w w:val="89"/>
              </w:rPr>
              <w:t>111,030</w:t>
            </w:r>
          </w:p>
        </w:tc>
        <w:tc>
          <w:tcPr>
            <w:tcW w:w="200" w:type="dxa"/>
            <w:vAlign w:val="bottom"/>
          </w:tcPr>
          <w:p>
            <w:pPr>
              <w:spacing w:after="0"/>
              <w:rPr>
                <w:sz w:val="17"/>
                <w:szCs w:val="17"/>
                <w:color w:val="auto"/>
              </w:rPr>
            </w:pPr>
          </w:p>
        </w:tc>
        <w:tc>
          <w:tcPr>
            <w:tcW w:w="800" w:type="dxa"/>
            <w:vAlign w:val="bottom"/>
            <w:gridSpan w:val="3"/>
          </w:tcPr>
          <w:p>
            <w:pPr>
              <w:jc w:val="right"/>
              <w:spacing w:after="0"/>
              <w:rPr>
                <w:sz w:val="20"/>
                <w:szCs w:val="20"/>
                <w:color w:val="auto"/>
              </w:rPr>
            </w:pPr>
            <w:r>
              <w:rPr>
                <w:rFonts w:ascii="Arial" w:cs="Arial" w:eastAsia="Arial" w:hAnsi="Arial"/>
                <w:sz w:val="16"/>
                <w:szCs w:val="16"/>
                <w:color w:val="auto"/>
              </w:rPr>
              <w:t>141,935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13"/>
        </w:trPr>
        <w:tc>
          <w:tcPr>
            <w:tcW w:w="2200" w:type="dxa"/>
            <w:vAlign w:val="bottom"/>
            <w:tcBorders>
              <w:bottom w:val="single" w:sz="8" w:color="CFF0FC"/>
            </w:tcBorders>
            <w:gridSpan w:val="2"/>
          </w:tcPr>
          <w:p>
            <w:pPr>
              <w:ind w:left="120"/>
              <w:spacing w:after="0"/>
              <w:rPr>
                <w:sz w:val="20"/>
                <w:szCs w:val="20"/>
                <w:color w:val="auto"/>
              </w:rPr>
            </w:pPr>
            <w:r>
              <w:rPr>
                <w:rFonts w:ascii="Arial" w:cs="Arial" w:eastAsia="Arial" w:hAnsi="Arial"/>
                <w:sz w:val="16"/>
                <w:szCs w:val="16"/>
                <w:b w:val="1"/>
                <w:bCs w:val="1"/>
                <w:color w:val="auto"/>
              </w:rPr>
              <w:t>Investments</w:t>
            </w:r>
          </w:p>
        </w:tc>
        <w:tc>
          <w:tcPr>
            <w:tcW w:w="100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0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8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90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7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00" w:type="dxa"/>
            <w:vAlign w:val="bottom"/>
            <w:gridSpan w:val="2"/>
            <w:shd w:val="clear" w:color="auto" w:fill="CFF0FC"/>
          </w:tcPr>
          <w:p>
            <w:pPr>
              <w:spacing w:after="0"/>
              <w:rPr>
                <w:sz w:val="20"/>
                <w:szCs w:val="20"/>
                <w:color w:val="auto"/>
              </w:rPr>
            </w:pPr>
            <w:r>
              <w:rPr>
                <w:rFonts w:ascii="Arial" w:cs="Arial" w:eastAsia="Arial" w:hAnsi="Arial"/>
                <w:sz w:val="16"/>
                <w:szCs w:val="16"/>
                <w:b w:val="1"/>
                <w:bCs w:val="1"/>
                <w:color w:val="auto"/>
              </w:rPr>
              <w:t>Total Investments</w:t>
            </w: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0" w:type="dxa"/>
            <w:vAlign w:val="bottom"/>
            <w:gridSpan w:val="4"/>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$ 2,488,754</w:t>
            </w:r>
          </w:p>
        </w:tc>
        <w:tc>
          <w:tcPr>
            <w:tcW w:w="200" w:type="dxa"/>
            <w:vAlign w:val="bottom"/>
            <w:shd w:val="clear" w:color="auto" w:fill="CFF0FC"/>
          </w:tcPr>
          <w:p>
            <w:pPr>
              <w:spacing w:after="0"/>
              <w:rPr>
                <w:sz w:val="18"/>
                <w:szCs w:val="18"/>
                <w:color w:val="auto"/>
              </w:rPr>
            </w:pPr>
          </w:p>
        </w:tc>
        <w:tc>
          <w:tcPr>
            <w:tcW w:w="800" w:type="dxa"/>
            <w:vAlign w:val="bottom"/>
            <w:gridSpan w:val="3"/>
            <w:shd w:val="clear" w:color="auto" w:fill="CFF0FC"/>
          </w:tcPr>
          <w:p>
            <w:pPr>
              <w:jc w:val="right"/>
              <w:spacing w:after="0"/>
              <w:rPr>
                <w:sz w:val="20"/>
                <w:szCs w:val="20"/>
                <w:color w:val="auto"/>
              </w:rPr>
            </w:pPr>
            <w:r>
              <w:rPr>
                <w:rFonts w:ascii="Arial" w:cs="Arial" w:eastAsia="Arial" w:hAnsi="Arial"/>
                <w:sz w:val="16"/>
                <w:szCs w:val="16"/>
                <w:b w:val="1"/>
                <w:bCs w:val="1"/>
                <w:color w:val="auto"/>
                <w:w w:val="92"/>
              </w:rPr>
              <w:t>$ 2,569,992</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b w:val="1"/>
                <w:bCs w:val="1"/>
                <w:color w:val="auto"/>
              </w:rPr>
              <w:t>210.0%</w:t>
            </w:r>
          </w:p>
        </w:tc>
        <w:tc>
          <w:tcPr>
            <w:tcW w:w="0" w:type="dxa"/>
            <w:vAlign w:val="bottom"/>
          </w:tcPr>
          <w:p>
            <w:pPr>
              <w:spacing w:after="0"/>
              <w:rPr>
                <w:sz w:val="1"/>
                <w:szCs w:val="1"/>
                <w:color w:val="auto"/>
              </w:rPr>
            </w:pPr>
          </w:p>
        </w:tc>
      </w:tr>
      <w:tr>
        <w:trPr>
          <w:trHeight w:val="20"/>
        </w:trPr>
        <w:tc>
          <w:tcPr>
            <w:tcW w:w="2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CFF0FC"/>
            </w:tcBorders>
            <w:gridSpan w:val="2"/>
          </w:tcPr>
          <w:p>
            <w:pPr>
              <w:spacing w:after="0" w:line="20" w:lineRule="exact"/>
              <w:rPr>
                <w:sz w:val="1"/>
                <w:szCs w:val="1"/>
                <w:color w:val="auto"/>
              </w:rPr>
            </w:pPr>
          </w:p>
        </w:tc>
        <w:tc>
          <w:tcPr>
            <w:tcW w:w="1160" w:type="dxa"/>
            <w:vAlign w:val="bottom"/>
            <w:tcBorders>
              <w:top w:val="single" w:sz="8" w:color="CFF0FC"/>
            </w:tcBorders>
            <w:gridSpan w:val="3"/>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2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60" w:type="dxa"/>
            <w:vAlign w:val="bottom"/>
            <w:gridSpan w:val="9"/>
          </w:tcPr>
          <w:p>
            <w:pPr>
              <w:jc w:val="center"/>
              <w:ind w:right="400"/>
              <w:spacing w:after="0"/>
              <w:rPr>
                <w:sz w:val="20"/>
                <w:szCs w:val="20"/>
                <w:color w:val="auto"/>
              </w:rPr>
            </w:pPr>
            <w:r>
              <w:rPr>
                <w:rFonts w:ascii="Arial" w:cs="Arial" w:eastAsia="Arial" w:hAnsi="Arial"/>
                <w:sz w:val="14"/>
                <w:szCs w:val="14"/>
                <w:b w:val="1"/>
                <w:bCs w:val="1"/>
                <w:color w:val="auto"/>
                <w:w w:val="91"/>
              </w:rPr>
              <w:t>Interest Rate Swaps as of June 30, 2021</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2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gridSpan w:val="3"/>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gridSpan w:val="3"/>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gridSpan w:val="4"/>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3"/>
            <w:vMerge w:val="restart"/>
          </w:tcPr>
          <w:p>
            <w:pPr>
              <w:jc w:val="center"/>
              <w:ind w:right="420"/>
              <w:spacing w:after="0"/>
              <w:rPr>
                <w:sz w:val="20"/>
                <w:szCs w:val="20"/>
                <w:color w:val="auto"/>
              </w:rPr>
            </w:pPr>
            <w:r>
              <w:rPr>
                <w:rFonts w:ascii="Arial" w:cs="Arial" w:eastAsia="Arial" w:hAnsi="Arial"/>
                <w:sz w:val="14"/>
                <w:szCs w:val="14"/>
                <w:b w:val="1"/>
                <w:bCs w:val="1"/>
                <w:color w:val="auto"/>
                <w:w w:val="93"/>
              </w:rPr>
              <w:t>Company</w:t>
            </w:r>
          </w:p>
        </w:tc>
        <w:tc>
          <w:tcPr>
            <w:tcW w:w="1360" w:type="dxa"/>
            <w:vAlign w:val="bottom"/>
            <w:tcBorders>
              <w:top w:val="single" w:sz="8" w:color="auto"/>
            </w:tcBorders>
            <w:gridSpan w:val="3"/>
            <w:vMerge w:val="restart"/>
          </w:tcPr>
          <w:p>
            <w:pPr>
              <w:jc w:val="center"/>
              <w:ind w:right="440"/>
              <w:spacing w:after="0"/>
              <w:rPr>
                <w:sz w:val="20"/>
                <w:szCs w:val="20"/>
                <w:color w:val="auto"/>
              </w:rPr>
            </w:pPr>
            <w:r>
              <w:rPr>
                <w:rFonts w:ascii="Arial" w:cs="Arial" w:eastAsia="Arial" w:hAnsi="Arial"/>
                <w:sz w:val="14"/>
                <w:szCs w:val="14"/>
                <w:b w:val="1"/>
                <w:bCs w:val="1"/>
                <w:color w:val="auto"/>
                <w:w w:val="93"/>
              </w:rPr>
              <w:t>Company</w:t>
            </w:r>
          </w:p>
        </w:tc>
        <w:tc>
          <w:tcPr>
            <w:tcW w:w="2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2"/>
              </w:rPr>
              <w:t>Notional</w:t>
            </w:r>
          </w:p>
        </w:tc>
        <w:tc>
          <w:tcPr>
            <w:tcW w:w="2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3"/>
          </w:tcPr>
          <w:p>
            <w:pPr>
              <w:jc w:val="center"/>
              <w:ind w:right="280"/>
              <w:spacing w:after="0" w:line="133" w:lineRule="exact"/>
              <w:rPr>
                <w:sz w:val="20"/>
                <w:szCs w:val="20"/>
                <w:color w:val="auto"/>
              </w:rPr>
            </w:pPr>
            <w:r>
              <w:rPr>
                <w:rFonts w:ascii="Arial" w:cs="Arial" w:eastAsia="Arial" w:hAnsi="Arial"/>
                <w:sz w:val="14"/>
                <w:szCs w:val="14"/>
                <w:b w:val="1"/>
                <w:bCs w:val="1"/>
                <w:color w:val="auto"/>
              </w:rPr>
              <w:t>Fair</w:t>
            </w:r>
          </w:p>
        </w:tc>
        <w:tc>
          <w:tcPr>
            <w:tcW w:w="16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3"/>
          </w:tcPr>
          <w:p>
            <w:pPr>
              <w:jc w:val="center"/>
              <w:spacing w:after="0" w:line="133" w:lineRule="exact"/>
              <w:rPr>
                <w:sz w:val="20"/>
                <w:szCs w:val="20"/>
                <w:color w:val="auto"/>
              </w:rPr>
            </w:pPr>
            <w:r>
              <w:rPr>
                <w:rFonts w:ascii="Arial" w:cs="Arial" w:eastAsia="Arial" w:hAnsi="Arial"/>
                <w:sz w:val="14"/>
                <w:szCs w:val="14"/>
                <w:b w:val="1"/>
                <w:bCs w:val="1"/>
                <w:color w:val="auto"/>
                <w:w w:val="94"/>
              </w:rPr>
              <w:t>Upfront</w:t>
            </w:r>
          </w:p>
        </w:tc>
        <w:tc>
          <w:tcPr>
            <w:tcW w:w="2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3"/>
          </w:tcPr>
          <w:p>
            <w:pPr>
              <w:jc w:val="center"/>
              <w:ind w:right="180"/>
              <w:spacing w:after="0" w:line="133" w:lineRule="exact"/>
              <w:rPr>
                <w:sz w:val="20"/>
                <w:szCs w:val="20"/>
                <w:color w:val="auto"/>
              </w:rPr>
            </w:pPr>
            <w:r>
              <w:rPr>
                <w:rFonts w:ascii="Arial" w:cs="Arial" w:eastAsia="Arial" w:hAnsi="Arial"/>
                <w:sz w:val="14"/>
                <w:szCs w:val="14"/>
                <w:b w:val="1"/>
                <w:bCs w:val="1"/>
                <w:color w:val="auto"/>
                <w:w w:val="91"/>
              </w:rPr>
              <w:t>Change in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1380" w:type="dxa"/>
            <w:vAlign w:val="bottom"/>
            <w:gridSpan w:val="4"/>
            <w:vMerge w:val="restart"/>
          </w:tcPr>
          <w:p>
            <w:pPr>
              <w:jc w:val="right"/>
              <w:ind w:right="370"/>
              <w:spacing w:after="0"/>
              <w:rPr>
                <w:sz w:val="20"/>
                <w:szCs w:val="20"/>
                <w:color w:val="auto"/>
              </w:rPr>
            </w:pPr>
            <w:r>
              <w:rPr>
                <w:rFonts w:ascii="Arial" w:cs="Arial" w:eastAsia="Arial" w:hAnsi="Arial"/>
                <w:sz w:val="14"/>
                <w:szCs w:val="14"/>
                <w:b w:val="1"/>
                <w:bCs w:val="1"/>
                <w:color w:val="auto"/>
              </w:rPr>
              <w:t>Maturity Date</w:t>
            </w:r>
          </w:p>
        </w:tc>
        <w:tc>
          <w:tcPr>
            <w:tcW w:w="11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rPr>
              <w:t>Market</w:t>
            </w:r>
          </w:p>
        </w:tc>
        <w:tc>
          <w:tcPr>
            <w:tcW w:w="160" w:type="dxa"/>
            <w:vAlign w:val="bottom"/>
          </w:tcPr>
          <w:p>
            <w:pPr>
              <w:spacing w:after="0"/>
              <w:rPr>
                <w:sz w:val="12"/>
                <w:szCs w:val="12"/>
                <w:color w:val="auto"/>
              </w:rPr>
            </w:pPr>
          </w:p>
        </w:tc>
        <w:tc>
          <w:tcPr>
            <w:tcW w:w="11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(Payments) /</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71"/>
        </w:trPr>
        <w:tc>
          <w:tcPr>
            <w:tcW w:w="2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8"/>
              </w:rPr>
              <w:t>Receives</w:t>
            </w:r>
          </w:p>
        </w:tc>
        <w:tc>
          <w:tcPr>
            <w:tcW w:w="136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5"/>
              </w:rPr>
              <w:t>Pays</w:t>
            </w:r>
          </w:p>
        </w:tc>
        <w:tc>
          <w:tcPr>
            <w:tcW w:w="1380" w:type="dxa"/>
            <w:vAlign w:val="bottom"/>
            <w:gridSpan w:val="4"/>
            <w:vMerge w:val="continue"/>
          </w:tcPr>
          <w:p>
            <w:pPr>
              <w:spacing w:after="0"/>
              <w:rPr>
                <w:sz w:val="14"/>
                <w:szCs w:val="14"/>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4"/>
                <w:szCs w:val="14"/>
                <w:color w:val="auto"/>
              </w:rPr>
            </w:pPr>
          </w:p>
        </w:tc>
        <w:tc>
          <w:tcPr>
            <w:tcW w:w="960" w:type="dxa"/>
            <w:vAlign w:val="bottom"/>
            <w:gridSpan w:val="3"/>
          </w:tcPr>
          <w:p>
            <w:pPr>
              <w:ind w:left="160"/>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11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Receipts</w:t>
            </w:r>
          </w:p>
        </w:tc>
        <w:tc>
          <w:tcPr>
            <w:tcW w:w="220" w:type="dxa"/>
            <w:vAlign w:val="bottom"/>
          </w:tcPr>
          <w:p>
            <w:pPr>
              <w:spacing w:after="0"/>
              <w:rPr>
                <w:sz w:val="14"/>
                <w:szCs w:val="14"/>
                <w:color w:val="auto"/>
              </w:rPr>
            </w:pPr>
          </w:p>
        </w:tc>
        <w:tc>
          <w:tcPr>
            <w:tcW w:w="122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0"/>
              </w:rPr>
              <w:t>Gains / (Losses)</w:t>
            </w:r>
          </w:p>
        </w:tc>
        <w:tc>
          <w:tcPr>
            <w:tcW w:w="0" w:type="dxa"/>
            <w:vAlign w:val="bottom"/>
          </w:tcPr>
          <w:p>
            <w:pPr>
              <w:spacing w:after="0"/>
              <w:rPr>
                <w:sz w:val="1"/>
                <w:szCs w:val="1"/>
                <w:color w:val="auto"/>
              </w:rPr>
            </w:pPr>
          </w:p>
        </w:tc>
      </w:tr>
      <w:tr>
        <w:trPr>
          <w:trHeight w:val="223"/>
        </w:trPr>
        <w:tc>
          <w:tcPr>
            <w:tcW w:w="2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center"/>
              <w:ind w:right="15"/>
              <w:spacing w:after="0"/>
              <w:rPr>
                <w:sz w:val="20"/>
                <w:szCs w:val="20"/>
                <w:color w:val="auto"/>
              </w:rPr>
            </w:pPr>
            <w:r>
              <w:rPr>
                <w:rFonts w:ascii="Arial" w:cs="Arial" w:eastAsia="Arial" w:hAnsi="Arial"/>
                <w:sz w:val="18"/>
                <w:szCs w:val="18"/>
                <w:color w:val="auto"/>
                <w:w w:val="99"/>
              </w:rPr>
              <w:t>L</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center"/>
              <w:ind w:right="13"/>
              <w:spacing w:after="0"/>
              <w:rPr>
                <w:sz w:val="20"/>
                <w:szCs w:val="20"/>
                <w:color w:val="auto"/>
              </w:rPr>
            </w:pPr>
            <w:r>
              <w:rPr>
                <w:rFonts w:ascii="Arial" w:cs="Arial" w:eastAsia="Arial" w:hAnsi="Arial"/>
                <w:sz w:val="18"/>
                <w:szCs w:val="18"/>
                <w:color w:val="auto"/>
                <w:w w:val="90"/>
              </w:rPr>
              <w:t>1.47%</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7/30/2021</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11,700</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ind w:right="221"/>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73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00" w:type="dxa"/>
            <w:vAlign w:val="bottom"/>
            <w:gridSpan w:val="2"/>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1000" w:type="dxa"/>
            <w:vAlign w:val="bottom"/>
          </w:tcPr>
          <w:p>
            <w:pPr>
              <w:jc w:val="center"/>
              <w:ind w:right="15"/>
              <w:spacing w:after="0"/>
              <w:rPr>
                <w:sz w:val="20"/>
                <w:szCs w:val="20"/>
                <w:color w:val="auto"/>
              </w:rPr>
            </w:pPr>
            <w:r>
              <w:rPr>
                <w:rFonts w:ascii="Arial" w:cs="Arial" w:eastAsia="Arial" w:hAnsi="Arial"/>
                <w:sz w:val="18"/>
                <w:szCs w:val="18"/>
                <w:color w:val="auto"/>
                <w:w w:val="90"/>
              </w:rPr>
              <w:t>4.50%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3"/>
          </w:tcPr>
          <w:p>
            <w:pPr>
              <w:jc w:val="center"/>
              <w:ind w:right="440"/>
              <w:spacing w:after="0"/>
              <w:rPr>
                <w:sz w:val="20"/>
                <w:szCs w:val="20"/>
                <w:color w:val="auto"/>
              </w:rPr>
            </w:pPr>
            <w:r>
              <w:rPr>
                <w:rFonts w:ascii="Arial" w:cs="Arial" w:eastAsia="Arial" w:hAnsi="Arial"/>
                <w:sz w:val="18"/>
                <w:szCs w:val="18"/>
                <w:color w:val="auto"/>
                <w:w w:val="93"/>
              </w:rPr>
              <w:t>L + 2.37%</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8/1/2022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115,000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2,393</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4"/>
          </w:tcPr>
          <w:p>
            <w:pPr>
              <w:jc w:val="right"/>
              <w:ind w:right="40"/>
              <w:spacing w:after="0"/>
              <w:rPr>
                <w:sz w:val="20"/>
                <w:szCs w:val="20"/>
                <w:color w:val="auto"/>
              </w:rPr>
            </w:pPr>
            <w:r>
              <w:rPr>
                <w:rFonts w:ascii="Arial" w:cs="Arial" w:eastAsia="Arial" w:hAnsi="Arial"/>
                <w:sz w:val="18"/>
                <w:szCs w:val="18"/>
                <w:color w:val="auto"/>
              </w:rPr>
              <w:t>(1,087)</w:t>
            </w:r>
          </w:p>
        </w:tc>
        <w:tc>
          <w:tcPr>
            <w:tcW w:w="0" w:type="dxa"/>
            <w:vAlign w:val="bottom"/>
          </w:tcPr>
          <w:p>
            <w:pPr>
              <w:spacing w:after="0"/>
              <w:rPr>
                <w:sz w:val="1"/>
                <w:szCs w:val="1"/>
                <w:color w:val="auto"/>
              </w:rPr>
            </w:pPr>
          </w:p>
        </w:tc>
      </w:tr>
      <w:tr>
        <w:trPr>
          <w:trHeight w:val="229"/>
        </w:trPr>
        <w:tc>
          <w:tcPr>
            <w:tcW w:w="2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1000" w:type="dxa"/>
            <w:vAlign w:val="bottom"/>
            <w:shd w:val="clear" w:color="auto" w:fill="CFF0FC"/>
          </w:tcPr>
          <w:p>
            <w:pPr>
              <w:jc w:val="center"/>
              <w:ind w:right="15"/>
              <w:spacing w:after="0"/>
              <w:rPr>
                <w:sz w:val="20"/>
                <w:szCs w:val="20"/>
                <w:color w:val="auto"/>
              </w:rPr>
            </w:pPr>
            <w:r>
              <w:rPr>
                <w:rFonts w:ascii="Arial" w:cs="Arial" w:eastAsia="Arial" w:hAnsi="Arial"/>
                <w:sz w:val="18"/>
                <w:szCs w:val="18"/>
                <w:color w:val="auto"/>
                <w:w w:val="90"/>
              </w:rPr>
              <w:t>4.50%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60" w:type="dxa"/>
            <w:vAlign w:val="bottom"/>
            <w:gridSpan w:val="3"/>
            <w:shd w:val="clear" w:color="auto" w:fill="CFF0FC"/>
          </w:tcPr>
          <w:p>
            <w:pPr>
              <w:jc w:val="center"/>
              <w:ind w:right="440"/>
              <w:spacing w:after="0"/>
              <w:rPr>
                <w:sz w:val="20"/>
                <w:szCs w:val="20"/>
                <w:color w:val="auto"/>
              </w:rPr>
            </w:pPr>
            <w:r>
              <w:rPr>
                <w:rFonts w:ascii="Arial" w:cs="Arial" w:eastAsia="Arial" w:hAnsi="Arial"/>
                <w:sz w:val="18"/>
                <w:szCs w:val="18"/>
                <w:color w:val="auto"/>
                <w:w w:val="93"/>
              </w:rPr>
              <w:t>L + 1.59%</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8/1/2022</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1,471</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4"/>
            <w:shd w:val="clear" w:color="auto" w:fill="CFF0FC"/>
          </w:tcPr>
          <w:p>
            <w:pPr>
              <w:jc w:val="right"/>
              <w:ind w:right="40"/>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30"/>
        </w:trPr>
        <w:tc>
          <w:tcPr>
            <w:tcW w:w="2200" w:type="dxa"/>
            <w:vAlign w:val="bottom"/>
            <w:gridSpan w:val="2"/>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1000" w:type="dxa"/>
            <w:vAlign w:val="bottom"/>
          </w:tcPr>
          <w:p>
            <w:pPr>
              <w:jc w:val="center"/>
              <w:ind w:right="15"/>
              <w:spacing w:after="0"/>
              <w:rPr>
                <w:sz w:val="20"/>
                <w:szCs w:val="20"/>
                <w:color w:val="auto"/>
              </w:rPr>
            </w:pPr>
            <w:r>
              <w:rPr>
                <w:rFonts w:ascii="Arial" w:cs="Arial" w:eastAsia="Arial" w:hAnsi="Arial"/>
                <w:sz w:val="18"/>
                <w:szCs w:val="18"/>
                <w:color w:val="auto"/>
                <w:w w:val="90"/>
              </w:rPr>
              <w:t>4.50%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3"/>
          </w:tcPr>
          <w:p>
            <w:pPr>
              <w:jc w:val="center"/>
              <w:ind w:right="440"/>
              <w:spacing w:after="0"/>
              <w:rPr>
                <w:sz w:val="20"/>
                <w:szCs w:val="20"/>
                <w:color w:val="auto"/>
              </w:rPr>
            </w:pPr>
            <w:r>
              <w:rPr>
                <w:rFonts w:ascii="Arial" w:cs="Arial" w:eastAsia="Arial" w:hAnsi="Arial"/>
                <w:sz w:val="18"/>
                <w:szCs w:val="18"/>
                <w:color w:val="auto"/>
                <w:w w:val="93"/>
              </w:rPr>
              <w:t>L + 1.60%</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8/1/2022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7,500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220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4"/>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9"/>
        </w:trPr>
        <w:tc>
          <w:tcPr>
            <w:tcW w:w="2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1300" w:type="dxa"/>
            <w:vAlign w:val="bottom"/>
            <w:gridSpan w:val="3"/>
            <w:shd w:val="clear" w:color="auto" w:fill="CFF0FC"/>
          </w:tcPr>
          <w:p>
            <w:pPr>
              <w:jc w:val="center"/>
              <w:ind w:right="420"/>
              <w:spacing w:after="0"/>
              <w:rPr>
                <w:sz w:val="20"/>
                <w:szCs w:val="20"/>
                <w:color w:val="auto"/>
              </w:rPr>
            </w:pPr>
            <w:r>
              <w:rPr>
                <w:rFonts w:ascii="Arial" w:cs="Arial" w:eastAsia="Arial" w:hAnsi="Arial"/>
                <w:sz w:val="18"/>
                <w:szCs w:val="18"/>
                <w:color w:val="auto"/>
                <w:w w:val="93"/>
              </w:rPr>
              <w:t>L + 2.11%</w:t>
            </w:r>
          </w:p>
        </w:tc>
        <w:tc>
          <w:tcPr>
            <w:tcW w:w="1000" w:type="dxa"/>
            <w:vAlign w:val="bottom"/>
            <w:shd w:val="clear" w:color="auto" w:fill="CFF0FC"/>
          </w:tcPr>
          <w:p>
            <w:pPr>
              <w:jc w:val="center"/>
              <w:ind w:right="13"/>
              <w:spacing w:after="0"/>
              <w:rPr>
                <w:sz w:val="20"/>
                <w:szCs w:val="20"/>
                <w:color w:val="auto"/>
              </w:rPr>
            </w:pPr>
            <w:r>
              <w:rPr>
                <w:rFonts w:ascii="Arial" w:cs="Arial" w:eastAsia="Arial" w:hAnsi="Arial"/>
                <w:sz w:val="18"/>
                <w:szCs w:val="18"/>
                <w:color w:val="auto"/>
                <w:w w:val="90"/>
              </w:rPr>
              <w:t>4.50%</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8/1/2022</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27,531</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(654)</w:t>
            </w:r>
          </w:p>
        </w:tc>
        <w:tc>
          <w:tcPr>
            <w:tcW w:w="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1,252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0" w:type="dxa"/>
            <w:vAlign w:val="bottom"/>
            <w:gridSpan w:val="2"/>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1300" w:type="dxa"/>
            <w:vAlign w:val="bottom"/>
            <w:gridSpan w:val="3"/>
          </w:tcPr>
          <w:p>
            <w:pPr>
              <w:jc w:val="center"/>
              <w:ind w:right="420"/>
              <w:spacing w:after="0"/>
              <w:rPr>
                <w:sz w:val="20"/>
                <w:szCs w:val="20"/>
                <w:color w:val="auto"/>
              </w:rPr>
            </w:pPr>
            <w:r>
              <w:rPr>
                <w:rFonts w:ascii="Arial" w:cs="Arial" w:eastAsia="Arial" w:hAnsi="Arial"/>
                <w:sz w:val="18"/>
                <w:szCs w:val="18"/>
                <w:color w:val="auto"/>
                <w:w w:val="93"/>
              </w:rPr>
              <w:t>L + 2.11%</w:t>
            </w:r>
          </w:p>
        </w:tc>
        <w:tc>
          <w:tcPr>
            <w:tcW w:w="1000" w:type="dxa"/>
            <w:vAlign w:val="bottom"/>
          </w:tcPr>
          <w:p>
            <w:pPr>
              <w:jc w:val="center"/>
              <w:ind w:right="13"/>
              <w:spacing w:after="0"/>
              <w:rPr>
                <w:sz w:val="20"/>
                <w:szCs w:val="20"/>
                <w:color w:val="auto"/>
              </w:rPr>
            </w:pPr>
            <w:r>
              <w:rPr>
                <w:rFonts w:ascii="Arial" w:cs="Arial" w:eastAsia="Arial" w:hAnsi="Arial"/>
                <w:sz w:val="18"/>
                <w:szCs w:val="18"/>
                <w:color w:val="auto"/>
                <w:w w:val="90"/>
              </w:rPr>
              <w:t>4.50%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8/1/2022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2,160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96</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1000" w:type="dxa"/>
            <w:vAlign w:val="bottom"/>
            <w:shd w:val="clear" w:color="auto" w:fill="CFF0FC"/>
          </w:tcPr>
          <w:p>
            <w:pPr>
              <w:jc w:val="center"/>
              <w:ind w:right="15"/>
              <w:spacing w:after="0"/>
              <w:rPr>
                <w:sz w:val="20"/>
                <w:szCs w:val="20"/>
                <w:color w:val="auto"/>
              </w:rPr>
            </w:pPr>
            <w:r>
              <w:rPr>
                <w:rFonts w:ascii="Arial" w:cs="Arial" w:eastAsia="Arial" w:hAnsi="Arial"/>
                <w:sz w:val="18"/>
                <w:szCs w:val="18"/>
                <w:color w:val="auto"/>
                <w:w w:val="90"/>
              </w:rPr>
              <w:t>4.50%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60" w:type="dxa"/>
            <w:vAlign w:val="bottom"/>
            <w:gridSpan w:val="3"/>
            <w:shd w:val="clear" w:color="auto" w:fill="CFF0FC"/>
          </w:tcPr>
          <w:p>
            <w:pPr>
              <w:jc w:val="center"/>
              <w:ind w:right="440"/>
              <w:spacing w:after="0"/>
              <w:rPr>
                <w:sz w:val="20"/>
                <w:szCs w:val="20"/>
                <w:color w:val="auto"/>
              </w:rPr>
            </w:pPr>
            <w:r>
              <w:rPr>
                <w:rFonts w:ascii="Arial" w:cs="Arial" w:eastAsia="Arial" w:hAnsi="Arial"/>
                <w:sz w:val="18"/>
                <w:szCs w:val="18"/>
                <w:color w:val="auto"/>
                <w:w w:val="93"/>
              </w:rPr>
              <w:t>L + 1.99%</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1/22/2023</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5,235</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4"/>
            <w:shd w:val="clear" w:color="auto" w:fill="CFF0FC"/>
          </w:tcPr>
          <w:p>
            <w:pPr>
              <w:jc w:val="right"/>
              <w:ind w:right="40"/>
              <w:spacing w:after="0"/>
              <w:rPr>
                <w:sz w:val="20"/>
                <w:szCs w:val="20"/>
                <w:color w:val="auto"/>
              </w:rPr>
            </w:pPr>
            <w:r>
              <w:rPr>
                <w:rFonts w:ascii="Arial" w:cs="Arial" w:eastAsia="Arial" w:hAnsi="Arial"/>
                <w:sz w:val="18"/>
                <w:szCs w:val="18"/>
                <w:color w:val="auto"/>
              </w:rPr>
              <w:t>(1,820)</w:t>
            </w:r>
          </w:p>
        </w:tc>
        <w:tc>
          <w:tcPr>
            <w:tcW w:w="0" w:type="dxa"/>
            <w:vAlign w:val="bottom"/>
          </w:tcPr>
          <w:p>
            <w:pPr>
              <w:spacing w:after="0"/>
              <w:rPr>
                <w:sz w:val="1"/>
                <w:szCs w:val="1"/>
                <w:color w:val="auto"/>
              </w:rPr>
            </w:pPr>
          </w:p>
        </w:tc>
      </w:tr>
      <w:tr>
        <w:trPr>
          <w:trHeight w:val="230"/>
        </w:trPr>
        <w:tc>
          <w:tcPr>
            <w:tcW w:w="2200" w:type="dxa"/>
            <w:vAlign w:val="bottom"/>
            <w:gridSpan w:val="2"/>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1300" w:type="dxa"/>
            <w:vAlign w:val="bottom"/>
            <w:gridSpan w:val="3"/>
          </w:tcPr>
          <w:p>
            <w:pPr>
              <w:jc w:val="center"/>
              <w:ind w:right="400"/>
              <w:spacing w:after="0"/>
              <w:rPr>
                <w:sz w:val="20"/>
                <w:szCs w:val="20"/>
                <w:color w:val="auto"/>
              </w:rPr>
            </w:pPr>
            <w:r>
              <w:rPr>
                <w:rFonts w:ascii="Arial" w:cs="Arial" w:eastAsia="Arial" w:hAnsi="Arial"/>
                <w:sz w:val="18"/>
                <w:szCs w:val="18"/>
                <w:color w:val="auto"/>
                <w:w w:val="99"/>
              </w:rPr>
              <w:t>L</w:t>
            </w:r>
          </w:p>
        </w:tc>
        <w:tc>
          <w:tcPr>
            <w:tcW w:w="1000" w:type="dxa"/>
            <w:vAlign w:val="bottom"/>
          </w:tcPr>
          <w:p>
            <w:pPr>
              <w:jc w:val="center"/>
              <w:ind w:right="13"/>
              <w:spacing w:after="0"/>
              <w:rPr>
                <w:sz w:val="20"/>
                <w:szCs w:val="20"/>
                <w:color w:val="auto"/>
              </w:rPr>
            </w:pPr>
            <w:r>
              <w:rPr>
                <w:rFonts w:ascii="Arial" w:cs="Arial" w:eastAsia="Arial" w:hAnsi="Arial"/>
                <w:sz w:val="18"/>
                <w:szCs w:val="18"/>
                <w:color w:val="auto"/>
                <w:w w:val="90"/>
              </w:rPr>
              <w:t>0.33%</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6/9/2023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5,000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(a)(d)</w:t>
            </w:r>
          </w:p>
        </w:tc>
        <w:tc>
          <w:tcPr>
            <w:tcW w:w="1300" w:type="dxa"/>
            <w:vAlign w:val="bottom"/>
            <w:gridSpan w:val="3"/>
            <w:shd w:val="clear" w:color="auto" w:fill="CFF0FC"/>
          </w:tcPr>
          <w:p>
            <w:pPr>
              <w:jc w:val="center"/>
              <w:ind w:right="400"/>
              <w:spacing w:after="0"/>
              <w:rPr>
                <w:sz w:val="20"/>
                <w:szCs w:val="20"/>
                <w:color w:val="auto"/>
              </w:rPr>
            </w:pPr>
            <w:r>
              <w:rPr>
                <w:rFonts w:ascii="Arial" w:cs="Arial" w:eastAsia="Arial" w:hAnsi="Arial"/>
                <w:sz w:val="18"/>
                <w:szCs w:val="18"/>
                <w:color w:val="auto"/>
                <w:w w:val="95"/>
              </w:rPr>
              <w:t>L + 2.28%</w:t>
            </w: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3.875%</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11/1/2024</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2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371,391</w:t>
            </w: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8,596</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1,476</w:t>
            </w: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(3,273)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gridSpan w:val="3"/>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0" w:type="dxa"/>
            <w:vAlign w:val="bottom"/>
            <w:gridSpan w:val="2"/>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(a)(b)(c)</w:t>
            </w:r>
          </w:p>
        </w:tc>
        <w:tc>
          <w:tcPr>
            <w:tcW w:w="1000" w:type="dxa"/>
            <w:vAlign w:val="bottom"/>
          </w:tcPr>
          <w:p>
            <w:pPr>
              <w:jc w:val="center"/>
              <w:ind w:right="35"/>
              <w:spacing w:after="0"/>
              <w:rPr>
                <w:sz w:val="20"/>
                <w:szCs w:val="20"/>
                <w:color w:val="auto"/>
              </w:rPr>
            </w:pPr>
            <w:r>
              <w:rPr>
                <w:rFonts w:ascii="Arial" w:cs="Arial" w:eastAsia="Arial" w:hAnsi="Arial"/>
                <w:sz w:val="18"/>
                <w:szCs w:val="18"/>
                <w:color w:val="auto"/>
                <w:w w:val="91"/>
              </w:rPr>
              <w:t>3.875%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3"/>
          </w:tcPr>
          <w:p>
            <w:pPr>
              <w:jc w:val="center"/>
              <w:ind w:right="440"/>
              <w:spacing w:after="0"/>
              <w:rPr>
                <w:sz w:val="20"/>
                <w:szCs w:val="20"/>
                <w:color w:val="auto"/>
              </w:rPr>
            </w:pPr>
            <w:r>
              <w:rPr>
                <w:rFonts w:ascii="Arial" w:cs="Arial" w:eastAsia="Arial" w:hAnsi="Arial"/>
                <w:sz w:val="18"/>
                <w:szCs w:val="18"/>
                <w:color w:val="auto"/>
                <w:w w:val="93"/>
              </w:rPr>
              <w:t>L + 2.25%</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11/1/2024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300,000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9,414</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4"/>
          </w:tcPr>
          <w:p>
            <w:pPr>
              <w:jc w:val="right"/>
              <w:ind w:right="40"/>
              <w:spacing w:after="0"/>
              <w:rPr>
                <w:sz w:val="20"/>
                <w:szCs w:val="20"/>
                <w:color w:val="auto"/>
              </w:rPr>
            </w:pPr>
            <w:r>
              <w:rPr>
                <w:rFonts w:ascii="Arial" w:cs="Arial" w:eastAsia="Arial" w:hAnsi="Arial"/>
                <w:sz w:val="18"/>
                <w:szCs w:val="18"/>
                <w:color w:val="auto"/>
              </w:rPr>
              <w:t>(5,302)</w:t>
            </w:r>
          </w:p>
        </w:tc>
        <w:tc>
          <w:tcPr>
            <w:tcW w:w="0" w:type="dxa"/>
            <w:vAlign w:val="bottom"/>
          </w:tcPr>
          <w:p>
            <w:pPr>
              <w:spacing w:after="0"/>
              <w:rPr>
                <w:sz w:val="1"/>
                <w:szCs w:val="1"/>
                <w:color w:val="auto"/>
              </w:rPr>
            </w:pPr>
          </w:p>
        </w:tc>
      </w:tr>
      <w:tr>
        <w:trPr>
          <w:trHeight w:val="230"/>
        </w:trPr>
        <w:tc>
          <w:tcPr>
            <w:tcW w:w="2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(a)(b)(c)</w:t>
            </w:r>
          </w:p>
        </w:tc>
        <w:tc>
          <w:tcPr>
            <w:tcW w:w="1000" w:type="dxa"/>
            <w:vAlign w:val="bottom"/>
            <w:shd w:val="clear" w:color="auto" w:fill="CFF0FC"/>
          </w:tcPr>
          <w:p>
            <w:pPr>
              <w:jc w:val="center"/>
              <w:ind w:right="35"/>
              <w:spacing w:after="0"/>
              <w:rPr>
                <w:sz w:val="20"/>
                <w:szCs w:val="20"/>
                <w:color w:val="auto"/>
              </w:rPr>
            </w:pPr>
            <w:r>
              <w:rPr>
                <w:rFonts w:ascii="Arial" w:cs="Arial" w:eastAsia="Arial" w:hAnsi="Arial"/>
                <w:sz w:val="18"/>
                <w:szCs w:val="18"/>
                <w:color w:val="auto"/>
                <w:w w:val="91"/>
              </w:rPr>
              <w:t>3.875%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60" w:type="dxa"/>
            <w:vAlign w:val="bottom"/>
            <w:gridSpan w:val="3"/>
            <w:shd w:val="clear" w:color="auto" w:fill="CFF0FC"/>
          </w:tcPr>
          <w:p>
            <w:pPr>
              <w:jc w:val="center"/>
              <w:ind w:right="440"/>
              <w:spacing w:after="0"/>
              <w:rPr>
                <w:sz w:val="20"/>
                <w:szCs w:val="20"/>
                <w:color w:val="auto"/>
              </w:rPr>
            </w:pPr>
            <w:r>
              <w:rPr>
                <w:rFonts w:ascii="Arial" w:cs="Arial" w:eastAsia="Arial" w:hAnsi="Arial"/>
                <w:sz w:val="18"/>
                <w:szCs w:val="18"/>
                <w:color w:val="auto"/>
                <w:w w:val="93"/>
              </w:rPr>
              <w:t>L + 2.46%</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11/1/2024</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1,220</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4"/>
            <w:shd w:val="clear" w:color="auto" w:fill="CFF0FC"/>
          </w:tcPr>
          <w:p>
            <w:pPr>
              <w:jc w:val="right"/>
              <w:ind w:right="40"/>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30"/>
        </w:trPr>
        <w:tc>
          <w:tcPr>
            <w:tcW w:w="2200" w:type="dxa"/>
            <w:vAlign w:val="bottom"/>
            <w:gridSpan w:val="2"/>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(a)(b)</w:t>
            </w:r>
          </w:p>
        </w:tc>
        <w:tc>
          <w:tcPr>
            <w:tcW w:w="1000" w:type="dxa"/>
            <w:vAlign w:val="bottom"/>
          </w:tcPr>
          <w:p>
            <w:pPr>
              <w:jc w:val="center"/>
              <w:ind w:right="15"/>
              <w:spacing w:after="0"/>
              <w:rPr>
                <w:sz w:val="20"/>
                <w:szCs w:val="20"/>
                <w:color w:val="auto"/>
              </w:rPr>
            </w:pPr>
            <w:r>
              <w:rPr>
                <w:rFonts w:ascii="Arial" w:cs="Arial" w:eastAsia="Arial" w:hAnsi="Arial"/>
                <w:sz w:val="18"/>
                <w:szCs w:val="18"/>
                <w:color w:val="auto"/>
                <w:w w:val="90"/>
              </w:rPr>
              <w:t>2.50%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3"/>
          </w:tcPr>
          <w:p>
            <w:pPr>
              <w:jc w:val="center"/>
              <w:ind w:right="440"/>
              <w:spacing w:after="0"/>
              <w:rPr>
                <w:sz w:val="20"/>
                <w:szCs w:val="20"/>
                <w:color w:val="auto"/>
              </w:rPr>
            </w:pPr>
            <w:r>
              <w:rPr>
                <w:rFonts w:ascii="Arial" w:cs="Arial" w:eastAsia="Arial" w:hAnsi="Arial"/>
                <w:sz w:val="18"/>
                <w:szCs w:val="18"/>
                <w:color w:val="auto"/>
                <w:w w:val="93"/>
              </w:rPr>
              <w:t>L + 1.91%</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8/1/2026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300,000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(6,165)</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4"/>
          </w:tcPr>
          <w:p>
            <w:pPr>
              <w:jc w:val="right"/>
              <w:ind w:right="40"/>
              <w:spacing w:after="0"/>
              <w:rPr>
                <w:sz w:val="20"/>
                <w:szCs w:val="20"/>
                <w:color w:val="auto"/>
              </w:rPr>
            </w:pPr>
            <w:r>
              <w:rPr>
                <w:rFonts w:ascii="Arial" w:cs="Arial" w:eastAsia="Arial" w:hAnsi="Arial"/>
                <w:sz w:val="18"/>
                <w:szCs w:val="18"/>
                <w:color w:val="auto"/>
              </w:rPr>
              <w:t>(6,165)</w:t>
            </w:r>
          </w:p>
        </w:tc>
        <w:tc>
          <w:tcPr>
            <w:tcW w:w="0" w:type="dxa"/>
            <w:vAlign w:val="bottom"/>
          </w:tcPr>
          <w:p>
            <w:pPr>
              <w:spacing w:after="0"/>
              <w:rPr>
                <w:sz w:val="1"/>
                <w:szCs w:val="1"/>
                <w:color w:val="auto"/>
              </w:rPr>
            </w:pPr>
          </w:p>
        </w:tc>
      </w:tr>
      <w:tr>
        <w:trPr>
          <w:trHeight w:val="223"/>
        </w:trPr>
        <w:tc>
          <w:tcPr>
            <w:tcW w:w="22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10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650,000</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4,469</w:t>
            </w: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(12,300)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00" w:type="dxa"/>
            <w:vAlign w:val="bottom"/>
            <w:gridSpan w:val="2"/>
          </w:tcPr>
          <w:p>
            <w:pPr>
              <w:spacing w:after="0"/>
              <w:rPr>
                <w:sz w:val="20"/>
                <w:szCs w:val="20"/>
                <w:color w:val="auto"/>
              </w:rPr>
            </w:pPr>
            <w:r>
              <w:rPr>
                <w:rFonts w:ascii="Arial" w:cs="Arial" w:eastAsia="Arial" w:hAnsi="Arial"/>
                <w:sz w:val="18"/>
                <w:szCs w:val="18"/>
                <w:color w:val="auto"/>
              </w:rPr>
              <w:t>Cash collateral</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(10,680)</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200" w:type="dxa"/>
            <w:vAlign w:val="bottom"/>
            <w:tcBorders>
              <w:top w:val="single" w:sz="8" w:color="CFF0FC"/>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b w:val="1"/>
                <w:bCs w:val="1"/>
                <w:color w:val="auto"/>
              </w:rPr>
              <w:t>Total derivatives</w:t>
            </w:r>
          </w:p>
        </w:tc>
        <w:tc>
          <w:tcPr>
            <w:tcW w:w="10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1,021,391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2,385</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jc w:val="right"/>
              <w:ind w:right="221"/>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1,476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(15,573)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000" w:hanging="493"/>
        <w:spacing w:after="0"/>
        <w:tabs>
          <w:tab w:leader="none" w:pos="1000" w:val="left"/>
        </w:tabs>
        <w:numPr>
          <w:ilvl w:val="1"/>
          <w:numId w:val="4"/>
        </w:numPr>
        <w:rPr>
          <w:rFonts w:ascii="Arial" w:cs="Arial" w:eastAsia="Arial" w:hAnsi="Arial"/>
          <w:sz w:val="18"/>
          <w:szCs w:val="18"/>
          <w:color w:val="auto"/>
        </w:rPr>
      </w:pPr>
      <w:r>
        <w:rPr>
          <w:rFonts w:ascii="Arial" w:cs="Arial" w:eastAsia="Arial" w:hAnsi="Arial"/>
          <w:sz w:val="18"/>
          <w:szCs w:val="18"/>
          <w:color w:val="auto"/>
        </w:rPr>
        <w:t>Contains a variable rate structure. Bears interest at a rate determined by three-month LIBOR.</w:t>
      </w:r>
    </w:p>
    <w:p>
      <w:pPr>
        <w:spacing w:after="0" w:line="23" w:lineRule="exact"/>
        <w:rPr>
          <w:rFonts w:ascii="Arial" w:cs="Arial" w:eastAsia="Arial" w:hAnsi="Arial"/>
          <w:sz w:val="18"/>
          <w:szCs w:val="18"/>
          <w:color w:val="auto"/>
        </w:rPr>
      </w:pPr>
    </w:p>
    <w:p>
      <w:pPr>
        <w:ind w:left="1000" w:right="200" w:hanging="493"/>
        <w:spacing w:after="0" w:line="250" w:lineRule="auto"/>
        <w:tabs>
          <w:tab w:leader="none" w:pos="1000" w:val="left"/>
        </w:tabs>
        <w:numPr>
          <w:ilvl w:val="1"/>
          <w:numId w:val="4"/>
        </w:numPr>
        <w:rPr>
          <w:rFonts w:ascii="Arial" w:cs="Arial" w:eastAsia="Arial" w:hAnsi="Arial"/>
          <w:sz w:val="18"/>
          <w:szCs w:val="18"/>
          <w:color w:val="auto"/>
        </w:rPr>
      </w:pPr>
      <w:r>
        <w:rPr>
          <w:rFonts w:ascii="Arial" w:cs="Arial" w:eastAsia="Arial" w:hAnsi="Arial"/>
          <w:sz w:val="18"/>
          <w:szCs w:val="18"/>
          <w:color w:val="auto"/>
        </w:rPr>
        <w:t>Instrument is used in a hedge accounting relationship. The associated change in fair value is recorded along with the change in fair value of the hedged item within interest expense.</w:t>
      </w:r>
    </w:p>
    <w:p>
      <w:pPr>
        <w:ind w:left="1000" w:right="180" w:hanging="493"/>
        <w:spacing w:after="0" w:line="250" w:lineRule="auto"/>
        <w:tabs>
          <w:tab w:leader="none" w:pos="1000" w:val="left"/>
        </w:tabs>
        <w:numPr>
          <w:ilvl w:val="1"/>
          <w:numId w:val="4"/>
        </w:numPr>
        <w:rPr>
          <w:rFonts w:ascii="Arial" w:cs="Arial" w:eastAsia="Arial" w:hAnsi="Arial"/>
          <w:sz w:val="18"/>
          <w:szCs w:val="18"/>
          <w:color w:val="auto"/>
        </w:rPr>
      </w:pPr>
      <w:r>
        <w:rPr>
          <w:rFonts w:ascii="Arial" w:cs="Arial" w:eastAsia="Arial" w:hAnsi="Arial"/>
          <w:sz w:val="18"/>
          <w:szCs w:val="18"/>
          <w:color w:val="auto"/>
        </w:rPr>
        <w:t>$2.5 million in aggregate notional value of these instruments is no longer designated as instruments in a hedge accounting relationship. The associated change in fair value of the de-designated portion is recorded within unrealized gain/(loss).</w:t>
      </w:r>
    </w:p>
    <w:p>
      <w:pPr>
        <w:ind w:left="1000" w:right="20" w:hanging="493"/>
        <w:spacing w:after="0" w:line="260" w:lineRule="auto"/>
        <w:tabs>
          <w:tab w:leader="none" w:pos="10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fair market value of this instrument is presented net with the $2.5 million in aggregate notional value of instruments no longer designated as instruments in a hedge accounting relationship.</w:t>
      </w:r>
    </w:p>
    <w:p>
      <w:pPr>
        <w:spacing w:after="0" w:line="77" w:lineRule="exact"/>
        <w:rPr>
          <w:rFonts w:ascii="Arial" w:cs="Arial" w:eastAsia="Arial" w:hAnsi="Arial"/>
          <w:sz w:val="18"/>
          <w:szCs w:val="18"/>
          <w:color w:val="auto"/>
        </w:rPr>
      </w:pPr>
    </w:p>
    <w:p>
      <w:pPr>
        <w:ind w:left="500" w:hanging="49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Certain portfolio company investments are subject to contractual restrictions on sales.</w:t>
      </w:r>
    </w:p>
    <w:p>
      <w:pPr>
        <w:spacing w:after="0" w:line="23" w:lineRule="exact"/>
        <w:rPr>
          <w:rFonts w:ascii="Arial" w:cs="Arial" w:eastAsia="Arial" w:hAnsi="Arial"/>
          <w:sz w:val="18"/>
          <w:szCs w:val="18"/>
          <w:color w:val="auto"/>
        </w:rPr>
      </w:pPr>
    </w:p>
    <w:p>
      <w:pPr>
        <w:ind w:left="500" w:right="20" w:hanging="492"/>
        <w:spacing w:after="0" w:line="260"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1" w:name="page12"/>
    <w:bookmarkEnd w:id="11"/>
    <w:p>
      <w:pPr>
        <w:ind w:left="500" w:right="20" w:hanging="492"/>
        <w:spacing w:after="0" w:line="268" w:lineRule="auto"/>
        <w:tabs>
          <w:tab w:leader="none" w:pos="50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Investment contains a variable rate structure, subject to an interest rate floor. Variable rate investments bear interest at a rate that may be determined by reference to either London Interbank Offered Rate (“LIBOR” or “L”) (which can include one-, two-, three- or six-month LIBOR), Euro Interbank Offer Rate (“Euribor” or “E”) (which can include one-, two-, three- or six-month Euribor), Canadian Dollar Offered Rate (“CDOR” or “C”), Bank Bill Swap Bid Rate (“BBSY” or “B”) or an alternate base rate (which can include the Federal Funds Effective Rate or the Prime Rate or “P”), at the borrower’s option, which reset periodically based on the terms of the credit agreement. For investments with multiple interest rate contracts, the interest rate shown is the weighted average interest rate in effect at June 30, 2021.</w:t>
      </w:r>
    </w:p>
    <w:p>
      <w:pPr>
        <w:ind w:left="500" w:right="20" w:hanging="492"/>
        <w:spacing w:after="0" w:line="250"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portfolio company is not a qualifying asset under Section 55(a) of the Investment Company Act of 1940, as amended (the “1940 Act”). Under the 1940 Act, the Company may not acquire any non-qualifying asset unless, at the time such acquisition is made, qualifying assets represent at least 70% of total assets. Non-qualifying assets represented 11.5% of total assets as of June 30, 2021.</w:t>
      </w:r>
    </w:p>
    <w:p>
      <w:pPr>
        <w:spacing w:after="0" w:line="1" w:lineRule="exact"/>
        <w:rPr>
          <w:rFonts w:ascii="Arial" w:cs="Arial" w:eastAsia="Arial" w:hAnsi="Arial"/>
          <w:sz w:val="18"/>
          <w:szCs w:val="18"/>
          <w:color w:val="auto"/>
        </w:rPr>
      </w:pPr>
    </w:p>
    <w:p>
      <w:pPr>
        <w:ind w:left="500" w:right="60" w:hanging="492"/>
        <w:spacing w:after="0" w:line="265" w:lineRule="auto"/>
        <w:tabs>
          <w:tab w:leader="none" w:pos="50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holds the “last out” tranche.</w:t>
      </w:r>
    </w:p>
    <w:p>
      <w:pPr>
        <w:ind w:left="500" w:right="160" w:hanging="492"/>
        <w:spacing w:after="0" w:line="255"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Under the 1940 Act, the Company is deemed to be an “Affiliated Person” of, as defined in the 1940 Act, this portfolio company, as the Company owns more than 5% of the portfolio company’s outstanding voting securities. Transactions during the six months ended June 30, 2021 in which the Company was an Affiliated Person of the portfolio company are as follows: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Non-controlled, Affiliated Investments during the six months ended June 30, 2021</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Net Change</w:t>
            </w:r>
          </w:p>
        </w:tc>
        <w:tc>
          <w:tcPr>
            <w:tcW w:w="120" w:type="dxa"/>
            <w:vAlign w:val="bottom"/>
          </w:tcPr>
          <w:p>
            <w:pPr>
              <w:spacing w:after="0"/>
              <w:rPr>
                <w:sz w:val="14"/>
                <w:szCs w:val="14"/>
                <w:color w:val="auto"/>
              </w:rPr>
            </w:pPr>
          </w:p>
        </w:tc>
        <w:tc>
          <w:tcPr>
            <w:tcW w:w="700" w:type="dxa"/>
            <w:vAlign w:val="bottom"/>
            <w:vMerge w:val="restart"/>
          </w:tcPr>
          <w:p>
            <w:pPr>
              <w:jc w:val="center"/>
              <w:ind w:right="59"/>
              <w:spacing w:after="0"/>
              <w:rPr>
                <w:sz w:val="20"/>
                <w:szCs w:val="20"/>
                <w:color w:val="auto"/>
              </w:rPr>
            </w:pPr>
            <w:r>
              <w:rPr>
                <w:rFonts w:ascii="Arial" w:cs="Arial" w:eastAsia="Arial" w:hAnsi="Arial"/>
                <w:sz w:val="14"/>
                <w:szCs w:val="14"/>
                <w:b w:val="1"/>
                <w:bCs w:val="1"/>
                <w:color w:val="auto"/>
                <w:w w:val="91"/>
              </w:rPr>
              <w:t>Realized</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ind w:left="140"/>
              <w:spacing w:after="0"/>
              <w:rPr>
                <w:sz w:val="20"/>
                <w:szCs w:val="20"/>
                <w:color w:val="auto"/>
              </w:rPr>
            </w:pPr>
            <w:r>
              <w:rPr>
                <w:rFonts w:ascii="Arial" w:cs="Arial" w:eastAsia="Arial" w:hAnsi="Arial"/>
                <w:sz w:val="14"/>
                <w:szCs w:val="14"/>
                <w:b w:val="1"/>
                <w:bCs w:val="1"/>
                <w:color w:val="auto"/>
              </w:rPr>
              <w:t>Fair</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Value at</w:t>
            </w:r>
          </w:p>
        </w:tc>
        <w:tc>
          <w:tcPr>
            <w:tcW w:w="160" w:type="dxa"/>
            <w:vAlign w:val="bottom"/>
          </w:tcPr>
          <w:p>
            <w:pPr>
              <w:spacing w:after="0"/>
              <w:rPr>
                <w:sz w:val="12"/>
                <w:szCs w:val="12"/>
                <w:color w:val="auto"/>
              </w:rPr>
            </w:pPr>
          </w:p>
        </w:tc>
        <w:tc>
          <w:tcPr>
            <w:tcW w:w="6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Gross</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Gross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Value at</w:t>
            </w:r>
          </w:p>
        </w:tc>
        <w:tc>
          <w:tcPr>
            <w:tcW w:w="200" w:type="dxa"/>
            <w:vAlign w:val="bottom"/>
          </w:tcPr>
          <w:p>
            <w:pPr>
              <w:spacing w:after="0"/>
              <w:rPr>
                <w:sz w:val="12"/>
                <w:szCs w:val="12"/>
                <w:color w:val="auto"/>
              </w:rPr>
            </w:pPr>
          </w:p>
        </w:tc>
        <w:tc>
          <w:tcPr>
            <w:tcW w:w="8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Dividend</w:t>
            </w:r>
          </w:p>
        </w:tc>
        <w:tc>
          <w:tcPr>
            <w:tcW w:w="20" w:type="dxa"/>
            <w:vAlign w:val="bottom"/>
          </w:tcPr>
          <w:p>
            <w:pPr>
              <w:spacing w:after="0"/>
              <w:rPr>
                <w:sz w:val="12"/>
                <w:szCs w:val="12"/>
                <w:color w:val="auto"/>
              </w:rPr>
            </w:pPr>
          </w:p>
        </w:tc>
        <w:tc>
          <w:tcPr>
            <w:tcW w:w="7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49"/>
        </w:trPr>
        <w:tc>
          <w:tcPr>
            <w:tcW w:w="2420" w:type="dxa"/>
            <w:vAlign w:val="bottom"/>
            <w:gridSpan w:val="2"/>
            <w:vMerge w:val="restart"/>
          </w:tcPr>
          <w:p>
            <w:pPr>
              <w:ind w:left="860"/>
              <w:spacing w:after="0"/>
              <w:rPr>
                <w:sz w:val="20"/>
                <w:szCs w:val="20"/>
                <w:color w:val="auto"/>
              </w:rPr>
            </w:pPr>
            <w:r>
              <w:rPr>
                <w:rFonts w:ascii="Arial" w:cs="Arial" w:eastAsia="Arial" w:hAnsi="Arial"/>
                <w:sz w:val="14"/>
                <w:szCs w:val="14"/>
                <w:b w:val="1"/>
                <w:bCs w:val="1"/>
                <w:color w:val="auto"/>
              </w:rPr>
              <w:t>Company</w:t>
            </w:r>
          </w:p>
        </w:tc>
        <w:tc>
          <w:tcPr>
            <w:tcW w:w="10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1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In Unrealized</w:t>
            </w: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Gain/(Loss)</w:t>
            </w:r>
          </w:p>
        </w:tc>
        <w:tc>
          <w:tcPr>
            <w:tcW w:w="220" w:type="dxa"/>
            <w:vAlign w:val="bottom"/>
          </w:tcPr>
          <w:p>
            <w:pPr>
              <w:spacing w:after="0"/>
              <w:rPr>
                <w:sz w:val="12"/>
                <w:szCs w:val="12"/>
                <w:color w:val="auto"/>
              </w:rPr>
            </w:pPr>
          </w:p>
        </w:tc>
        <w:tc>
          <w:tcPr>
            <w:tcW w:w="7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Transfers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4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ind w:right="61"/>
              <w:spacing w:after="0"/>
              <w:rPr>
                <w:sz w:val="20"/>
                <w:szCs w:val="20"/>
                <w:color w:val="auto"/>
              </w:rPr>
            </w:pPr>
            <w:r>
              <w:rPr>
                <w:rFonts w:ascii="Arial" w:cs="Arial" w:eastAsia="Arial" w:hAnsi="Arial"/>
                <w:sz w:val="14"/>
                <w:szCs w:val="14"/>
                <w:b w:val="1"/>
                <w:bCs w:val="1"/>
                <w:color w:val="auto"/>
                <w:w w:val="96"/>
              </w:rPr>
              <w:t>2020</w:t>
            </w:r>
          </w:p>
        </w:tc>
        <w:tc>
          <w:tcPr>
            <w:tcW w:w="20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93"/>
              </w:rPr>
              <w:t>Additions (a)</w:t>
            </w:r>
          </w:p>
        </w:tc>
        <w:tc>
          <w:tcPr>
            <w:tcW w:w="1240" w:type="dxa"/>
            <w:vAlign w:val="bottom"/>
            <w:gridSpan w:val="4"/>
          </w:tcPr>
          <w:p>
            <w:pPr>
              <w:ind w:left="200"/>
              <w:spacing w:after="0"/>
              <w:rPr>
                <w:sz w:val="20"/>
                <w:szCs w:val="20"/>
                <w:color w:val="auto"/>
              </w:rPr>
            </w:pPr>
            <w:r>
              <w:rPr>
                <w:rFonts w:ascii="Arial" w:cs="Arial" w:eastAsia="Arial" w:hAnsi="Arial"/>
                <w:sz w:val="14"/>
                <w:szCs w:val="14"/>
                <w:b w:val="1"/>
                <w:bCs w:val="1"/>
                <w:color w:val="auto"/>
              </w:rPr>
              <w:t>Reductions (b)</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Gain/(Loss)</w:t>
            </w:r>
          </w:p>
        </w:tc>
        <w:tc>
          <w:tcPr>
            <w:tcW w:w="120" w:type="dxa"/>
            <w:vAlign w:val="bottom"/>
          </w:tcPr>
          <w:p>
            <w:pPr>
              <w:spacing w:after="0"/>
              <w:rPr>
                <w:sz w:val="14"/>
                <w:szCs w:val="14"/>
                <w:color w:val="auto"/>
              </w:rPr>
            </w:pPr>
          </w:p>
        </w:tc>
        <w:tc>
          <w:tcPr>
            <w:tcW w:w="700" w:type="dxa"/>
            <w:vAlign w:val="bottom"/>
          </w:tcPr>
          <w:p>
            <w:pPr>
              <w:jc w:val="center"/>
              <w:ind w:right="39"/>
              <w:spacing w:after="0"/>
              <w:rPr>
                <w:sz w:val="20"/>
                <w:szCs w:val="20"/>
                <w:color w:val="auto"/>
              </w:rPr>
            </w:pPr>
            <w:r>
              <w:rPr>
                <w:rFonts w:ascii="Arial" w:cs="Arial" w:eastAsia="Arial" w:hAnsi="Arial"/>
                <w:sz w:val="14"/>
                <w:szCs w:val="14"/>
                <w:b w:val="1"/>
                <w:bCs w:val="1"/>
                <w:color w:val="auto"/>
              </w:rPr>
              <w:t>(d)</w:t>
            </w:r>
          </w:p>
        </w:tc>
        <w:tc>
          <w:tcPr>
            <w:tcW w:w="2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ind w:left="140"/>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800" w:type="dxa"/>
            <w:vAlign w:val="bottom"/>
            <w:gridSpan w:val="3"/>
          </w:tcPr>
          <w:p>
            <w:pPr>
              <w:ind w:left="60"/>
              <w:spacing w:after="0"/>
              <w:rPr>
                <w:sz w:val="20"/>
                <w:szCs w:val="20"/>
                <w:color w:val="auto"/>
              </w:rPr>
            </w:pPr>
            <w:r>
              <w:rPr>
                <w:rFonts w:ascii="Arial" w:cs="Arial" w:eastAsia="Arial" w:hAnsi="Arial"/>
                <w:sz w:val="14"/>
                <w:szCs w:val="14"/>
                <w:b w:val="1"/>
                <w:bCs w:val="1"/>
                <w:color w:val="auto"/>
              </w:rPr>
              <w:t>Income</w:t>
            </w:r>
          </w:p>
        </w:tc>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09"/>
        </w:trPr>
        <w:tc>
          <w:tcPr>
            <w:tcW w:w="2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MD America Energy,</w:t>
            </w: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 xml:space="preserve">LLC </w:t>
            </w:r>
            <w:r>
              <w:rPr>
                <w:rFonts w:ascii="Arial" w:cs="Arial" w:eastAsia="Arial" w:hAnsi="Arial"/>
                <w:sz w:val="15"/>
                <w:szCs w:val="15"/>
                <w:color w:val="auto"/>
              </w:rPr>
              <w:t>(c)</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12,892</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ind w:left="460"/>
              <w:spacing w:after="0"/>
              <w:rPr>
                <w:sz w:val="20"/>
                <w:szCs w:val="20"/>
                <w:color w:val="auto"/>
              </w:rPr>
            </w:pPr>
            <w:r>
              <w:rPr>
                <w:rFonts w:ascii="Arial" w:cs="Arial" w:eastAsia="Arial" w:hAnsi="Arial"/>
                <w:sz w:val="18"/>
                <w:szCs w:val="18"/>
                <w:color w:val="auto"/>
                <w:w w:val="99"/>
              </w:rPr>
              <w:t>—</w:t>
            </w:r>
          </w:p>
        </w:tc>
        <w:tc>
          <w:tcPr>
            <w:tcW w:w="38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(112)</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6,090</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ind w:left="520"/>
              <w:spacing w:after="0"/>
              <w:rPr>
                <w:sz w:val="20"/>
                <w:szCs w:val="20"/>
                <w:color w:val="auto"/>
              </w:rPr>
            </w:pPr>
            <w:r>
              <w:rPr>
                <w:rFonts w:ascii="Arial" w:cs="Arial" w:eastAsia="Arial" w:hAnsi="Arial"/>
                <w:sz w:val="18"/>
                <w:szCs w:val="18"/>
                <w:color w:val="auto"/>
                <w:w w:val="88"/>
              </w:rPr>
              <w:t>—</w:t>
            </w:r>
          </w:p>
        </w:tc>
        <w:tc>
          <w:tcPr>
            <w:tcW w:w="540" w:type="dxa"/>
            <w:vAlign w:val="bottom"/>
            <w:gridSpan w:val="2"/>
            <w:shd w:val="clear" w:color="auto" w:fill="CFF0FC"/>
          </w:tcPr>
          <w:p>
            <w:pPr>
              <w:jc w:val="right"/>
              <w:ind w:right="167"/>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9"/>
              </w:rPr>
              <w:t>—</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ind w:left="160"/>
              <w:spacing w:after="0"/>
              <w:rPr>
                <w:sz w:val="20"/>
                <w:szCs w:val="20"/>
                <w:color w:val="auto"/>
              </w:rPr>
            </w:pPr>
            <w:r>
              <w:rPr>
                <w:rFonts w:ascii="Arial" w:cs="Arial" w:eastAsia="Arial" w:hAnsi="Arial"/>
                <w:sz w:val="18"/>
                <w:szCs w:val="18"/>
                <w:color w:val="auto"/>
                <w:w w:val="90"/>
              </w:rPr>
              <w:t>18,870</w:t>
            </w:r>
          </w:p>
        </w:tc>
        <w:tc>
          <w:tcPr>
            <w:tcW w:w="4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w:t>
            </w:r>
          </w:p>
        </w:tc>
        <w:tc>
          <w:tcPr>
            <w:tcW w:w="20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42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12,892</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b w:val="1"/>
                <w:bCs w:val="1"/>
                <w:color w:val="auto"/>
                <w:w w:val="99"/>
              </w:rPr>
              <w:t>—</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b w:val="1"/>
                <w:bCs w:val="1"/>
                <w:color w:val="auto"/>
                <w:w w:val="76"/>
              </w:rPr>
              <w:t>(112)</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6,090</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8"/>
                <w:szCs w:val="18"/>
                <w:b w:val="1"/>
                <w:bCs w:val="1"/>
                <w:color w:val="auto"/>
                <w:w w:val="88"/>
              </w:rPr>
              <w:t>—</w:t>
            </w:r>
          </w:p>
        </w:tc>
        <w:tc>
          <w:tcPr>
            <w:tcW w:w="2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b w:val="1"/>
                <w:bCs w:val="1"/>
                <w:color w:val="auto"/>
                <w:w w:val="71"/>
              </w:rPr>
              <w:t>$</w:t>
            </w:r>
          </w:p>
        </w:tc>
        <w:tc>
          <w:tcPr>
            <w:tcW w:w="44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b w:val="1"/>
                <w:bCs w:val="1"/>
                <w:color w:val="auto"/>
                <w:w w:val="99"/>
              </w:rPr>
              <w:t>—</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b w:val="1"/>
                <w:bCs w:val="1"/>
                <w:color w:val="auto"/>
                <w:w w:val="90"/>
              </w:rPr>
              <w:t>18,870</w:t>
            </w: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545</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5"/>
                <w:szCs w:val="15"/>
                <w:b w:val="1"/>
                <w:bCs w:val="1"/>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1000" w:right="100" w:hanging="493"/>
        <w:spacing w:after="0" w:line="258" w:lineRule="auto"/>
        <w:tabs>
          <w:tab w:leader="none" w:pos="1000" w:val="left"/>
        </w:tabs>
        <w:numPr>
          <w:ilvl w:val="1"/>
          <w:numId w:val="7"/>
        </w:numPr>
        <w:rPr>
          <w:rFonts w:ascii="Arial" w:cs="Arial" w:eastAsia="Arial" w:hAnsi="Arial"/>
          <w:sz w:val="18"/>
          <w:szCs w:val="18"/>
          <w:color w:val="auto"/>
        </w:rPr>
      </w:pPr>
      <w:r>
        <w:rPr>
          <w:rFonts w:ascii="Arial" w:cs="Arial" w:eastAsia="Arial" w:hAnsi="Arial"/>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spacing w:after="0" w:line="1" w:lineRule="exact"/>
        <w:rPr>
          <w:rFonts w:ascii="Arial" w:cs="Arial" w:eastAsia="Arial" w:hAnsi="Arial"/>
          <w:sz w:val="18"/>
          <w:szCs w:val="18"/>
          <w:color w:val="auto"/>
        </w:rPr>
      </w:pPr>
    </w:p>
    <w:p>
      <w:pPr>
        <w:ind w:left="1000" w:hanging="493"/>
        <w:spacing w:after="0" w:line="250" w:lineRule="auto"/>
        <w:tabs>
          <w:tab w:leader="none" w:pos="1000" w:val="left"/>
        </w:tabs>
        <w:numPr>
          <w:ilvl w:val="1"/>
          <w:numId w:val="7"/>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may be applied to the outstanding principal balance.</w:t>
      </w:r>
    </w:p>
    <w:p>
      <w:pPr>
        <w:spacing w:after="0" w:line="1" w:lineRule="exact"/>
        <w:rPr>
          <w:rFonts w:ascii="Arial" w:cs="Arial" w:eastAsia="Arial" w:hAnsi="Arial"/>
          <w:sz w:val="18"/>
          <w:szCs w:val="18"/>
          <w:color w:val="auto"/>
        </w:rPr>
      </w:pPr>
    </w:p>
    <w:p>
      <w:pPr>
        <w:ind w:left="1000" w:hanging="493"/>
        <w:spacing w:after="0"/>
        <w:tabs>
          <w:tab w:leader="none" w:pos="1000" w:val="left"/>
        </w:tabs>
        <w:numPr>
          <w:ilvl w:val="1"/>
          <w:numId w:val="7"/>
        </w:numPr>
        <w:rPr>
          <w:rFonts w:ascii="Arial" w:cs="Arial" w:eastAsia="Arial" w:hAnsi="Arial"/>
          <w:sz w:val="18"/>
          <w:szCs w:val="18"/>
          <w:color w:val="auto"/>
        </w:rPr>
      </w:pPr>
      <w:r>
        <w:rPr>
          <w:rFonts w:ascii="Arial" w:cs="Arial" w:eastAsia="Arial" w:hAnsi="Arial"/>
          <w:sz w:val="18"/>
          <w:szCs w:val="18"/>
          <w:color w:val="auto"/>
        </w:rPr>
        <w:t>Includes investment in SMPA Holdings, LLC of 15,000 common equity units.</w:t>
      </w:r>
    </w:p>
    <w:p>
      <w:pPr>
        <w:spacing w:after="0" w:line="9" w:lineRule="exact"/>
        <w:rPr>
          <w:rFonts w:ascii="Arial" w:cs="Arial" w:eastAsia="Arial" w:hAnsi="Arial"/>
          <w:sz w:val="18"/>
          <w:szCs w:val="18"/>
          <w:color w:val="auto"/>
        </w:rPr>
      </w:pPr>
    </w:p>
    <w:p>
      <w:pPr>
        <w:ind w:left="1000" w:right="520" w:hanging="493"/>
        <w:spacing w:after="0" w:line="290" w:lineRule="auto"/>
        <w:tabs>
          <w:tab w:leader="none" w:pos="1000" w:val="left"/>
        </w:tabs>
        <w:numPr>
          <w:ilvl w:val="1"/>
          <w:numId w:val="7"/>
        </w:numPr>
        <w:rPr>
          <w:rFonts w:ascii="Arial" w:cs="Arial" w:eastAsia="Arial" w:hAnsi="Arial"/>
          <w:sz w:val="17"/>
          <w:szCs w:val="17"/>
          <w:color w:val="auto"/>
        </w:rPr>
      </w:pPr>
      <w:r>
        <w:rPr>
          <w:rFonts w:ascii="Arial" w:cs="Arial" w:eastAsia="Arial" w:hAnsi="Arial"/>
          <w:sz w:val="17"/>
          <w:szCs w:val="17"/>
          <w:color w:val="auto"/>
        </w:rPr>
        <w:t>In the consolidated statement of operations for the six months ended June 30, 2021, there is a realized loss on non-controlled, affiliated investments of $33 related to an escrow receivable for an investment in AFS Technologies, Inc. that is no longer held.</w:t>
      </w:r>
    </w:p>
    <w:p>
      <w:pPr>
        <w:spacing w:after="0" w:line="53" w:lineRule="exact"/>
        <w:rPr>
          <w:rFonts w:ascii="Arial" w:cs="Arial" w:eastAsia="Arial" w:hAnsi="Arial"/>
          <w:sz w:val="17"/>
          <w:szCs w:val="17"/>
          <w:color w:val="auto"/>
        </w:rPr>
      </w:pPr>
    </w:p>
    <w:p>
      <w:pPr>
        <w:ind w:left="500" w:right="200" w:hanging="492"/>
        <w:spacing w:after="0" w:line="301" w:lineRule="auto"/>
        <w:tabs>
          <w:tab w:leader="none" w:pos="500" w:val="left"/>
        </w:tabs>
        <w:numPr>
          <w:ilvl w:val="0"/>
          <w:numId w:val="8"/>
        </w:numPr>
        <w:rPr>
          <w:rFonts w:ascii="Arial" w:cs="Arial" w:eastAsia="Arial" w:hAnsi="Arial"/>
          <w:sz w:val="16"/>
          <w:szCs w:val="16"/>
          <w:color w:val="auto"/>
        </w:rPr>
      </w:pPr>
      <w:r>
        <w:rPr>
          <w:rFonts w:ascii="Arial" w:cs="Arial" w:eastAsia="Arial" w:hAnsi="Arial"/>
          <w:sz w:val="16"/>
          <w:szCs w:val="16"/>
          <w:color w:val="auto"/>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six months ended June 30, 2021 in which the Company was an Affiliated Person of and was deemed to Control a portfolio company are as follows: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Controlled, Affiliated Investments during the six months ended June 30, 2021</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Net Change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center"/>
              <w:ind w:right="40"/>
              <w:spacing w:after="0"/>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Value at</w:t>
            </w:r>
          </w:p>
        </w:tc>
        <w:tc>
          <w:tcPr>
            <w:tcW w:w="160" w:type="dxa"/>
            <w:vAlign w:val="bottom"/>
          </w:tcPr>
          <w:p>
            <w:pPr>
              <w:spacing w:after="0"/>
              <w:rPr>
                <w:sz w:val="12"/>
                <w:szCs w:val="12"/>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2"/>
                <w:szCs w:val="12"/>
                <w:color w:val="auto"/>
              </w:rPr>
            </w:pPr>
          </w:p>
        </w:tc>
        <w:tc>
          <w:tcPr>
            <w:tcW w:w="7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center"/>
              <w:ind w:right="55"/>
              <w:spacing w:after="0"/>
              <w:rPr>
                <w:sz w:val="20"/>
                <w:szCs w:val="20"/>
                <w:color w:val="auto"/>
              </w:rPr>
            </w:pPr>
            <w:r>
              <w:rPr>
                <w:rFonts w:ascii="Arial" w:cs="Arial" w:eastAsia="Arial" w:hAnsi="Arial"/>
                <w:sz w:val="14"/>
                <w:szCs w:val="14"/>
                <w:b w:val="1"/>
                <w:bCs w:val="1"/>
                <w:color w:val="auto"/>
                <w:w w:val="94"/>
              </w:rPr>
              <w:t>Realized</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Value at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6"/>
              </w:rPr>
              <w:t>Other</w:t>
            </w:r>
          </w:p>
        </w:tc>
        <w:tc>
          <w:tcPr>
            <w:tcW w:w="6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48"/>
        </w:trPr>
        <w:tc>
          <w:tcPr>
            <w:tcW w:w="2240" w:type="dxa"/>
            <w:vAlign w:val="bottom"/>
            <w:vMerge w:val="restart"/>
          </w:tcPr>
          <w:p>
            <w:pPr>
              <w:ind w:left="820"/>
              <w:spacing w:after="0"/>
              <w:rPr>
                <w:sz w:val="20"/>
                <w:szCs w:val="20"/>
                <w:color w:val="auto"/>
              </w:rPr>
            </w:pPr>
            <w:r>
              <w:rPr>
                <w:rFonts w:ascii="Arial" w:cs="Arial" w:eastAsia="Arial" w:hAnsi="Arial"/>
                <w:sz w:val="14"/>
                <w:szCs w:val="14"/>
                <w:b w:val="1"/>
                <w:bCs w:val="1"/>
                <w:color w:val="auto"/>
              </w:rPr>
              <w:t>Company</w:t>
            </w:r>
          </w:p>
        </w:tc>
        <w:tc>
          <w:tcPr>
            <w:tcW w:w="100" w:type="dxa"/>
            <w:vAlign w:val="bottom"/>
          </w:tcPr>
          <w:p>
            <w:pPr>
              <w:spacing w:after="0"/>
              <w:rPr>
                <w:sz w:val="12"/>
                <w:szCs w:val="12"/>
                <w:color w:val="auto"/>
              </w:rPr>
            </w:pPr>
          </w:p>
        </w:tc>
        <w:tc>
          <w:tcPr>
            <w:tcW w:w="10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In Unrealized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Transfers</w:t>
            </w:r>
          </w:p>
        </w:tc>
        <w:tc>
          <w:tcPr>
            <w:tcW w:w="100" w:type="dxa"/>
            <w:vAlign w:val="bottom"/>
          </w:tcPr>
          <w:p>
            <w:pPr>
              <w:spacing w:after="0"/>
              <w:rPr>
                <w:sz w:val="12"/>
                <w:szCs w:val="12"/>
                <w:color w:val="auto"/>
              </w:rPr>
            </w:pPr>
          </w:p>
        </w:tc>
        <w:tc>
          <w:tcPr>
            <w:tcW w:w="66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June 30,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center"/>
              <w:ind w:right="79"/>
              <w:spacing w:after="0"/>
              <w:rPr>
                <w:sz w:val="20"/>
                <w:szCs w:val="20"/>
                <w:color w:val="auto"/>
              </w:rPr>
            </w:pPr>
            <w:r>
              <w:rPr>
                <w:rFonts w:ascii="Arial" w:cs="Arial" w:eastAsia="Arial" w:hAnsi="Arial"/>
                <w:sz w:val="14"/>
                <w:szCs w:val="14"/>
                <w:b w:val="1"/>
                <w:bCs w:val="1"/>
                <w:color w:val="auto"/>
                <w:w w:val="89"/>
              </w:rPr>
              <w:t>2020</w:t>
            </w:r>
          </w:p>
        </w:tc>
        <w:tc>
          <w:tcPr>
            <w:tcW w:w="20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Additions (a)</w:t>
            </w: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89"/>
              </w:rPr>
              <w:t>Reductions (b)</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Gain/(Loss)</w:t>
            </w:r>
          </w:p>
        </w:tc>
        <w:tc>
          <w:tcPr>
            <w:tcW w:w="8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Gain/(Loss)</w:t>
            </w:r>
          </w:p>
        </w:tc>
        <w:tc>
          <w:tcPr>
            <w:tcW w:w="22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center"/>
              <w:ind w:right="20"/>
              <w:spacing w:after="0"/>
              <w:rPr>
                <w:sz w:val="20"/>
                <w:szCs w:val="20"/>
                <w:color w:val="auto"/>
              </w:rPr>
            </w:pPr>
            <w:r>
              <w:rPr>
                <w:rFonts w:ascii="Arial" w:cs="Arial" w:eastAsia="Arial" w:hAnsi="Arial"/>
                <w:sz w:val="14"/>
                <w:szCs w:val="14"/>
                <w:b w:val="1"/>
                <w:bCs w:val="1"/>
                <w:color w:val="auto"/>
                <w:w w:val="89"/>
              </w:rPr>
              <w:t>2021</w:t>
            </w:r>
          </w:p>
        </w:tc>
        <w:tc>
          <w:tcPr>
            <w:tcW w:w="220" w:type="dxa"/>
            <w:vAlign w:val="bottom"/>
          </w:tcPr>
          <w:p>
            <w:pPr>
              <w:spacing w:after="0"/>
              <w:rPr>
                <w:sz w:val="14"/>
                <w:szCs w:val="14"/>
                <w:color w:val="auto"/>
              </w:rPr>
            </w:pPr>
          </w:p>
        </w:tc>
        <w:tc>
          <w:tcPr>
            <w:tcW w:w="8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9"/>
              </w:rPr>
              <w:t>Income</w:t>
            </w:r>
          </w:p>
        </w:tc>
        <w:tc>
          <w:tcPr>
            <w:tcW w:w="680" w:type="dxa"/>
            <w:vAlign w:val="bottom"/>
            <w:gridSpan w:val="3"/>
          </w:tcPr>
          <w:p>
            <w:pPr>
              <w:ind w:left="80"/>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23"/>
        </w:trPr>
        <w:tc>
          <w:tcPr>
            <w:tcW w:w="2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IRGSE Holding Corp.</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36,676</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3,143</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FF0FC"/>
          </w:tcPr>
          <w:p>
            <w:pPr>
              <w:ind w:left="52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FF0FC"/>
          </w:tcPr>
          <w:p>
            <w:pPr>
              <w:ind w:left="52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39,687</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1,925</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240" w:type="dxa"/>
            <w:vAlign w:val="bottom"/>
          </w:tcPr>
          <w:p>
            <w:pPr>
              <w:spacing w:after="0"/>
              <w:rPr>
                <w:sz w:val="20"/>
                <w:szCs w:val="20"/>
                <w:color w:val="auto"/>
              </w:rPr>
            </w:pPr>
            <w:r>
              <w:rPr>
                <w:rFonts w:ascii="Arial" w:cs="Arial" w:eastAsia="Arial" w:hAnsi="Arial"/>
                <w:sz w:val="18"/>
                <w:szCs w:val="18"/>
                <w:color w:val="auto"/>
              </w:rPr>
              <w:t>Mississippi Resources,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40" w:type="dxa"/>
            <w:vAlign w:val="bottom"/>
          </w:tcPr>
          <w:p>
            <w:pPr>
              <w:ind w:left="140"/>
              <w:spacing w:after="0"/>
              <w:rPr>
                <w:sz w:val="20"/>
                <w:szCs w:val="20"/>
                <w:color w:val="auto"/>
              </w:rPr>
            </w:pPr>
            <w:r>
              <w:rPr>
                <w:rFonts w:ascii="Arial" w:cs="Arial" w:eastAsia="Arial" w:hAnsi="Arial"/>
                <w:sz w:val="18"/>
                <w:szCs w:val="18"/>
                <w:color w:val="auto"/>
              </w:rPr>
              <w:t>LLC</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20" w:type="dxa"/>
            <w:vAlign w:val="bottom"/>
          </w:tcPr>
          <w:p>
            <w:pPr>
              <w:ind w:left="52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ind w:left="52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2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36,676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3,143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bottom w:val="single" w:sz="8" w:color="auto"/>
            </w:tcBorders>
            <w:shd w:val="clear" w:color="auto" w:fill="CFF0FC"/>
          </w:tcPr>
          <w:p>
            <w:pPr>
              <w:ind w:left="520"/>
              <w:spacing w:after="0"/>
              <w:rPr>
                <w:sz w:val="20"/>
                <w:szCs w:val="20"/>
                <w:color w:val="auto"/>
              </w:rPr>
            </w:pPr>
            <w:r>
              <w:rPr>
                <w:rFonts w:ascii="Arial" w:cs="Arial" w:eastAsia="Arial" w:hAnsi="Arial"/>
                <w:sz w:val="18"/>
                <w:szCs w:val="18"/>
                <w:b w:val="1"/>
                <w:bCs w:val="1"/>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shd w:val="clear" w:color="auto" w:fill="CFF0FC"/>
          </w:tcPr>
          <w:p>
            <w:pPr>
              <w:ind w:left="520"/>
              <w:spacing w:after="0"/>
              <w:rPr>
                <w:sz w:val="20"/>
                <w:szCs w:val="20"/>
                <w:color w:val="auto"/>
              </w:rPr>
            </w:pPr>
            <w:r>
              <w:rPr>
                <w:rFonts w:ascii="Arial" w:cs="Arial" w:eastAsia="Arial" w:hAnsi="Arial"/>
                <w:sz w:val="18"/>
                <w:szCs w:val="18"/>
                <w:b w:val="1"/>
                <w:bCs w:val="1"/>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b w:val="1"/>
                <w:bCs w:val="1"/>
                <w:color w:val="auto"/>
                <w:w w:val="71"/>
              </w:rPr>
              <w:t>$</w:t>
            </w:r>
          </w:p>
        </w:tc>
        <w:tc>
          <w:tcPr>
            <w:tcW w:w="440" w:type="dxa"/>
            <w:vAlign w:val="bottom"/>
            <w:tcBorders>
              <w:top w:val="single" w:sz="8" w:color="auto"/>
              <w:bottom w:val="single" w:sz="8" w:color="auto"/>
            </w:tcBorders>
            <w:shd w:val="clear" w:color="auto" w:fill="CFF0FC"/>
          </w:tcPr>
          <w:p>
            <w:pPr>
              <w:ind w:left="240"/>
              <w:spacing w:after="0"/>
              <w:rPr>
                <w:sz w:val="20"/>
                <w:szCs w:val="20"/>
                <w:color w:val="auto"/>
              </w:rPr>
            </w:pPr>
            <w:r>
              <w:rPr>
                <w:rFonts w:ascii="Arial" w:cs="Arial" w:eastAsia="Arial" w:hAnsi="Arial"/>
                <w:sz w:val="18"/>
                <w:szCs w:val="18"/>
                <w:b w:val="1"/>
                <w:bCs w:val="1"/>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39,687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1,925</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1000" w:right="100" w:hanging="493"/>
        <w:spacing w:after="0" w:line="258"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spacing w:after="0" w:line="1" w:lineRule="exact"/>
        <w:rPr>
          <w:rFonts w:ascii="Arial" w:cs="Arial" w:eastAsia="Arial" w:hAnsi="Arial"/>
          <w:sz w:val="18"/>
          <w:szCs w:val="18"/>
          <w:color w:val="auto"/>
        </w:rPr>
      </w:pPr>
    </w:p>
    <w:p>
      <w:pPr>
        <w:ind w:left="1000" w:hanging="493"/>
        <w:spacing w:after="0" w:line="255"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may be applied to the outstanding principal balance.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 w:name="page13"/>
    <w:bookmarkEnd w:id="12"/>
    <w:p>
      <w:pPr>
        <w:ind w:left="492" w:right="180" w:hanging="492"/>
        <w:spacing w:after="0" w:line="258" w:lineRule="auto"/>
        <w:tabs>
          <w:tab w:leader="none" w:pos="492"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 of June 30, 2021, the estimated cost basis of investments for U.S. federal tax purposes was $2,508,513, resulting in estimated gross unrealized gains and losses of $177,302 and $107,837, respectively.</w:t>
      </w:r>
    </w:p>
    <w:p>
      <w:pPr>
        <w:spacing w:after="0" w:line="1" w:lineRule="exact"/>
        <w:rPr>
          <w:rFonts w:ascii="Arial" w:cs="Arial" w:eastAsia="Arial" w:hAnsi="Arial"/>
          <w:sz w:val="18"/>
          <w:szCs w:val="18"/>
          <w:color w:val="auto"/>
        </w:rPr>
      </w:pPr>
    </w:p>
    <w:p>
      <w:pPr>
        <w:ind w:left="492" w:hanging="492"/>
        <w:spacing w:after="0" w:line="250" w:lineRule="auto"/>
        <w:tabs>
          <w:tab w:leader="none" w:pos="492"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These investments contain a fixed rate structure. The Company entered into an interest rate swap agreement to swap to a floating rate. Refer to Note 5 for further information related to the Company’s interest rate swaps on investments.</w:t>
      </w:r>
    </w:p>
    <w:p>
      <w:pPr>
        <w:ind w:left="492" w:hanging="492"/>
        <w:spacing w:after="0" w:line="250" w:lineRule="auto"/>
        <w:tabs>
          <w:tab w:leader="none" w:pos="492"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In accordance with Financial Accounting Standards Board Accounting Standards Codification Topic 820,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(“ASC Topic 820”), unless otherwise indicated, the fair values of all investments were determined using significant unobservable inputs and are considered Level 3 investments. See Note 6 for further information related to investments at fair value.</w:t>
      </w:r>
    </w:p>
    <w:p>
      <w:pPr>
        <w:spacing w:after="0" w:line="1" w:lineRule="exact"/>
        <w:rPr>
          <w:rFonts w:ascii="Arial" w:cs="Arial" w:eastAsia="Arial" w:hAnsi="Arial"/>
          <w:sz w:val="18"/>
          <w:szCs w:val="18"/>
          <w:color w:val="auto"/>
        </w:rPr>
      </w:pPr>
    </w:p>
    <w:p>
      <w:pPr>
        <w:ind w:left="492" w:right="40" w:hanging="492"/>
        <w:spacing w:after="0" w:line="250" w:lineRule="auto"/>
        <w:tabs>
          <w:tab w:leader="none" w:pos="492"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investment is valued using observable inputs and is considered a Level 2 investment. See Note 6 for further information related to investments at fair value.</w:t>
      </w:r>
    </w:p>
    <w:p>
      <w:pPr>
        <w:ind w:left="492" w:right="40" w:hanging="492"/>
        <w:spacing w:after="0" w:line="250" w:lineRule="auto"/>
        <w:tabs>
          <w:tab w:leader="none" w:pos="492"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investment is valued using observable inputs and is considered a Level 1 investment. See Note 6 for further information related to investments at fair value.</w:t>
      </w:r>
    </w:p>
    <w:p>
      <w:pPr>
        <w:ind w:left="492" w:hanging="492"/>
        <w:spacing w:after="0"/>
        <w:tabs>
          <w:tab w:leader="none" w:pos="492"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investment is non-income producing.</w:t>
      </w:r>
    </w:p>
    <w:p>
      <w:pPr>
        <w:spacing w:after="0" w:line="9" w:lineRule="exact"/>
        <w:rPr>
          <w:rFonts w:ascii="Arial" w:cs="Arial" w:eastAsia="Arial" w:hAnsi="Arial"/>
          <w:sz w:val="18"/>
          <w:szCs w:val="18"/>
          <w:color w:val="auto"/>
        </w:rPr>
      </w:pPr>
    </w:p>
    <w:p>
      <w:pPr>
        <w:ind w:left="492" w:right="160" w:hanging="492"/>
        <w:spacing w:after="0" w:line="250" w:lineRule="auto"/>
        <w:tabs>
          <w:tab w:leader="none" w:pos="492"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or a portion of this security was acquired in a transaction exempt from registration under the Securities Act of 1933, and may be deemed to be “restricted securities” under the Securities Act. As of June 30, 2021, the aggregate fair value of these securities is $68,860, or 5.6% of the Company’s net assets.</w:t>
      </w:r>
    </w:p>
    <w:p>
      <w:pPr>
        <w:spacing w:after="0" w:line="1" w:lineRule="exact"/>
        <w:rPr>
          <w:rFonts w:ascii="Arial" w:cs="Arial" w:eastAsia="Arial" w:hAnsi="Arial"/>
          <w:sz w:val="18"/>
          <w:szCs w:val="18"/>
          <w:color w:val="auto"/>
        </w:rPr>
      </w:pPr>
    </w:p>
    <w:p>
      <w:pPr>
        <w:ind w:left="492" w:hanging="492"/>
        <w:spacing w:after="0"/>
        <w:tabs>
          <w:tab w:leader="none" w:pos="492"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Ownership of equity investments may occur through a holding company or partnership.</w:t>
      </w:r>
    </w:p>
    <w:p>
      <w:pPr>
        <w:spacing w:after="0" w:line="9" w:lineRule="exact"/>
        <w:rPr>
          <w:rFonts w:ascii="Arial" w:cs="Arial" w:eastAsia="Arial" w:hAnsi="Arial"/>
          <w:sz w:val="18"/>
          <w:szCs w:val="18"/>
          <w:color w:val="auto"/>
        </w:rPr>
      </w:pPr>
    </w:p>
    <w:p>
      <w:pPr>
        <w:ind w:left="492" w:hanging="492"/>
        <w:spacing w:after="0"/>
        <w:tabs>
          <w:tab w:leader="none" w:pos="492"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Investment is on non-accrual status as of June 30, 2021.</w:t>
      </w:r>
    </w:p>
    <w:p>
      <w:pPr>
        <w:spacing w:after="0" w:line="103"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748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52"/>
          </w:cols>
          <w:pgMar w:left="328" w:top="449" w:right="41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Sixth Street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as of December 31, 2020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9"/>
              </w:rPr>
              <w:t>Initial</w:t>
            </w:r>
          </w:p>
        </w:tc>
        <w:tc>
          <w:tcPr>
            <w:tcW w:w="9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5"/>
              </w:rPr>
              <w:t>Reference</w:t>
            </w:r>
          </w:p>
        </w:tc>
        <w:tc>
          <w:tcPr>
            <w:tcW w:w="1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35"/>
        </w:trPr>
        <w:tc>
          <w:tcPr>
            <w:tcW w:w="2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98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0"/>
              </w:rPr>
              <w:t>Rate and</w:t>
            </w: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1"/>
              </w:rPr>
              <w:t>Amortized</w:t>
            </w: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jc w:val="right"/>
              <w:ind w:right="144"/>
              <w:spacing w:after="0" w:line="135" w:lineRule="exact"/>
              <w:rPr>
                <w:sz w:val="20"/>
                <w:szCs w:val="20"/>
                <w:color w:val="auto"/>
              </w:rPr>
            </w:pPr>
            <w:r>
              <w:rPr>
                <w:rFonts w:ascii="Arial" w:cs="Arial" w:eastAsia="Arial" w:hAnsi="Arial"/>
                <w:sz w:val="13"/>
                <w:szCs w:val="13"/>
                <w:b w:val="1"/>
                <w:bCs w:val="1"/>
                <w:color w:val="auto"/>
                <w:w w:val="88"/>
              </w:rPr>
              <w:t>Percentage</w:t>
            </w:r>
          </w:p>
        </w:tc>
      </w:tr>
      <w:tr>
        <w:trPr>
          <w:trHeight w:val="153"/>
        </w:trPr>
        <w:tc>
          <w:tcPr>
            <w:tcW w:w="2620" w:type="dxa"/>
            <w:vAlign w:val="bottom"/>
            <w:gridSpan w:val="2"/>
          </w:tcPr>
          <w:p>
            <w:pPr>
              <w:spacing w:after="0"/>
              <w:rPr>
                <w:sz w:val="20"/>
                <w:szCs w:val="20"/>
                <w:color w:val="auto"/>
              </w:rPr>
            </w:pPr>
            <w:r>
              <w:rPr>
                <w:rFonts w:ascii="Arial" w:cs="Arial" w:eastAsia="Arial" w:hAnsi="Arial"/>
                <w:sz w:val="13"/>
                <w:szCs w:val="13"/>
                <w:b w:val="1"/>
                <w:bCs w:val="1"/>
                <w:color w:val="auto"/>
              </w:rPr>
              <w:t xml:space="preserve">Company </w:t>
            </w:r>
            <w:r>
              <w:rPr>
                <w:rFonts w:ascii="Arial" w:cs="Arial" w:eastAsia="Arial" w:hAnsi="Arial"/>
                <w:sz w:val="10"/>
                <w:szCs w:val="10"/>
                <w:b w:val="1"/>
                <w:bCs w:val="1"/>
                <w:color w:val="auto"/>
              </w:rPr>
              <w:t>(1)</w:t>
            </w:r>
          </w:p>
        </w:tc>
        <w:tc>
          <w:tcPr>
            <w:tcW w:w="2340" w:type="dxa"/>
            <w:vAlign w:val="bottom"/>
            <w:gridSpan w:val="2"/>
          </w:tcPr>
          <w:p>
            <w:pPr>
              <w:ind w:left="820"/>
              <w:spacing w:after="0"/>
              <w:rPr>
                <w:sz w:val="20"/>
                <w:szCs w:val="20"/>
                <w:color w:val="auto"/>
              </w:rPr>
            </w:pPr>
            <w:r>
              <w:rPr>
                <w:rFonts w:ascii="Arial" w:cs="Arial" w:eastAsia="Arial" w:hAnsi="Arial"/>
                <w:sz w:val="13"/>
                <w:szCs w:val="13"/>
                <w:b w:val="1"/>
                <w:bCs w:val="1"/>
                <w:color w:val="auto"/>
              </w:rPr>
              <w:t>Investment</w:t>
            </w:r>
          </w:p>
        </w:tc>
        <w:tc>
          <w:tcPr>
            <w:tcW w:w="9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Date</w:t>
            </w:r>
          </w:p>
        </w:tc>
        <w:tc>
          <w:tcPr>
            <w:tcW w:w="9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6"/>
              </w:rPr>
              <w:t>Spread</w:t>
            </w:r>
          </w:p>
        </w:tc>
        <w:tc>
          <w:tcPr>
            <w:tcW w:w="144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Interest Rate</w:t>
            </w:r>
          </w:p>
        </w:tc>
        <w:tc>
          <w:tcPr>
            <w:tcW w:w="9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1"/>
              </w:rPr>
              <w:t xml:space="preserve">Cost </w:t>
            </w:r>
            <w:r>
              <w:rPr>
                <w:rFonts w:ascii="Arial" w:cs="Arial" w:eastAsia="Arial" w:hAnsi="Arial"/>
                <w:sz w:val="10"/>
                <w:szCs w:val="10"/>
                <w:b w:val="1"/>
                <w:bCs w:val="1"/>
                <w:color w:val="auto"/>
                <w:w w:val="91"/>
              </w:rPr>
              <w:t>(2)(8)</w:t>
            </w:r>
          </w:p>
        </w:tc>
        <w:tc>
          <w:tcPr>
            <w:tcW w:w="1080" w:type="dxa"/>
            <w:vAlign w:val="bottom"/>
            <w:gridSpan w:val="2"/>
          </w:tcPr>
          <w:p>
            <w:pPr>
              <w:ind w:left="40"/>
              <w:spacing w:after="0"/>
              <w:rPr>
                <w:sz w:val="20"/>
                <w:szCs w:val="20"/>
                <w:color w:val="auto"/>
              </w:rPr>
            </w:pPr>
            <w:r>
              <w:rPr>
                <w:rFonts w:ascii="Arial" w:cs="Arial" w:eastAsia="Arial" w:hAnsi="Arial"/>
                <w:sz w:val="13"/>
                <w:szCs w:val="13"/>
                <w:b w:val="1"/>
                <w:bCs w:val="1"/>
                <w:color w:val="auto"/>
              </w:rPr>
              <w:t xml:space="preserve">Fair Value </w:t>
            </w:r>
            <w:r>
              <w:rPr>
                <w:rFonts w:ascii="Arial" w:cs="Arial" w:eastAsia="Arial" w:hAnsi="Arial"/>
                <w:sz w:val="10"/>
                <w:szCs w:val="10"/>
                <w:b w:val="1"/>
                <w:bCs w:val="1"/>
                <w:color w:val="auto"/>
              </w:rPr>
              <w:t>(10)</w:t>
            </w:r>
          </w:p>
        </w:tc>
        <w:tc>
          <w:tcPr>
            <w:tcW w:w="860" w:type="dxa"/>
            <w:vAlign w:val="bottom"/>
            <w:gridSpan w:val="2"/>
          </w:tcPr>
          <w:p>
            <w:pPr>
              <w:jc w:val="right"/>
              <w:ind w:right="84"/>
              <w:spacing w:after="0"/>
              <w:rPr>
                <w:sz w:val="20"/>
                <w:szCs w:val="20"/>
                <w:color w:val="auto"/>
              </w:rPr>
            </w:pPr>
            <w:r>
              <w:rPr>
                <w:rFonts w:ascii="Arial" w:cs="Arial" w:eastAsia="Arial" w:hAnsi="Arial"/>
                <w:sz w:val="13"/>
                <w:szCs w:val="13"/>
                <w:b w:val="1"/>
                <w:bCs w:val="1"/>
                <w:color w:val="auto"/>
                <w:w w:val="81"/>
              </w:rPr>
              <w:t>of Net Assets</w:t>
            </w:r>
          </w:p>
        </w:tc>
      </w:tr>
      <w:tr>
        <w:trPr>
          <w:trHeight w:val="209"/>
        </w:trPr>
        <w:tc>
          <w:tcPr>
            <w:tcW w:w="25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Debt Investments</w:t>
            </w:r>
          </w:p>
        </w:tc>
        <w:tc>
          <w:tcPr>
            <w:tcW w:w="100" w:type="dxa"/>
            <w:vAlign w:val="bottom"/>
            <w:tcBorders>
              <w:top w:val="single" w:sz="8" w:color="CFF0FC"/>
            </w:tcBorders>
            <w:shd w:val="clear" w:color="auto" w:fill="CFF0FC"/>
          </w:tcPr>
          <w:p>
            <w:pPr>
              <w:spacing w:after="0"/>
              <w:rPr>
                <w:sz w:val="18"/>
                <w:szCs w:val="18"/>
                <w:color w:val="auto"/>
              </w:rPr>
            </w:pPr>
          </w:p>
        </w:tc>
        <w:tc>
          <w:tcPr>
            <w:tcW w:w="22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r>
      <w:tr>
        <w:trPr>
          <w:trHeight w:val="213"/>
        </w:trPr>
        <w:tc>
          <w:tcPr>
            <w:tcW w:w="2620" w:type="dxa"/>
            <w:vAlign w:val="bottom"/>
            <w:gridSpan w:val="2"/>
          </w:tcPr>
          <w:p>
            <w:pPr>
              <w:spacing w:after="0"/>
              <w:rPr>
                <w:sz w:val="20"/>
                <w:szCs w:val="20"/>
                <w:color w:val="auto"/>
              </w:rPr>
            </w:pPr>
            <w:r>
              <w:rPr>
                <w:rFonts w:ascii="Arial" w:cs="Arial" w:eastAsia="Arial" w:hAnsi="Arial"/>
                <w:sz w:val="16"/>
                <w:szCs w:val="16"/>
                <w:b w:val="1"/>
                <w:bCs w:val="1"/>
                <w:color w:val="auto"/>
              </w:rPr>
              <w:t>Business services</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6"/>
        </w:trPr>
        <w:tc>
          <w:tcPr>
            <w:tcW w:w="26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Acceo Solutions,</w:t>
            </w:r>
          </w:p>
        </w:tc>
        <w:tc>
          <w:tcPr>
            <w:tcW w:w="23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First-lien loan (CAD 74,813 par,</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7/6/2018</w:t>
            </w:r>
          </w:p>
        </w:tc>
        <w:tc>
          <w:tcPr>
            <w:tcW w:w="12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C + 5.25%</w:t>
            </w: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6.25%</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   56,132</w:t>
            </w: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$59,603</w:t>
            </w: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5.1%</w:t>
            </w:r>
          </w:p>
        </w:tc>
      </w:tr>
      <w:tr>
        <w:trPr>
          <w:trHeight w:val="206"/>
        </w:trPr>
        <w:tc>
          <w:tcPr>
            <w:tcW w:w="262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 xml:space="preserve">Inc. </w:t>
            </w:r>
            <w:r>
              <w:rPr>
                <w:rFonts w:ascii="Arial" w:cs="Arial" w:eastAsia="Arial" w:hAnsi="Arial"/>
                <w:sz w:val="13"/>
                <w:szCs w:val="13"/>
                <w:color w:val="auto"/>
              </w:rPr>
              <w:t>(3)(4)(5)</w:t>
            </w:r>
          </w:p>
        </w:tc>
        <w:tc>
          <w:tcPr>
            <w:tcW w:w="23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due 10/2025)</w:t>
            </w:r>
          </w:p>
        </w:tc>
        <w:tc>
          <w:tcPr>
            <w:tcW w:w="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ind w:left="460"/>
              <w:spacing w:after="0"/>
              <w:rPr>
                <w:sz w:val="20"/>
                <w:szCs w:val="20"/>
                <w:color w:val="auto"/>
              </w:rPr>
            </w:pPr>
            <w:r>
              <w:rPr>
                <w:rFonts w:ascii="Arial" w:cs="Arial" w:eastAsia="Arial" w:hAnsi="Arial"/>
                <w:sz w:val="16"/>
                <w:szCs w:val="16"/>
                <w:color w:val="auto"/>
              </w:rPr>
              <w:t>(CAD</w:t>
            </w:r>
          </w:p>
        </w:tc>
        <w:tc>
          <w:tcPr>
            <w:tcW w:w="7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12"/>
        </w:trPr>
        <w:tc>
          <w:tcPr>
            <w:tcW w:w="2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75,935)</w:t>
            </w: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620" w:type="dxa"/>
            <w:vAlign w:val="bottom"/>
            <w:gridSpan w:val="2"/>
          </w:tcPr>
          <w:p>
            <w:pPr>
              <w:spacing w:after="0" w:line="207" w:lineRule="exact"/>
              <w:rPr>
                <w:sz w:val="20"/>
                <w:szCs w:val="20"/>
                <w:color w:val="auto"/>
              </w:rPr>
            </w:pPr>
            <w:r>
              <w:rPr>
                <w:rFonts w:ascii="Arial" w:cs="Arial" w:eastAsia="Arial" w:hAnsi="Arial"/>
                <w:sz w:val="14"/>
                <w:szCs w:val="14"/>
                <w:color w:val="auto"/>
              </w:rPr>
              <w:t xml:space="preserve">Alpha Midco, Inc. </w:t>
            </w:r>
            <w:r>
              <w:rPr>
                <w:rFonts w:ascii="Arial" w:cs="Arial" w:eastAsia="Arial" w:hAnsi="Arial"/>
                <w:sz w:val="23"/>
                <w:szCs w:val="23"/>
                <w:color w:val="auto"/>
                <w:vertAlign w:val="superscript"/>
              </w:rPr>
              <w:t>(3)(5)</w:t>
            </w:r>
          </w:p>
        </w:tc>
        <w:tc>
          <w:tcPr>
            <w:tcW w:w="2340" w:type="dxa"/>
            <w:vAlign w:val="bottom"/>
            <w:gridSpan w:val="2"/>
          </w:tcPr>
          <w:p>
            <w:pPr>
              <w:spacing w:after="0"/>
              <w:rPr>
                <w:sz w:val="20"/>
                <w:szCs w:val="20"/>
                <w:color w:val="auto"/>
              </w:rPr>
            </w:pPr>
            <w:r>
              <w:rPr>
                <w:rFonts w:ascii="Arial" w:cs="Arial" w:eastAsia="Arial" w:hAnsi="Arial"/>
                <w:sz w:val="16"/>
                <w:szCs w:val="16"/>
                <w:color w:val="auto"/>
              </w:rPr>
              <w:t>First-lien loan ($64,317 par, due</w:t>
            </w:r>
          </w:p>
        </w:tc>
        <w:tc>
          <w:tcPr>
            <w:tcW w:w="820" w:type="dxa"/>
            <w:vAlign w:val="bottom"/>
          </w:tcPr>
          <w:p>
            <w:pPr>
              <w:jc w:val="right"/>
              <w:spacing w:after="0"/>
              <w:rPr>
                <w:sz w:val="20"/>
                <w:szCs w:val="20"/>
                <w:color w:val="auto"/>
              </w:rPr>
            </w:pPr>
            <w:r>
              <w:rPr>
                <w:rFonts w:ascii="Arial" w:cs="Arial" w:eastAsia="Arial" w:hAnsi="Arial"/>
                <w:sz w:val="16"/>
                <w:szCs w:val="16"/>
                <w:color w:val="auto"/>
              </w:rPr>
              <w:t>8/15/2019</w:t>
            </w:r>
          </w:p>
        </w:tc>
        <w:tc>
          <w:tcPr>
            <w:tcW w:w="12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L + 7.50%</w:t>
            </w:r>
          </w:p>
        </w:tc>
        <w:tc>
          <w:tcPr>
            <w:tcW w:w="1440" w:type="dxa"/>
            <w:vAlign w:val="bottom"/>
            <w:gridSpan w:val="2"/>
          </w:tcPr>
          <w:p>
            <w:pPr>
              <w:jc w:val="right"/>
              <w:ind w:right="120"/>
              <w:spacing w:after="0"/>
              <w:rPr>
                <w:sz w:val="20"/>
                <w:szCs w:val="20"/>
                <w:color w:val="auto"/>
              </w:rPr>
            </w:pPr>
            <w:r>
              <w:rPr>
                <w:rFonts w:ascii="Arial" w:cs="Arial" w:eastAsia="Arial" w:hAnsi="Arial"/>
                <w:sz w:val="16"/>
                <w:szCs w:val="16"/>
                <w:color w:val="auto"/>
              </w:rPr>
              <w:t>8.50%</w:t>
            </w:r>
          </w:p>
        </w:tc>
        <w:tc>
          <w:tcPr>
            <w:tcW w:w="760" w:type="dxa"/>
            <w:vAlign w:val="bottom"/>
          </w:tcPr>
          <w:p>
            <w:pPr>
              <w:jc w:val="right"/>
              <w:spacing w:after="0"/>
              <w:rPr>
                <w:sz w:val="20"/>
                <w:szCs w:val="20"/>
                <w:color w:val="auto"/>
              </w:rPr>
            </w:pPr>
            <w:r>
              <w:rPr>
                <w:rFonts w:ascii="Arial" w:cs="Arial" w:eastAsia="Arial" w:hAnsi="Arial"/>
                <w:sz w:val="16"/>
                <w:szCs w:val="16"/>
                <w:color w:val="auto"/>
              </w:rPr>
              <w:t>62,934</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64,837</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5.6%</w:t>
            </w:r>
          </w:p>
        </w:tc>
      </w:tr>
      <w:tr>
        <w:trPr>
          <w:trHeight w:val="209"/>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6"/>
                <w:szCs w:val="16"/>
                <w:color w:val="auto"/>
              </w:rPr>
              <w:t>8/2025)</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620" w:type="dxa"/>
            <w:vAlign w:val="bottom"/>
            <w:gridSpan w:val="2"/>
            <w:shd w:val="clear" w:color="auto" w:fill="CFF0FC"/>
          </w:tcPr>
          <w:p>
            <w:pPr>
              <w:spacing w:after="0" w:line="209" w:lineRule="exact"/>
              <w:rPr>
                <w:sz w:val="20"/>
                <w:szCs w:val="20"/>
                <w:color w:val="auto"/>
              </w:rPr>
            </w:pPr>
            <w:r>
              <w:rPr>
                <w:rFonts w:ascii="Arial" w:cs="Arial" w:eastAsia="Arial" w:hAnsi="Arial"/>
                <w:sz w:val="15"/>
                <w:szCs w:val="15"/>
                <w:color w:val="auto"/>
              </w:rPr>
              <w:t xml:space="preserve">ForeScout Technologies, Inc. </w:t>
            </w:r>
            <w:r>
              <w:rPr>
                <w:rFonts w:ascii="Arial" w:cs="Arial" w:eastAsia="Arial" w:hAnsi="Arial"/>
                <w:sz w:val="24"/>
                <w:szCs w:val="24"/>
                <w:color w:val="auto"/>
                <w:vertAlign w:val="superscript"/>
              </w:rPr>
              <w:t>(3)</w:t>
            </w:r>
          </w:p>
        </w:tc>
        <w:tc>
          <w:tcPr>
            <w:tcW w:w="23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First-lien loan ($4,662 par, due</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8/17/2020</w:t>
            </w: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+ 9.50%</w:t>
            </w: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10.50% (incl.</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4,543</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4,623</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0.4%</w:t>
            </w:r>
          </w:p>
        </w:tc>
      </w:tr>
      <w:tr>
        <w:trPr>
          <w:trHeight w:val="212"/>
        </w:trPr>
        <w:tc>
          <w:tcPr>
            <w:tcW w:w="2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40" w:type="dxa"/>
            <w:vAlign w:val="bottom"/>
            <w:shd w:val="clear" w:color="auto" w:fill="CFF0FC"/>
          </w:tcPr>
          <w:p>
            <w:pPr>
              <w:spacing w:after="0"/>
              <w:rPr>
                <w:sz w:val="20"/>
                <w:szCs w:val="20"/>
                <w:color w:val="auto"/>
              </w:rPr>
            </w:pPr>
            <w:r>
              <w:rPr>
                <w:rFonts w:ascii="Arial" w:cs="Arial" w:eastAsia="Arial" w:hAnsi="Arial"/>
                <w:sz w:val="16"/>
                <w:szCs w:val="16"/>
                <w:color w:val="auto"/>
              </w:rPr>
              <w:t>8/2026)</w:t>
            </w: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9.50% PIK)</w:t>
            </w: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620" w:type="dxa"/>
            <w:vAlign w:val="bottom"/>
            <w:gridSpan w:val="2"/>
          </w:tcPr>
          <w:p>
            <w:pPr>
              <w:spacing w:after="0" w:line="207" w:lineRule="exact"/>
              <w:rPr>
                <w:sz w:val="20"/>
                <w:szCs w:val="20"/>
                <w:color w:val="auto"/>
              </w:rPr>
            </w:pPr>
            <w:r>
              <w:rPr>
                <w:rFonts w:ascii="Arial" w:cs="Arial" w:eastAsia="Arial" w:hAnsi="Arial"/>
                <w:sz w:val="14"/>
                <w:szCs w:val="14"/>
                <w:color w:val="auto"/>
              </w:rPr>
              <w:t xml:space="preserve">Integration Appliance, Inc. </w:t>
            </w:r>
            <w:r>
              <w:rPr>
                <w:rFonts w:ascii="Arial" w:cs="Arial" w:eastAsia="Arial" w:hAnsi="Arial"/>
                <w:sz w:val="23"/>
                <w:szCs w:val="23"/>
                <w:color w:val="auto"/>
                <w:vertAlign w:val="superscript"/>
              </w:rPr>
              <w:t>(3)</w:t>
            </w:r>
          </w:p>
        </w:tc>
        <w:tc>
          <w:tcPr>
            <w:tcW w:w="2340" w:type="dxa"/>
            <w:vAlign w:val="bottom"/>
            <w:gridSpan w:val="2"/>
          </w:tcPr>
          <w:p>
            <w:pPr>
              <w:spacing w:after="0"/>
              <w:rPr>
                <w:sz w:val="20"/>
                <w:szCs w:val="20"/>
                <w:color w:val="auto"/>
              </w:rPr>
            </w:pPr>
            <w:r>
              <w:rPr>
                <w:rFonts w:ascii="Arial" w:cs="Arial" w:eastAsia="Arial" w:hAnsi="Arial"/>
                <w:sz w:val="16"/>
                <w:szCs w:val="16"/>
                <w:color w:val="auto"/>
              </w:rPr>
              <w:t>First-lien loan ($71,500 par, due</w:t>
            </w:r>
          </w:p>
        </w:tc>
        <w:tc>
          <w:tcPr>
            <w:tcW w:w="820" w:type="dxa"/>
            <w:vAlign w:val="bottom"/>
          </w:tcPr>
          <w:p>
            <w:pPr>
              <w:jc w:val="right"/>
              <w:spacing w:after="0"/>
              <w:rPr>
                <w:sz w:val="20"/>
                <w:szCs w:val="20"/>
                <w:color w:val="auto"/>
              </w:rPr>
            </w:pPr>
            <w:r>
              <w:rPr>
                <w:rFonts w:ascii="Arial" w:cs="Arial" w:eastAsia="Arial" w:hAnsi="Arial"/>
                <w:sz w:val="16"/>
                <w:szCs w:val="16"/>
                <w:color w:val="auto"/>
              </w:rPr>
              <w:t>8/13/2018</w:t>
            </w:r>
          </w:p>
        </w:tc>
        <w:tc>
          <w:tcPr>
            <w:tcW w:w="12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L + 7.25%</w:t>
            </w:r>
          </w:p>
        </w:tc>
        <w:tc>
          <w:tcPr>
            <w:tcW w:w="1440" w:type="dxa"/>
            <w:vAlign w:val="bottom"/>
            <w:gridSpan w:val="2"/>
          </w:tcPr>
          <w:p>
            <w:pPr>
              <w:jc w:val="right"/>
              <w:ind w:right="120"/>
              <w:spacing w:after="0"/>
              <w:rPr>
                <w:sz w:val="20"/>
                <w:szCs w:val="20"/>
                <w:color w:val="auto"/>
              </w:rPr>
            </w:pPr>
            <w:r>
              <w:rPr>
                <w:rFonts w:ascii="Arial" w:cs="Arial" w:eastAsia="Arial" w:hAnsi="Arial"/>
                <w:sz w:val="16"/>
                <w:szCs w:val="16"/>
                <w:color w:val="auto"/>
              </w:rPr>
              <w:t>8.25%</w:t>
            </w:r>
          </w:p>
        </w:tc>
        <w:tc>
          <w:tcPr>
            <w:tcW w:w="760" w:type="dxa"/>
            <w:vAlign w:val="bottom"/>
          </w:tcPr>
          <w:p>
            <w:pPr>
              <w:jc w:val="right"/>
              <w:spacing w:after="0"/>
              <w:rPr>
                <w:sz w:val="20"/>
                <w:szCs w:val="20"/>
                <w:color w:val="auto"/>
              </w:rPr>
            </w:pPr>
            <w:r>
              <w:rPr>
                <w:rFonts w:ascii="Arial" w:cs="Arial" w:eastAsia="Arial" w:hAnsi="Arial"/>
                <w:sz w:val="16"/>
                <w:szCs w:val="16"/>
                <w:color w:val="auto"/>
              </w:rPr>
              <w:t>70,857</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72,215</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6.2%</w:t>
            </w:r>
          </w:p>
        </w:tc>
      </w:tr>
      <w:tr>
        <w:trPr>
          <w:trHeight w:val="209"/>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6"/>
                <w:szCs w:val="16"/>
                <w:color w:val="auto"/>
              </w:rPr>
              <w:t>8/2023)</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3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First-lien revolving loan ($1,310</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8/13/2018</w:t>
            </w: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+ 7.25%</w:t>
            </w: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8.25%</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1,289</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1,336</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0.1%</w:t>
            </w:r>
          </w:p>
        </w:tc>
      </w:tr>
      <w:tr>
        <w:trPr>
          <w:trHeight w:val="212"/>
        </w:trPr>
        <w:tc>
          <w:tcPr>
            <w:tcW w:w="2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3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par, due 8/2023)</w:t>
            </w: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620" w:type="dxa"/>
            <w:vAlign w:val="bottom"/>
            <w:gridSpan w:val="2"/>
          </w:tcPr>
          <w:p>
            <w:pPr>
              <w:spacing w:after="0" w:line="207" w:lineRule="exact"/>
              <w:rPr>
                <w:sz w:val="20"/>
                <w:szCs w:val="20"/>
                <w:color w:val="auto"/>
              </w:rPr>
            </w:pPr>
            <w:r>
              <w:rPr>
                <w:rFonts w:ascii="Arial" w:cs="Arial" w:eastAsia="Arial" w:hAnsi="Arial"/>
                <w:sz w:val="14"/>
                <w:szCs w:val="14"/>
                <w:color w:val="auto"/>
              </w:rPr>
              <w:t xml:space="preserve">Motus, LLC </w:t>
            </w:r>
            <w:r>
              <w:rPr>
                <w:rFonts w:ascii="Arial" w:cs="Arial" w:eastAsia="Arial" w:hAnsi="Arial"/>
                <w:sz w:val="23"/>
                <w:szCs w:val="23"/>
                <w:color w:val="auto"/>
                <w:vertAlign w:val="superscript"/>
              </w:rPr>
              <w:t>(3)(5)</w:t>
            </w:r>
          </w:p>
        </w:tc>
        <w:tc>
          <w:tcPr>
            <w:tcW w:w="2340" w:type="dxa"/>
            <w:vAlign w:val="bottom"/>
            <w:gridSpan w:val="2"/>
          </w:tcPr>
          <w:p>
            <w:pPr>
              <w:spacing w:after="0"/>
              <w:rPr>
                <w:sz w:val="20"/>
                <w:szCs w:val="20"/>
                <w:color w:val="auto"/>
              </w:rPr>
            </w:pPr>
            <w:r>
              <w:rPr>
                <w:rFonts w:ascii="Arial" w:cs="Arial" w:eastAsia="Arial" w:hAnsi="Arial"/>
                <w:sz w:val="16"/>
                <w:szCs w:val="16"/>
                <w:color w:val="auto"/>
              </w:rPr>
              <w:t>First-lien loan ($61,800 par, due</w:t>
            </w:r>
          </w:p>
        </w:tc>
        <w:tc>
          <w:tcPr>
            <w:tcW w:w="820" w:type="dxa"/>
            <w:vAlign w:val="bottom"/>
          </w:tcPr>
          <w:p>
            <w:pPr>
              <w:jc w:val="right"/>
              <w:spacing w:after="0"/>
              <w:rPr>
                <w:sz w:val="20"/>
                <w:szCs w:val="20"/>
                <w:color w:val="auto"/>
              </w:rPr>
            </w:pPr>
            <w:r>
              <w:rPr>
                <w:rFonts w:ascii="Arial" w:cs="Arial" w:eastAsia="Arial" w:hAnsi="Arial"/>
                <w:sz w:val="16"/>
                <w:szCs w:val="16"/>
                <w:color w:val="auto"/>
              </w:rPr>
              <w:t>1/17/2018</w:t>
            </w:r>
          </w:p>
        </w:tc>
        <w:tc>
          <w:tcPr>
            <w:tcW w:w="12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L + 5.50%</w:t>
            </w:r>
          </w:p>
        </w:tc>
        <w:tc>
          <w:tcPr>
            <w:tcW w:w="1440" w:type="dxa"/>
            <w:vAlign w:val="bottom"/>
            <w:gridSpan w:val="2"/>
          </w:tcPr>
          <w:p>
            <w:pPr>
              <w:jc w:val="right"/>
              <w:ind w:right="120"/>
              <w:spacing w:after="0"/>
              <w:rPr>
                <w:sz w:val="20"/>
                <w:szCs w:val="20"/>
                <w:color w:val="auto"/>
              </w:rPr>
            </w:pPr>
            <w:r>
              <w:rPr>
                <w:rFonts w:ascii="Arial" w:cs="Arial" w:eastAsia="Arial" w:hAnsi="Arial"/>
                <w:sz w:val="16"/>
                <w:szCs w:val="16"/>
                <w:color w:val="auto"/>
              </w:rPr>
              <w:t>6.50%</w:t>
            </w:r>
          </w:p>
        </w:tc>
        <w:tc>
          <w:tcPr>
            <w:tcW w:w="760" w:type="dxa"/>
            <w:vAlign w:val="bottom"/>
          </w:tcPr>
          <w:p>
            <w:pPr>
              <w:jc w:val="right"/>
              <w:spacing w:after="0"/>
              <w:rPr>
                <w:sz w:val="20"/>
                <w:szCs w:val="20"/>
                <w:color w:val="auto"/>
              </w:rPr>
            </w:pPr>
            <w:r>
              <w:rPr>
                <w:rFonts w:ascii="Arial" w:cs="Arial" w:eastAsia="Arial" w:hAnsi="Arial"/>
                <w:sz w:val="16"/>
                <w:szCs w:val="16"/>
                <w:color w:val="auto"/>
              </w:rPr>
              <w:t>60,902</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62,418</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5.4%</w:t>
            </w:r>
          </w:p>
        </w:tc>
      </w:tr>
      <w:tr>
        <w:trPr>
          <w:trHeight w:val="209"/>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6"/>
                <w:szCs w:val="16"/>
                <w:color w:val="auto"/>
              </w:rPr>
              <w:t>1/2024)</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620" w:type="dxa"/>
            <w:vAlign w:val="bottom"/>
            <w:gridSpan w:val="2"/>
            <w:shd w:val="clear" w:color="auto" w:fill="CFF0FC"/>
          </w:tcPr>
          <w:p>
            <w:pPr>
              <w:spacing w:after="0" w:line="209" w:lineRule="exact"/>
              <w:rPr>
                <w:sz w:val="20"/>
                <w:szCs w:val="20"/>
                <w:color w:val="auto"/>
              </w:rPr>
            </w:pPr>
            <w:r>
              <w:rPr>
                <w:rFonts w:ascii="Arial" w:cs="Arial" w:eastAsia="Arial" w:hAnsi="Arial"/>
                <w:sz w:val="15"/>
                <w:szCs w:val="15"/>
                <w:color w:val="auto"/>
              </w:rPr>
              <w:t xml:space="preserve">Netwrix Corp. </w:t>
            </w:r>
            <w:r>
              <w:rPr>
                <w:rFonts w:ascii="Arial" w:cs="Arial" w:eastAsia="Arial" w:hAnsi="Arial"/>
                <w:sz w:val="24"/>
                <w:szCs w:val="24"/>
                <w:color w:val="auto"/>
                <w:vertAlign w:val="superscript"/>
              </w:rPr>
              <w:t>(3)(5)</w:t>
            </w:r>
          </w:p>
        </w:tc>
        <w:tc>
          <w:tcPr>
            <w:tcW w:w="23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First-lien loan ($50,792 par, due</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9/30/2020</w:t>
            </w: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+ 6.50%</w:t>
            </w: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7.50%</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49,381</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49,391</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4.3%</w:t>
            </w:r>
          </w:p>
        </w:tc>
      </w:tr>
      <w:tr>
        <w:trPr>
          <w:trHeight w:val="212"/>
        </w:trPr>
        <w:tc>
          <w:tcPr>
            <w:tcW w:w="2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40" w:type="dxa"/>
            <w:vAlign w:val="bottom"/>
            <w:shd w:val="clear" w:color="auto" w:fill="CFF0FC"/>
          </w:tcPr>
          <w:p>
            <w:pPr>
              <w:spacing w:after="0"/>
              <w:rPr>
                <w:sz w:val="20"/>
                <w:szCs w:val="20"/>
                <w:color w:val="auto"/>
              </w:rPr>
            </w:pPr>
            <w:r>
              <w:rPr>
                <w:rFonts w:ascii="Arial" w:cs="Arial" w:eastAsia="Arial" w:hAnsi="Arial"/>
                <w:sz w:val="16"/>
                <w:szCs w:val="16"/>
                <w:color w:val="auto"/>
              </w:rPr>
              <w:t>9/2026)</w:t>
            </w: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620" w:type="dxa"/>
            <w:vAlign w:val="bottom"/>
            <w:gridSpan w:val="2"/>
          </w:tcPr>
          <w:p>
            <w:pPr>
              <w:spacing w:after="0" w:line="207" w:lineRule="exact"/>
              <w:rPr>
                <w:sz w:val="20"/>
                <w:szCs w:val="20"/>
                <w:color w:val="auto"/>
              </w:rPr>
            </w:pPr>
            <w:r>
              <w:rPr>
                <w:rFonts w:ascii="Arial" w:cs="Arial" w:eastAsia="Arial" w:hAnsi="Arial"/>
                <w:sz w:val="14"/>
                <w:szCs w:val="14"/>
                <w:color w:val="auto"/>
              </w:rPr>
              <w:t xml:space="preserve">Nintex Global, Ltd. </w:t>
            </w:r>
            <w:r>
              <w:rPr>
                <w:rFonts w:ascii="Arial" w:cs="Arial" w:eastAsia="Arial" w:hAnsi="Arial"/>
                <w:sz w:val="23"/>
                <w:szCs w:val="23"/>
                <w:color w:val="auto"/>
                <w:vertAlign w:val="superscript"/>
              </w:rPr>
              <w:t>(3)(5)</w:t>
            </w:r>
          </w:p>
        </w:tc>
        <w:tc>
          <w:tcPr>
            <w:tcW w:w="2340" w:type="dxa"/>
            <w:vAlign w:val="bottom"/>
            <w:gridSpan w:val="2"/>
          </w:tcPr>
          <w:p>
            <w:pPr>
              <w:spacing w:after="0"/>
              <w:rPr>
                <w:sz w:val="20"/>
                <w:szCs w:val="20"/>
                <w:color w:val="auto"/>
              </w:rPr>
            </w:pPr>
            <w:r>
              <w:rPr>
                <w:rFonts w:ascii="Arial" w:cs="Arial" w:eastAsia="Arial" w:hAnsi="Arial"/>
                <w:sz w:val="16"/>
                <w:szCs w:val="16"/>
                <w:color w:val="auto"/>
              </w:rPr>
              <w:t>First-lien loan ($79,695 par, due</w:t>
            </w:r>
          </w:p>
        </w:tc>
        <w:tc>
          <w:tcPr>
            <w:tcW w:w="820" w:type="dxa"/>
            <w:vAlign w:val="bottom"/>
          </w:tcPr>
          <w:p>
            <w:pPr>
              <w:jc w:val="right"/>
              <w:spacing w:after="0"/>
              <w:rPr>
                <w:sz w:val="20"/>
                <w:szCs w:val="20"/>
                <w:color w:val="auto"/>
              </w:rPr>
            </w:pPr>
            <w:r>
              <w:rPr>
                <w:rFonts w:ascii="Arial" w:cs="Arial" w:eastAsia="Arial" w:hAnsi="Arial"/>
                <w:sz w:val="16"/>
                <w:szCs w:val="16"/>
                <w:color w:val="auto"/>
              </w:rPr>
              <w:t>3/30/2018</w:t>
            </w:r>
          </w:p>
        </w:tc>
        <w:tc>
          <w:tcPr>
            <w:tcW w:w="12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L + 6.75%</w:t>
            </w:r>
          </w:p>
        </w:tc>
        <w:tc>
          <w:tcPr>
            <w:tcW w:w="1440" w:type="dxa"/>
            <w:vAlign w:val="bottom"/>
            <w:gridSpan w:val="2"/>
          </w:tcPr>
          <w:p>
            <w:pPr>
              <w:jc w:val="right"/>
              <w:ind w:right="120"/>
              <w:spacing w:after="0"/>
              <w:rPr>
                <w:sz w:val="20"/>
                <w:szCs w:val="20"/>
                <w:color w:val="auto"/>
              </w:rPr>
            </w:pPr>
            <w:r>
              <w:rPr>
                <w:rFonts w:ascii="Arial" w:cs="Arial" w:eastAsia="Arial" w:hAnsi="Arial"/>
                <w:sz w:val="16"/>
                <w:szCs w:val="16"/>
                <w:color w:val="auto"/>
              </w:rPr>
              <w:t>7.75%</w:t>
            </w:r>
          </w:p>
        </w:tc>
        <w:tc>
          <w:tcPr>
            <w:tcW w:w="760" w:type="dxa"/>
            <w:vAlign w:val="bottom"/>
          </w:tcPr>
          <w:p>
            <w:pPr>
              <w:jc w:val="right"/>
              <w:spacing w:after="0"/>
              <w:rPr>
                <w:sz w:val="20"/>
                <w:szCs w:val="20"/>
                <w:color w:val="auto"/>
              </w:rPr>
            </w:pPr>
            <w:r>
              <w:rPr>
                <w:rFonts w:ascii="Arial" w:cs="Arial" w:eastAsia="Arial" w:hAnsi="Arial"/>
                <w:sz w:val="16"/>
                <w:szCs w:val="16"/>
                <w:color w:val="auto"/>
              </w:rPr>
              <w:t>78,370</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81,912</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7.1%</w:t>
            </w:r>
          </w:p>
        </w:tc>
      </w:tr>
      <w:tr>
        <w:trPr>
          <w:trHeight w:val="209"/>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6"/>
                <w:szCs w:val="16"/>
                <w:color w:val="auto"/>
              </w:rPr>
              <w:t>4/2024)</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620" w:type="dxa"/>
            <w:vAlign w:val="bottom"/>
            <w:gridSpan w:val="2"/>
            <w:shd w:val="clear" w:color="auto" w:fill="CFF0FC"/>
          </w:tcPr>
          <w:p>
            <w:pPr>
              <w:spacing w:after="0" w:line="209" w:lineRule="exact"/>
              <w:rPr>
                <w:sz w:val="20"/>
                <w:szCs w:val="20"/>
                <w:color w:val="auto"/>
              </w:rPr>
            </w:pPr>
            <w:r>
              <w:rPr>
                <w:rFonts w:ascii="Arial" w:cs="Arial" w:eastAsia="Arial" w:hAnsi="Arial"/>
                <w:sz w:val="15"/>
                <w:szCs w:val="15"/>
                <w:color w:val="auto"/>
              </w:rPr>
              <w:t xml:space="preserve">ReliaQuest Holdings, LLC </w:t>
            </w:r>
            <w:r>
              <w:rPr>
                <w:rFonts w:ascii="Arial" w:cs="Arial" w:eastAsia="Arial" w:hAnsi="Arial"/>
                <w:sz w:val="24"/>
                <w:szCs w:val="24"/>
                <w:color w:val="auto"/>
                <w:vertAlign w:val="superscript"/>
              </w:rPr>
              <w:t>(3)(5)</w:t>
            </w:r>
          </w:p>
        </w:tc>
        <w:tc>
          <w:tcPr>
            <w:tcW w:w="23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First-lien loan ($36,511 par, due</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10/8/2020</w:t>
            </w: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+ 8.25%</w:t>
            </w: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9.25%</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35,450</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35,653</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3.1%</w:t>
            </w:r>
          </w:p>
        </w:tc>
      </w:tr>
      <w:tr>
        <w:trPr>
          <w:trHeight w:val="212"/>
        </w:trPr>
        <w:tc>
          <w:tcPr>
            <w:tcW w:w="2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40" w:type="dxa"/>
            <w:vAlign w:val="bottom"/>
            <w:shd w:val="clear" w:color="auto" w:fill="CFF0FC"/>
          </w:tcPr>
          <w:p>
            <w:pPr>
              <w:spacing w:after="0"/>
              <w:rPr>
                <w:sz w:val="20"/>
                <w:szCs w:val="20"/>
                <w:color w:val="auto"/>
              </w:rPr>
            </w:pPr>
            <w:r>
              <w:rPr>
                <w:rFonts w:ascii="Arial" w:cs="Arial" w:eastAsia="Arial" w:hAnsi="Arial"/>
                <w:sz w:val="16"/>
                <w:szCs w:val="16"/>
                <w:color w:val="auto"/>
              </w:rPr>
              <w:t>10/2026)</w:t>
            </w: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620" w:type="dxa"/>
            <w:vAlign w:val="bottom"/>
            <w:gridSpan w:val="2"/>
          </w:tcPr>
          <w:p>
            <w:pPr>
              <w:spacing w:after="0" w:line="207" w:lineRule="exact"/>
              <w:rPr>
                <w:sz w:val="20"/>
                <w:szCs w:val="20"/>
                <w:color w:val="auto"/>
              </w:rPr>
            </w:pPr>
            <w:r>
              <w:rPr>
                <w:rFonts w:ascii="Arial" w:cs="Arial" w:eastAsia="Arial" w:hAnsi="Arial"/>
                <w:sz w:val="14"/>
                <w:szCs w:val="14"/>
                <w:color w:val="auto"/>
              </w:rPr>
              <w:t xml:space="preserve">ServiceChannel Holdings, Inc. </w:t>
            </w:r>
            <w:r>
              <w:rPr>
                <w:rFonts w:ascii="Arial" w:cs="Arial" w:eastAsia="Arial" w:hAnsi="Arial"/>
                <w:sz w:val="23"/>
                <w:szCs w:val="23"/>
                <w:color w:val="auto"/>
                <w:vertAlign w:val="superscript"/>
              </w:rPr>
              <w:t>(9)</w:t>
            </w:r>
          </w:p>
        </w:tc>
        <w:tc>
          <w:tcPr>
            <w:tcW w:w="2340" w:type="dxa"/>
            <w:vAlign w:val="bottom"/>
            <w:gridSpan w:val="2"/>
          </w:tcPr>
          <w:p>
            <w:pPr>
              <w:spacing w:after="0"/>
              <w:rPr>
                <w:sz w:val="20"/>
                <w:szCs w:val="20"/>
                <w:color w:val="auto"/>
              </w:rPr>
            </w:pPr>
            <w:r>
              <w:rPr>
                <w:rFonts w:ascii="Arial" w:cs="Arial" w:eastAsia="Arial" w:hAnsi="Arial"/>
                <w:sz w:val="16"/>
                <w:szCs w:val="16"/>
                <w:color w:val="auto"/>
              </w:rPr>
              <w:t>Second-lien loan ($5,359 par,</w:t>
            </w:r>
          </w:p>
        </w:tc>
        <w:tc>
          <w:tcPr>
            <w:tcW w:w="820" w:type="dxa"/>
            <w:vAlign w:val="bottom"/>
          </w:tcPr>
          <w:p>
            <w:pPr>
              <w:jc w:val="right"/>
              <w:spacing w:after="0"/>
              <w:rPr>
                <w:sz w:val="20"/>
                <w:szCs w:val="20"/>
                <w:color w:val="auto"/>
              </w:rPr>
            </w:pPr>
            <w:r>
              <w:rPr>
                <w:rFonts w:ascii="Arial" w:cs="Arial" w:eastAsia="Arial" w:hAnsi="Arial"/>
                <w:sz w:val="16"/>
                <w:szCs w:val="16"/>
                <w:color w:val="auto"/>
              </w:rPr>
              <w:t>6/3/2020</w:t>
            </w:r>
          </w:p>
        </w:tc>
        <w:tc>
          <w:tcPr>
            <w:tcW w:w="12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12.00%</w:t>
            </w:r>
          </w:p>
        </w:tc>
        <w:tc>
          <w:tcPr>
            <w:tcW w:w="1440" w:type="dxa"/>
            <w:vAlign w:val="bottom"/>
            <w:gridSpan w:val="2"/>
          </w:tcPr>
          <w:p>
            <w:pPr>
              <w:jc w:val="right"/>
              <w:ind w:right="260"/>
              <w:spacing w:after="0"/>
              <w:rPr>
                <w:sz w:val="20"/>
                <w:szCs w:val="20"/>
                <w:color w:val="auto"/>
              </w:rPr>
            </w:pPr>
            <w:r>
              <w:rPr>
                <w:rFonts w:ascii="Arial" w:cs="Arial" w:eastAsia="Arial" w:hAnsi="Arial"/>
                <w:sz w:val="16"/>
                <w:szCs w:val="16"/>
                <w:color w:val="auto"/>
              </w:rPr>
              <w:t>12.00% PIK</w:t>
            </w:r>
          </w:p>
        </w:tc>
        <w:tc>
          <w:tcPr>
            <w:tcW w:w="760" w:type="dxa"/>
            <w:vAlign w:val="bottom"/>
          </w:tcPr>
          <w:p>
            <w:pPr>
              <w:jc w:val="right"/>
              <w:spacing w:after="0"/>
              <w:rPr>
                <w:sz w:val="20"/>
                <w:szCs w:val="20"/>
                <w:color w:val="auto"/>
              </w:rPr>
            </w:pPr>
            <w:r>
              <w:rPr>
                <w:rFonts w:ascii="Arial" w:cs="Arial" w:eastAsia="Arial" w:hAnsi="Arial"/>
                <w:sz w:val="16"/>
                <w:szCs w:val="16"/>
                <w:color w:val="auto"/>
              </w:rPr>
              <w:t>4,992</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5,037</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0.4%</w:t>
            </w:r>
          </w:p>
        </w:tc>
      </w:tr>
      <w:tr>
        <w:trPr>
          <w:trHeight w:val="209"/>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2"/>
          </w:tcPr>
          <w:p>
            <w:pPr>
              <w:spacing w:after="0"/>
              <w:rPr>
                <w:sz w:val="20"/>
                <w:szCs w:val="20"/>
                <w:color w:val="auto"/>
              </w:rPr>
            </w:pPr>
            <w:r>
              <w:rPr>
                <w:rFonts w:ascii="Arial" w:cs="Arial" w:eastAsia="Arial" w:hAnsi="Arial"/>
                <w:sz w:val="16"/>
                <w:szCs w:val="16"/>
                <w:color w:val="auto"/>
              </w:rPr>
              <w:t>due 6/2025)</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6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Sprinklr, Inc.</w:t>
            </w:r>
          </w:p>
        </w:tc>
        <w:tc>
          <w:tcPr>
            <w:tcW w:w="2340" w:type="dxa"/>
            <w:vAlign w:val="bottom"/>
            <w:gridSpan w:val="2"/>
            <w:shd w:val="clear" w:color="auto" w:fill="CFF0FC"/>
          </w:tcPr>
          <w:p>
            <w:pPr>
              <w:spacing w:after="0"/>
              <w:rPr>
                <w:sz w:val="20"/>
                <w:szCs w:val="20"/>
                <w:color w:val="auto"/>
              </w:rPr>
            </w:pPr>
            <w:r>
              <w:rPr>
                <w:rFonts w:ascii="Arial" w:cs="Arial" w:eastAsia="Arial" w:hAnsi="Arial"/>
                <w:sz w:val="16"/>
                <w:szCs w:val="16"/>
                <w:color w:val="auto"/>
                <w:w w:val="97"/>
              </w:rPr>
              <w:t>Convertible note ($3,920 par, due</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5/20/2020</w:t>
            </w: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9.88%</w:t>
            </w: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9.88% PIK</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3,890</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4,478</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0.4%</w:t>
            </w:r>
          </w:p>
        </w:tc>
      </w:tr>
      <w:tr>
        <w:trPr>
          <w:trHeight w:val="212"/>
        </w:trPr>
        <w:tc>
          <w:tcPr>
            <w:tcW w:w="2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40" w:type="dxa"/>
            <w:vAlign w:val="bottom"/>
            <w:shd w:val="clear" w:color="auto" w:fill="CFF0FC"/>
          </w:tcPr>
          <w:p>
            <w:pPr>
              <w:spacing w:after="0"/>
              <w:rPr>
                <w:sz w:val="20"/>
                <w:szCs w:val="20"/>
                <w:color w:val="auto"/>
              </w:rPr>
            </w:pPr>
            <w:r>
              <w:rPr>
                <w:rFonts w:ascii="Arial" w:cs="Arial" w:eastAsia="Arial" w:hAnsi="Arial"/>
                <w:sz w:val="16"/>
                <w:szCs w:val="16"/>
                <w:color w:val="auto"/>
              </w:rPr>
              <w:t>5/2025)</w:t>
            </w: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620" w:type="dxa"/>
            <w:vAlign w:val="bottom"/>
            <w:gridSpan w:val="2"/>
          </w:tcPr>
          <w:p>
            <w:pPr>
              <w:spacing w:after="0" w:line="207" w:lineRule="exact"/>
              <w:rPr>
                <w:sz w:val="20"/>
                <w:szCs w:val="20"/>
                <w:color w:val="auto"/>
              </w:rPr>
            </w:pPr>
            <w:r>
              <w:rPr>
                <w:rFonts w:ascii="Arial" w:cs="Arial" w:eastAsia="Arial" w:hAnsi="Arial"/>
                <w:sz w:val="14"/>
                <w:szCs w:val="14"/>
                <w:color w:val="auto"/>
              </w:rPr>
              <w:t xml:space="preserve">WideOrbit, Inc. </w:t>
            </w:r>
            <w:r>
              <w:rPr>
                <w:rFonts w:ascii="Arial" w:cs="Arial" w:eastAsia="Arial" w:hAnsi="Arial"/>
                <w:sz w:val="23"/>
                <w:szCs w:val="23"/>
                <w:color w:val="auto"/>
                <w:vertAlign w:val="superscript"/>
              </w:rPr>
              <w:t>(3)</w:t>
            </w:r>
          </w:p>
        </w:tc>
        <w:tc>
          <w:tcPr>
            <w:tcW w:w="2340" w:type="dxa"/>
            <w:vAlign w:val="bottom"/>
            <w:gridSpan w:val="2"/>
          </w:tcPr>
          <w:p>
            <w:pPr>
              <w:spacing w:after="0"/>
              <w:rPr>
                <w:sz w:val="20"/>
                <w:szCs w:val="20"/>
                <w:color w:val="auto"/>
              </w:rPr>
            </w:pPr>
            <w:r>
              <w:rPr>
                <w:rFonts w:ascii="Arial" w:cs="Arial" w:eastAsia="Arial" w:hAnsi="Arial"/>
                <w:sz w:val="16"/>
                <w:szCs w:val="16"/>
                <w:color w:val="auto"/>
              </w:rPr>
              <w:t>First-lien loan ($59,943 par, due</w:t>
            </w:r>
          </w:p>
        </w:tc>
        <w:tc>
          <w:tcPr>
            <w:tcW w:w="820" w:type="dxa"/>
            <w:vAlign w:val="bottom"/>
          </w:tcPr>
          <w:p>
            <w:pPr>
              <w:jc w:val="right"/>
              <w:spacing w:after="0"/>
              <w:rPr>
                <w:sz w:val="20"/>
                <w:szCs w:val="20"/>
                <w:color w:val="auto"/>
              </w:rPr>
            </w:pPr>
            <w:r>
              <w:rPr>
                <w:rFonts w:ascii="Arial" w:cs="Arial" w:eastAsia="Arial" w:hAnsi="Arial"/>
                <w:sz w:val="16"/>
                <w:szCs w:val="16"/>
                <w:color w:val="auto"/>
              </w:rPr>
              <w:t>7/8/2020</w:t>
            </w:r>
          </w:p>
        </w:tc>
        <w:tc>
          <w:tcPr>
            <w:tcW w:w="12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L + 8.50%</w:t>
            </w:r>
          </w:p>
        </w:tc>
        <w:tc>
          <w:tcPr>
            <w:tcW w:w="1440" w:type="dxa"/>
            <w:vAlign w:val="bottom"/>
            <w:gridSpan w:val="2"/>
          </w:tcPr>
          <w:p>
            <w:pPr>
              <w:jc w:val="right"/>
              <w:ind w:right="120"/>
              <w:spacing w:after="0"/>
              <w:rPr>
                <w:sz w:val="20"/>
                <w:szCs w:val="20"/>
                <w:color w:val="auto"/>
              </w:rPr>
            </w:pPr>
            <w:r>
              <w:rPr>
                <w:rFonts w:ascii="Arial" w:cs="Arial" w:eastAsia="Arial" w:hAnsi="Arial"/>
                <w:sz w:val="16"/>
                <w:szCs w:val="16"/>
                <w:color w:val="auto"/>
              </w:rPr>
              <w:t>9.75%</w:t>
            </w:r>
          </w:p>
        </w:tc>
        <w:tc>
          <w:tcPr>
            <w:tcW w:w="760" w:type="dxa"/>
            <w:vAlign w:val="bottom"/>
          </w:tcPr>
          <w:p>
            <w:pPr>
              <w:jc w:val="right"/>
              <w:spacing w:after="0"/>
              <w:rPr>
                <w:sz w:val="20"/>
                <w:szCs w:val="20"/>
                <w:color w:val="auto"/>
              </w:rPr>
            </w:pPr>
            <w:r>
              <w:rPr>
                <w:rFonts w:ascii="Arial" w:cs="Arial" w:eastAsia="Arial" w:hAnsi="Arial"/>
                <w:sz w:val="16"/>
                <w:szCs w:val="16"/>
                <w:color w:val="auto"/>
              </w:rPr>
              <w:t>59,044</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61,075</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5.3%</w:t>
            </w:r>
          </w:p>
        </w:tc>
      </w:tr>
      <w:tr>
        <w:trPr>
          <w:trHeight w:val="209"/>
        </w:trPr>
        <w:tc>
          <w:tcPr>
            <w:tcW w:w="25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2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7/2025)</w:t>
            </w:r>
          </w:p>
        </w:tc>
        <w:tc>
          <w:tcPr>
            <w:tcW w:w="100" w:type="dxa"/>
            <w:vAlign w:val="bottom"/>
            <w:tcBorders>
              <w:bottom w:val="single" w:sz="8" w:color="CFF0FC"/>
            </w:tcBorders>
          </w:tcPr>
          <w:p>
            <w:pPr>
              <w:spacing w:after="0"/>
              <w:rPr>
                <w:sz w:val="18"/>
                <w:szCs w:val="18"/>
                <w:color w:val="auto"/>
              </w:rPr>
            </w:pPr>
          </w:p>
        </w:tc>
        <w:tc>
          <w:tcPr>
            <w:tcW w:w="82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72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118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r>
      <w:tr>
        <w:trPr>
          <w:trHeight w:val="213"/>
        </w:trPr>
        <w:tc>
          <w:tcPr>
            <w:tcW w:w="2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487,784</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502,578</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43.4%</w:t>
            </w:r>
          </w:p>
        </w:tc>
      </w:tr>
      <w:tr>
        <w:trPr>
          <w:trHeight w:val="206"/>
        </w:trPr>
        <w:tc>
          <w:tcPr>
            <w:tcW w:w="2620" w:type="dxa"/>
            <w:vAlign w:val="bottom"/>
            <w:gridSpan w:val="2"/>
          </w:tcPr>
          <w:p>
            <w:pPr>
              <w:spacing w:after="0"/>
              <w:rPr>
                <w:sz w:val="20"/>
                <w:szCs w:val="20"/>
                <w:color w:val="auto"/>
              </w:rPr>
            </w:pPr>
            <w:r>
              <w:rPr>
                <w:rFonts w:ascii="Arial" w:cs="Arial" w:eastAsia="Arial" w:hAnsi="Arial"/>
                <w:sz w:val="16"/>
                <w:szCs w:val="16"/>
                <w:b w:val="1"/>
                <w:bCs w:val="1"/>
                <w:color w:val="auto"/>
              </w:rPr>
              <w:t>Communications</w:t>
            </w:r>
          </w:p>
        </w:tc>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06"/>
        </w:trPr>
        <w:tc>
          <w:tcPr>
            <w:tcW w:w="26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IntelePeer Holdings, Inc.</w:t>
            </w:r>
          </w:p>
        </w:tc>
        <w:tc>
          <w:tcPr>
            <w:tcW w:w="23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First-lien loan ($43,324 par, due</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12/2/2019</w:t>
            </w:r>
          </w:p>
        </w:tc>
        <w:tc>
          <w:tcPr>
            <w:tcW w:w="12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+ 8.25%</w:t>
            </w: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9.75%</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43,220</w:t>
            </w: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42,999</w:t>
            </w: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3.7%</w:t>
            </w:r>
          </w:p>
        </w:tc>
      </w:tr>
      <w:tr>
        <w:trPr>
          <w:trHeight w:val="216"/>
        </w:trPr>
        <w:tc>
          <w:tcPr>
            <w:tcW w:w="2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40" w:type="dxa"/>
            <w:vAlign w:val="bottom"/>
            <w:shd w:val="clear" w:color="auto" w:fill="CFF0FC"/>
          </w:tcPr>
          <w:p>
            <w:pPr>
              <w:spacing w:after="0" w:line="216" w:lineRule="exact"/>
              <w:rPr>
                <w:sz w:val="20"/>
                <w:szCs w:val="20"/>
                <w:color w:val="auto"/>
              </w:rPr>
            </w:pPr>
            <w:r>
              <w:rPr>
                <w:rFonts w:ascii="Arial" w:cs="Arial" w:eastAsia="Arial" w:hAnsi="Arial"/>
                <w:sz w:val="15"/>
                <w:szCs w:val="15"/>
                <w:color w:val="auto"/>
              </w:rPr>
              <w:t xml:space="preserve">12/2024) </w:t>
            </w:r>
            <w:r>
              <w:rPr>
                <w:rFonts w:ascii="Arial" w:cs="Arial" w:eastAsia="Arial" w:hAnsi="Arial"/>
                <w:sz w:val="25"/>
                <w:szCs w:val="25"/>
                <w:color w:val="auto"/>
                <w:vertAlign w:val="superscript"/>
              </w:rPr>
              <w:t>(3)</w:t>
            </w: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40" w:type="dxa"/>
            <w:vAlign w:val="bottom"/>
            <w:gridSpan w:val="2"/>
          </w:tcPr>
          <w:p>
            <w:pPr>
              <w:spacing w:after="0"/>
              <w:rPr>
                <w:sz w:val="20"/>
                <w:szCs w:val="20"/>
                <w:color w:val="auto"/>
              </w:rPr>
            </w:pPr>
            <w:r>
              <w:rPr>
                <w:rFonts w:ascii="Arial" w:cs="Arial" w:eastAsia="Arial" w:hAnsi="Arial"/>
                <w:sz w:val="16"/>
                <w:szCs w:val="16"/>
                <w:color w:val="auto"/>
                <w:w w:val="97"/>
              </w:rPr>
              <w:t>Convertible note ($1,750 par, due</w:t>
            </w:r>
          </w:p>
        </w:tc>
        <w:tc>
          <w:tcPr>
            <w:tcW w:w="820" w:type="dxa"/>
            <w:vAlign w:val="bottom"/>
          </w:tcPr>
          <w:p>
            <w:pPr>
              <w:jc w:val="right"/>
              <w:spacing w:after="0"/>
              <w:rPr>
                <w:sz w:val="20"/>
                <w:szCs w:val="20"/>
                <w:color w:val="auto"/>
              </w:rPr>
            </w:pPr>
            <w:r>
              <w:rPr>
                <w:rFonts w:ascii="Arial" w:cs="Arial" w:eastAsia="Arial" w:hAnsi="Arial"/>
                <w:sz w:val="16"/>
                <w:szCs w:val="16"/>
                <w:color w:val="auto"/>
              </w:rPr>
              <w:t>2/28/2020</w:t>
            </w:r>
          </w:p>
        </w:tc>
        <w:tc>
          <w:tcPr>
            <w:tcW w:w="12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8.00%</w:t>
            </w:r>
          </w:p>
        </w:tc>
        <w:tc>
          <w:tcPr>
            <w:tcW w:w="1440" w:type="dxa"/>
            <w:vAlign w:val="bottom"/>
            <w:gridSpan w:val="2"/>
          </w:tcPr>
          <w:p>
            <w:pPr>
              <w:jc w:val="right"/>
              <w:ind w:right="260"/>
              <w:spacing w:after="0"/>
              <w:rPr>
                <w:sz w:val="20"/>
                <w:szCs w:val="20"/>
                <w:color w:val="auto"/>
              </w:rPr>
            </w:pPr>
            <w:r>
              <w:rPr>
                <w:rFonts w:ascii="Arial" w:cs="Arial" w:eastAsia="Arial" w:hAnsi="Arial"/>
                <w:sz w:val="16"/>
                <w:szCs w:val="16"/>
                <w:color w:val="auto"/>
              </w:rPr>
              <w:t>8.00% PIK</w:t>
            </w:r>
          </w:p>
        </w:tc>
        <w:tc>
          <w:tcPr>
            <w:tcW w:w="760" w:type="dxa"/>
            <w:vAlign w:val="bottom"/>
          </w:tcPr>
          <w:p>
            <w:pPr>
              <w:jc w:val="right"/>
              <w:spacing w:after="0"/>
              <w:rPr>
                <w:sz w:val="20"/>
                <w:szCs w:val="20"/>
                <w:color w:val="auto"/>
              </w:rPr>
            </w:pPr>
            <w:r>
              <w:rPr>
                <w:rFonts w:ascii="Arial" w:cs="Arial" w:eastAsia="Arial" w:hAnsi="Arial"/>
                <w:sz w:val="16"/>
                <w:szCs w:val="16"/>
                <w:color w:val="auto"/>
              </w:rPr>
              <w:t>1,731</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1,658</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0.1%</w:t>
            </w:r>
          </w:p>
        </w:tc>
      </w:tr>
      <w:tr>
        <w:trPr>
          <w:trHeight w:val="209"/>
        </w:trPr>
        <w:tc>
          <w:tcPr>
            <w:tcW w:w="25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2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12/2024)</w:t>
            </w:r>
          </w:p>
        </w:tc>
        <w:tc>
          <w:tcPr>
            <w:tcW w:w="100" w:type="dxa"/>
            <w:vAlign w:val="bottom"/>
            <w:tcBorders>
              <w:bottom w:val="single" w:sz="8" w:color="CFF0FC"/>
            </w:tcBorders>
          </w:tcPr>
          <w:p>
            <w:pPr>
              <w:spacing w:after="0"/>
              <w:rPr>
                <w:sz w:val="18"/>
                <w:szCs w:val="18"/>
                <w:color w:val="auto"/>
              </w:rPr>
            </w:pPr>
          </w:p>
        </w:tc>
        <w:tc>
          <w:tcPr>
            <w:tcW w:w="82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72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118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r>
      <w:tr>
        <w:trPr>
          <w:trHeight w:val="212"/>
        </w:trPr>
        <w:tc>
          <w:tcPr>
            <w:tcW w:w="2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44,951</w:t>
            </w:r>
          </w:p>
        </w:tc>
        <w:tc>
          <w:tcPr>
            <w:tcW w:w="220" w:type="dxa"/>
            <w:vAlign w:val="bottom"/>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44,657</w:t>
            </w:r>
          </w:p>
        </w:tc>
        <w:tc>
          <w:tcPr>
            <w:tcW w:w="20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4"/>
              </w:rPr>
              <w:t>%</w:t>
            </w:r>
          </w:p>
        </w:tc>
      </w:tr>
      <w:tr>
        <w:trPr>
          <w:trHeight w:val="206"/>
        </w:trPr>
        <w:tc>
          <w:tcPr>
            <w:tcW w:w="2620" w:type="dxa"/>
            <w:vAlign w:val="bottom"/>
            <w:gridSpan w:val="2"/>
          </w:tcPr>
          <w:p>
            <w:pPr>
              <w:spacing w:after="0"/>
              <w:rPr>
                <w:sz w:val="20"/>
                <w:szCs w:val="20"/>
                <w:color w:val="auto"/>
              </w:rPr>
            </w:pPr>
            <w:r>
              <w:rPr>
                <w:rFonts w:ascii="Arial" w:cs="Arial" w:eastAsia="Arial" w:hAnsi="Arial"/>
                <w:sz w:val="16"/>
                <w:szCs w:val="16"/>
                <w:b w:val="1"/>
                <w:bCs w:val="1"/>
                <w:color w:val="auto"/>
              </w:rPr>
              <w:t>Education</w:t>
            </w:r>
          </w:p>
        </w:tc>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9"/>
        </w:trPr>
        <w:tc>
          <w:tcPr>
            <w:tcW w:w="2620" w:type="dxa"/>
            <w:vAlign w:val="bottom"/>
            <w:gridSpan w:val="2"/>
            <w:shd w:val="clear" w:color="auto" w:fill="CFF0FC"/>
          </w:tcPr>
          <w:p>
            <w:pPr>
              <w:spacing w:after="0" w:line="209" w:lineRule="exact"/>
              <w:rPr>
                <w:sz w:val="20"/>
                <w:szCs w:val="20"/>
                <w:color w:val="auto"/>
              </w:rPr>
            </w:pPr>
            <w:r>
              <w:rPr>
                <w:rFonts w:ascii="Arial" w:cs="Arial" w:eastAsia="Arial" w:hAnsi="Arial"/>
                <w:sz w:val="15"/>
                <w:szCs w:val="15"/>
                <w:color w:val="auto"/>
              </w:rPr>
              <w:t xml:space="preserve">EMS Linq, Inc. </w:t>
            </w:r>
            <w:r>
              <w:rPr>
                <w:rFonts w:ascii="Arial" w:cs="Arial" w:eastAsia="Arial" w:hAnsi="Arial"/>
                <w:sz w:val="24"/>
                <w:szCs w:val="24"/>
                <w:color w:val="auto"/>
                <w:vertAlign w:val="superscript"/>
              </w:rPr>
              <w:t>(3)(5)</w:t>
            </w:r>
          </w:p>
        </w:tc>
        <w:tc>
          <w:tcPr>
            <w:tcW w:w="23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First-lien loan ($34,913 par, due</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9/17/2020</w:t>
            </w: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+ 7.75%</w:t>
            </w: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8.75%</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33,903</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34,476</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3.0%</w:t>
            </w:r>
          </w:p>
        </w:tc>
      </w:tr>
      <w:tr>
        <w:trPr>
          <w:trHeight w:val="212"/>
        </w:trPr>
        <w:tc>
          <w:tcPr>
            <w:tcW w:w="2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40" w:type="dxa"/>
            <w:vAlign w:val="bottom"/>
            <w:shd w:val="clear" w:color="auto" w:fill="CFF0FC"/>
          </w:tcPr>
          <w:p>
            <w:pPr>
              <w:spacing w:after="0"/>
              <w:rPr>
                <w:sz w:val="20"/>
                <w:szCs w:val="20"/>
                <w:color w:val="auto"/>
              </w:rPr>
            </w:pPr>
            <w:r>
              <w:rPr>
                <w:rFonts w:ascii="Arial" w:cs="Arial" w:eastAsia="Arial" w:hAnsi="Arial"/>
                <w:sz w:val="16"/>
                <w:szCs w:val="16"/>
                <w:color w:val="auto"/>
              </w:rPr>
              <w:t>9/2025)</w:t>
            </w: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620" w:type="dxa"/>
            <w:vAlign w:val="bottom"/>
            <w:gridSpan w:val="2"/>
          </w:tcPr>
          <w:p>
            <w:pPr>
              <w:spacing w:after="0" w:line="207" w:lineRule="exact"/>
              <w:rPr>
                <w:sz w:val="20"/>
                <w:szCs w:val="20"/>
                <w:color w:val="auto"/>
              </w:rPr>
            </w:pPr>
            <w:r>
              <w:rPr>
                <w:rFonts w:ascii="Arial" w:cs="Arial" w:eastAsia="Arial" w:hAnsi="Arial"/>
                <w:sz w:val="14"/>
                <w:szCs w:val="14"/>
                <w:color w:val="auto"/>
              </w:rPr>
              <w:t xml:space="preserve">Follet Corp. </w:t>
            </w:r>
            <w:r>
              <w:rPr>
                <w:rFonts w:ascii="Arial" w:cs="Arial" w:eastAsia="Arial" w:hAnsi="Arial"/>
                <w:sz w:val="23"/>
                <w:szCs w:val="23"/>
                <w:color w:val="auto"/>
                <w:vertAlign w:val="superscript"/>
              </w:rPr>
              <w:t>(3)</w:t>
            </w:r>
          </w:p>
        </w:tc>
        <w:tc>
          <w:tcPr>
            <w:tcW w:w="2340" w:type="dxa"/>
            <w:vAlign w:val="bottom"/>
            <w:gridSpan w:val="2"/>
          </w:tcPr>
          <w:p>
            <w:pPr>
              <w:spacing w:after="0"/>
              <w:rPr>
                <w:sz w:val="20"/>
                <w:szCs w:val="20"/>
                <w:color w:val="auto"/>
              </w:rPr>
            </w:pPr>
            <w:r>
              <w:rPr>
                <w:rFonts w:ascii="Arial" w:cs="Arial" w:eastAsia="Arial" w:hAnsi="Arial"/>
                <w:sz w:val="16"/>
                <w:szCs w:val="16"/>
                <w:color w:val="auto"/>
              </w:rPr>
              <w:t>First-lien loan ($75,000 par, due</w:t>
            </w:r>
          </w:p>
        </w:tc>
        <w:tc>
          <w:tcPr>
            <w:tcW w:w="820" w:type="dxa"/>
            <w:vAlign w:val="bottom"/>
          </w:tcPr>
          <w:p>
            <w:pPr>
              <w:jc w:val="right"/>
              <w:spacing w:after="0"/>
              <w:rPr>
                <w:sz w:val="20"/>
                <w:szCs w:val="20"/>
                <w:color w:val="auto"/>
              </w:rPr>
            </w:pPr>
            <w:r>
              <w:rPr>
                <w:rFonts w:ascii="Arial" w:cs="Arial" w:eastAsia="Arial" w:hAnsi="Arial"/>
                <w:sz w:val="16"/>
                <w:szCs w:val="16"/>
                <w:color w:val="auto"/>
                <w:w w:val="99"/>
              </w:rPr>
              <w:t>11/25/2020</w:t>
            </w:r>
          </w:p>
        </w:tc>
        <w:tc>
          <w:tcPr>
            <w:tcW w:w="12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L + 7.75%</w:t>
            </w:r>
          </w:p>
        </w:tc>
        <w:tc>
          <w:tcPr>
            <w:tcW w:w="1440" w:type="dxa"/>
            <w:vAlign w:val="bottom"/>
            <w:gridSpan w:val="2"/>
          </w:tcPr>
          <w:p>
            <w:pPr>
              <w:jc w:val="right"/>
              <w:ind w:right="120"/>
              <w:spacing w:after="0"/>
              <w:rPr>
                <w:sz w:val="20"/>
                <w:szCs w:val="20"/>
                <w:color w:val="auto"/>
              </w:rPr>
            </w:pPr>
            <w:r>
              <w:rPr>
                <w:rFonts w:ascii="Arial" w:cs="Arial" w:eastAsia="Arial" w:hAnsi="Arial"/>
                <w:sz w:val="16"/>
                <w:szCs w:val="16"/>
                <w:color w:val="auto"/>
              </w:rPr>
              <w:t>8.75%</w:t>
            </w:r>
          </w:p>
        </w:tc>
        <w:tc>
          <w:tcPr>
            <w:tcW w:w="760" w:type="dxa"/>
            <w:vAlign w:val="bottom"/>
          </w:tcPr>
          <w:p>
            <w:pPr>
              <w:jc w:val="right"/>
              <w:spacing w:after="0"/>
              <w:rPr>
                <w:sz w:val="20"/>
                <w:szCs w:val="20"/>
                <w:color w:val="auto"/>
              </w:rPr>
            </w:pPr>
            <w:r>
              <w:rPr>
                <w:rFonts w:ascii="Arial" w:cs="Arial" w:eastAsia="Arial" w:hAnsi="Arial"/>
                <w:sz w:val="16"/>
                <w:szCs w:val="16"/>
                <w:color w:val="auto"/>
              </w:rPr>
              <w:t>73,341</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73,500</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6.3%</w:t>
            </w:r>
          </w:p>
        </w:tc>
      </w:tr>
      <w:tr>
        <w:trPr>
          <w:trHeight w:val="209"/>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6"/>
                <w:szCs w:val="16"/>
                <w:color w:val="auto"/>
              </w:rPr>
              <w:t>11/2025)</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6"/>
        </w:trPr>
        <w:tc>
          <w:tcPr>
            <w:tcW w:w="26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Frontline Technologies</w:t>
            </w:r>
          </w:p>
        </w:tc>
        <w:tc>
          <w:tcPr>
            <w:tcW w:w="23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First-lien loan ($84,835 par, due</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9/18/2017</w:t>
            </w:r>
          </w:p>
        </w:tc>
        <w:tc>
          <w:tcPr>
            <w:tcW w:w="12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+ 5.75%</w:t>
            </w: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6.75%</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84,479</w:t>
            </w: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84,835</w:t>
            </w: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7.3%</w:t>
            </w:r>
          </w:p>
        </w:tc>
      </w:tr>
      <w:tr>
        <w:trPr>
          <w:trHeight w:val="216"/>
        </w:trPr>
        <w:tc>
          <w:tcPr>
            <w:tcW w:w="2620" w:type="dxa"/>
            <w:vAlign w:val="bottom"/>
            <w:gridSpan w:val="2"/>
            <w:shd w:val="clear" w:color="auto" w:fill="CFF0FC"/>
          </w:tcPr>
          <w:p>
            <w:pPr>
              <w:ind w:left="120"/>
              <w:spacing w:after="0" w:line="216" w:lineRule="exact"/>
              <w:rPr>
                <w:sz w:val="20"/>
                <w:szCs w:val="20"/>
                <w:color w:val="auto"/>
              </w:rPr>
            </w:pPr>
            <w:r>
              <w:rPr>
                <w:rFonts w:ascii="Arial" w:cs="Arial" w:eastAsia="Arial" w:hAnsi="Arial"/>
                <w:sz w:val="15"/>
                <w:szCs w:val="15"/>
                <w:color w:val="auto"/>
              </w:rPr>
              <w:t xml:space="preserve">Group, LLC </w:t>
            </w:r>
            <w:r>
              <w:rPr>
                <w:rFonts w:ascii="Arial" w:cs="Arial" w:eastAsia="Arial" w:hAnsi="Arial"/>
                <w:sz w:val="25"/>
                <w:szCs w:val="25"/>
                <w:color w:val="auto"/>
                <w:vertAlign w:val="superscript"/>
              </w:rPr>
              <w:t>(3)</w:t>
            </w:r>
          </w:p>
        </w:tc>
        <w:tc>
          <w:tcPr>
            <w:tcW w:w="2240" w:type="dxa"/>
            <w:vAlign w:val="bottom"/>
            <w:shd w:val="clear" w:color="auto" w:fill="CFF0FC"/>
          </w:tcPr>
          <w:p>
            <w:pPr>
              <w:spacing w:after="0"/>
              <w:rPr>
                <w:sz w:val="20"/>
                <w:szCs w:val="20"/>
                <w:color w:val="auto"/>
              </w:rPr>
            </w:pPr>
            <w:r>
              <w:rPr>
                <w:rFonts w:ascii="Arial" w:cs="Arial" w:eastAsia="Arial" w:hAnsi="Arial"/>
                <w:sz w:val="16"/>
                <w:szCs w:val="16"/>
                <w:color w:val="auto"/>
              </w:rPr>
              <w:t>9/2023)</w:t>
            </w: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3"/>
        </w:trPr>
        <w:tc>
          <w:tcPr>
            <w:tcW w:w="2620" w:type="dxa"/>
            <w:vAlign w:val="bottom"/>
            <w:gridSpan w:val="2"/>
          </w:tcPr>
          <w:p>
            <w:pPr>
              <w:spacing w:after="0"/>
              <w:rPr>
                <w:sz w:val="20"/>
                <w:szCs w:val="20"/>
                <w:color w:val="auto"/>
              </w:rPr>
            </w:pPr>
            <w:r>
              <w:rPr>
                <w:rFonts w:ascii="Arial" w:cs="Arial" w:eastAsia="Arial" w:hAnsi="Arial"/>
                <w:sz w:val="16"/>
                <w:szCs w:val="16"/>
                <w:color w:val="auto"/>
              </w:rPr>
              <w:t>Illuminate Education,</w:t>
            </w:r>
          </w:p>
        </w:tc>
        <w:tc>
          <w:tcPr>
            <w:tcW w:w="2340" w:type="dxa"/>
            <w:vAlign w:val="bottom"/>
            <w:gridSpan w:val="2"/>
          </w:tcPr>
          <w:p>
            <w:pPr>
              <w:spacing w:after="0"/>
              <w:rPr>
                <w:sz w:val="20"/>
                <w:szCs w:val="20"/>
                <w:color w:val="auto"/>
              </w:rPr>
            </w:pPr>
            <w:r>
              <w:rPr>
                <w:rFonts w:ascii="Arial" w:cs="Arial" w:eastAsia="Arial" w:hAnsi="Arial"/>
                <w:sz w:val="16"/>
                <w:szCs w:val="16"/>
                <w:color w:val="auto"/>
              </w:rPr>
              <w:t>First-lien loan ($63,375 par, due</w:t>
            </w:r>
          </w:p>
        </w:tc>
        <w:tc>
          <w:tcPr>
            <w:tcW w:w="820" w:type="dxa"/>
            <w:vAlign w:val="bottom"/>
          </w:tcPr>
          <w:p>
            <w:pPr>
              <w:jc w:val="right"/>
              <w:spacing w:after="0"/>
              <w:rPr>
                <w:sz w:val="20"/>
                <w:szCs w:val="20"/>
                <w:color w:val="auto"/>
              </w:rPr>
            </w:pPr>
            <w:r>
              <w:rPr>
                <w:rFonts w:ascii="Arial" w:cs="Arial" w:eastAsia="Arial" w:hAnsi="Arial"/>
                <w:sz w:val="16"/>
                <w:szCs w:val="16"/>
                <w:color w:val="auto"/>
              </w:rPr>
              <w:t>8/25/2017</w:t>
            </w:r>
          </w:p>
        </w:tc>
        <w:tc>
          <w:tcPr>
            <w:tcW w:w="12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L + 6.25%</w:t>
            </w:r>
          </w:p>
        </w:tc>
        <w:tc>
          <w:tcPr>
            <w:tcW w:w="1440" w:type="dxa"/>
            <w:vAlign w:val="bottom"/>
            <w:gridSpan w:val="2"/>
          </w:tcPr>
          <w:p>
            <w:pPr>
              <w:jc w:val="right"/>
              <w:ind w:right="120"/>
              <w:spacing w:after="0"/>
              <w:rPr>
                <w:sz w:val="20"/>
                <w:szCs w:val="20"/>
                <w:color w:val="auto"/>
              </w:rPr>
            </w:pPr>
            <w:r>
              <w:rPr>
                <w:rFonts w:ascii="Arial" w:cs="Arial" w:eastAsia="Arial" w:hAnsi="Arial"/>
                <w:sz w:val="16"/>
                <w:szCs w:val="16"/>
                <w:color w:val="auto"/>
              </w:rPr>
              <w:t>7.25%</w:t>
            </w:r>
          </w:p>
        </w:tc>
        <w:tc>
          <w:tcPr>
            <w:tcW w:w="760" w:type="dxa"/>
            <w:vAlign w:val="bottom"/>
          </w:tcPr>
          <w:p>
            <w:pPr>
              <w:jc w:val="right"/>
              <w:spacing w:after="0"/>
              <w:rPr>
                <w:sz w:val="20"/>
                <w:szCs w:val="20"/>
                <w:color w:val="auto"/>
              </w:rPr>
            </w:pPr>
            <w:r>
              <w:rPr>
                <w:rFonts w:ascii="Arial" w:cs="Arial" w:eastAsia="Arial" w:hAnsi="Arial"/>
                <w:sz w:val="16"/>
                <w:szCs w:val="16"/>
                <w:color w:val="auto"/>
              </w:rPr>
              <w:t>62,864</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63,375</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5.5%</w:t>
            </w:r>
          </w:p>
        </w:tc>
      </w:tr>
      <w:tr>
        <w:trPr>
          <w:trHeight w:val="213"/>
        </w:trPr>
        <w:tc>
          <w:tcPr>
            <w:tcW w:w="2620" w:type="dxa"/>
            <w:vAlign w:val="bottom"/>
            <w:tcBorders>
              <w:bottom w:val="single" w:sz="8" w:color="CFF0FC"/>
            </w:tcBorders>
            <w:gridSpan w:val="2"/>
          </w:tcPr>
          <w:p>
            <w:pPr>
              <w:ind w:left="120"/>
              <w:spacing w:after="0"/>
              <w:rPr>
                <w:sz w:val="20"/>
                <w:szCs w:val="20"/>
                <w:color w:val="auto"/>
              </w:rPr>
            </w:pPr>
            <w:r>
              <w:rPr>
                <w:rFonts w:ascii="Arial" w:cs="Arial" w:eastAsia="Arial" w:hAnsi="Arial"/>
                <w:sz w:val="16"/>
                <w:szCs w:val="16"/>
                <w:color w:val="auto"/>
              </w:rPr>
              <w:t>Inc.</w:t>
            </w:r>
            <w:r>
              <w:rPr>
                <w:rFonts w:ascii="Arial" w:cs="Arial" w:eastAsia="Arial" w:hAnsi="Arial"/>
                <w:sz w:val="13"/>
                <w:szCs w:val="13"/>
                <w:color w:val="auto"/>
              </w:rPr>
              <w:t>(3)(5)</w:t>
            </w:r>
          </w:p>
        </w:tc>
        <w:tc>
          <w:tcPr>
            <w:tcW w:w="22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8/2022)</w:t>
            </w:r>
          </w:p>
        </w:tc>
        <w:tc>
          <w:tcPr>
            <w:tcW w:w="100" w:type="dxa"/>
            <w:vAlign w:val="bottom"/>
            <w:tcBorders>
              <w:bottom w:val="single" w:sz="8" w:color="CFF0FC"/>
            </w:tcBorders>
          </w:tcPr>
          <w:p>
            <w:pPr>
              <w:spacing w:after="0"/>
              <w:rPr>
                <w:sz w:val="18"/>
                <w:szCs w:val="18"/>
                <w:color w:val="auto"/>
              </w:rPr>
            </w:pPr>
          </w:p>
        </w:tc>
        <w:tc>
          <w:tcPr>
            <w:tcW w:w="82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72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118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r>
      <w:tr>
        <w:trPr>
          <w:trHeight w:val="213"/>
        </w:trPr>
        <w:tc>
          <w:tcPr>
            <w:tcW w:w="2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254,587</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256,186</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22.1%</w:t>
            </w:r>
          </w:p>
        </w:tc>
      </w:tr>
      <w:tr>
        <w:trPr>
          <w:trHeight w:val="207"/>
        </w:trPr>
        <w:tc>
          <w:tcPr>
            <w:tcW w:w="2620" w:type="dxa"/>
            <w:vAlign w:val="bottom"/>
            <w:gridSpan w:val="2"/>
          </w:tcPr>
          <w:p>
            <w:pPr>
              <w:spacing w:after="0"/>
              <w:rPr>
                <w:sz w:val="20"/>
                <w:szCs w:val="20"/>
                <w:color w:val="auto"/>
              </w:rPr>
            </w:pPr>
            <w:r>
              <w:rPr>
                <w:rFonts w:ascii="Arial" w:cs="Arial" w:eastAsia="Arial" w:hAnsi="Arial"/>
                <w:sz w:val="16"/>
                <w:szCs w:val="16"/>
                <w:b w:val="1"/>
                <w:bCs w:val="1"/>
                <w:color w:val="auto"/>
              </w:rPr>
              <w:t>Financial services</w:t>
            </w:r>
          </w:p>
        </w:tc>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09"/>
        </w:trPr>
        <w:tc>
          <w:tcPr>
            <w:tcW w:w="2620" w:type="dxa"/>
            <w:vAlign w:val="bottom"/>
            <w:gridSpan w:val="2"/>
            <w:shd w:val="clear" w:color="auto" w:fill="CFF0FC"/>
          </w:tcPr>
          <w:p>
            <w:pPr>
              <w:spacing w:after="0" w:line="209" w:lineRule="exact"/>
              <w:rPr>
                <w:sz w:val="20"/>
                <w:szCs w:val="20"/>
                <w:color w:val="auto"/>
              </w:rPr>
            </w:pPr>
            <w:r>
              <w:rPr>
                <w:rFonts w:ascii="Arial" w:cs="Arial" w:eastAsia="Arial" w:hAnsi="Arial"/>
                <w:sz w:val="15"/>
                <w:szCs w:val="15"/>
                <w:color w:val="auto"/>
              </w:rPr>
              <w:t xml:space="preserve">AvidXchange, Inc. </w:t>
            </w:r>
            <w:r>
              <w:rPr>
                <w:rFonts w:ascii="Arial" w:cs="Arial" w:eastAsia="Arial" w:hAnsi="Arial"/>
                <w:sz w:val="24"/>
                <w:szCs w:val="24"/>
                <w:color w:val="auto"/>
                <w:vertAlign w:val="superscript"/>
              </w:rPr>
              <w:t>(3)(5)</w:t>
            </w:r>
          </w:p>
        </w:tc>
        <w:tc>
          <w:tcPr>
            <w:tcW w:w="23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First-lien loan ($10,831 par, due</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10/1/2019</w:t>
            </w: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+ 9.00%</w:t>
            </w: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10.00%</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10,717</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10,902</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0.9%</w:t>
            </w:r>
          </w:p>
        </w:tc>
      </w:tr>
      <w:tr>
        <w:trPr>
          <w:trHeight w:val="212"/>
        </w:trPr>
        <w:tc>
          <w:tcPr>
            <w:tcW w:w="2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40" w:type="dxa"/>
            <w:vAlign w:val="bottom"/>
            <w:shd w:val="clear" w:color="auto" w:fill="CFF0FC"/>
          </w:tcPr>
          <w:p>
            <w:pPr>
              <w:spacing w:after="0"/>
              <w:rPr>
                <w:sz w:val="20"/>
                <w:szCs w:val="20"/>
                <w:color w:val="auto"/>
              </w:rPr>
            </w:pPr>
            <w:r>
              <w:rPr>
                <w:rFonts w:ascii="Arial" w:cs="Arial" w:eastAsia="Arial" w:hAnsi="Arial"/>
                <w:sz w:val="16"/>
                <w:szCs w:val="16"/>
                <w:color w:val="auto"/>
              </w:rPr>
              <w:t>4/2024)</w:t>
            </w: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620" w:type="dxa"/>
            <w:vAlign w:val="bottom"/>
            <w:gridSpan w:val="2"/>
          </w:tcPr>
          <w:p>
            <w:pPr>
              <w:spacing w:after="0" w:line="207" w:lineRule="exact"/>
              <w:rPr>
                <w:sz w:val="20"/>
                <w:szCs w:val="20"/>
                <w:color w:val="auto"/>
              </w:rPr>
            </w:pPr>
            <w:r>
              <w:rPr>
                <w:rFonts w:ascii="Arial" w:cs="Arial" w:eastAsia="Arial" w:hAnsi="Arial"/>
                <w:sz w:val="14"/>
                <w:szCs w:val="14"/>
                <w:color w:val="auto"/>
              </w:rPr>
              <w:t xml:space="preserve">Bear OpCo, LLC </w:t>
            </w:r>
            <w:r>
              <w:rPr>
                <w:rFonts w:ascii="Arial" w:cs="Arial" w:eastAsia="Arial" w:hAnsi="Arial"/>
                <w:sz w:val="23"/>
                <w:szCs w:val="23"/>
                <w:color w:val="auto"/>
                <w:vertAlign w:val="superscript"/>
              </w:rPr>
              <w:t>(3)(5)</w:t>
            </w:r>
          </w:p>
        </w:tc>
        <w:tc>
          <w:tcPr>
            <w:tcW w:w="2340" w:type="dxa"/>
            <w:vAlign w:val="bottom"/>
            <w:gridSpan w:val="2"/>
          </w:tcPr>
          <w:p>
            <w:pPr>
              <w:spacing w:after="0"/>
              <w:rPr>
                <w:sz w:val="20"/>
                <w:szCs w:val="20"/>
                <w:color w:val="auto"/>
              </w:rPr>
            </w:pPr>
            <w:r>
              <w:rPr>
                <w:rFonts w:ascii="Arial" w:cs="Arial" w:eastAsia="Arial" w:hAnsi="Arial"/>
                <w:sz w:val="16"/>
                <w:szCs w:val="16"/>
                <w:color w:val="auto"/>
              </w:rPr>
              <w:t>First-lien loan ($19,775 par, due</w:t>
            </w:r>
          </w:p>
        </w:tc>
        <w:tc>
          <w:tcPr>
            <w:tcW w:w="820" w:type="dxa"/>
            <w:vAlign w:val="bottom"/>
          </w:tcPr>
          <w:p>
            <w:pPr>
              <w:jc w:val="right"/>
              <w:spacing w:after="0"/>
              <w:rPr>
                <w:sz w:val="20"/>
                <w:szCs w:val="20"/>
                <w:color w:val="auto"/>
              </w:rPr>
            </w:pPr>
            <w:r>
              <w:rPr>
                <w:rFonts w:ascii="Arial" w:cs="Arial" w:eastAsia="Arial" w:hAnsi="Arial"/>
                <w:sz w:val="16"/>
                <w:szCs w:val="16"/>
                <w:color w:val="auto"/>
                <w:w w:val="99"/>
              </w:rPr>
              <w:t>10/10/2019</w:t>
            </w:r>
          </w:p>
        </w:tc>
        <w:tc>
          <w:tcPr>
            <w:tcW w:w="12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L + 6.50%</w:t>
            </w:r>
          </w:p>
        </w:tc>
        <w:tc>
          <w:tcPr>
            <w:tcW w:w="1440" w:type="dxa"/>
            <w:vAlign w:val="bottom"/>
            <w:gridSpan w:val="2"/>
          </w:tcPr>
          <w:p>
            <w:pPr>
              <w:jc w:val="right"/>
              <w:ind w:right="120"/>
              <w:spacing w:after="0"/>
              <w:rPr>
                <w:sz w:val="20"/>
                <w:szCs w:val="20"/>
                <w:color w:val="auto"/>
              </w:rPr>
            </w:pPr>
            <w:r>
              <w:rPr>
                <w:rFonts w:ascii="Arial" w:cs="Arial" w:eastAsia="Arial" w:hAnsi="Arial"/>
                <w:sz w:val="16"/>
                <w:szCs w:val="16"/>
                <w:color w:val="auto"/>
              </w:rPr>
              <w:t>7.50%</w:t>
            </w:r>
          </w:p>
        </w:tc>
        <w:tc>
          <w:tcPr>
            <w:tcW w:w="760" w:type="dxa"/>
            <w:vAlign w:val="bottom"/>
          </w:tcPr>
          <w:p>
            <w:pPr>
              <w:jc w:val="right"/>
              <w:spacing w:after="0"/>
              <w:rPr>
                <w:sz w:val="20"/>
                <w:szCs w:val="20"/>
                <w:color w:val="auto"/>
              </w:rPr>
            </w:pPr>
            <w:r>
              <w:rPr>
                <w:rFonts w:ascii="Arial" w:cs="Arial" w:eastAsia="Arial" w:hAnsi="Arial"/>
                <w:sz w:val="16"/>
                <w:szCs w:val="16"/>
                <w:color w:val="auto"/>
              </w:rPr>
              <w:t>19,341</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19,627</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1.7%</w:t>
            </w:r>
          </w:p>
        </w:tc>
      </w:tr>
      <w:tr>
        <w:trPr>
          <w:trHeight w:val="209"/>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6"/>
                <w:szCs w:val="16"/>
                <w:color w:val="auto"/>
              </w:rPr>
              <w:t>10/2024)</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620" w:type="dxa"/>
            <w:vAlign w:val="bottom"/>
            <w:gridSpan w:val="2"/>
            <w:shd w:val="clear" w:color="auto" w:fill="CFF0FC"/>
          </w:tcPr>
          <w:p>
            <w:pPr>
              <w:spacing w:after="0" w:line="209" w:lineRule="exact"/>
              <w:rPr>
                <w:sz w:val="20"/>
                <w:szCs w:val="20"/>
                <w:color w:val="auto"/>
              </w:rPr>
            </w:pPr>
            <w:r>
              <w:rPr>
                <w:rFonts w:ascii="Arial" w:cs="Arial" w:eastAsia="Arial" w:hAnsi="Arial"/>
                <w:sz w:val="15"/>
                <w:szCs w:val="15"/>
                <w:color w:val="auto"/>
              </w:rPr>
              <w:t xml:space="preserve">BlueSnap, Inc. </w:t>
            </w:r>
            <w:r>
              <w:rPr>
                <w:rFonts w:ascii="Arial" w:cs="Arial" w:eastAsia="Arial" w:hAnsi="Arial"/>
                <w:sz w:val="24"/>
                <w:szCs w:val="24"/>
                <w:color w:val="auto"/>
                <w:vertAlign w:val="superscript"/>
              </w:rPr>
              <w:t>(3)</w:t>
            </w:r>
          </w:p>
        </w:tc>
        <w:tc>
          <w:tcPr>
            <w:tcW w:w="23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First-lien loan ($35,000 par, due</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10/25/2019</w:t>
            </w: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+ 7.00%</w:t>
            </w: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8.00%</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34,441</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35,262</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3.0%</w:t>
            </w:r>
          </w:p>
        </w:tc>
      </w:tr>
      <w:tr>
        <w:trPr>
          <w:trHeight w:val="212"/>
        </w:trPr>
        <w:tc>
          <w:tcPr>
            <w:tcW w:w="2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40" w:type="dxa"/>
            <w:vAlign w:val="bottom"/>
            <w:shd w:val="clear" w:color="auto" w:fill="CFF0FC"/>
          </w:tcPr>
          <w:p>
            <w:pPr>
              <w:spacing w:after="0"/>
              <w:rPr>
                <w:sz w:val="20"/>
                <w:szCs w:val="20"/>
                <w:color w:val="auto"/>
              </w:rPr>
            </w:pPr>
            <w:r>
              <w:rPr>
                <w:rFonts w:ascii="Arial" w:cs="Arial" w:eastAsia="Arial" w:hAnsi="Arial"/>
                <w:sz w:val="16"/>
                <w:szCs w:val="16"/>
                <w:color w:val="auto"/>
              </w:rPr>
              <w:t>10/2024)</w:t>
            </w: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40" w:type="dxa"/>
            <w:vAlign w:val="bottom"/>
            <w:gridSpan w:val="2"/>
          </w:tcPr>
          <w:p>
            <w:pPr>
              <w:spacing w:after="0"/>
              <w:rPr>
                <w:sz w:val="20"/>
                <w:szCs w:val="20"/>
                <w:color w:val="auto"/>
              </w:rPr>
            </w:pPr>
            <w:r>
              <w:rPr>
                <w:rFonts w:ascii="Arial" w:cs="Arial" w:eastAsia="Arial" w:hAnsi="Arial"/>
                <w:sz w:val="16"/>
                <w:szCs w:val="16"/>
                <w:color w:val="auto"/>
              </w:rPr>
              <w:t>First-lien revolving loan ($2,500</w:t>
            </w:r>
          </w:p>
        </w:tc>
        <w:tc>
          <w:tcPr>
            <w:tcW w:w="820" w:type="dxa"/>
            <w:vAlign w:val="bottom"/>
          </w:tcPr>
          <w:p>
            <w:pPr>
              <w:jc w:val="right"/>
              <w:spacing w:after="0"/>
              <w:rPr>
                <w:sz w:val="20"/>
                <w:szCs w:val="20"/>
                <w:color w:val="auto"/>
              </w:rPr>
            </w:pPr>
            <w:r>
              <w:rPr>
                <w:rFonts w:ascii="Arial" w:cs="Arial" w:eastAsia="Arial" w:hAnsi="Arial"/>
                <w:sz w:val="16"/>
                <w:szCs w:val="16"/>
                <w:color w:val="auto"/>
                <w:w w:val="99"/>
              </w:rPr>
              <w:t>10/25/2019</w:t>
            </w:r>
          </w:p>
        </w:tc>
        <w:tc>
          <w:tcPr>
            <w:tcW w:w="12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P + 6.00%</w:t>
            </w:r>
          </w:p>
        </w:tc>
        <w:tc>
          <w:tcPr>
            <w:tcW w:w="1440" w:type="dxa"/>
            <w:vAlign w:val="bottom"/>
            <w:gridSpan w:val="2"/>
          </w:tcPr>
          <w:p>
            <w:pPr>
              <w:jc w:val="right"/>
              <w:ind w:right="120"/>
              <w:spacing w:after="0"/>
              <w:rPr>
                <w:sz w:val="20"/>
                <w:szCs w:val="20"/>
                <w:color w:val="auto"/>
              </w:rPr>
            </w:pPr>
            <w:r>
              <w:rPr>
                <w:rFonts w:ascii="Arial" w:cs="Arial" w:eastAsia="Arial" w:hAnsi="Arial"/>
                <w:sz w:val="16"/>
                <w:szCs w:val="16"/>
                <w:color w:val="auto"/>
              </w:rPr>
              <w:t>9.25%</w:t>
            </w:r>
          </w:p>
        </w:tc>
        <w:tc>
          <w:tcPr>
            <w:tcW w:w="760" w:type="dxa"/>
            <w:vAlign w:val="bottom"/>
          </w:tcPr>
          <w:p>
            <w:pPr>
              <w:jc w:val="right"/>
              <w:spacing w:after="0"/>
              <w:rPr>
                <w:sz w:val="20"/>
                <w:szCs w:val="20"/>
                <w:color w:val="auto"/>
              </w:rPr>
            </w:pPr>
            <w:r>
              <w:rPr>
                <w:rFonts w:ascii="Arial" w:cs="Arial" w:eastAsia="Arial" w:hAnsi="Arial"/>
                <w:sz w:val="16"/>
                <w:szCs w:val="16"/>
                <w:color w:val="auto"/>
              </w:rPr>
              <w:t>2,462</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2,519</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0.2%</w:t>
            </w:r>
          </w:p>
        </w:tc>
      </w:tr>
      <w:tr>
        <w:trPr>
          <w:trHeight w:val="209"/>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2"/>
          </w:tcPr>
          <w:p>
            <w:pPr>
              <w:spacing w:after="0"/>
              <w:rPr>
                <w:sz w:val="20"/>
                <w:szCs w:val="20"/>
                <w:color w:val="auto"/>
              </w:rPr>
            </w:pPr>
            <w:r>
              <w:rPr>
                <w:rFonts w:ascii="Arial" w:cs="Arial" w:eastAsia="Arial" w:hAnsi="Arial"/>
                <w:sz w:val="16"/>
                <w:szCs w:val="16"/>
                <w:color w:val="auto"/>
              </w:rPr>
              <w:t>par, due 10/2024)</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620" w:type="dxa"/>
            <w:vAlign w:val="bottom"/>
            <w:gridSpan w:val="2"/>
            <w:shd w:val="clear" w:color="auto" w:fill="CFF0FC"/>
          </w:tcPr>
          <w:p>
            <w:pPr>
              <w:spacing w:after="0" w:line="209" w:lineRule="exact"/>
              <w:rPr>
                <w:sz w:val="20"/>
                <w:szCs w:val="20"/>
                <w:color w:val="auto"/>
              </w:rPr>
            </w:pPr>
            <w:r>
              <w:rPr>
                <w:rFonts w:ascii="Arial" w:cs="Arial" w:eastAsia="Arial" w:hAnsi="Arial"/>
                <w:sz w:val="15"/>
                <w:szCs w:val="15"/>
                <w:color w:val="auto"/>
              </w:rPr>
              <w:t xml:space="preserve">Factor Systems, Inc. </w:t>
            </w:r>
            <w:r>
              <w:rPr>
                <w:rFonts w:ascii="Arial" w:cs="Arial" w:eastAsia="Arial" w:hAnsi="Arial"/>
                <w:sz w:val="24"/>
                <w:szCs w:val="24"/>
                <w:color w:val="auto"/>
                <w:vertAlign w:val="superscript"/>
              </w:rPr>
              <w:t>(3)(5)</w:t>
            </w:r>
          </w:p>
        </w:tc>
        <w:tc>
          <w:tcPr>
            <w:tcW w:w="23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First-lien loan ($29,775 par, due</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1/17/2020</w:t>
            </w: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+ 7.00%</w:t>
            </w: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8.50%</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29,232</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30,966</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2.7%</w:t>
            </w:r>
          </w:p>
        </w:tc>
      </w:tr>
      <w:tr>
        <w:trPr>
          <w:trHeight w:val="212"/>
        </w:trPr>
        <w:tc>
          <w:tcPr>
            <w:tcW w:w="2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40" w:type="dxa"/>
            <w:vAlign w:val="bottom"/>
            <w:shd w:val="clear" w:color="auto" w:fill="CFF0FC"/>
          </w:tcPr>
          <w:p>
            <w:pPr>
              <w:spacing w:after="0"/>
              <w:rPr>
                <w:sz w:val="20"/>
                <w:szCs w:val="20"/>
                <w:color w:val="auto"/>
              </w:rPr>
            </w:pPr>
            <w:r>
              <w:rPr>
                <w:rFonts w:ascii="Arial" w:cs="Arial" w:eastAsia="Arial" w:hAnsi="Arial"/>
                <w:sz w:val="16"/>
                <w:szCs w:val="16"/>
                <w:color w:val="auto"/>
              </w:rPr>
              <w:t>1/2025)</w:t>
            </w: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310"/>
        </w:trPr>
        <w:tc>
          <w:tcPr>
            <w:tcW w:w="2460" w:type="dxa"/>
            <w:vAlign w:val="bottom"/>
          </w:tcPr>
          <w:p>
            <w:pPr>
              <w:spacing w:after="0"/>
              <w:rPr>
                <w:sz w:val="20"/>
                <w:szCs w:val="20"/>
                <w:color w:val="auto"/>
              </w:rPr>
            </w:pPr>
            <w:r>
              <w:rPr>
                <w:rFonts w:ascii="Arial" w:cs="Arial" w:eastAsia="Arial" w:hAnsi="Arial"/>
                <w:sz w:val="16"/>
                <w:szCs w:val="16"/>
                <w:color w:val="auto"/>
              </w:rPr>
              <w:t xml:space="preserve">G Treasury SS, LLC </w:t>
            </w:r>
            <w:r>
              <w:rPr>
                <w:rFonts w:ascii="Arial" w:cs="Arial" w:eastAsia="Arial" w:hAnsi="Arial"/>
                <w:sz w:val="27"/>
                <w:szCs w:val="27"/>
                <w:color w:val="auto"/>
                <w:vertAlign w:val="superscript"/>
              </w:rPr>
              <w:t>(3)(5)</w:t>
            </w:r>
          </w:p>
        </w:tc>
        <w:tc>
          <w:tcPr>
            <w:tcW w:w="2380" w:type="dxa"/>
            <w:vAlign w:val="bottom"/>
          </w:tcPr>
          <w:p>
            <w:pPr>
              <w:ind w:left="140"/>
              <w:spacing w:after="0"/>
              <w:rPr>
                <w:sz w:val="20"/>
                <w:szCs w:val="20"/>
                <w:color w:val="auto"/>
              </w:rPr>
            </w:pPr>
            <w:r>
              <w:rPr>
                <w:rFonts w:ascii="Arial" w:cs="Arial" w:eastAsia="Arial" w:hAnsi="Arial"/>
                <w:sz w:val="16"/>
                <w:szCs w:val="16"/>
                <w:color w:val="auto"/>
                <w:w w:val="97"/>
              </w:rPr>
              <w:t>First-lien loan ($30,934 par, due</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4/9/2018</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L + 8.25%</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9.25%</w:t>
            </w:r>
          </w:p>
        </w:tc>
        <w:tc>
          <w:tcPr>
            <w:tcW w:w="760" w:type="dxa"/>
            <w:vAlign w:val="bottom"/>
          </w:tcPr>
          <w:p>
            <w:pPr>
              <w:jc w:val="right"/>
              <w:spacing w:after="0"/>
              <w:rPr>
                <w:sz w:val="20"/>
                <w:szCs w:val="20"/>
                <w:color w:val="auto"/>
              </w:rPr>
            </w:pPr>
            <w:r>
              <w:rPr>
                <w:rFonts w:ascii="Arial" w:cs="Arial" w:eastAsia="Arial" w:hAnsi="Arial"/>
                <w:sz w:val="16"/>
                <w:szCs w:val="16"/>
                <w:color w:val="auto"/>
              </w:rPr>
              <w:t>30,674</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31,398</w:t>
            </w:r>
          </w:p>
        </w:tc>
        <w:tc>
          <w:tcPr>
            <w:tcW w:w="20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2.7%</w:t>
            </w:r>
          </w:p>
        </w:tc>
      </w:tr>
      <w:tr>
        <w:trPr>
          <w:trHeight w:val="209"/>
        </w:trPr>
        <w:tc>
          <w:tcPr>
            <w:tcW w:w="2460" w:type="dxa"/>
            <w:vAlign w:val="bottom"/>
          </w:tcPr>
          <w:p>
            <w:pPr>
              <w:spacing w:after="0"/>
              <w:rPr>
                <w:sz w:val="18"/>
                <w:szCs w:val="18"/>
                <w:color w:val="auto"/>
              </w:rPr>
            </w:pPr>
          </w:p>
        </w:tc>
        <w:tc>
          <w:tcPr>
            <w:tcW w:w="2380" w:type="dxa"/>
            <w:vAlign w:val="bottom"/>
          </w:tcPr>
          <w:p>
            <w:pPr>
              <w:ind w:left="140"/>
              <w:spacing w:after="0"/>
              <w:rPr>
                <w:sz w:val="20"/>
                <w:szCs w:val="20"/>
                <w:color w:val="auto"/>
              </w:rPr>
            </w:pPr>
            <w:r>
              <w:rPr>
                <w:rFonts w:ascii="Arial" w:cs="Arial" w:eastAsia="Arial" w:hAnsi="Arial"/>
                <w:sz w:val="16"/>
                <w:szCs w:val="16"/>
                <w:color w:val="auto"/>
              </w:rPr>
              <w:t>4/2023)</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46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GC Agile Holdings, Ltd. </w:t>
            </w:r>
            <w:r>
              <w:rPr>
                <w:rFonts w:ascii="Arial" w:cs="Arial" w:eastAsia="Arial" w:hAnsi="Arial"/>
                <w:sz w:val="24"/>
                <w:szCs w:val="24"/>
                <w:color w:val="auto"/>
                <w:vertAlign w:val="superscript"/>
              </w:rPr>
              <w:t>(3)(4)</w:t>
            </w:r>
          </w:p>
        </w:tc>
        <w:tc>
          <w:tcPr>
            <w:tcW w:w="2380" w:type="dxa"/>
            <w:vAlign w:val="bottom"/>
            <w:shd w:val="clear" w:color="auto" w:fill="CFF0FC"/>
          </w:tcPr>
          <w:p>
            <w:pPr>
              <w:ind w:left="140"/>
              <w:spacing w:after="0"/>
              <w:rPr>
                <w:sz w:val="20"/>
                <w:szCs w:val="20"/>
                <w:color w:val="auto"/>
              </w:rPr>
            </w:pPr>
            <w:r>
              <w:rPr>
                <w:rFonts w:ascii="Arial" w:cs="Arial" w:eastAsia="Arial" w:hAnsi="Arial"/>
                <w:sz w:val="16"/>
                <w:szCs w:val="16"/>
                <w:color w:val="auto"/>
                <w:w w:val="97"/>
              </w:rPr>
              <w:t>First-lien loan ($39,323 par, due</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1/31/2019</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+ 7.00%</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8.25%</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38,814</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39,618</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3.4%</w:t>
            </w:r>
          </w:p>
        </w:tc>
      </w:tr>
      <w:tr>
        <w:trPr>
          <w:trHeight w:val="212"/>
        </w:trPr>
        <w:tc>
          <w:tcPr>
            <w:tcW w:w="2460" w:type="dxa"/>
            <w:vAlign w:val="bottom"/>
            <w:shd w:val="clear" w:color="auto" w:fill="CFF0FC"/>
          </w:tcPr>
          <w:p>
            <w:pPr>
              <w:spacing w:after="0"/>
              <w:rPr>
                <w:sz w:val="18"/>
                <w:szCs w:val="18"/>
                <w:color w:val="auto"/>
              </w:rPr>
            </w:pPr>
          </w:p>
        </w:tc>
        <w:tc>
          <w:tcPr>
            <w:tcW w:w="23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6/2025)</w:t>
            </w:r>
          </w:p>
        </w:tc>
        <w:tc>
          <w:tcPr>
            <w:tcW w:w="10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460" w:type="dxa"/>
            <w:vAlign w:val="bottom"/>
          </w:tcPr>
          <w:p>
            <w:pPr>
              <w:spacing w:after="0" w:line="207" w:lineRule="exact"/>
              <w:rPr>
                <w:sz w:val="20"/>
                <w:szCs w:val="20"/>
                <w:color w:val="auto"/>
              </w:rPr>
            </w:pPr>
            <w:r>
              <w:rPr>
                <w:rFonts w:ascii="Arial" w:cs="Arial" w:eastAsia="Arial" w:hAnsi="Arial"/>
                <w:sz w:val="14"/>
                <w:szCs w:val="14"/>
                <w:color w:val="auto"/>
              </w:rPr>
              <w:t xml:space="preserve">InvMetrics Holdings, Inc. </w:t>
            </w:r>
            <w:r>
              <w:rPr>
                <w:rFonts w:ascii="Arial" w:cs="Arial" w:eastAsia="Arial" w:hAnsi="Arial"/>
                <w:sz w:val="23"/>
                <w:szCs w:val="23"/>
                <w:color w:val="auto"/>
                <w:vertAlign w:val="superscript"/>
              </w:rPr>
              <w:t>(3)(5)</w:t>
            </w:r>
          </w:p>
        </w:tc>
        <w:tc>
          <w:tcPr>
            <w:tcW w:w="2380" w:type="dxa"/>
            <w:vAlign w:val="bottom"/>
          </w:tcPr>
          <w:p>
            <w:pPr>
              <w:ind w:left="140"/>
              <w:spacing w:after="0"/>
              <w:rPr>
                <w:sz w:val="20"/>
                <w:szCs w:val="20"/>
                <w:color w:val="auto"/>
              </w:rPr>
            </w:pPr>
            <w:r>
              <w:rPr>
                <w:rFonts w:ascii="Arial" w:cs="Arial" w:eastAsia="Arial" w:hAnsi="Arial"/>
                <w:sz w:val="16"/>
                <w:szCs w:val="16"/>
                <w:color w:val="auto"/>
                <w:w w:val="97"/>
              </w:rPr>
              <w:t>First-lien loan ($53,200 par, due</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12/30/2020</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L + 6.25%</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7.25%</w:t>
            </w:r>
          </w:p>
        </w:tc>
        <w:tc>
          <w:tcPr>
            <w:tcW w:w="760" w:type="dxa"/>
            <w:vAlign w:val="bottom"/>
          </w:tcPr>
          <w:p>
            <w:pPr>
              <w:jc w:val="right"/>
              <w:spacing w:after="0"/>
              <w:rPr>
                <w:sz w:val="20"/>
                <w:szCs w:val="20"/>
                <w:color w:val="auto"/>
              </w:rPr>
            </w:pPr>
            <w:r>
              <w:rPr>
                <w:rFonts w:ascii="Arial" w:cs="Arial" w:eastAsia="Arial" w:hAnsi="Arial"/>
                <w:sz w:val="16"/>
                <w:szCs w:val="16"/>
                <w:color w:val="auto"/>
              </w:rPr>
              <w:t>51,824</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51,823</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4.5%</w:t>
            </w:r>
          </w:p>
        </w:tc>
      </w:tr>
      <w:tr>
        <w:trPr>
          <w:trHeight w:val="209"/>
        </w:trPr>
        <w:tc>
          <w:tcPr>
            <w:tcW w:w="2460" w:type="dxa"/>
            <w:vAlign w:val="bottom"/>
          </w:tcPr>
          <w:p>
            <w:pPr>
              <w:spacing w:after="0"/>
              <w:rPr>
                <w:sz w:val="18"/>
                <w:szCs w:val="18"/>
                <w:color w:val="auto"/>
              </w:rPr>
            </w:pPr>
          </w:p>
        </w:tc>
        <w:tc>
          <w:tcPr>
            <w:tcW w:w="2380" w:type="dxa"/>
            <w:vAlign w:val="bottom"/>
          </w:tcPr>
          <w:p>
            <w:pPr>
              <w:ind w:left="140"/>
              <w:spacing w:after="0"/>
              <w:rPr>
                <w:sz w:val="20"/>
                <w:szCs w:val="20"/>
                <w:color w:val="auto"/>
              </w:rPr>
            </w:pPr>
            <w:r>
              <w:rPr>
                <w:rFonts w:ascii="Arial" w:cs="Arial" w:eastAsia="Arial" w:hAnsi="Arial"/>
                <w:sz w:val="16"/>
                <w:szCs w:val="16"/>
                <w:color w:val="auto"/>
              </w:rPr>
              <w:t>12/2025)</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46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Kyriba Corp.</w:t>
            </w:r>
            <w:r>
              <w:rPr>
                <w:rFonts w:ascii="Arial" w:cs="Arial" w:eastAsia="Arial" w:hAnsi="Arial"/>
                <w:sz w:val="24"/>
                <w:szCs w:val="24"/>
                <w:color w:val="auto"/>
                <w:vertAlign w:val="superscript"/>
              </w:rPr>
              <w:t>(3)</w:t>
            </w:r>
          </w:p>
        </w:tc>
        <w:tc>
          <w:tcPr>
            <w:tcW w:w="2380" w:type="dxa"/>
            <w:vAlign w:val="bottom"/>
            <w:shd w:val="clear" w:color="auto" w:fill="CFF0FC"/>
          </w:tcPr>
          <w:p>
            <w:pPr>
              <w:ind w:left="140"/>
              <w:spacing w:after="0"/>
              <w:rPr>
                <w:sz w:val="20"/>
                <w:szCs w:val="20"/>
                <w:color w:val="auto"/>
              </w:rPr>
            </w:pPr>
            <w:r>
              <w:rPr>
                <w:rFonts w:ascii="Arial" w:cs="Arial" w:eastAsia="Arial" w:hAnsi="Arial"/>
                <w:sz w:val="16"/>
                <w:szCs w:val="16"/>
                <w:color w:val="auto"/>
                <w:w w:val="97"/>
              </w:rPr>
              <w:t>First-lien loan ($13,921 par, due</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4/9/2019</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+ 9.00%</w:t>
            </w:r>
          </w:p>
        </w:tc>
        <w:tc>
          <w:tcPr>
            <w:tcW w:w="136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10.50% (incl.</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13,644</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14,387</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1.2%</w:t>
            </w:r>
          </w:p>
        </w:tc>
      </w:tr>
      <w:tr>
        <w:trPr>
          <w:trHeight w:val="212"/>
        </w:trPr>
        <w:tc>
          <w:tcPr>
            <w:tcW w:w="2460" w:type="dxa"/>
            <w:vAlign w:val="bottom"/>
            <w:shd w:val="clear" w:color="auto" w:fill="CFF0FC"/>
          </w:tcPr>
          <w:p>
            <w:pPr>
              <w:spacing w:after="0"/>
              <w:rPr>
                <w:sz w:val="18"/>
                <w:szCs w:val="18"/>
                <w:color w:val="auto"/>
              </w:rPr>
            </w:pPr>
          </w:p>
        </w:tc>
        <w:tc>
          <w:tcPr>
            <w:tcW w:w="23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4/2025)</w:t>
            </w:r>
          </w:p>
        </w:tc>
        <w:tc>
          <w:tcPr>
            <w:tcW w:w="10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9.00% PIK)</w:t>
            </w: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460" w:type="dxa"/>
            <w:vAlign w:val="bottom"/>
          </w:tcPr>
          <w:p>
            <w:pPr>
              <w:spacing w:after="0"/>
              <w:rPr>
                <w:sz w:val="17"/>
                <w:szCs w:val="17"/>
                <w:color w:val="auto"/>
              </w:rPr>
            </w:pPr>
          </w:p>
        </w:tc>
        <w:tc>
          <w:tcPr>
            <w:tcW w:w="2380" w:type="dxa"/>
            <w:vAlign w:val="bottom"/>
          </w:tcPr>
          <w:p>
            <w:pPr>
              <w:ind w:left="140"/>
              <w:spacing w:after="0"/>
              <w:rPr>
                <w:sz w:val="20"/>
                <w:szCs w:val="20"/>
                <w:color w:val="auto"/>
              </w:rPr>
            </w:pPr>
            <w:r>
              <w:rPr>
                <w:rFonts w:ascii="Arial" w:cs="Arial" w:eastAsia="Arial" w:hAnsi="Arial"/>
                <w:sz w:val="16"/>
                <w:szCs w:val="16"/>
                <w:color w:val="auto"/>
              </w:rPr>
              <w:t>First-lien loan (EUR 8,288 par,</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4/9/2019</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E + 9.00%</w:t>
            </w:r>
          </w:p>
        </w:tc>
        <w:tc>
          <w:tcPr>
            <w:tcW w:w="1360" w:type="dxa"/>
            <w:vAlign w:val="bottom"/>
          </w:tcPr>
          <w:p>
            <w:pPr>
              <w:jc w:val="right"/>
              <w:ind w:right="199"/>
              <w:spacing w:after="0"/>
              <w:rPr>
                <w:sz w:val="20"/>
                <w:szCs w:val="20"/>
                <w:color w:val="auto"/>
              </w:rPr>
            </w:pPr>
            <w:r>
              <w:rPr>
                <w:rFonts w:ascii="Arial" w:cs="Arial" w:eastAsia="Arial" w:hAnsi="Arial"/>
                <w:sz w:val="16"/>
                <w:szCs w:val="16"/>
                <w:color w:val="auto"/>
              </w:rPr>
              <w:t>9.00% PIK</w:t>
            </w:r>
          </w:p>
        </w:tc>
        <w:tc>
          <w:tcPr>
            <w:tcW w:w="760" w:type="dxa"/>
            <w:vAlign w:val="bottom"/>
          </w:tcPr>
          <w:p>
            <w:pPr>
              <w:jc w:val="right"/>
              <w:spacing w:after="0"/>
              <w:rPr>
                <w:sz w:val="20"/>
                <w:szCs w:val="20"/>
                <w:color w:val="auto"/>
              </w:rPr>
            </w:pPr>
            <w:r>
              <w:rPr>
                <w:rFonts w:ascii="Arial" w:cs="Arial" w:eastAsia="Arial" w:hAnsi="Arial"/>
                <w:sz w:val="16"/>
                <w:szCs w:val="16"/>
                <w:color w:val="auto"/>
              </w:rPr>
              <w:t>9,120</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10,420</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0.9%</w:t>
            </w:r>
          </w:p>
        </w:tc>
      </w:tr>
      <w:tr>
        <w:trPr>
          <w:trHeight w:val="209"/>
        </w:trPr>
        <w:tc>
          <w:tcPr>
            <w:tcW w:w="2460" w:type="dxa"/>
            <w:vAlign w:val="bottom"/>
          </w:tcPr>
          <w:p>
            <w:pPr>
              <w:spacing w:after="0"/>
              <w:rPr>
                <w:sz w:val="18"/>
                <w:szCs w:val="18"/>
                <w:color w:val="auto"/>
              </w:rPr>
            </w:pPr>
          </w:p>
        </w:tc>
        <w:tc>
          <w:tcPr>
            <w:tcW w:w="2380" w:type="dxa"/>
            <w:vAlign w:val="bottom"/>
          </w:tcPr>
          <w:p>
            <w:pPr>
              <w:ind w:left="140"/>
              <w:spacing w:after="0"/>
              <w:rPr>
                <w:sz w:val="20"/>
                <w:szCs w:val="20"/>
                <w:color w:val="auto"/>
              </w:rPr>
            </w:pPr>
            <w:r>
              <w:rPr>
                <w:rFonts w:ascii="Arial" w:cs="Arial" w:eastAsia="Arial" w:hAnsi="Arial"/>
                <w:sz w:val="16"/>
                <w:szCs w:val="16"/>
                <w:color w:val="auto"/>
              </w:rPr>
              <w:t>due 4/2025)</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(EUR 8,516)</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460" w:type="dxa"/>
            <w:vAlign w:val="bottom"/>
            <w:shd w:val="clear" w:color="auto" w:fill="CFF0FC"/>
          </w:tcPr>
          <w:p>
            <w:pPr>
              <w:spacing w:after="0"/>
              <w:rPr>
                <w:sz w:val="18"/>
                <w:szCs w:val="18"/>
                <w:color w:val="auto"/>
              </w:rPr>
            </w:pPr>
          </w:p>
        </w:tc>
        <w:tc>
          <w:tcPr>
            <w:tcW w:w="2380" w:type="dxa"/>
            <w:vAlign w:val="bottom"/>
            <w:shd w:val="clear" w:color="auto" w:fill="CFF0FC"/>
          </w:tcPr>
          <w:p>
            <w:pPr>
              <w:ind w:left="140"/>
              <w:spacing w:after="0"/>
              <w:rPr>
                <w:sz w:val="20"/>
                <w:szCs w:val="20"/>
                <w:color w:val="auto"/>
              </w:rPr>
            </w:pPr>
            <w:r>
              <w:rPr>
                <w:rFonts w:ascii="Arial" w:cs="Arial" w:eastAsia="Arial" w:hAnsi="Arial"/>
                <w:sz w:val="16"/>
                <w:szCs w:val="16"/>
                <w:color w:val="auto"/>
                <w:w w:val="99"/>
              </w:rPr>
              <w:t>First-lien revolving loan ($1,411</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4/9/2019</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+ 7.25%</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8.75%</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1,379</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1,451</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0.1%</w:t>
            </w:r>
          </w:p>
        </w:tc>
      </w:tr>
      <w:tr>
        <w:trPr>
          <w:trHeight w:val="212"/>
        </w:trPr>
        <w:tc>
          <w:tcPr>
            <w:tcW w:w="2460" w:type="dxa"/>
            <w:vAlign w:val="bottom"/>
            <w:shd w:val="clear" w:color="auto" w:fill="CFF0FC"/>
          </w:tcPr>
          <w:p>
            <w:pPr>
              <w:spacing w:after="0"/>
              <w:rPr>
                <w:sz w:val="18"/>
                <w:szCs w:val="18"/>
                <w:color w:val="auto"/>
              </w:rPr>
            </w:pPr>
          </w:p>
        </w:tc>
        <w:tc>
          <w:tcPr>
            <w:tcW w:w="23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par, due 4/2025)</w:t>
            </w:r>
          </w:p>
        </w:tc>
        <w:tc>
          <w:tcPr>
            <w:tcW w:w="10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460" w:type="dxa"/>
            <w:vAlign w:val="bottom"/>
          </w:tcPr>
          <w:p>
            <w:pPr>
              <w:spacing w:after="0"/>
              <w:rPr>
                <w:sz w:val="17"/>
                <w:szCs w:val="17"/>
                <w:color w:val="auto"/>
              </w:rPr>
            </w:pPr>
          </w:p>
        </w:tc>
        <w:tc>
          <w:tcPr>
            <w:tcW w:w="2380" w:type="dxa"/>
            <w:vAlign w:val="bottom"/>
          </w:tcPr>
          <w:p>
            <w:pPr>
              <w:ind w:left="140"/>
              <w:spacing w:after="0"/>
              <w:rPr>
                <w:sz w:val="20"/>
                <w:szCs w:val="20"/>
                <w:color w:val="auto"/>
              </w:rPr>
            </w:pPr>
            <w:r>
              <w:rPr>
                <w:rFonts w:ascii="Arial" w:cs="Arial" w:eastAsia="Arial" w:hAnsi="Arial"/>
                <w:sz w:val="16"/>
                <w:szCs w:val="16"/>
                <w:color w:val="auto"/>
              </w:rPr>
              <w:t>First-lien revolving loan (EUR</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4/9/2019</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E + 7.25%</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7.25%</w:t>
            </w:r>
          </w:p>
        </w:tc>
        <w:tc>
          <w:tcPr>
            <w:tcW w:w="760" w:type="dxa"/>
            <w:vAlign w:val="bottom"/>
          </w:tcPr>
          <w:p>
            <w:pPr>
              <w:jc w:val="right"/>
              <w:spacing w:after="0"/>
              <w:rPr>
                <w:sz w:val="20"/>
                <w:szCs w:val="20"/>
                <w:color w:val="auto"/>
              </w:rPr>
            </w:pPr>
            <w:r>
              <w:rPr>
                <w:rFonts w:ascii="Arial" w:cs="Arial" w:eastAsia="Arial" w:hAnsi="Arial"/>
                <w:sz w:val="16"/>
                <w:szCs w:val="16"/>
                <w:color w:val="auto"/>
              </w:rPr>
              <w:t>368</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422</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0.0%</w:t>
            </w:r>
          </w:p>
        </w:tc>
      </w:tr>
      <w:tr>
        <w:trPr>
          <w:trHeight w:val="209"/>
        </w:trPr>
        <w:tc>
          <w:tcPr>
            <w:tcW w:w="2460" w:type="dxa"/>
            <w:vAlign w:val="bottom"/>
          </w:tcPr>
          <w:p>
            <w:pPr>
              <w:spacing w:after="0"/>
              <w:rPr>
                <w:sz w:val="18"/>
                <w:szCs w:val="18"/>
                <w:color w:val="auto"/>
              </w:rPr>
            </w:pPr>
          </w:p>
        </w:tc>
        <w:tc>
          <w:tcPr>
            <w:tcW w:w="2380" w:type="dxa"/>
            <w:vAlign w:val="bottom"/>
          </w:tcPr>
          <w:p>
            <w:pPr>
              <w:ind w:left="140"/>
              <w:spacing w:after="0"/>
              <w:rPr>
                <w:sz w:val="20"/>
                <w:szCs w:val="20"/>
                <w:color w:val="auto"/>
              </w:rPr>
            </w:pPr>
            <w:r>
              <w:rPr>
                <w:rFonts w:ascii="Arial" w:cs="Arial" w:eastAsia="Arial" w:hAnsi="Arial"/>
                <w:sz w:val="16"/>
                <w:szCs w:val="16"/>
                <w:color w:val="auto"/>
              </w:rPr>
              <w:t>336 par, due 4/2025)</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(EUR 345)</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46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PayLease, LLC </w:t>
            </w:r>
            <w:r>
              <w:rPr>
                <w:rFonts w:ascii="Arial" w:cs="Arial" w:eastAsia="Arial" w:hAnsi="Arial"/>
                <w:sz w:val="24"/>
                <w:szCs w:val="24"/>
                <w:color w:val="auto"/>
                <w:vertAlign w:val="superscript"/>
              </w:rPr>
              <w:t>(3)</w:t>
            </w:r>
          </w:p>
        </w:tc>
        <w:tc>
          <w:tcPr>
            <w:tcW w:w="2380" w:type="dxa"/>
            <w:vAlign w:val="bottom"/>
            <w:shd w:val="clear" w:color="auto" w:fill="CFF0FC"/>
          </w:tcPr>
          <w:p>
            <w:pPr>
              <w:ind w:left="140"/>
              <w:spacing w:after="0"/>
              <w:rPr>
                <w:sz w:val="20"/>
                <w:szCs w:val="20"/>
                <w:color w:val="auto"/>
              </w:rPr>
            </w:pPr>
            <w:r>
              <w:rPr>
                <w:rFonts w:ascii="Arial" w:cs="Arial" w:eastAsia="Arial" w:hAnsi="Arial"/>
                <w:sz w:val="16"/>
                <w:szCs w:val="16"/>
                <w:color w:val="auto"/>
                <w:w w:val="97"/>
              </w:rPr>
              <w:t>First-lien loan ($63,671 par, due</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7/28/2017</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+ 7.25%</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8.25%</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63,183</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64,467</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5.6%</w:t>
            </w:r>
          </w:p>
        </w:tc>
      </w:tr>
      <w:tr>
        <w:trPr>
          <w:trHeight w:val="212"/>
        </w:trPr>
        <w:tc>
          <w:tcPr>
            <w:tcW w:w="2460" w:type="dxa"/>
            <w:vAlign w:val="bottom"/>
            <w:shd w:val="clear" w:color="auto" w:fill="CFF0FC"/>
          </w:tcPr>
          <w:p>
            <w:pPr>
              <w:spacing w:after="0"/>
              <w:rPr>
                <w:sz w:val="18"/>
                <w:szCs w:val="18"/>
                <w:color w:val="auto"/>
              </w:rPr>
            </w:pPr>
          </w:p>
        </w:tc>
        <w:tc>
          <w:tcPr>
            <w:tcW w:w="23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7/2022)</w:t>
            </w:r>
          </w:p>
        </w:tc>
        <w:tc>
          <w:tcPr>
            <w:tcW w:w="10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460" w:type="dxa"/>
            <w:vAlign w:val="bottom"/>
          </w:tcPr>
          <w:p>
            <w:pPr>
              <w:spacing w:after="0"/>
              <w:rPr>
                <w:sz w:val="17"/>
                <w:szCs w:val="17"/>
                <w:color w:val="auto"/>
              </w:rPr>
            </w:pPr>
          </w:p>
        </w:tc>
        <w:tc>
          <w:tcPr>
            <w:tcW w:w="2380" w:type="dxa"/>
            <w:vAlign w:val="bottom"/>
          </w:tcPr>
          <w:p>
            <w:pPr>
              <w:ind w:left="140"/>
              <w:spacing w:after="0"/>
              <w:rPr>
                <w:sz w:val="20"/>
                <w:szCs w:val="20"/>
                <w:color w:val="auto"/>
              </w:rPr>
            </w:pPr>
            <w:r>
              <w:rPr>
                <w:rFonts w:ascii="Arial" w:cs="Arial" w:eastAsia="Arial" w:hAnsi="Arial"/>
                <w:sz w:val="16"/>
                <w:szCs w:val="16"/>
                <w:color w:val="auto"/>
                <w:w w:val="99"/>
              </w:rPr>
              <w:t>First-lien revolving loan ($3,333</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7/28/2017</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L + 7.25%</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8.25%</w:t>
            </w:r>
          </w:p>
        </w:tc>
        <w:tc>
          <w:tcPr>
            <w:tcW w:w="760" w:type="dxa"/>
            <w:vAlign w:val="bottom"/>
          </w:tcPr>
          <w:p>
            <w:pPr>
              <w:jc w:val="right"/>
              <w:spacing w:after="0"/>
              <w:rPr>
                <w:sz w:val="20"/>
                <w:szCs w:val="20"/>
                <w:color w:val="auto"/>
              </w:rPr>
            </w:pPr>
            <w:r>
              <w:rPr>
                <w:rFonts w:ascii="Arial" w:cs="Arial" w:eastAsia="Arial" w:hAnsi="Arial"/>
                <w:sz w:val="16"/>
                <w:szCs w:val="16"/>
                <w:color w:val="auto"/>
              </w:rPr>
              <w:t>3,312</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3,375</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0.3%</w:t>
            </w:r>
          </w:p>
        </w:tc>
      </w:tr>
      <w:tr>
        <w:trPr>
          <w:trHeight w:val="209"/>
        </w:trPr>
        <w:tc>
          <w:tcPr>
            <w:tcW w:w="2460" w:type="dxa"/>
            <w:vAlign w:val="bottom"/>
          </w:tcPr>
          <w:p>
            <w:pPr>
              <w:spacing w:after="0"/>
              <w:rPr>
                <w:sz w:val="18"/>
                <w:szCs w:val="18"/>
                <w:color w:val="auto"/>
              </w:rPr>
            </w:pPr>
          </w:p>
        </w:tc>
        <w:tc>
          <w:tcPr>
            <w:tcW w:w="2380" w:type="dxa"/>
            <w:vAlign w:val="bottom"/>
          </w:tcPr>
          <w:p>
            <w:pPr>
              <w:ind w:left="140"/>
              <w:spacing w:after="0"/>
              <w:rPr>
                <w:sz w:val="20"/>
                <w:szCs w:val="20"/>
                <w:color w:val="auto"/>
              </w:rPr>
            </w:pPr>
            <w:r>
              <w:rPr>
                <w:rFonts w:ascii="Arial" w:cs="Arial" w:eastAsia="Arial" w:hAnsi="Arial"/>
                <w:sz w:val="16"/>
                <w:szCs w:val="16"/>
                <w:color w:val="auto"/>
              </w:rPr>
              <w:t>par, due 7/2022)</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46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PrimeRevenue, Inc. </w:t>
            </w:r>
            <w:r>
              <w:rPr>
                <w:rFonts w:ascii="Arial" w:cs="Arial" w:eastAsia="Arial" w:hAnsi="Arial"/>
                <w:sz w:val="24"/>
                <w:szCs w:val="24"/>
                <w:color w:val="auto"/>
                <w:vertAlign w:val="superscript"/>
              </w:rPr>
              <w:t>(3)</w:t>
            </w:r>
          </w:p>
        </w:tc>
        <w:tc>
          <w:tcPr>
            <w:tcW w:w="2380" w:type="dxa"/>
            <w:vAlign w:val="bottom"/>
            <w:shd w:val="clear" w:color="auto" w:fill="CFF0FC"/>
          </w:tcPr>
          <w:p>
            <w:pPr>
              <w:ind w:left="140"/>
              <w:spacing w:after="0"/>
              <w:rPr>
                <w:sz w:val="20"/>
                <w:szCs w:val="20"/>
                <w:color w:val="auto"/>
              </w:rPr>
            </w:pPr>
            <w:r>
              <w:rPr>
                <w:rFonts w:ascii="Arial" w:cs="Arial" w:eastAsia="Arial" w:hAnsi="Arial"/>
                <w:sz w:val="16"/>
                <w:szCs w:val="16"/>
                <w:color w:val="auto"/>
                <w:w w:val="97"/>
              </w:rPr>
              <w:t>First-lien loan ($22,207 par, due</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12/31/2018</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+ 9.50%</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11.00%</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22,001</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22,932</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2.0%</w:t>
            </w:r>
          </w:p>
        </w:tc>
      </w:tr>
      <w:tr>
        <w:trPr>
          <w:trHeight w:val="209"/>
        </w:trPr>
        <w:tc>
          <w:tcPr>
            <w:tcW w:w="2460" w:type="dxa"/>
            <w:vAlign w:val="bottom"/>
            <w:shd w:val="clear" w:color="auto" w:fill="CFF0FC"/>
          </w:tcPr>
          <w:p>
            <w:pPr>
              <w:spacing w:after="0"/>
              <w:rPr>
                <w:sz w:val="18"/>
                <w:szCs w:val="18"/>
                <w:color w:val="auto"/>
              </w:rPr>
            </w:pPr>
          </w:p>
        </w:tc>
        <w:tc>
          <w:tcPr>
            <w:tcW w:w="23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12/2023)</w:t>
            </w:r>
          </w:p>
        </w:tc>
        <w:tc>
          <w:tcPr>
            <w:tcW w:w="10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9"/>
        </w:trPr>
        <w:tc>
          <w:tcPr>
            <w:tcW w:w="24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330,512</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339,569</w:t>
            </w:r>
          </w:p>
        </w:tc>
        <w:tc>
          <w:tcPr>
            <w:tcW w:w="2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29.2%</w:t>
            </w:r>
          </w:p>
        </w:tc>
      </w:tr>
      <w:tr>
        <w:trPr>
          <w:trHeight w:val="213"/>
        </w:trPr>
        <w:tc>
          <w:tcPr>
            <w:tcW w:w="2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Healthcare</w:t>
            </w:r>
          </w:p>
        </w:tc>
        <w:tc>
          <w:tcPr>
            <w:tcW w:w="238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CFF0FC"/>
            </w:tcBorders>
            <w:shd w:val="clear" w:color="auto" w:fill="CFF0FC"/>
          </w:tcPr>
          <w:p>
            <w:pPr>
              <w:spacing w:after="0"/>
              <w:rPr>
                <w:sz w:val="18"/>
                <w:szCs w:val="18"/>
                <w:color w:val="auto"/>
              </w:rPr>
            </w:pPr>
          </w:p>
        </w:tc>
        <w:tc>
          <w:tcPr>
            <w:tcW w:w="136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r>
      <w:tr>
        <w:trPr>
          <w:trHeight w:val="206"/>
        </w:trPr>
        <w:tc>
          <w:tcPr>
            <w:tcW w:w="2460" w:type="dxa"/>
            <w:vAlign w:val="bottom"/>
          </w:tcPr>
          <w:p>
            <w:pPr>
              <w:spacing w:after="0" w:line="207" w:lineRule="exact"/>
              <w:rPr>
                <w:sz w:val="20"/>
                <w:szCs w:val="20"/>
                <w:color w:val="auto"/>
              </w:rPr>
            </w:pPr>
            <w:r>
              <w:rPr>
                <w:rFonts w:ascii="Arial" w:cs="Arial" w:eastAsia="Arial" w:hAnsi="Arial"/>
                <w:sz w:val="14"/>
                <w:szCs w:val="14"/>
                <w:color w:val="auto"/>
              </w:rPr>
              <w:t xml:space="preserve">BCTO Ace Purchaser, Inc. </w:t>
            </w:r>
            <w:r>
              <w:rPr>
                <w:rFonts w:ascii="Arial" w:cs="Arial" w:eastAsia="Arial" w:hAnsi="Arial"/>
                <w:sz w:val="23"/>
                <w:szCs w:val="23"/>
                <w:color w:val="auto"/>
                <w:vertAlign w:val="superscript"/>
              </w:rPr>
              <w:t>(3)(5)</w:t>
            </w:r>
          </w:p>
        </w:tc>
        <w:tc>
          <w:tcPr>
            <w:tcW w:w="2380" w:type="dxa"/>
            <w:vAlign w:val="bottom"/>
          </w:tcPr>
          <w:p>
            <w:pPr>
              <w:ind w:left="140"/>
              <w:spacing w:after="0"/>
              <w:rPr>
                <w:sz w:val="20"/>
                <w:szCs w:val="20"/>
                <w:color w:val="auto"/>
              </w:rPr>
            </w:pPr>
            <w:r>
              <w:rPr>
                <w:rFonts w:ascii="Arial" w:cs="Arial" w:eastAsia="Arial" w:hAnsi="Arial"/>
                <w:sz w:val="16"/>
                <w:szCs w:val="16"/>
                <w:color w:val="auto"/>
                <w:w w:val="97"/>
              </w:rPr>
              <w:t>First-lien loan ($40,000 par, due</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11/23/2020</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L + 6.50%</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7.50%</w:t>
            </w:r>
          </w:p>
        </w:tc>
        <w:tc>
          <w:tcPr>
            <w:tcW w:w="760" w:type="dxa"/>
            <w:vAlign w:val="bottom"/>
          </w:tcPr>
          <w:p>
            <w:pPr>
              <w:jc w:val="right"/>
              <w:spacing w:after="0"/>
              <w:rPr>
                <w:sz w:val="20"/>
                <w:szCs w:val="20"/>
                <w:color w:val="auto"/>
              </w:rPr>
            </w:pPr>
            <w:r>
              <w:rPr>
                <w:rFonts w:ascii="Arial" w:cs="Arial" w:eastAsia="Arial" w:hAnsi="Arial"/>
                <w:sz w:val="16"/>
                <w:szCs w:val="16"/>
                <w:color w:val="auto"/>
              </w:rPr>
              <w:t>38,863</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39,300</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3.4%</w:t>
            </w:r>
          </w:p>
        </w:tc>
      </w:tr>
      <w:tr>
        <w:trPr>
          <w:trHeight w:val="209"/>
        </w:trPr>
        <w:tc>
          <w:tcPr>
            <w:tcW w:w="2460" w:type="dxa"/>
            <w:vAlign w:val="bottom"/>
          </w:tcPr>
          <w:p>
            <w:pPr>
              <w:spacing w:after="0"/>
              <w:rPr>
                <w:sz w:val="18"/>
                <w:szCs w:val="18"/>
                <w:color w:val="auto"/>
              </w:rPr>
            </w:pPr>
          </w:p>
        </w:tc>
        <w:tc>
          <w:tcPr>
            <w:tcW w:w="2380" w:type="dxa"/>
            <w:vAlign w:val="bottom"/>
          </w:tcPr>
          <w:p>
            <w:pPr>
              <w:ind w:left="140"/>
              <w:spacing w:after="0"/>
              <w:rPr>
                <w:sz w:val="20"/>
                <w:szCs w:val="20"/>
                <w:color w:val="auto"/>
              </w:rPr>
            </w:pPr>
            <w:r>
              <w:rPr>
                <w:rFonts w:ascii="Arial" w:cs="Arial" w:eastAsia="Arial" w:hAnsi="Arial"/>
                <w:sz w:val="16"/>
                <w:szCs w:val="16"/>
                <w:color w:val="auto"/>
              </w:rPr>
              <w:t>11/2026)</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460" w:type="dxa"/>
            <w:vAlign w:val="bottom"/>
            <w:shd w:val="clear" w:color="auto" w:fill="CFF0FC"/>
          </w:tcPr>
          <w:p>
            <w:pPr>
              <w:spacing w:after="0"/>
              <w:rPr>
                <w:sz w:val="20"/>
                <w:szCs w:val="20"/>
                <w:color w:val="auto"/>
              </w:rPr>
            </w:pPr>
            <w:r>
              <w:rPr>
                <w:rFonts w:ascii="Arial" w:cs="Arial" w:eastAsia="Arial" w:hAnsi="Arial"/>
                <w:sz w:val="16"/>
                <w:szCs w:val="16"/>
                <w:color w:val="auto"/>
              </w:rPr>
              <w:t>Caris Life Sciences, Inc.</w:t>
            </w:r>
          </w:p>
        </w:tc>
        <w:tc>
          <w:tcPr>
            <w:tcW w:w="23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First-lien loan ($5,000 par, due</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9/21/2018</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11.30%</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11.30%</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4,888</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5,387</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0.5%</w:t>
            </w:r>
          </w:p>
        </w:tc>
      </w:tr>
      <w:tr>
        <w:trPr>
          <w:trHeight w:val="212"/>
        </w:trPr>
        <w:tc>
          <w:tcPr>
            <w:tcW w:w="2460" w:type="dxa"/>
            <w:vAlign w:val="bottom"/>
            <w:shd w:val="clear" w:color="auto" w:fill="CFF0FC"/>
          </w:tcPr>
          <w:p>
            <w:pPr>
              <w:spacing w:after="0"/>
              <w:rPr>
                <w:sz w:val="18"/>
                <w:szCs w:val="18"/>
                <w:color w:val="auto"/>
              </w:rPr>
            </w:pPr>
          </w:p>
        </w:tc>
        <w:tc>
          <w:tcPr>
            <w:tcW w:w="23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9/2023)</w:t>
            </w:r>
          </w:p>
        </w:tc>
        <w:tc>
          <w:tcPr>
            <w:tcW w:w="10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460" w:type="dxa"/>
            <w:vAlign w:val="bottom"/>
          </w:tcPr>
          <w:p>
            <w:pPr>
              <w:spacing w:after="0"/>
              <w:rPr>
                <w:sz w:val="17"/>
                <w:szCs w:val="17"/>
                <w:color w:val="auto"/>
              </w:rPr>
            </w:pPr>
          </w:p>
        </w:tc>
        <w:tc>
          <w:tcPr>
            <w:tcW w:w="2380" w:type="dxa"/>
            <w:vAlign w:val="bottom"/>
          </w:tcPr>
          <w:p>
            <w:pPr>
              <w:ind w:left="140"/>
              <w:spacing w:after="0"/>
              <w:rPr>
                <w:sz w:val="20"/>
                <w:szCs w:val="20"/>
                <w:color w:val="auto"/>
              </w:rPr>
            </w:pPr>
            <w:r>
              <w:rPr>
                <w:rFonts w:ascii="Arial" w:cs="Arial" w:eastAsia="Arial" w:hAnsi="Arial"/>
                <w:sz w:val="16"/>
                <w:szCs w:val="16"/>
                <w:color w:val="auto"/>
              </w:rPr>
              <w:t>First-lien loan ($3,750 par, due</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4/2/2020</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11.30%</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11.30%</w:t>
            </w:r>
          </w:p>
        </w:tc>
        <w:tc>
          <w:tcPr>
            <w:tcW w:w="760" w:type="dxa"/>
            <w:vAlign w:val="bottom"/>
          </w:tcPr>
          <w:p>
            <w:pPr>
              <w:jc w:val="right"/>
              <w:spacing w:after="0"/>
              <w:rPr>
                <w:sz w:val="20"/>
                <w:szCs w:val="20"/>
                <w:color w:val="auto"/>
              </w:rPr>
            </w:pPr>
            <w:r>
              <w:rPr>
                <w:rFonts w:ascii="Arial" w:cs="Arial" w:eastAsia="Arial" w:hAnsi="Arial"/>
                <w:sz w:val="16"/>
                <w:szCs w:val="16"/>
                <w:color w:val="auto"/>
              </w:rPr>
              <w:t>3,500</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4,125</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0.3%</w:t>
            </w:r>
          </w:p>
        </w:tc>
      </w:tr>
      <w:tr>
        <w:trPr>
          <w:trHeight w:val="209"/>
        </w:trPr>
        <w:tc>
          <w:tcPr>
            <w:tcW w:w="2460" w:type="dxa"/>
            <w:vAlign w:val="bottom"/>
          </w:tcPr>
          <w:p>
            <w:pPr>
              <w:spacing w:after="0"/>
              <w:rPr>
                <w:sz w:val="18"/>
                <w:szCs w:val="18"/>
                <w:color w:val="auto"/>
              </w:rPr>
            </w:pPr>
          </w:p>
        </w:tc>
        <w:tc>
          <w:tcPr>
            <w:tcW w:w="2380" w:type="dxa"/>
            <w:vAlign w:val="bottom"/>
          </w:tcPr>
          <w:p>
            <w:pPr>
              <w:ind w:left="140"/>
              <w:spacing w:after="0"/>
              <w:rPr>
                <w:sz w:val="20"/>
                <w:szCs w:val="20"/>
                <w:color w:val="auto"/>
              </w:rPr>
            </w:pPr>
            <w:r>
              <w:rPr>
                <w:rFonts w:ascii="Arial" w:cs="Arial" w:eastAsia="Arial" w:hAnsi="Arial"/>
                <w:sz w:val="16"/>
                <w:szCs w:val="16"/>
                <w:color w:val="auto"/>
              </w:rPr>
              <w:t>4/2025)</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460" w:type="dxa"/>
            <w:vAlign w:val="bottom"/>
            <w:shd w:val="clear" w:color="auto" w:fill="CFF0FC"/>
          </w:tcPr>
          <w:p>
            <w:pPr>
              <w:spacing w:after="0"/>
              <w:rPr>
                <w:sz w:val="18"/>
                <w:szCs w:val="18"/>
                <w:color w:val="auto"/>
              </w:rPr>
            </w:pPr>
          </w:p>
        </w:tc>
        <w:tc>
          <w:tcPr>
            <w:tcW w:w="23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Convertible note ($2,602 par,</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9/21/2018</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8.00%</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8.00%</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2,602</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4,846</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0.4%</w:t>
            </w:r>
          </w:p>
        </w:tc>
      </w:tr>
      <w:tr>
        <w:trPr>
          <w:trHeight w:val="212"/>
        </w:trPr>
        <w:tc>
          <w:tcPr>
            <w:tcW w:w="2460" w:type="dxa"/>
            <w:vAlign w:val="bottom"/>
            <w:shd w:val="clear" w:color="auto" w:fill="CFF0FC"/>
          </w:tcPr>
          <w:p>
            <w:pPr>
              <w:spacing w:after="0"/>
              <w:rPr>
                <w:sz w:val="18"/>
                <w:szCs w:val="18"/>
                <w:color w:val="auto"/>
              </w:rPr>
            </w:pPr>
          </w:p>
        </w:tc>
        <w:tc>
          <w:tcPr>
            <w:tcW w:w="23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due 9/2023)</w:t>
            </w:r>
          </w:p>
        </w:tc>
        <w:tc>
          <w:tcPr>
            <w:tcW w:w="10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460" w:type="dxa"/>
            <w:vAlign w:val="bottom"/>
          </w:tcPr>
          <w:p>
            <w:pPr>
              <w:spacing w:after="0" w:line="207" w:lineRule="exact"/>
              <w:rPr>
                <w:sz w:val="20"/>
                <w:szCs w:val="20"/>
                <w:color w:val="auto"/>
              </w:rPr>
            </w:pPr>
            <w:r>
              <w:rPr>
                <w:rFonts w:ascii="Arial" w:cs="Arial" w:eastAsia="Arial" w:hAnsi="Arial"/>
                <w:sz w:val="14"/>
                <w:szCs w:val="14"/>
                <w:color w:val="auto"/>
              </w:rPr>
              <w:t>Clinicient, Inc.</w:t>
            </w:r>
            <w:r>
              <w:rPr>
                <w:rFonts w:ascii="Arial" w:cs="Arial" w:eastAsia="Arial" w:hAnsi="Arial"/>
                <w:sz w:val="23"/>
                <w:szCs w:val="23"/>
                <w:color w:val="auto"/>
                <w:vertAlign w:val="superscript"/>
              </w:rPr>
              <w:t>(3)</w:t>
            </w:r>
          </w:p>
        </w:tc>
        <w:tc>
          <w:tcPr>
            <w:tcW w:w="2380" w:type="dxa"/>
            <w:vAlign w:val="bottom"/>
          </w:tcPr>
          <w:p>
            <w:pPr>
              <w:ind w:left="140"/>
              <w:spacing w:after="0"/>
              <w:rPr>
                <w:sz w:val="20"/>
                <w:szCs w:val="20"/>
                <w:color w:val="auto"/>
              </w:rPr>
            </w:pPr>
            <w:r>
              <w:rPr>
                <w:rFonts w:ascii="Arial" w:cs="Arial" w:eastAsia="Arial" w:hAnsi="Arial"/>
                <w:sz w:val="16"/>
                <w:szCs w:val="16"/>
                <w:color w:val="auto"/>
                <w:w w:val="97"/>
              </w:rPr>
              <w:t>First-lien loan ($15,000 par, due</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5/31/2019</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L + 7.00%</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8.50%</w:t>
            </w:r>
          </w:p>
        </w:tc>
        <w:tc>
          <w:tcPr>
            <w:tcW w:w="760" w:type="dxa"/>
            <w:vAlign w:val="bottom"/>
          </w:tcPr>
          <w:p>
            <w:pPr>
              <w:jc w:val="right"/>
              <w:spacing w:after="0"/>
              <w:rPr>
                <w:sz w:val="20"/>
                <w:szCs w:val="20"/>
                <w:color w:val="auto"/>
              </w:rPr>
            </w:pPr>
            <w:r>
              <w:rPr>
                <w:rFonts w:ascii="Arial" w:cs="Arial" w:eastAsia="Arial" w:hAnsi="Arial"/>
                <w:sz w:val="16"/>
                <w:szCs w:val="16"/>
                <w:color w:val="auto"/>
              </w:rPr>
              <w:t>14,891</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15,150</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1.3%</w:t>
            </w:r>
          </w:p>
        </w:tc>
      </w:tr>
      <w:tr>
        <w:trPr>
          <w:trHeight w:val="209"/>
        </w:trPr>
        <w:tc>
          <w:tcPr>
            <w:tcW w:w="2460" w:type="dxa"/>
            <w:vAlign w:val="bottom"/>
          </w:tcPr>
          <w:p>
            <w:pPr>
              <w:spacing w:after="0"/>
              <w:rPr>
                <w:sz w:val="18"/>
                <w:szCs w:val="18"/>
                <w:color w:val="auto"/>
              </w:rPr>
            </w:pPr>
          </w:p>
        </w:tc>
        <w:tc>
          <w:tcPr>
            <w:tcW w:w="2380" w:type="dxa"/>
            <w:vAlign w:val="bottom"/>
          </w:tcPr>
          <w:p>
            <w:pPr>
              <w:ind w:left="140"/>
              <w:spacing w:after="0"/>
              <w:rPr>
                <w:sz w:val="20"/>
                <w:szCs w:val="20"/>
                <w:color w:val="auto"/>
              </w:rPr>
            </w:pPr>
            <w:r>
              <w:rPr>
                <w:rFonts w:ascii="Arial" w:cs="Arial" w:eastAsia="Arial" w:hAnsi="Arial"/>
                <w:sz w:val="16"/>
                <w:szCs w:val="16"/>
                <w:color w:val="auto"/>
              </w:rPr>
              <w:t>5/2024)</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460" w:type="dxa"/>
            <w:vAlign w:val="bottom"/>
            <w:shd w:val="clear" w:color="auto" w:fill="CFF0FC"/>
          </w:tcPr>
          <w:p>
            <w:pPr>
              <w:spacing w:after="0"/>
              <w:rPr>
                <w:sz w:val="18"/>
                <w:szCs w:val="18"/>
                <w:color w:val="auto"/>
              </w:rPr>
            </w:pPr>
          </w:p>
        </w:tc>
        <w:tc>
          <w:tcPr>
            <w:tcW w:w="2380" w:type="dxa"/>
            <w:vAlign w:val="bottom"/>
            <w:shd w:val="clear" w:color="auto" w:fill="CFF0FC"/>
          </w:tcPr>
          <w:p>
            <w:pPr>
              <w:ind w:left="140"/>
              <w:spacing w:after="0"/>
              <w:rPr>
                <w:sz w:val="20"/>
                <w:szCs w:val="20"/>
                <w:color w:val="auto"/>
              </w:rPr>
            </w:pPr>
            <w:r>
              <w:rPr>
                <w:rFonts w:ascii="Arial" w:cs="Arial" w:eastAsia="Arial" w:hAnsi="Arial"/>
                <w:sz w:val="16"/>
                <w:szCs w:val="16"/>
                <w:color w:val="auto"/>
                <w:w w:val="99"/>
              </w:rPr>
              <w:t>First-lien revolving loan ($2,400</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5/31/2019</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+ 7.00%</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8.50%</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2,373</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2,440</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0.2%</w:t>
            </w:r>
          </w:p>
        </w:tc>
      </w:tr>
      <w:tr>
        <w:trPr>
          <w:trHeight w:val="212"/>
        </w:trPr>
        <w:tc>
          <w:tcPr>
            <w:tcW w:w="2460" w:type="dxa"/>
            <w:vAlign w:val="bottom"/>
            <w:shd w:val="clear" w:color="auto" w:fill="CFF0FC"/>
          </w:tcPr>
          <w:p>
            <w:pPr>
              <w:spacing w:after="0"/>
              <w:rPr>
                <w:sz w:val="18"/>
                <w:szCs w:val="18"/>
                <w:color w:val="auto"/>
              </w:rPr>
            </w:pPr>
          </w:p>
        </w:tc>
        <w:tc>
          <w:tcPr>
            <w:tcW w:w="23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par, due 5/2024)</w:t>
            </w:r>
          </w:p>
        </w:tc>
        <w:tc>
          <w:tcPr>
            <w:tcW w:w="10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3"/>
        </w:trPr>
        <w:tc>
          <w:tcPr>
            <w:tcW w:w="2460" w:type="dxa"/>
            <w:vAlign w:val="bottom"/>
          </w:tcPr>
          <w:p>
            <w:pPr>
              <w:spacing w:after="0"/>
              <w:rPr>
                <w:sz w:val="20"/>
                <w:szCs w:val="20"/>
                <w:color w:val="auto"/>
              </w:rPr>
            </w:pPr>
            <w:r>
              <w:rPr>
                <w:rFonts w:ascii="Arial" w:cs="Arial" w:eastAsia="Arial" w:hAnsi="Arial"/>
                <w:sz w:val="16"/>
                <w:szCs w:val="16"/>
                <w:color w:val="auto"/>
              </w:rPr>
              <w:t>Integrated Practice</w:t>
            </w:r>
          </w:p>
        </w:tc>
        <w:tc>
          <w:tcPr>
            <w:tcW w:w="2380" w:type="dxa"/>
            <w:vAlign w:val="bottom"/>
          </w:tcPr>
          <w:p>
            <w:pPr>
              <w:ind w:left="140"/>
              <w:spacing w:after="0"/>
              <w:rPr>
                <w:sz w:val="20"/>
                <w:szCs w:val="20"/>
                <w:color w:val="auto"/>
              </w:rPr>
            </w:pPr>
            <w:r>
              <w:rPr>
                <w:rFonts w:ascii="Arial" w:cs="Arial" w:eastAsia="Arial" w:hAnsi="Arial"/>
                <w:sz w:val="16"/>
                <w:szCs w:val="16"/>
                <w:color w:val="auto"/>
                <w:w w:val="97"/>
              </w:rPr>
              <w:t>First-lien loan ($49,375 par, due</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6/30/2017</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L + 7.50%</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8.50%</w:t>
            </w:r>
          </w:p>
        </w:tc>
        <w:tc>
          <w:tcPr>
            <w:tcW w:w="760" w:type="dxa"/>
            <w:vAlign w:val="bottom"/>
          </w:tcPr>
          <w:p>
            <w:pPr>
              <w:jc w:val="right"/>
              <w:spacing w:after="0"/>
              <w:rPr>
                <w:sz w:val="20"/>
                <w:szCs w:val="20"/>
                <w:color w:val="auto"/>
              </w:rPr>
            </w:pPr>
            <w:r>
              <w:rPr>
                <w:rFonts w:ascii="Arial" w:cs="Arial" w:eastAsia="Arial" w:hAnsi="Arial"/>
                <w:sz w:val="16"/>
                <w:szCs w:val="16"/>
                <w:color w:val="auto"/>
              </w:rPr>
              <w:t>47,920</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50,733</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4.4%</w:t>
            </w:r>
          </w:p>
        </w:tc>
      </w:tr>
      <w:tr>
        <w:trPr>
          <w:trHeight w:val="216"/>
        </w:trPr>
        <w:tc>
          <w:tcPr>
            <w:tcW w:w="2460" w:type="dxa"/>
            <w:vAlign w:val="bottom"/>
          </w:tcPr>
          <w:p>
            <w:pPr>
              <w:ind w:left="120"/>
              <w:spacing w:after="0" w:line="216" w:lineRule="exact"/>
              <w:rPr>
                <w:sz w:val="20"/>
                <w:szCs w:val="20"/>
                <w:color w:val="auto"/>
              </w:rPr>
            </w:pPr>
            <w:r>
              <w:rPr>
                <w:rFonts w:ascii="Arial" w:cs="Arial" w:eastAsia="Arial" w:hAnsi="Arial"/>
                <w:sz w:val="15"/>
                <w:szCs w:val="15"/>
                <w:color w:val="auto"/>
              </w:rPr>
              <w:t xml:space="preserve">Solutions, Inc. </w:t>
            </w:r>
            <w:r>
              <w:rPr>
                <w:rFonts w:ascii="Arial" w:cs="Arial" w:eastAsia="Arial" w:hAnsi="Arial"/>
                <w:sz w:val="25"/>
                <w:szCs w:val="25"/>
                <w:color w:val="auto"/>
                <w:vertAlign w:val="superscript"/>
              </w:rPr>
              <w:t>(3)(5)</w:t>
            </w:r>
          </w:p>
        </w:tc>
        <w:tc>
          <w:tcPr>
            <w:tcW w:w="2380" w:type="dxa"/>
            <w:vAlign w:val="bottom"/>
          </w:tcPr>
          <w:p>
            <w:pPr>
              <w:ind w:left="140"/>
              <w:spacing w:after="0"/>
              <w:rPr>
                <w:sz w:val="20"/>
                <w:szCs w:val="20"/>
                <w:color w:val="auto"/>
              </w:rPr>
            </w:pPr>
            <w:r>
              <w:rPr>
                <w:rFonts w:ascii="Arial" w:cs="Arial" w:eastAsia="Arial" w:hAnsi="Arial"/>
                <w:sz w:val="16"/>
                <w:szCs w:val="16"/>
                <w:color w:val="auto"/>
              </w:rPr>
              <w:t>10/2024)</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6"/>
        </w:trPr>
        <w:tc>
          <w:tcPr>
            <w:tcW w:w="2460" w:type="dxa"/>
            <w:vAlign w:val="bottom"/>
            <w:shd w:val="clear" w:color="auto" w:fill="CFF0FC"/>
          </w:tcPr>
          <w:p>
            <w:pPr>
              <w:spacing w:after="0" w:line="207" w:lineRule="exact"/>
              <w:rPr>
                <w:sz w:val="20"/>
                <w:szCs w:val="20"/>
                <w:color w:val="auto"/>
              </w:rPr>
            </w:pPr>
            <w:r>
              <w:rPr>
                <w:rFonts w:ascii="Arial" w:cs="Arial" w:eastAsia="Arial" w:hAnsi="Arial"/>
                <w:sz w:val="14"/>
                <w:szCs w:val="14"/>
                <w:color w:val="auto"/>
              </w:rPr>
              <w:t xml:space="preserve">Quantros, Inc. </w:t>
            </w:r>
            <w:r>
              <w:rPr>
                <w:rFonts w:ascii="Arial" w:cs="Arial" w:eastAsia="Arial" w:hAnsi="Arial"/>
                <w:sz w:val="23"/>
                <w:szCs w:val="23"/>
                <w:color w:val="auto"/>
                <w:vertAlign w:val="superscript"/>
              </w:rPr>
              <w:t>(3)(5)</w:t>
            </w:r>
          </w:p>
        </w:tc>
        <w:tc>
          <w:tcPr>
            <w:tcW w:w="2380" w:type="dxa"/>
            <w:vAlign w:val="bottom"/>
            <w:shd w:val="clear" w:color="auto" w:fill="CFF0FC"/>
          </w:tcPr>
          <w:p>
            <w:pPr>
              <w:ind w:left="140"/>
              <w:spacing w:after="0"/>
              <w:rPr>
                <w:sz w:val="20"/>
                <w:szCs w:val="20"/>
                <w:color w:val="auto"/>
              </w:rPr>
            </w:pPr>
            <w:r>
              <w:rPr>
                <w:rFonts w:ascii="Arial" w:cs="Arial" w:eastAsia="Arial" w:hAnsi="Arial"/>
                <w:sz w:val="16"/>
                <w:szCs w:val="16"/>
                <w:color w:val="auto"/>
                <w:w w:val="97"/>
              </w:rPr>
              <w:t>First-lien loan ($17,781 par, due</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2/29/2016</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+ 8.50%</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9.50%</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17,773</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16,892</w:t>
            </w: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1.5%</w:t>
            </w:r>
          </w:p>
        </w:tc>
      </w:tr>
      <w:tr>
        <w:trPr>
          <w:trHeight w:val="212"/>
        </w:trPr>
        <w:tc>
          <w:tcPr>
            <w:tcW w:w="2460" w:type="dxa"/>
            <w:vAlign w:val="bottom"/>
            <w:shd w:val="clear" w:color="auto" w:fill="CFF0FC"/>
          </w:tcPr>
          <w:p>
            <w:pPr>
              <w:spacing w:after="0"/>
              <w:rPr>
                <w:sz w:val="18"/>
                <w:szCs w:val="18"/>
                <w:color w:val="auto"/>
              </w:rPr>
            </w:pPr>
          </w:p>
        </w:tc>
        <w:tc>
          <w:tcPr>
            <w:tcW w:w="23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1/2021)</w:t>
            </w:r>
          </w:p>
        </w:tc>
        <w:tc>
          <w:tcPr>
            <w:tcW w:w="10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3"/>
        </w:trPr>
        <w:tc>
          <w:tcPr>
            <w:tcW w:w="2460" w:type="dxa"/>
            <w:vAlign w:val="bottom"/>
          </w:tcPr>
          <w:p>
            <w:pPr>
              <w:spacing w:after="0"/>
              <w:rPr>
                <w:sz w:val="20"/>
                <w:szCs w:val="20"/>
                <w:color w:val="auto"/>
              </w:rPr>
            </w:pPr>
            <w:r>
              <w:rPr>
                <w:rFonts w:ascii="Arial" w:cs="Arial" w:eastAsia="Arial" w:hAnsi="Arial"/>
                <w:sz w:val="16"/>
                <w:szCs w:val="16"/>
                <w:color w:val="auto"/>
              </w:rPr>
              <w:t>Valant Medical Solutions,</w:t>
            </w:r>
          </w:p>
        </w:tc>
        <w:tc>
          <w:tcPr>
            <w:tcW w:w="2380" w:type="dxa"/>
            <w:vAlign w:val="bottom"/>
          </w:tcPr>
          <w:p>
            <w:pPr>
              <w:ind w:left="140"/>
              <w:spacing w:after="0"/>
              <w:rPr>
                <w:sz w:val="20"/>
                <w:szCs w:val="20"/>
                <w:color w:val="auto"/>
              </w:rPr>
            </w:pPr>
            <w:r>
              <w:rPr>
                <w:rFonts w:ascii="Arial" w:cs="Arial" w:eastAsia="Arial" w:hAnsi="Arial"/>
                <w:sz w:val="16"/>
                <w:szCs w:val="16"/>
                <w:color w:val="auto"/>
                <w:w w:val="97"/>
              </w:rPr>
              <w:t>First-lien loan ($28,536 par, due</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4/8/2019</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L + 8.75%</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10.25%</w:t>
            </w:r>
          </w:p>
        </w:tc>
        <w:tc>
          <w:tcPr>
            <w:tcW w:w="760" w:type="dxa"/>
            <w:vAlign w:val="bottom"/>
          </w:tcPr>
          <w:p>
            <w:pPr>
              <w:jc w:val="right"/>
              <w:spacing w:after="0"/>
              <w:rPr>
                <w:sz w:val="20"/>
                <w:szCs w:val="20"/>
                <w:color w:val="auto"/>
              </w:rPr>
            </w:pPr>
            <w:r>
              <w:rPr>
                <w:rFonts w:ascii="Arial" w:cs="Arial" w:eastAsia="Arial" w:hAnsi="Arial"/>
                <w:sz w:val="16"/>
                <w:szCs w:val="16"/>
                <w:color w:val="auto"/>
              </w:rPr>
              <w:t>27,909</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28,841</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2.5%</w:t>
            </w:r>
          </w:p>
        </w:tc>
      </w:tr>
      <w:tr>
        <w:trPr>
          <w:trHeight w:val="216"/>
        </w:trPr>
        <w:tc>
          <w:tcPr>
            <w:tcW w:w="2460" w:type="dxa"/>
            <w:vAlign w:val="bottom"/>
          </w:tcPr>
          <w:p>
            <w:pPr>
              <w:ind w:left="120"/>
              <w:spacing w:after="0" w:line="216" w:lineRule="exact"/>
              <w:rPr>
                <w:sz w:val="20"/>
                <w:szCs w:val="20"/>
                <w:color w:val="auto"/>
              </w:rPr>
            </w:pPr>
            <w:r>
              <w:rPr>
                <w:rFonts w:ascii="Arial" w:cs="Arial" w:eastAsia="Arial" w:hAnsi="Arial"/>
                <w:sz w:val="15"/>
                <w:szCs w:val="15"/>
                <w:color w:val="auto"/>
              </w:rPr>
              <w:t xml:space="preserve">Inc. </w:t>
            </w:r>
            <w:r>
              <w:rPr>
                <w:rFonts w:ascii="Arial" w:cs="Arial" w:eastAsia="Arial" w:hAnsi="Arial"/>
                <w:sz w:val="25"/>
                <w:szCs w:val="25"/>
                <w:color w:val="auto"/>
                <w:vertAlign w:val="superscript"/>
              </w:rPr>
              <w:t>(3)</w:t>
            </w:r>
          </w:p>
        </w:tc>
        <w:tc>
          <w:tcPr>
            <w:tcW w:w="2380" w:type="dxa"/>
            <w:vAlign w:val="bottom"/>
          </w:tcPr>
          <w:p>
            <w:pPr>
              <w:ind w:left="140"/>
              <w:spacing w:after="0"/>
              <w:rPr>
                <w:sz w:val="20"/>
                <w:szCs w:val="20"/>
                <w:color w:val="auto"/>
              </w:rPr>
            </w:pPr>
            <w:r>
              <w:rPr>
                <w:rFonts w:ascii="Arial" w:cs="Arial" w:eastAsia="Arial" w:hAnsi="Arial"/>
                <w:sz w:val="16"/>
                <w:szCs w:val="16"/>
                <w:color w:val="auto"/>
              </w:rPr>
              <w:t>4/2024)</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6"/>
        </w:trPr>
        <w:tc>
          <w:tcPr>
            <w:tcW w:w="2460" w:type="dxa"/>
            <w:vAlign w:val="bottom"/>
            <w:shd w:val="clear" w:color="auto" w:fill="CFF0FC"/>
          </w:tcPr>
          <w:p>
            <w:pPr>
              <w:spacing w:after="0"/>
              <w:rPr>
                <w:sz w:val="17"/>
                <w:szCs w:val="17"/>
                <w:color w:val="auto"/>
              </w:rPr>
            </w:pPr>
          </w:p>
        </w:tc>
        <w:tc>
          <w:tcPr>
            <w:tcW w:w="2380" w:type="dxa"/>
            <w:vAlign w:val="bottom"/>
            <w:shd w:val="clear" w:color="auto" w:fill="CFF0FC"/>
          </w:tcPr>
          <w:p>
            <w:pPr>
              <w:ind w:left="140"/>
              <w:spacing w:after="0"/>
              <w:rPr>
                <w:sz w:val="20"/>
                <w:szCs w:val="20"/>
                <w:color w:val="auto"/>
              </w:rPr>
            </w:pPr>
            <w:r>
              <w:rPr>
                <w:rFonts w:ascii="Arial" w:cs="Arial" w:eastAsia="Arial" w:hAnsi="Arial"/>
                <w:sz w:val="16"/>
                <w:szCs w:val="16"/>
                <w:color w:val="auto"/>
                <w:w w:val="99"/>
              </w:rPr>
              <w:t>First-lien revolving loan ($1,500</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4/8/2019</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+ 8.75%</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10.25%</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1,474</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1,520</w:t>
            </w: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0.1%</w:t>
            </w:r>
          </w:p>
        </w:tc>
      </w:tr>
      <w:tr>
        <w:trPr>
          <w:trHeight w:val="212"/>
        </w:trPr>
        <w:tc>
          <w:tcPr>
            <w:tcW w:w="2460" w:type="dxa"/>
            <w:vAlign w:val="bottom"/>
            <w:shd w:val="clear" w:color="auto" w:fill="CFF0FC"/>
          </w:tcPr>
          <w:p>
            <w:pPr>
              <w:spacing w:after="0"/>
              <w:rPr>
                <w:sz w:val="18"/>
                <w:szCs w:val="18"/>
                <w:color w:val="auto"/>
              </w:rPr>
            </w:pPr>
          </w:p>
        </w:tc>
        <w:tc>
          <w:tcPr>
            <w:tcW w:w="23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par, due 4/2024)</w:t>
            </w:r>
          </w:p>
        </w:tc>
        <w:tc>
          <w:tcPr>
            <w:tcW w:w="10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460" w:type="dxa"/>
            <w:vAlign w:val="bottom"/>
          </w:tcPr>
          <w:p>
            <w:pPr>
              <w:spacing w:after="0" w:line="207" w:lineRule="exact"/>
              <w:rPr>
                <w:sz w:val="20"/>
                <w:szCs w:val="20"/>
                <w:color w:val="auto"/>
              </w:rPr>
            </w:pPr>
            <w:r>
              <w:rPr>
                <w:rFonts w:ascii="Arial" w:cs="Arial" w:eastAsia="Arial" w:hAnsi="Arial"/>
                <w:sz w:val="14"/>
                <w:szCs w:val="14"/>
                <w:color w:val="auto"/>
              </w:rPr>
              <w:t xml:space="preserve">Vita Bidco, Inc. </w:t>
            </w:r>
            <w:r>
              <w:rPr>
                <w:rFonts w:ascii="Arial" w:cs="Arial" w:eastAsia="Arial" w:hAnsi="Arial"/>
                <w:sz w:val="23"/>
                <w:szCs w:val="23"/>
                <w:color w:val="auto"/>
                <w:vertAlign w:val="superscript"/>
              </w:rPr>
              <w:t>(3)(5)</w:t>
            </w:r>
          </w:p>
        </w:tc>
        <w:tc>
          <w:tcPr>
            <w:tcW w:w="2380" w:type="dxa"/>
            <w:vAlign w:val="bottom"/>
          </w:tcPr>
          <w:p>
            <w:pPr>
              <w:ind w:left="140"/>
              <w:spacing w:after="0"/>
              <w:rPr>
                <w:sz w:val="20"/>
                <w:szCs w:val="20"/>
                <w:color w:val="auto"/>
              </w:rPr>
            </w:pPr>
            <w:r>
              <w:rPr>
                <w:rFonts w:ascii="Arial" w:cs="Arial" w:eastAsia="Arial" w:hAnsi="Arial"/>
                <w:sz w:val="16"/>
                <w:szCs w:val="16"/>
                <w:color w:val="auto"/>
              </w:rPr>
              <w:t>First-lien loan ($9,058 par, due</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2/11/2019</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L + 6.50%</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7.50%</w:t>
            </w:r>
          </w:p>
        </w:tc>
        <w:tc>
          <w:tcPr>
            <w:tcW w:w="760" w:type="dxa"/>
            <w:vAlign w:val="bottom"/>
          </w:tcPr>
          <w:p>
            <w:pPr>
              <w:jc w:val="right"/>
              <w:spacing w:after="0"/>
              <w:rPr>
                <w:sz w:val="20"/>
                <w:szCs w:val="20"/>
                <w:color w:val="auto"/>
              </w:rPr>
            </w:pPr>
            <w:r>
              <w:rPr>
                <w:rFonts w:ascii="Arial" w:cs="Arial" w:eastAsia="Arial" w:hAnsi="Arial"/>
                <w:sz w:val="16"/>
                <w:szCs w:val="16"/>
                <w:color w:val="auto"/>
              </w:rPr>
              <w:t>8,883</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9,126</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0.8%</w:t>
            </w:r>
          </w:p>
        </w:tc>
      </w:tr>
      <w:tr>
        <w:trPr>
          <w:trHeight w:val="209"/>
        </w:trPr>
        <w:tc>
          <w:tcPr>
            <w:tcW w:w="2460" w:type="dxa"/>
            <w:vAlign w:val="bottom"/>
            <w:tcBorders>
              <w:bottom w:val="single" w:sz="8" w:color="CFF0FC"/>
            </w:tcBorders>
          </w:tcPr>
          <w:p>
            <w:pPr>
              <w:spacing w:after="0"/>
              <w:rPr>
                <w:sz w:val="18"/>
                <w:szCs w:val="18"/>
                <w:color w:val="auto"/>
              </w:rPr>
            </w:pPr>
          </w:p>
        </w:tc>
        <w:tc>
          <w:tcPr>
            <w:tcW w:w="2380" w:type="dxa"/>
            <w:vAlign w:val="bottom"/>
            <w:tcBorders>
              <w:bottom w:val="single" w:sz="8" w:color="CFF0FC"/>
            </w:tcBorders>
          </w:tcPr>
          <w:p>
            <w:pPr>
              <w:ind w:left="140"/>
              <w:spacing w:after="0"/>
              <w:rPr>
                <w:sz w:val="20"/>
                <w:szCs w:val="20"/>
                <w:color w:val="auto"/>
              </w:rPr>
            </w:pPr>
            <w:r>
              <w:rPr>
                <w:rFonts w:ascii="Arial" w:cs="Arial" w:eastAsia="Arial" w:hAnsi="Arial"/>
                <w:sz w:val="16"/>
                <w:szCs w:val="16"/>
                <w:color w:val="auto"/>
              </w:rPr>
              <w:t>2/2024)</w:t>
            </w:r>
          </w:p>
        </w:tc>
        <w:tc>
          <w:tcPr>
            <w:tcW w:w="1000" w:type="dxa"/>
            <w:vAlign w:val="bottom"/>
            <w:tcBorders>
              <w:bottom w:val="single" w:sz="8" w:color="CFF0FC"/>
            </w:tcBorders>
          </w:tcPr>
          <w:p>
            <w:pPr>
              <w:spacing w:after="0"/>
              <w:rPr>
                <w:sz w:val="18"/>
                <w:szCs w:val="18"/>
                <w:color w:val="auto"/>
              </w:rPr>
            </w:pPr>
          </w:p>
        </w:tc>
        <w:tc>
          <w:tcPr>
            <w:tcW w:w="1060" w:type="dxa"/>
            <w:vAlign w:val="bottom"/>
            <w:tcBorders>
              <w:bottom w:val="single" w:sz="8" w:color="CFF0FC"/>
            </w:tcBorders>
          </w:tcPr>
          <w:p>
            <w:pPr>
              <w:spacing w:after="0"/>
              <w:rPr>
                <w:sz w:val="18"/>
                <w:szCs w:val="18"/>
                <w:color w:val="auto"/>
              </w:rPr>
            </w:pPr>
          </w:p>
        </w:tc>
        <w:tc>
          <w:tcPr>
            <w:tcW w:w="136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r>
      <w:tr>
        <w:trPr>
          <w:trHeight w:val="213"/>
        </w:trPr>
        <w:tc>
          <w:tcPr>
            <w:tcW w:w="2460" w:type="dxa"/>
            <w:vAlign w:val="bottom"/>
            <w:shd w:val="clear" w:color="auto" w:fill="CFF0FC"/>
          </w:tcPr>
          <w:p>
            <w:pPr>
              <w:spacing w:after="0"/>
              <w:rPr>
                <w:sz w:val="18"/>
                <w:szCs w:val="18"/>
                <w:color w:val="auto"/>
              </w:rPr>
            </w:pPr>
          </w:p>
        </w:tc>
        <w:tc>
          <w:tcPr>
            <w:tcW w:w="23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171,076</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178,360</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15.4%</w:t>
            </w:r>
          </w:p>
        </w:tc>
      </w:tr>
      <w:tr>
        <w:trPr>
          <w:trHeight w:val="207"/>
        </w:trPr>
        <w:tc>
          <w:tcPr>
            <w:tcW w:w="2460" w:type="dxa"/>
            <w:vAlign w:val="bottom"/>
          </w:tcPr>
          <w:p>
            <w:pPr>
              <w:spacing w:after="0"/>
              <w:rPr>
                <w:sz w:val="20"/>
                <w:szCs w:val="20"/>
                <w:color w:val="auto"/>
              </w:rPr>
            </w:pPr>
            <w:r>
              <w:rPr>
                <w:rFonts w:ascii="Arial" w:cs="Arial" w:eastAsia="Arial" w:hAnsi="Arial"/>
                <w:sz w:val="16"/>
                <w:szCs w:val="16"/>
                <w:b w:val="1"/>
                <w:bCs w:val="1"/>
                <w:color w:val="auto"/>
              </w:rPr>
              <w:t>Hotel, gaming, and leisure</w:t>
            </w:r>
          </w:p>
        </w:tc>
        <w:tc>
          <w:tcPr>
            <w:tcW w:w="2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09"/>
        </w:trPr>
        <w:tc>
          <w:tcPr>
            <w:tcW w:w="246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IRGSE Holding Corp. </w:t>
            </w:r>
            <w:r>
              <w:rPr>
                <w:rFonts w:ascii="Arial" w:cs="Arial" w:eastAsia="Arial" w:hAnsi="Arial"/>
                <w:sz w:val="24"/>
                <w:szCs w:val="24"/>
                <w:color w:val="auto"/>
                <w:vertAlign w:val="superscript"/>
              </w:rPr>
              <w:t>(3)(7)</w:t>
            </w:r>
          </w:p>
        </w:tc>
        <w:tc>
          <w:tcPr>
            <w:tcW w:w="2380" w:type="dxa"/>
            <w:vAlign w:val="bottom"/>
            <w:shd w:val="clear" w:color="auto" w:fill="CFF0FC"/>
          </w:tcPr>
          <w:p>
            <w:pPr>
              <w:ind w:left="140"/>
              <w:spacing w:after="0"/>
              <w:rPr>
                <w:sz w:val="20"/>
                <w:szCs w:val="20"/>
                <w:color w:val="auto"/>
              </w:rPr>
            </w:pPr>
            <w:r>
              <w:rPr>
                <w:rFonts w:ascii="Arial" w:cs="Arial" w:eastAsia="Arial" w:hAnsi="Arial"/>
                <w:sz w:val="16"/>
                <w:szCs w:val="16"/>
                <w:color w:val="auto"/>
                <w:w w:val="97"/>
              </w:rPr>
              <w:t>First-lien loan ($29,881 par, due</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9/29/2015</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+ 9.50%</w:t>
            </w:r>
          </w:p>
        </w:tc>
        <w:tc>
          <w:tcPr>
            <w:tcW w:w="136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10.00% (incl.</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28,215</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28,611</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2.5%</w:t>
            </w:r>
          </w:p>
        </w:tc>
      </w:tr>
      <w:tr>
        <w:trPr>
          <w:trHeight w:val="212"/>
        </w:trPr>
        <w:tc>
          <w:tcPr>
            <w:tcW w:w="2460" w:type="dxa"/>
            <w:vAlign w:val="bottom"/>
            <w:shd w:val="clear" w:color="auto" w:fill="CFF0FC"/>
          </w:tcPr>
          <w:p>
            <w:pPr>
              <w:spacing w:after="0"/>
              <w:rPr>
                <w:sz w:val="18"/>
                <w:szCs w:val="18"/>
                <w:color w:val="auto"/>
              </w:rPr>
            </w:pPr>
          </w:p>
        </w:tc>
        <w:tc>
          <w:tcPr>
            <w:tcW w:w="23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9/2021)</w:t>
            </w:r>
          </w:p>
        </w:tc>
        <w:tc>
          <w:tcPr>
            <w:tcW w:w="10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5.00% PIK)</w:t>
            </w: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460" w:type="dxa"/>
            <w:vAlign w:val="bottom"/>
          </w:tcPr>
          <w:p>
            <w:pPr>
              <w:spacing w:after="0"/>
              <w:rPr>
                <w:sz w:val="17"/>
                <w:szCs w:val="17"/>
                <w:color w:val="auto"/>
              </w:rPr>
            </w:pPr>
          </w:p>
        </w:tc>
        <w:tc>
          <w:tcPr>
            <w:tcW w:w="2380" w:type="dxa"/>
            <w:vAlign w:val="bottom"/>
          </w:tcPr>
          <w:p>
            <w:pPr>
              <w:ind w:left="140"/>
              <w:spacing w:after="0"/>
              <w:rPr>
                <w:sz w:val="20"/>
                <w:szCs w:val="20"/>
                <w:color w:val="auto"/>
              </w:rPr>
            </w:pPr>
            <w:r>
              <w:rPr>
                <w:rFonts w:ascii="Arial" w:cs="Arial" w:eastAsia="Arial" w:hAnsi="Arial"/>
                <w:sz w:val="16"/>
                <w:szCs w:val="16"/>
                <w:color w:val="auto"/>
                <w:w w:val="99"/>
              </w:rPr>
              <w:t>First-lien revolving loan ($7,054</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9/29/2015</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L + 9.50%</w:t>
            </w:r>
          </w:p>
        </w:tc>
        <w:tc>
          <w:tcPr>
            <w:tcW w:w="1360" w:type="dxa"/>
            <w:vAlign w:val="bottom"/>
          </w:tcPr>
          <w:p>
            <w:pPr>
              <w:jc w:val="right"/>
              <w:ind w:right="199"/>
              <w:spacing w:after="0"/>
              <w:rPr>
                <w:sz w:val="20"/>
                <w:szCs w:val="20"/>
                <w:color w:val="auto"/>
              </w:rPr>
            </w:pPr>
            <w:r>
              <w:rPr>
                <w:rFonts w:ascii="Arial" w:cs="Arial" w:eastAsia="Arial" w:hAnsi="Arial"/>
                <w:sz w:val="16"/>
                <w:szCs w:val="16"/>
                <w:color w:val="auto"/>
              </w:rPr>
              <w:t>10.00% (incl.</w:t>
            </w:r>
          </w:p>
        </w:tc>
        <w:tc>
          <w:tcPr>
            <w:tcW w:w="760" w:type="dxa"/>
            <w:vAlign w:val="bottom"/>
          </w:tcPr>
          <w:p>
            <w:pPr>
              <w:jc w:val="right"/>
              <w:spacing w:after="0"/>
              <w:rPr>
                <w:sz w:val="20"/>
                <w:szCs w:val="20"/>
                <w:color w:val="auto"/>
              </w:rPr>
            </w:pPr>
            <w:r>
              <w:rPr>
                <w:rFonts w:ascii="Arial" w:cs="Arial" w:eastAsia="Arial" w:hAnsi="Arial"/>
                <w:sz w:val="16"/>
                <w:szCs w:val="16"/>
                <w:color w:val="auto"/>
              </w:rPr>
              <w:t>7,054</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6,750</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0.6%</w:t>
            </w:r>
          </w:p>
        </w:tc>
      </w:tr>
      <w:tr>
        <w:trPr>
          <w:trHeight w:val="209"/>
        </w:trPr>
        <w:tc>
          <w:tcPr>
            <w:tcW w:w="2460" w:type="dxa"/>
            <w:vAlign w:val="bottom"/>
            <w:tcBorders>
              <w:bottom w:val="single" w:sz="8" w:color="CFF0FC"/>
            </w:tcBorders>
          </w:tcPr>
          <w:p>
            <w:pPr>
              <w:spacing w:after="0"/>
              <w:rPr>
                <w:sz w:val="18"/>
                <w:szCs w:val="18"/>
                <w:color w:val="auto"/>
              </w:rPr>
            </w:pPr>
          </w:p>
        </w:tc>
        <w:tc>
          <w:tcPr>
            <w:tcW w:w="2380" w:type="dxa"/>
            <w:vAlign w:val="bottom"/>
            <w:tcBorders>
              <w:bottom w:val="single" w:sz="8" w:color="CFF0FC"/>
            </w:tcBorders>
          </w:tcPr>
          <w:p>
            <w:pPr>
              <w:ind w:left="140"/>
              <w:spacing w:after="0"/>
              <w:rPr>
                <w:sz w:val="20"/>
                <w:szCs w:val="20"/>
                <w:color w:val="auto"/>
              </w:rPr>
            </w:pPr>
            <w:r>
              <w:rPr>
                <w:rFonts w:ascii="Arial" w:cs="Arial" w:eastAsia="Arial" w:hAnsi="Arial"/>
                <w:sz w:val="16"/>
                <w:szCs w:val="16"/>
                <w:color w:val="auto"/>
              </w:rPr>
              <w:t>par, due 9/2021)</w:t>
            </w:r>
          </w:p>
        </w:tc>
        <w:tc>
          <w:tcPr>
            <w:tcW w:w="1000" w:type="dxa"/>
            <w:vAlign w:val="bottom"/>
            <w:tcBorders>
              <w:bottom w:val="single" w:sz="8" w:color="CFF0FC"/>
            </w:tcBorders>
          </w:tcPr>
          <w:p>
            <w:pPr>
              <w:spacing w:after="0"/>
              <w:rPr>
                <w:sz w:val="18"/>
                <w:szCs w:val="18"/>
                <w:color w:val="auto"/>
              </w:rPr>
            </w:pPr>
          </w:p>
        </w:tc>
        <w:tc>
          <w:tcPr>
            <w:tcW w:w="1060" w:type="dxa"/>
            <w:vAlign w:val="bottom"/>
            <w:tcBorders>
              <w:bottom w:val="single" w:sz="8" w:color="CFF0FC"/>
            </w:tcBorders>
          </w:tcPr>
          <w:p>
            <w:pPr>
              <w:spacing w:after="0"/>
              <w:rPr>
                <w:sz w:val="18"/>
                <w:szCs w:val="18"/>
                <w:color w:val="auto"/>
              </w:rPr>
            </w:pPr>
          </w:p>
        </w:tc>
        <w:tc>
          <w:tcPr>
            <w:tcW w:w="1360" w:type="dxa"/>
            <w:vAlign w:val="bottom"/>
            <w:tcBorders>
              <w:bottom w:val="single" w:sz="8" w:color="CFF0FC"/>
            </w:tcBorders>
          </w:tcPr>
          <w:p>
            <w:pPr>
              <w:jc w:val="right"/>
              <w:ind w:right="199"/>
              <w:spacing w:after="0"/>
              <w:rPr>
                <w:sz w:val="20"/>
                <w:szCs w:val="20"/>
                <w:color w:val="auto"/>
              </w:rPr>
            </w:pPr>
            <w:r>
              <w:rPr>
                <w:rFonts w:ascii="Arial" w:cs="Arial" w:eastAsia="Arial" w:hAnsi="Arial"/>
                <w:sz w:val="16"/>
                <w:szCs w:val="16"/>
                <w:color w:val="auto"/>
              </w:rPr>
              <w:t>5.00% PIK)</w:t>
            </w:r>
          </w:p>
        </w:tc>
        <w:tc>
          <w:tcPr>
            <w:tcW w:w="76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r>
      <w:tr>
        <w:trPr>
          <w:trHeight w:val="213"/>
        </w:trPr>
        <w:tc>
          <w:tcPr>
            <w:tcW w:w="2460" w:type="dxa"/>
            <w:vAlign w:val="bottom"/>
            <w:shd w:val="clear" w:color="auto" w:fill="CFF0FC"/>
          </w:tcPr>
          <w:p>
            <w:pPr>
              <w:spacing w:after="0"/>
              <w:rPr>
                <w:sz w:val="18"/>
                <w:szCs w:val="18"/>
                <w:color w:val="auto"/>
              </w:rPr>
            </w:pPr>
          </w:p>
        </w:tc>
        <w:tc>
          <w:tcPr>
            <w:tcW w:w="23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35,269</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35,361</w:t>
            </w: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4"/>
              </w:rPr>
              <w:t>%</w:t>
            </w:r>
          </w:p>
        </w:tc>
      </w:tr>
      <w:tr>
        <w:trPr>
          <w:trHeight w:val="206"/>
        </w:trPr>
        <w:tc>
          <w:tcPr>
            <w:tcW w:w="2460" w:type="dxa"/>
            <w:vAlign w:val="bottom"/>
          </w:tcPr>
          <w:p>
            <w:pPr>
              <w:spacing w:after="0"/>
              <w:rPr>
                <w:sz w:val="20"/>
                <w:szCs w:val="20"/>
                <w:color w:val="auto"/>
              </w:rPr>
            </w:pPr>
            <w:r>
              <w:rPr>
                <w:rFonts w:ascii="Arial" w:cs="Arial" w:eastAsia="Arial" w:hAnsi="Arial"/>
                <w:sz w:val="16"/>
                <w:szCs w:val="16"/>
                <w:b w:val="1"/>
                <w:bCs w:val="1"/>
                <w:color w:val="auto"/>
                <w:w w:val="94"/>
              </w:rPr>
              <w:t>Human resource support services</w:t>
            </w:r>
          </w:p>
        </w:tc>
        <w:tc>
          <w:tcPr>
            <w:tcW w:w="2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09"/>
        </w:trPr>
        <w:tc>
          <w:tcPr>
            <w:tcW w:w="246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Absorb Software, Inc. </w:t>
            </w:r>
            <w:r>
              <w:rPr>
                <w:rFonts w:ascii="Arial" w:cs="Arial" w:eastAsia="Arial" w:hAnsi="Arial"/>
                <w:sz w:val="24"/>
                <w:szCs w:val="24"/>
                <w:color w:val="auto"/>
                <w:vertAlign w:val="superscript"/>
              </w:rPr>
              <w:t>(3)(4)(5)</w:t>
            </w:r>
          </w:p>
        </w:tc>
        <w:tc>
          <w:tcPr>
            <w:tcW w:w="2380" w:type="dxa"/>
            <w:vAlign w:val="bottom"/>
            <w:shd w:val="clear" w:color="auto" w:fill="CFF0FC"/>
          </w:tcPr>
          <w:p>
            <w:pPr>
              <w:ind w:left="140"/>
              <w:spacing w:after="0"/>
              <w:rPr>
                <w:sz w:val="20"/>
                <w:szCs w:val="20"/>
                <w:color w:val="auto"/>
              </w:rPr>
            </w:pPr>
            <w:r>
              <w:rPr>
                <w:rFonts w:ascii="Arial" w:cs="Arial" w:eastAsia="Arial" w:hAnsi="Arial"/>
                <w:sz w:val="16"/>
                <w:szCs w:val="16"/>
                <w:color w:val="auto"/>
                <w:w w:val="97"/>
              </w:rPr>
              <w:t>First-lien loan ($34,487 par, due</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7/31/2019</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+ 6.50%</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7.50%</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33,920</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34,746</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3.0%</w:t>
            </w:r>
          </w:p>
        </w:tc>
      </w:tr>
      <w:tr>
        <w:trPr>
          <w:trHeight w:val="212"/>
        </w:trPr>
        <w:tc>
          <w:tcPr>
            <w:tcW w:w="2460" w:type="dxa"/>
            <w:vAlign w:val="bottom"/>
            <w:shd w:val="clear" w:color="auto" w:fill="CFF0FC"/>
          </w:tcPr>
          <w:p>
            <w:pPr>
              <w:spacing w:after="0"/>
              <w:rPr>
                <w:sz w:val="18"/>
                <w:szCs w:val="18"/>
                <w:color w:val="auto"/>
              </w:rPr>
            </w:pPr>
          </w:p>
        </w:tc>
        <w:tc>
          <w:tcPr>
            <w:tcW w:w="23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5/2024)</w:t>
            </w:r>
          </w:p>
        </w:tc>
        <w:tc>
          <w:tcPr>
            <w:tcW w:w="10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460" w:type="dxa"/>
            <w:vAlign w:val="bottom"/>
          </w:tcPr>
          <w:p>
            <w:pPr>
              <w:spacing w:after="0" w:line="207" w:lineRule="exact"/>
              <w:rPr>
                <w:sz w:val="20"/>
                <w:szCs w:val="20"/>
                <w:color w:val="auto"/>
              </w:rPr>
            </w:pPr>
            <w:r>
              <w:rPr>
                <w:rFonts w:ascii="Arial" w:cs="Arial" w:eastAsia="Arial" w:hAnsi="Arial"/>
                <w:sz w:val="14"/>
                <w:szCs w:val="14"/>
                <w:color w:val="auto"/>
              </w:rPr>
              <w:t xml:space="preserve">ClearCompany, LLC </w:t>
            </w:r>
            <w:r>
              <w:rPr>
                <w:rFonts w:ascii="Arial" w:cs="Arial" w:eastAsia="Arial" w:hAnsi="Arial"/>
                <w:sz w:val="23"/>
                <w:szCs w:val="23"/>
                <w:color w:val="auto"/>
                <w:vertAlign w:val="superscript"/>
              </w:rPr>
              <w:t>(3)</w:t>
            </w:r>
          </w:p>
        </w:tc>
        <w:tc>
          <w:tcPr>
            <w:tcW w:w="2380" w:type="dxa"/>
            <w:vAlign w:val="bottom"/>
          </w:tcPr>
          <w:p>
            <w:pPr>
              <w:ind w:left="140"/>
              <w:spacing w:after="0"/>
              <w:rPr>
                <w:sz w:val="20"/>
                <w:szCs w:val="20"/>
                <w:color w:val="auto"/>
              </w:rPr>
            </w:pPr>
            <w:r>
              <w:rPr>
                <w:rFonts w:ascii="Arial" w:cs="Arial" w:eastAsia="Arial" w:hAnsi="Arial"/>
                <w:sz w:val="16"/>
                <w:szCs w:val="16"/>
                <w:color w:val="auto"/>
                <w:w w:val="97"/>
              </w:rPr>
              <w:t>First-lien loan ($20,055 par, due</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7/23/2018</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L + 8.75%</w:t>
            </w:r>
          </w:p>
        </w:tc>
        <w:tc>
          <w:tcPr>
            <w:tcW w:w="1360" w:type="dxa"/>
            <w:vAlign w:val="bottom"/>
          </w:tcPr>
          <w:p>
            <w:pPr>
              <w:jc w:val="right"/>
              <w:ind w:right="199"/>
              <w:spacing w:after="0"/>
              <w:rPr>
                <w:sz w:val="20"/>
                <w:szCs w:val="20"/>
                <w:color w:val="auto"/>
              </w:rPr>
            </w:pPr>
            <w:r>
              <w:rPr>
                <w:rFonts w:ascii="Arial" w:cs="Arial" w:eastAsia="Arial" w:hAnsi="Arial"/>
                <w:sz w:val="16"/>
                <w:szCs w:val="16"/>
                <w:color w:val="auto"/>
              </w:rPr>
              <w:t>10.25% (incl.</w:t>
            </w:r>
          </w:p>
        </w:tc>
        <w:tc>
          <w:tcPr>
            <w:tcW w:w="760" w:type="dxa"/>
            <w:vAlign w:val="bottom"/>
          </w:tcPr>
          <w:p>
            <w:pPr>
              <w:jc w:val="right"/>
              <w:spacing w:after="0"/>
              <w:rPr>
                <w:sz w:val="20"/>
                <w:szCs w:val="20"/>
                <w:color w:val="auto"/>
              </w:rPr>
            </w:pPr>
            <w:r>
              <w:rPr>
                <w:rFonts w:ascii="Arial" w:cs="Arial" w:eastAsia="Arial" w:hAnsi="Arial"/>
                <w:sz w:val="16"/>
                <w:szCs w:val="16"/>
                <w:color w:val="auto"/>
              </w:rPr>
              <w:t>19,909</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20,206</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1.7%</w:t>
            </w:r>
          </w:p>
        </w:tc>
      </w:tr>
      <w:tr>
        <w:trPr>
          <w:trHeight w:val="209"/>
        </w:trPr>
        <w:tc>
          <w:tcPr>
            <w:tcW w:w="2460" w:type="dxa"/>
            <w:vAlign w:val="bottom"/>
          </w:tcPr>
          <w:p>
            <w:pPr>
              <w:spacing w:after="0"/>
              <w:rPr>
                <w:sz w:val="18"/>
                <w:szCs w:val="18"/>
                <w:color w:val="auto"/>
              </w:rPr>
            </w:pPr>
          </w:p>
        </w:tc>
        <w:tc>
          <w:tcPr>
            <w:tcW w:w="2380" w:type="dxa"/>
            <w:vAlign w:val="bottom"/>
          </w:tcPr>
          <w:p>
            <w:pPr>
              <w:ind w:left="140"/>
              <w:spacing w:after="0"/>
              <w:rPr>
                <w:sz w:val="20"/>
                <w:szCs w:val="20"/>
                <w:color w:val="auto"/>
              </w:rPr>
            </w:pPr>
            <w:r>
              <w:rPr>
                <w:rFonts w:ascii="Arial" w:cs="Arial" w:eastAsia="Arial" w:hAnsi="Arial"/>
                <w:sz w:val="16"/>
                <w:szCs w:val="16"/>
                <w:color w:val="auto"/>
              </w:rPr>
              <w:t>7/2023)</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jc w:val="right"/>
              <w:ind w:right="199"/>
              <w:spacing w:after="0"/>
              <w:rPr>
                <w:sz w:val="20"/>
                <w:szCs w:val="20"/>
                <w:color w:val="auto"/>
              </w:rPr>
            </w:pPr>
            <w:r>
              <w:rPr>
                <w:rFonts w:ascii="Arial" w:cs="Arial" w:eastAsia="Arial" w:hAnsi="Arial"/>
                <w:sz w:val="16"/>
                <w:szCs w:val="16"/>
                <w:color w:val="auto"/>
              </w:rPr>
              <w:t>2.50% PIK)</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46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DaySmart Holdings, LLC </w:t>
            </w:r>
            <w:r>
              <w:rPr>
                <w:rFonts w:ascii="Arial" w:cs="Arial" w:eastAsia="Arial" w:hAnsi="Arial"/>
                <w:sz w:val="24"/>
                <w:szCs w:val="24"/>
                <w:color w:val="auto"/>
                <w:vertAlign w:val="superscript"/>
              </w:rPr>
              <w:t>(3)(5)</w:t>
            </w:r>
          </w:p>
        </w:tc>
        <w:tc>
          <w:tcPr>
            <w:tcW w:w="2380" w:type="dxa"/>
            <w:vAlign w:val="bottom"/>
            <w:shd w:val="clear" w:color="auto" w:fill="CFF0FC"/>
          </w:tcPr>
          <w:p>
            <w:pPr>
              <w:ind w:left="140"/>
              <w:spacing w:after="0"/>
              <w:rPr>
                <w:sz w:val="20"/>
                <w:szCs w:val="20"/>
                <w:color w:val="auto"/>
              </w:rPr>
            </w:pPr>
            <w:r>
              <w:rPr>
                <w:rFonts w:ascii="Arial" w:cs="Arial" w:eastAsia="Arial" w:hAnsi="Arial"/>
                <w:sz w:val="16"/>
                <w:szCs w:val="16"/>
                <w:color w:val="auto"/>
                <w:w w:val="97"/>
              </w:rPr>
              <w:t>First-lien loan ($36,318 par, due</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12/18/2020</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+ 7.25%</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8.75%</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36,348</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36,199</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3.1%</w:t>
            </w:r>
          </w:p>
        </w:tc>
      </w:tr>
      <w:tr>
        <w:trPr>
          <w:trHeight w:val="212"/>
        </w:trPr>
        <w:tc>
          <w:tcPr>
            <w:tcW w:w="2460" w:type="dxa"/>
            <w:vAlign w:val="bottom"/>
            <w:shd w:val="clear" w:color="auto" w:fill="CFF0FC"/>
          </w:tcPr>
          <w:p>
            <w:pPr>
              <w:spacing w:after="0"/>
              <w:rPr>
                <w:sz w:val="18"/>
                <w:szCs w:val="18"/>
                <w:color w:val="auto"/>
              </w:rPr>
            </w:pPr>
          </w:p>
        </w:tc>
        <w:tc>
          <w:tcPr>
            <w:tcW w:w="23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10/2025)</w:t>
            </w:r>
          </w:p>
        </w:tc>
        <w:tc>
          <w:tcPr>
            <w:tcW w:w="10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460" w:type="dxa"/>
            <w:vAlign w:val="bottom"/>
          </w:tcPr>
          <w:p>
            <w:pPr>
              <w:spacing w:after="0"/>
              <w:rPr>
                <w:sz w:val="17"/>
                <w:szCs w:val="17"/>
                <w:color w:val="auto"/>
              </w:rPr>
            </w:pPr>
          </w:p>
        </w:tc>
        <w:tc>
          <w:tcPr>
            <w:tcW w:w="2380" w:type="dxa"/>
            <w:vAlign w:val="bottom"/>
          </w:tcPr>
          <w:p>
            <w:pPr>
              <w:ind w:left="140"/>
              <w:spacing w:after="0"/>
              <w:rPr>
                <w:sz w:val="20"/>
                <w:szCs w:val="20"/>
                <w:color w:val="auto"/>
              </w:rPr>
            </w:pPr>
            <w:r>
              <w:rPr>
                <w:rFonts w:ascii="Arial" w:cs="Arial" w:eastAsia="Arial" w:hAnsi="Arial"/>
                <w:sz w:val="16"/>
                <w:szCs w:val="16"/>
                <w:color w:val="auto"/>
                <w:w w:val="99"/>
              </w:rPr>
              <w:t>First-lien revolving loan ($3,000</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12/18/2020</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L + 7.25%</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8.75%</w:t>
            </w:r>
          </w:p>
        </w:tc>
        <w:tc>
          <w:tcPr>
            <w:tcW w:w="760" w:type="dxa"/>
            <w:vAlign w:val="bottom"/>
          </w:tcPr>
          <w:p>
            <w:pPr>
              <w:jc w:val="right"/>
              <w:spacing w:after="0"/>
              <w:rPr>
                <w:sz w:val="20"/>
                <w:szCs w:val="20"/>
                <w:color w:val="auto"/>
              </w:rPr>
            </w:pPr>
            <w:r>
              <w:rPr>
                <w:rFonts w:ascii="Arial" w:cs="Arial" w:eastAsia="Arial" w:hAnsi="Arial"/>
                <w:sz w:val="16"/>
                <w:szCs w:val="16"/>
                <w:color w:val="auto"/>
              </w:rPr>
              <w:t>3,004</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2,992</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0.3%</w:t>
            </w:r>
          </w:p>
        </w:tc>
      </w:tr>
      <w:tr>
        <w:trPr>
          <w:trHeight w:val="209"/>
        </w:trPr>
        <w:tc>
          <w:tcPr>
            <w:tcW w:w="2460" w:type="dxa"/>
            <w:vAlign w:val="bottom"/>
          </w:tcPr>
          <w:p>
            <w:pPr>
              <w:spacing w:after="0"/>
              <w:rPr>
                <w:sz w:val="18"/>
                <w:szCs w:val="18"/>
                <w:color w:val="auto"/>
              </w:rPr>
            </w:pPr>
          </w:p>
        </w:tc>
        <w:tc>
          <w:tcPr>
            <w:tcW w:w="2380" w:type="dxa"/>
            <w:vAlign w:val="bottom"/>
          </w:tcPr>
          <w:p>
            <w:pPr>
              <w:ind w:left="140"/>
              <w:spacing w:after="0"/>
              <w:rPr>
                <w:sz w:val="20"/>
                <w:szCs w:val="20"/>
                <w:color w:val="auto"/>
              </w:rPr>
            </w:pPr>
            <w:r>
              <w:rPr>
                <w:rFonts w:ascii="Arial" w:cs="Arial" w:eastAsia="Arial" w:hAnsi="Arial"/>
                <w:sz w:val="16"/>
                <w:szCs w:val="16"/>
                <w:color w:val="auto"/>
              </w:rPr>
              <w:t>par, due 10/2025)</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46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PageUp People, Ltd. </w:t>
            </w:r>
            <w:r>
              <w:rPr>
                <w:rFonts w:ascii="Arial" w:cs="Arial" w:eastAsia="Arial" w:hAnsi="Arial"/>
                <w:sz w:val="24"/>
                <w:szCs w:val="24"/>
                <w:color w:val="auto"/>
                <w:vertAlign w:val="superscript"/>
              </w:rPr>
              <w:t>(3)(4)</w:t>
            </w:r>
          </w:p>
        </w:tc>
        <w:tc>
          <w:tcPr>
            <w:tcW w:w="2380" w:type="dxa"/>
            <w:vAlign w:val="bottom"/>
            <w:shd w:val="clear" w:color="auto" w:fill="CFF0FC"/>
          </w:tcPr>
          <w:p>
            <w:pPr>
              <w:ind w:left="140"/>
              <w:spacing w:after="0"/>
              <w:rPr>
                <w:sz w:val="20"/>
                <w:szCs w:val="20"/>
                <w:color w:val="auto"/>
              </w:rPr>
            </w:pPr>
            <w:r>
              <w:rPr>
                <w:rFonts w:ascii="Arial" w:cs="Arial" w:eastAsia="Arial" w:hAnsi="Arial"/>
                <w:sz w:val="16"/>
                <w:szCs w:val="16"/>
                <w:color w:val="auto"/>
                <w:w w:val="98"/>
              </w:rPr>
              <w:t>First-lien loan (AUD 51,474 par,</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1/11/2018</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B + 7.25%</w:t>
            </w:r>
          </w:p>
        </w:tc>
        <w:tc>
          <w:tcPr>
            <w:tcW w:w="136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8.50% (incl.</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39,531</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39,938</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3.4%</w:t>
            </w:r>
          </w:p>
        </w:tc>
      </w:tr>
      <w:tr>
        <w:trPr>
          <w:trHeight w:val="212"/>
        </w:trPr>
        <w:tc>
          <w:tcPr>
            <w:tcW w:w="2460" w:type="dxa"/>
            <w:vAlign w:val="bottom"/>
            <w:shd w:val="clear" w:color="auto" w:fill="CFF0FC"/>
          </w:tcPr>
          <w:p>
            <w:pPr>
              <w:spacing w:after="0"/>
              <w:rPr>
                <w:sz w:val="18"/>
                <w:szCs w:val="18"/>
                <w:color w:val="auto"/>
              </w:rPr>
            </w:pPr>
          </w:p>
        </w:tc>
        <w:tc>
          <w:tcPr>
            <w:tcW w:w="23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due 12/2022)</w:t>
            </w:r>
          </w:p>
        </w:tc>
        <w:tc>
          <w:tcPr>
            <w:tcW w:w="10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1.25% PIK)</w:t>
            </w:r>
          </w:p>
        </w:tc>
        <w:tc>
          <w:tcPr>
            <w:tcW w:w="760" w:type="dxa"/>
            <w:vAlign w:val="bottom"/>
            <w:shd w:val="clear" w:color="auto" w:fill="CFF0FC"/>
          </w:tcPr>
          <w:p>
            <w:pPr>
              <w:spacing w:after="0"/>
              <w:rPr>
                <w:sz w:val="18"/>
                <w:szCs w:val="18"/>
                <w:color w:val="auto"/>
              </w:rPr>
            </w:pPr>
          </w:p>
        </w:tc>
        <w:tc>
          <w:tcPr>
            <w:tcW w:w="1360" w:type="dxa"/>
            <w:vAlign w:val="bottom"/>
            <w:gridSpan w:val="3"/>
            <w:shd w:val="clear" w:color="auto" w:fill="CFF0FC"/>
          </w:tcPr>
          <w:p>
            <w:pPr>
              <w:ind w:left="200"/>
              <w:spacing w:after="0"/>
              <w:rPr>
                <w:sz w:val="20"/>
                <w:szCs w:val="20"/>
                <w:color w:val="auto"/>
              </w:rPr>
            </w:pPr>
            <w:r>
              <w:rPr>
                <w:rFonts w:ascii="Arial" w:cs="Arial" w:eastAsia="Arial" w:hAnsi="Arial"/>
                <w:sz w:val="16"/>
                <w:szCs w:val="16"/>
                <w:color w:val="auto"/>
              </w:rPr>
              <w:t>(AUD 51,757)</w:t>
            </w: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51"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310"/>
        </w:trPr>
        <w:tc>
          <w:tcPr>
            <w:tcW w:w="2360" w:type="dxa"/>
            <w:vAlign w:val="bottom"/>
          </w:tcPr>
          <w:p>
            <w:pPr>
              <w:spacing w:after="0"/>
              <w:rPr>
                <w:sz w:val="20"/>
                <w:szCs w:val="20"/>
                <w:color w:val="auto"/>
              </w:rPr>
            </w:pPr>
            <w:r>
              <w:rPr>
                <w:rFonts w:ascii="Arial" w:cs="Arial" w:eastAsia="Arial" w:hAnsi="Arial"/>
                <w:sz w:val="16"/>
                <w:szCs w:val="16"/>
                <w:color w:val="auto"/>
              </w:rPr>
              <w:t xml:space="preserve">PayScale Holdings, Inc. </w:t>
            </w:r>
            <w:r>
              <w:rPr>
                <w:rFonts w:ascii="Arial" w:cs="Arial" w:eastAsia="Arial" w:hAnsi="Arial"/>
                <w:sz w:val="27"/>
                <w:szCs w:val="27"/>
                <w:color w:val="auto"/>
                <w:vertAlign w:val="superscript"/>
              </w:rPr>
              <w:t>(3)(5)</w:t>
            </w:r>
          </w:p>
        </w:tc>
        <w:tc>
          <w:tcPr>
            <w:tcW w:w="2560" w:type="dxa"/>
            <w:vAlign w:val="bottom"/>
          </w:tcPr>
          <w:p>
            <w:pPr>
              <w:ind w:left="260"/>
              <w:spacing w:after="0"/>
              <w:rPr>
                <w:sz w:val="20"/>
                <w:szCs w:val="20"/>
                <w:color w:val="auto"/>
              </w:rPr>
            </w:pPr>
            <w:r>
              <w:rPr>
                <w:rFonts w:ascii="Arial" w:cs="Arial" w:eastAsia="Arial" w:hAnsi="Arial"/>
                <w:sz w:val="16"/>
                <w:szCs w:val="16"/>
                <w:color w:val="auto"/>
              </w:rPr>
              <w:t>First-lien loan ($39,700 par, due</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5/3/2019</w:t>
            </w: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L + 7.00%</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8.00%</w:t>
            </w:r>
          </w:p>
        </w:tc>
        <w:tc>
          <w:tcPr>
            <w:tcW w:w="760" w:type="dxa"/>
            <w:vAlign w:val="bottom"/>
          </w:tcPr>
          <w:p>
            <w:pPr>
              <w:jc w:val="right"/>
              <w:spacing w:after="0"/>
              <w:rPr>
                <w:sz w:val="20"/>
                <w:szCs w:val="20"/>
                <w:color w:val="auto"/>
              </w:rPr>
            </w:pPr>
            <w:r>
              <w:rPr>
                <w:rFonts w:ascii="Arial" w:cs="Arial" w:eastAsia="Arial" w:hAnsi="Arial"/>
                <w:sz w:val="16"/>
                <w:szCs w:val="16"/>
                <w:color w:val="auto"/>
              </w:rPr>
              <w:t>38,916</w:t>
            </w: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39,937</w:t>
            </w:r>
          </w:p>
        </w:tc>
        <w:tc>
          <w:tcPr>
            <w:tcW w:w="20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3.4%</w:t>
            </w:r>
          </w:p>
        </w:tc>
      </w:tr>
      <w:tr>
        <w:trPr>
          <w:trHeight w:val="209"/>
        </w:trPr>
        <w:tc>
          <w:tcPr>
            <w:tcW w:w="2360" w:type="dxa"/>
            <w:vAlign w:val="bottom"/>
          </w:tcPr>
          <w:p>
            <w:pPr>
              <w:spacing w:after="0"/>
              <w:rPr>
                <w:sz w:val="18"/>
                <w:szCs w:val="18"/>
                <w:color w:val="auto"/>
              </w:rPr>
            </w:pPr>
          </w:p>
        </w:tc>
        <w:tc>
          <w:tcPr>
            <w:tcW w:w="2560" w:type="dxa"/>
            <w:vAlign w:val="bottom"/>
          </w:tcPr>
          <w:p>
            <w:pPr>
              <w:ind w:left="260"/>
              <w:spacing w:after="0"/>
              <w:rPr>
                <w:sz w:val="20"/>
                <w:szCs w:val="20"/>
                <w:color w:val="auto"/>
              </w:rPr>
            </w:pPr>
            <w:r>
              <w:rPr>
                <w:rFonts w:ascii="Arial" w:cs="Arial" w:eastAsia="Arial" w:hAnsi="Arial"/>
                <w:sz w:val="16"/>
                <w:szCs w:val="16"/>
                <w:color w:val="auto"/>
              </w:rPr>
              <w:t>5/2024)</w:t>
            </w: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36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Modern Hire, Inc. </w:t>
            </w:r>
            <w:r>
              <w:rPr>
                <w:rFonts w:ascii="Arial" w:cs="Arial" w:eastAsia="Arial" w:hAnsi="Arial"/>
                <w:sz w:val="24"/>
                <w:szCs w:val="24"/>
                <w:color w:val="auto"/>
                <w:vertAlign w:val="superscript"/>
              </w:rPr>
              <w:t>(3)(5)</w:t>
            </w:r>
          </w:p>
        </w:tc>
        <w:tc>
          <w:tcPr>
            <w:tcW w:w="25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First-lien loan ($30,113 par, due</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5/15/2019</w:t>
            </w:r>
          </w:p>
        </w:tc>
        <w:tc>
          <w:tcPr>
            <w:tcW w:w="104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+ 7.00%</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8.50%</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29,514</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30,338</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2.6%</w:t>
            </w:r>
          </w:p>
        </w:tc>
      </w:tr>
      <w:tr>
        <w:trPr>
          <w:trHeight w:val="212"/>
        </w:trPr>
        <w:tc>
          <w:tcPr>
            <w:tcW w:w="2360" w:type="dxa"/>
            <w:vAlign w:val="bottom"/>
            <w:shd w:val="clear" w:color="auto" w:fill="CFF0FC"/>
          </w:tcPr>
          <w:p>
            <w:pPr>
              <w:spacing w:after="0"/>
              <w:rPr>
                <w:sz w:val="18"/>
                <w:szCs w:val="18"/>
                <w:color w:val="auto"/>
              </w:rPr>
            </w:pPr>
          </w:p>
        </w:tc>
        <w:tc>
          <w:tcPr>
            <w:tcW w:w="25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5/2024)</w:t>
            </w:r>
          </w:p>
        </w:tc>
        <w:tc>
          <w:tcPr>
            <w:tcW w:w="10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360" w:type="dxa"/>
            <w:vAlign w:val="bottom"/>
          </w:tcPr>
          <w:p>
            <w:pPr>
              <w:spacing w:after="0" w:line="207" w:lineRule="exact"/>
              <w:rPr>
                <w:sz w:val="20"/>
                <w:szCs w:val="20"/>
                <w:color w:val="auto"/>
              </w:rPr>
            </w:pPr>
            <w:r>
              <w:rPr>
                <w:rFonts w:ascii="Arial" w:cs="Arial" w:eastAsia="Arial" w:hAnsi="Arial"/>
                <w:sz w:val="14"/>
                <w:szCs w:val="14"/>
                <w:color w:val="auto"/>
              </w:rPr>
              <w:t xml:space="preserve">Workwell Acquisition Co. </w:t>
            </w:r>
            <w:r>
              <w:rPr>
                <w:rFonts w:ascii="Arial" w:cs="Arial" w:eastAsia="Arial" w:hAnsi="Arial"/>
                <w:sz w:val="23"/>
                <w:szCs w:val="23"/>
                <w:color w:val="auto"/>
                <w:vertAlign w:val="superscript"/>
              </w:rPr>
              <w:t>(3)(5)</w:t>
            </w:r>
          </w:p>
        </w:tc>
        <w:tc>
          <w:tcPr>
            <w:tcW w:w="2560" w:type="dxa"/>
            <w:vAlign w:val="bottom"/>
          </w:tcPr>
          <w:p>
            <w:pPr>
              <w:ind w:left="260"/>
              <w:spacing w:after="0"/>
              <w:rPr>
                <w:sz w:val="20"/>
                <w:szCs w:val="20"/>
                <w:color w:val="auto"/>
              </w:rPr>
            </w:pPr>
            <w:r>
              <w:rPr>
                <w:rFonts w:ascii="Arial" w:cs="Arial" w:eastAsia="Arial" w:hAnsi="Arial"/>
                <w:sz w:val="16"/>
                <w:szCs w:val="16"/>
                <w:color w:val="auto"/>
              </w:rPr>
              <w:t>First-lien loan ($19,950 par, due</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10/19/2020</w:t>
            </w: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L + 7.50%</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8.50%</w:t>
            </w:r>
          </w:p>
        </w:tc>
        <w:tc>
          <w:tcPr>
            <w:tcW w:w="760" w:type="dxa"/>
            <w:vAlign w:val="bottom"/>
          </w:tcPr>
          <w:p>
            <w:pPr>
              <w:jc w:val="right"/>
              <w:spacing w:after="0"/>
              <w:rPr>
                <w:sz w:val="20"/>
                <w:szCs w:val="20"/>
                <w:color w:val="auto"/>
              </w:rPr>
            </w:pPr>
            <w:r>
              <w:rPr>
                <w:rFonts w:ascii="Arial" w:cs="Arial" w:eastAsia="Arial" w:hAnsi="Arial"/>
                <w:sz w:val="16"/>
                <w:szCs w:val="16"/>
                <w:color w:val="auto"/>
              </w:rPr>
              <w:t>19,218</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19,725</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1.7%</w:t>
            </w:r>
          </w:p>
        </w:tc>
      </w:tr>
      <w:tr>
        <w:trPr>
          <w:trHeight w:val="209"/>
        </w:trPr>
        <w:tc>
          <w:tcPr>
            <w:tcW w:w="2360" w:type="dxa"/>
            <w:vAlign w:val="bottom"/>
            <w:tcBorders>
              <w:bottom w:val="single" w:sz="8" w:color="CFF0FC"/>
            </w:tcBorders>
          </w:tcPr>
          <w:p>
            <w:pPr>
              <w:spacing w:after="0"/>
              <w:rPr>
                <w:sz w:val="18"/>
                <w:szCs w:val="18"/>
                <w:color w:val="auto"/>
              </w:rPr>
            </w:pPr>
          </w:p>
        </w:tc>
        <w:tc>
          <w:tcPr>
            <w:tcW w:w="256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10/2025)</w:t>
            </w:r>
          </w:p>
        </w:tc>
        <w:tc>
          <w:tcPr>
            <w:tcW w:w="1000" w:type="dxa"/>
            <w:vAlign w:val="bottom"/>
            <w:tcBorders>
              <w:bottom w:val="single" w:sz="8" w:color="CFF0FC"/>
            </w:tcBorders>
          </w:tcPr>
          <w:p>
            <w:pPr>
              <w:spacing w:after="0"/>
              <w:rPr>
                <w:sz w:val="18"/>
                <w:szCs w:val="18"/>
                <w:color w:val="auto"/>
              </w:rPr>
            </w:pPr>
          </w:p>
        </w:tc>
        <w:tc>
          <w:tcPr>
            <w:tcW w:w="1040" w:type="dxa"/>
            <w:vAlign w:val="bottom"/>
            <w:tcBorders>
              <w:bottom w:val="single" w:sz="8" w:color="CFF0FC"/>
            </w:tcBorders>
          </w:tcPr>
          <w:p>
            <w:pPr>
              <w:spacing w:after="0"/>
              <w:rPr>
                <w:sz w:val="18"/>
                <w:szCs w:val="18"/>
                <w:color w:val="auto"/>
              </w:rPr>
            </w:pPr>
          </w:p>
        </w:tc>
        <w:tc>
          <w:tcPr>
            <w:tcW w:w="136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r>
      <w:tr>
        <w:trPr>
          <w:trHeight w:val="213"/>
        </w:trPr>
        <w:tc>
          <w:tcPr>
            <w:tcW w:w="2360" w:type="dxa"/>
            <w:vAlign w:val="bottom"/>
            <w:shd w:val="clear" w:color="auto" w:fill="CFF0FC"/>
          </w:tcPr>
          <w:p>
            <w:pPr>
              <w:spacing w:after="0"/>
              <w:rPr>
                <w:sz w:val="18"/>
                <w:szCs w:val="18"/>
                <w:color w:val="auto"/>
              </w:rPr>
            </w:pPr>
          </w:p>
        </w:tc>
        <w:tc>
          <w:tcPr>
            <w:tcW w:w="25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220,360</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224,081</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19.2%</w:t>
            </w:r>
          </w:p>
        </w:tc>
      </w:tr>
      <w:tr>
        <w:trPr>
          <w:trHeight w:val="207"/>
        </w:trPr>
        <w:tc>
          <w:tcPr>
            <w:tcW w:w="2360" w:type="dxa"/>
            <w:vAlign w:val="bottom"/>
          </w:tcPr>
          <w:p>
            <w:pPr>
              <w:spacing w:after="0"/>
              <w:rPr>
                <w:sz w:val="20"/>
                <w:szCs w:val="20"/>
                <w:color w:val="auto"/>
              </w:rPr>
            </w:pPr>
            <w:r>
              <w:rPr>
                <w:rFonts w:ascii="Arial" w:cs="Arial" w:eastAsia="Arial" w:hAnsi="Arial"/>
                <w:sz w:val="16"/>
                <w:szCs w:val="16"/>
                <w:b w:val="1"/>
                <w:bCs w:val="1"/>
                <w:color w:val="auto"/>
              </w:rPr>
              <w:t>Insurance</w:t>
            </w:r>
          </w:p>
        </w:tc>
        <w:tc>
          <w:tcPr>
            <w:tcW w:w="2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09"/>
        </w:trPr>
        <w:tc>
          <w:tcPr>
            <w:tcW w:w="236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Riskonnect, Inc. </w:t>
            </w:r>
            <w:r>
              <w:rPr>
                <w:rFonts w:ascii="Arial" w:cs="Arial" w:eastAsia="Arial" w:hAnsi="Arial"/>
                <w:sz w:val="24"/>
                <w:szCs w:val="24"/>
                <w:color w:val="auto"/>
                <w:vertAlign w:val="superscript"/>
              </w:rPr>
              <w:t>(3)(5)</w:t>
            </w:r>
          </w:p>
        </w:tc>
        <w:tc>
          <w:tcPr>
            <w:tcW w:w="25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First-lien loan ($50,767 par, due</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6/30/2017</w:t>
            </w:r>
          </w:p>
        </w:tc>
        <w:tc>
          <w:tcPr>
            <w:tcW w:w="104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+ 7.00%</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8.25%</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50,380</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51,402</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4.4%</w:t>
            </w:r>
          </w:p>
        </w:tc>
      </w:tr>
      <w:tr>
        <w:trPr>
          <w:trHeight w:val="212"/>
        </w:trPr>
        <w:tc>
          <w:tcPr>
            <w:tcW w:w="2360" w:type="dxa"/>
            <w:vAlign w:val="bottom"/>
            <w:shd w:val="clear" w:color="auto" w:fill="CFF0FC"/>
          </w:tcPr>
          <w:p>
            <w:pPr>
              <w:spacing w:after="0"/>
              <w:rPr>
                <w:sz w:val="18"/>
                <w:szCs w:val="18"/>
                <w:color w:val="auto"/>
              </w:rPr>
            </w:pPr>
          </w:p>
        </w:tc>
        <w:tc>
          <w:tcPr>
            <w:tcW w:w="25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10/2023)</w:t>
            </w:r>
          </w:p>
        </w:tc>
        <w:tc>
          <w:tcPr>
            <w:tcW w:w="10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3"/>
        </w:trPr>
        <w:tc>
          <w:tcPr>
            <w:tcW w:w="2360" w:type="dxa"/>
            <w:vAlign w:val="bottom"/>
          </w:tcPr>
          <w:p>
            <w:pPr>
              <w:spacing w:after="0"/>
              <w:rPr>
                <w:sz w:val="20"/>
                <w:szCs w:val="20"/>
                <w:color w:val="auto"/>
              </w:rPr>
            </w:pPr>
            <w:r>
              <w:rPr>
                <w:rFonts w:ascii="Arial" w:cs="Arial" w:eastAsia="Arial" w:hAnsi="Arial"/>
                <w:sz w:val="16"/>
                <w:szCs w:val="16"/>
                <w:b w:val="1"/>
                <w:bCs w:val="1"/>
                <w:color w:val="auto"/>
              </w:rPr>
              <w:t>Internet services</w:t>
            </w:r>
          </w:p>
        </w:tc>
        <w:tc>
          <w:tcPr>
            <w:tcW w:w="2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36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Higher Logic, LLC </w:t>
            </w:r>
            <w:r>
              <w:rPr>
                <w:rFonts w:ascii="Arial" w:cs="Arial" w:eastAsia="Arial" w:hAnsi="Arial"/>
                <w:sz w:val="24"/>
                <w:szCs w:val="24"/>
                <w:color w:val="auto"/>
                <w:vertAlign w:val="superscript"/>
              </w:rPr>
              <w:t>(3)(5)</w:t>
            </w:r>
          </w:p>
        </w:tc>
        <w:tc>
          <w:tcPr>
            <w:tcW w:w="25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First-lien loan ($50,000 par, due</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6/18/2018</w:t>
            </w:r>
          </w:p>
        </w:tc>
        <w:tc>
          <w:tcPr>
            <w:tcW w:w="104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+ 7.25%</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8.25%</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49,521</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50,125</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4.3%</w:t>
            </w:r>
          </w:p>
        </w:tc>
      </w:tr>
      <w:tr>
        <w:trPr>
          <w:trHeight w:val="212"/>
        </w:trPr>
        <w:tc>
          <w:tcPr>
            <w:tcW w:w="2360" w:type="dxa"/>
            <w:vAlign w:val="bottom"/>
            <w:shd w:val="clear" w:color="auto" w:fill="CFF0FC"/>
          </w:tcPr>
          <w:p>
            <w:pPr>
              <w:spacing w:after="0"/>
              <w:rPr>
                <w:sz w:val="18"/>
                <w:szCs w:val="18"/>
                <w:color w:val="auto"/>
              </w:rPr>
            </w:pPr>
          </w:p>
        </w:tc>
        <w:tc>
          <w:tcPr>
            <w:tcW w:w="25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1/2024)</w:t>
            </w:r>
          </w:p>
        </w:tc>
        <w:tc>
          <w:tcPr>
            <w:tcW w:w="10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3"/>
        </w:trPr>
        <w:tc>
          <w:tcPr>
            <w:tcW w:w="2360" w:type="dxa"/>
            <w:vAlign w:val="bottom"/>
          </w:tcPr>
          <w:p>
            <w:pPr>
              <w:spacing w:after="0"/>
              <w:rPr>
                <w:sz w:val="20"/>
                <w:szCs w:val="20"/>
                <w:color w:val="auto"/>
              </w:rPr>
            </w:pPr>
            <w:r>
              <w:rPr>
                <w:rFonts w:ascii="Arial" w:cs="Arial" w:eastAsia="Arial" w:hAnsi="Arial"/>
                <w:sz w:val="16"/>
                <w:szCs w:val="16"/>
                <w:color w:val="auto"/>
              </w:rPr>
              <w:t>Lithium Technologies,</w:t>
            </w:r>
          </w:p>
        </w:tc>
        <w:tc>
          <w:tcPr>
            <w:tcW w:w="2560" w:type="dxa"/>
            <w:vAlign w:val="bottom"/>
          </w:tcPr>
          <w:p>
            <w:pPr>
              <w:ind w:left="260"/>
              <w:spacing w:after="0"/>
              <w:rPr>
                <w:sz w:val="20"/>
                <w:szCs w:val="20"/>
                <w:color w:val="auto"/>
              </w:rPr>
            </w:pPr>
            <w:r>
              <w:rPr>
                <w:rFonts w:ascii="Arial" w:cs="Arial" w:eastAsia="Arial" w:hAnsi="Arial"/>
                <w:sz w:val="16"/>
                <w:szCs w:val="16"/>
                <w:color w:val="auto"/>
              </w:rPr>
              <w:t>First-lien loan ($54,700 par, due</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10/3/2017</w:t>
            </w: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L + 8.00%</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9.00%</w:t>
            </w:r>
          </w:p>
        </w:tc>
        <w:tc>
          <w:tcPr>
            <w:tcW w:w="760" w:type="dxa"/>
            <w:vAlign w:val="bottom"/>
          </w:tcPr>
          <w:p>
            <w:pPr>
              <w:jc w:val="right"/>
              <w:spacing w:after="0"/>
              <w:rPr>
                <w:sz w:val="20"/>
                <w:szCs w:val="20"/>
                <w:color w:val="auto"/>
              </w:rPr>
            </w:pPr>
            <w:r>
              <w:rPr>
                <w:rFonts w:ascii="Arial" w:cs="Arial" w:eastAsia="Arial" w:hAnsi="Arial"/>
                <w:sz w:val="16"/>
                <w:szCs w:val="16"/>
                <w:color w:val="auto"/>
              </w:rPr>
              <w:t>54,192</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53,606</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4.6%</w:t>
            </w:r>
          </w:p>
        </w:tc>
      </w:tr>
      <w:tr>
        <w:trPr>
          <w:trHeight w:val="213"/>
        </w:trPr>
        <w:tc>
          <w:tcPr>
            <w:tcW w:w="2360" w:type="dxa"/>
            <w:vAlign w:val="bottom"/>
          </w:tcPr>
          <w:p>
            <w:pPr>
              <w:ind w:left="120"/>
              <w:spacing w:after="0"/>
              <w:rPr>
                <w:sz w:val="20"/>
                <w:szCs w:val="20"/>
                <w:color w:val="auto"/>
              </w:rPr>
            </w:pPr>
            <w:r>
              <w:rPr>
                <w:rFonts w:ascii="Arial" w:cs="Arial" w:eastAsia="Arial" w:hAnsi="Arial"/>
                <w:sz w:val="16"/>
                <w:szCs w:val="16"/>
                <w:color w:val="auto"/>
              </w:rPr>
              <w:t xml:space="preserve">LLC </w:t>
            </w:r>
            <w:r>
              <w:rPr>
                <w:rFonts w:ascii="Arial" w:cs="Arial" w:eastAsia="Arial" w:hAnsi="Arial"/>
                <w:sz w:val="13"/>
                <w:szCs w:val="13"/>
                <w:color w:val="auto"/>
              </w:rPr>
              <w:t>(3)</w:t>
            </w:r>
          </w:p>
        </w:tc>
        <w:tc>
          <w:tcPr>
            <w:tcW w:w="2560" w:type="dxa"/>
            <w:vAlign w:val="bottom"/>
          </w:tcPr>
          <w:p>
            <w:pPr>
              <w:ind w:left="260"/>
              <w:spacing w:after="0"/>
              <w:rPr>
                <w:sz w:val="20"/>
                <w:szCs w:val="20"/>
                <w:color w:val="auto"/>
              </w:rPr>
            </w:pPr>
            <w:r>
              <w:rPr>
                <w:rFonts w:ascii="Arial" w:cs="Arial" w:eastAsia="Arial" w:hAnsi="Arial"/>
                <w:sz w:val="16"/>
                <w:szCs w:val="16"/>
                <w:color w:val="auto"/>
              </w:rPr>
              <w:t>10/2022)</w:t>
            </w: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360" w:type="dxa"/>
            <w:vAlign w:val="bottom"/>
            <w:shd w:val="clear" w:color="auto" w:fill="CFF0FC"/>
          </w:tcPr>
          <w:p>
            <w:pPr>
              <w:spacing w:after="0"/>
              <w:rPr>
                <w:sz w:val="18"/>
                <w:szCs w:val="18"/>
                <w:color w:val="auto"/>
              </w:rPr>
            </w:pPr>
          </w:p>
        </w:tc>
        <w:tc>
          <w:tcPr>
            <w:tcW w:w="25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First-lien revolving loan ($1,320</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10/3/2017</w:t>
            </w:r>
          </w:p>
        </w:tc>
        <w:tc>
          <w:tcPr>
            <w:tcW w:w="104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+ 8.00%</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9.00%</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1,302</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1,254</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0.1%</w:t>
            </w:r>
          </w:p>
        </w:tc>
      </w:tr>
      <w:tr>
        <w:trPr>
          <w:trHeight w:val="212"/>
        </w:trPr>
        <w:tc>
          <w:tcPr>
            <w:tcW w:w="2360" w:type="dxa"/>
            <w:vAlign w:val="bottom"/>
            <w:shd w:val="clear" w:color="auto" w:fill="CFF0FC"/>
          </w:tcPr>
          <w:p>
            <w:pPr>
              <w:spacing w:after="0"/>
              <w:rPr>
                <w:sz w:val="18"/>
                <w:szCs w:val="18"/>
                <w:color w:val="auto"/>
              </w:rPr>
            </w:pPr>
          </w:p>
        </w:tc>
        <w:tc>
          <w:tcPr>
            <w:tcW w:w="25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par, due 10/2022)</w:t>
            </w:r>
          </w:p>
        </w:tc>
        <w:tc>
          <w:tcPr>
            <w:tcW w:w="10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360" w:type="dxa"/>
            <w:vAlign w:val="bottom"/>
          </w:tcPr>
          <w:p>
            <w:pPr>
              <w:spacing w:after="0" w:line="207" w:lineRule="exact"/>
              <w:rPr>
                <w:sz w:val="20"/>
                <w:szCs w:val="20"/>
                <w:color w:val="auto"/>
              </w:rPr>
            </w:pPr>
            <w:r>
              <w:rPr>
                <w:rFonts w:ascii="Arial" w:cs="Arial" w:eastAsia="Arial" w:hAnsi="Arial"/>
                <w:sz w:val="14"/>
                <w:szCs w:val="14"/>
                <w:color w:val="auto"/>
              </w:rPr>
              <w:t xml:space="preserve">Lucidworks, Inc. </w:t>
            </w:r>
            <w:r>
              <w:rPr>
                <w:rFonts w:ascii="Arial" w:cs="Arial" w:eastAsia="Arial" w:hAnsi="Arial"/>
                <w:sz w:val="23"/>
                <w:szCs w:val="23"/>
                <w:color w:val="auto"/>
                <w:vertAlign w:val="superscript"/>
              </w:rPr>
              <w:t>(9)</w:t>
            </w:r>
          </w:p>
        </w:tc>
        <w:tc>
          <w:tcPr>
            <w:tcW w:w="2560" w:type="dxa"/>
            <w:vAlign w:val="bottom"/>
          </w:tcPr>
          <w:p>
            <w:pPr>
              <w:ind w:left="260"/>
              <w:spacing w:after="0"/>
              <w:rPr>
                <w:sz w:val="20"/>
                <w:szCs w:val="20"/>
                <w:color w:val="auto"/>
              </w:rPr>
            </w:pPr>
            <w:r>
              <w:rPr>
                <w:rFonts w:ascii="Arial" w:cs="Arial" w:eastAsia="Arial" w:hAnsi="Arial"/>
                <w:sz w:val="16"/>
                <w:szCs w:val="16"/>
                <w:color w:val="auto"/>
              </w:rPr>
              <w:t>First-lien loan ($12,902 par, due</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7/31/2019</w:t>
            </w: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12.00%</w:t>
            </w:r>
          </w:p>
        </w:tc>
        <w:tc>
          <w:tcPr>
            <w:tcW w:w="1360" w:type="dxa"/>
            <w:vAlign w:val="bottom"/>
          </w:tcPr>
          <w:p>
            <w:pPr>
              <w:jc w:val="right"/>
              <w:ind w:right="179"/>
              <w:spacing w:after="0"/>
              <w:rPr>
                <w:sz w:val="20"/>
                <w:szCs w:val="20"/>
                <w:color w:val="auto"/>
              </w:rPr>
            </w:pPr>
            <w:r>
              <w:rPr>
                <w:rFonts w:ascii="Arial" w:cs="Arial" w:eastAsia="Arial" w:hAnsi="Arial"/>
                <w:sz w:val="16"/>
                <w:szCs w:val="16"/>
                <w:color w:val="auto"/>
              </w:rPr>
              <w:t>12.00% (incl.</w:t>
            </w:r>
          </w:p>
        </w:tc>
        <w:tc>
          <w:tcPr>
            <w:tcW w:w="760" w:type="dxa"/>
            <w:vAlign w:val="bottom"/>
          </w:tcPr>
          <w:p>
            <w:pPr>
              <w:jc w:val="right"/>
              <w:spacing w:after="0"/>
              <w:rPr>
                <w:sz w:val="20"/>
                <w:szCs w:val="20"/>
                <w:color w:val="auto"/>
              </w:rPr>
            </w:pPr>
            <w:r>
              <w:rPr>
                <w:rFonts w:ascii="Arial" w:cs="Arial" w:eastAsia="Arial" w:hAnsi="Arial"/>
                <w:sz w:val="16"/>
                <w:szCs w:val="16"/>
                <w:color w:val="auto"/>
              </w:rPr>
              <w:t>12,791</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13,145</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1.1%</w:t>
            </w:r>
          </w:p>
        </w:tc>
      </w:tr>
      <w:tr>
        <w:trPr>
          <w:trHeight w:val="209"/>
        </w:trPr>
        <w:tc>
          <w:tcPr>
            <w:tcW w:w="2360" w:type="dxa"/>
            <w:vAlign w:val="bottom"/>
            <w:tcBorders>
              <w:bottom w:val="single" w:sz="8" w:color="CFF0FC"/>
            </w:tcBorders>
          </w:tcPr>
          <w:p>
            <w:pPr>
              <w:spacing w:after="0"/>
              <w:rPr>
                <w:sz w:val="18"/>
                <w:szCs w:val="18"/>
                <w:color w:val="auto"/>
              </w:rPr>
            </w:pPr>
          </w:p>
        </w:tc>
        <w:tc>
          <w:tcPr>
            <w:tcW w:w="256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7/2024)</w:t>
            </w:r>
          </w:p>
        </w:tc>
        <w:tc>
          <w:tcPr>
            <w:tcW w:w="1000" w:type="dxa"/>
            <w:vAlign w:val="bottom"/>
            <w:tcBorders>
              <w:bottom w:val="single" w:sz="8" w:color="CFF0FC"/>
            </w:tcBorders>
          </w:tcPr>
          <w:p>
            <w:pPr>
              <w:spacing w:after="0"/>
              <w:rPr>
                <w:sz w:val="18"/>
                <w:szCs w:val="18"/>
                <w:color w:val="auto"/>
              </w:rPr>
            </w:pPr>
          </w:p>
        </w:tc>
        <w:tc>
          <w:tcPr>
            <w:tcW w:w="1040" w:type="dxa"/>
            <w:vAlign w:val="bottom"/>
            <w:tcBorders>
              <w:bottom w:val="single" w:sz="8" w:color="CFF0FC"/>
            </w:tcBorders>
          </w:tcPr>
          <w:p>
            <w:pPr>
              <w:spacing w:after="0"/>
              <w:rPr>
                <w:sz w:val="18"/>
                <w:szCs w:val="18"/>
                <w:color w:val="auto"/>
              </w:rPr>
            </w:pPr>
          </w:p>
        </w:tc>
        <w:tc>
          <w:tcPr>
            <w:tcW w:w="1360" w:type="dxa"/>
            <w:vAlign w:val="bottom"/>
            <w:tcBorders>
              <w:bottom w:val="single" w:sz="8" w:color="CFF0FC"/>
            </w:tcBorders>
          </w:tcPr>
          <w:p>
            <w:pPr>
              <w:jc w:val="right"/>
              <w:ind w:right="179"/>
              <w:spacing w:after="0"/>
              <w:rPr>
                <w:sz w:val="20"/>
                <w:szCs w:val="20"/>
                <w:color w:val="auto"/>
              </w:rPr>
            </w:pPr>
            <w:r>
              <w:rPr>
                <w:rFonts w:ascii="Arial" w:cs="Arial" w:eastAsia="Arial" w:hAnsi="Arial"/>
                <w:sz w:val="16"/>
                <w:szCs w:val="16"/>
                <w:color w:val="auto"/>
              </w:rPr>
              <w:t>7.00% PIK)</w:t>
            </w:r>
          </w:p>
        </w:tc>
        <w:tc>
          <w:tcPr>
            <w:tcW w:w="76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r>
      <w:tr>
        <w:trPr>
          <w:trHeight w:val="213"/>
        </w:trPr>
        <w:tc>
          <w:tcPr>
            <w:tcW w:w="2360" w:type="dxa"/>
            <w:vAlign w:val="bottom"/>
            <w:shd w:val="clear" w:color="auto" w:fill="CFF0FC"/>
          </w:tcPr>
          <w:p>
            <w:pPr>
              <w:spacing w:after="0"/>
              <w:rPr>
                <w:sz w:val="18"/>
                <w:szCs w:val="18"/>
                <w:color w:val="auto"/>
              </w:rPr>
            </w:pPr>
          </w:p>
        </w:tc>
        <w:tc>
          <w:tcPr>
            <w:tcW w:w="25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117,806</w:t>
            </w:r>
          </w:p>
        </w:tc>
        <w:tc>
          <w:tcPr>
            <w:tcW w:w="220" w:type="dxa"/>
            <w:vAlign w:val="bottom"/>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118,130</w:t>
            </w:r>
          </w:p>
        </w:tc>
        <w:tc>
          <w:tcPr>
            <w:tcW w:w="20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10.1</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4"/>
              </w:rPr>
              <w:t>%</w:t>
            </w:r>
          </w:p>
        </w:tc>
      </w:tr>
      <w:tr>
        <w:trPr>
          <w:trHeight w:val="207"/>
        </w:trPr>
        <w:tc>
          <w:tcPr>
            <w:tcW w:w="2360" w:type="dxa"/>
            <w:vAlign w:val="bottom"/>
          </w:tcPr>
          <w:p>
            <w:pPr>
              <w:spacing w:after="0"/>
              <w:rPr>
                <w:sz w:val="20"/>
                <w:szCs w:val="20"/>
                <w:color w:val="auto"/>
              </w:rPr>
            </w:pPr>
            <w:r>
              <w:rPr>
                <w:rFonts w:ascii="Arial" w:cs="Arial" w:eastAsia="Arial" w:hAnsi="Arial"/>
                <w:sz w:val="16"/>
                <w:szCs w:val="16"/>
                <w:b w:val="1"/>
                <w:bCs w:val="1"/>
                <w:color w:val="auto"/>
              </w:rPr>
              <w:t>Marketing Services</w:t>
            </w:r>
          </w:p>
        </w:tc>
        <w:tc>
          <w:tcPr>
            <w:tcW w:w="2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9"/>
        </w:trPr>
        <w:tc>
          <w:tcPr>
            <w:tcW w:w="236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Acoustic, L.P. </w:t>
            </w:r>
            <w:r>
              <w:rPr>
                <w:rFonts w:ascii="Arial" w:cs="Arial" w:eastAsia="Arial" w:hAnsi="Arial"/>
                <w:sz w:val="24"/>
                <w:szCs w:val="24"/>
                <w:color w:val="auto"/>
                <w:vertAlign w:val="superscript"/>
              </w:rPr>
              <w:t>(3)</w:t>
            </w:r>
          </w:p>
        </w:tc>
        <w:tc>
          <w:tcPr>
            <w:tcW w:w="25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First-lien note ($33,000 par, due</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12/17/2019</w:t>
            </w:r>
          </w:p>
        </w:tc>
        <w:tc>
          <w:tcPr>
            <w:tcW w:w="104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+ 7.00%</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8.50%</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32,376</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32,010</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2.8%</w:t>
            </w:r>
          </w:p>
        </w:tc>
      </w:tr>
      <w:tr>
        <w:trPr>
          <w:trHeight w:val="212"/>
        </w:trPr>
        <w:tc>
          <w:tcPr>
            <w:tcW w:w="2360" w:type="dxa"/>
            <w:vAlign w:val="bottom"/>
            <w:shd w:val="clear" w:color="auto" w:fill="CFF0FC"/>
          </w:tcPr>
          <w:p>
            <w:pPr>
              <w:spacing w:after="0"/>
              <w:rPr>
                <w:sz w:val="18"/>
                <w:szCs w:val="18"/>
                <w:color w:val="auto"/>
              </w:rPr>
            </w:pPr>
          </w:p>
        </w:tc>
        <w:tc>
          <w:tcPr>
            <w:tcW w:w="25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6/2024)</w:t>
            </w:r>
          </w:p>
        </w:tc>
        <w:tc>
          <w:tcPr>
            <w:tcW w:w="10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3"/>
        </w:trPr>
        <w:tc>
          <w:tcPr>
            <w:tcW w:w="2360" w:type="dxa"/>
            <w:vAlign w:val="bottom"/>
          </w:tcPr>
          <w:p>
            <w:pPr>
              <w:spacing w:after="0"/>
              <w:rPr>
                <w:sz w:val="20"/>
                <w:szCs w:val="20"/>
                <w:color w:val="auto"/>
              </w:rPr>
            </w:pPr>
            <w:r>
              <w:rPr>
                <w:rFonts w:ascii="Arial" w:cs="Arial" w:eastAsia="Arial" w:hAnsi="Arial"/>
                <w:sz w:val="16"/>
                <w:szCs w:val="16"/>
                <w:b w:val="1"/>
                <w:bCs w:val="1"/>
                <w:color w:val="auto"/>
              </w:rPr>
              <w:t>Office products</w:t>
            </w:r>
          </w:p>
        </w:tc>
        <w:tc>
          <w:tcPr>
            <w:tcW w:w="2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36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USR Parent, Inc. </w:t>
            </w:r>
            <w:r>
              <w:rPr>
                <w:rFonts w:ascii="Arial" w:cs="Arial" w:eastAsia="Arial" w:hAnsi="Arial"/>
                <w:sz w:val="24"/>
                <w:szCs w:val="24"/>
                <w:color w:val="auto"/>
                <w:vertAlign w:val="superscript"/>
              </w:rPr>
              <w:t>(3)(5)</w:t>
            </w:r>
          </w:p>
        </w:tc>
        <w:tc>
          <w:tcPr>
            <w:tcW w:w="25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ABL FILO term loan ($7,732</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9/12/2017</w:t>
            </w:r>
          </w:p>
        </w:tc>
        <w:tc>
          <w:tcPr>
            <w:tcW w:w="104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+ 7.75%</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8.75%</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7,660</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7,809</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0.7%</w:t>
            </w:r>
          </w:p>
        </w:tc>
      </w:tr>
      <w:tr>
        <w:trPr>
          <w:trHeight w:val="212"/>
        </w:trPr>
        <w:tc>
          <w:tcPr>
            <w:tcW w:w="2360" w:type="dxa"/>
            <w:vAlign w:val="bottom"/>
            <w:shd w:val="clear" w:color="auto" w:fill="CFF0FC"/>
          </w:tcPr>
          <w:p>
            <w:pPr>
              <w:spacing w:after="0"/>
              <w:rPr>
                <w:sz w:val="18"/>
                <w:szCs w:val="18"/>
                <w:color w:val="auto"/>
              </w:rPr>
            </w:pPr>
          </w:p>
        </w:tc>
        <w:tc>
          <w:tcPr>
            <w:tcW w:w="25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par, due 9/2022)</w:t>
            </w:r>
          </w:p>
        </w:tc>
        <w:tc>
          <w:tcPr>
            <w:tcW w:w="10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3"/>
        </w:trPr>
        <w:tc>
          <w:tcPr>
            <w:tcW w:w="2360" w:type="dxa"/>
            <w:vAlign w:val="bottom"/>
          </w:tcPr>
          <w:p>
            <w:pPr>
              <w:spacing w:after="0"/>
              <w:rPr>
                <w:sz w:val="20"/>
                <w:szCs w:val="20"/>
                <w:color w:val="auto"/>
              </w:rPr>
            </w:pPr>
            <w:r>
              <w:rPr>
                <w:rFonts w:ascii="Arial" w:cs="Arial" w:eastAsia="Arial" w:hAnsi="Arial"/>
                <w:sz w:val="16"/>
                <w:szCs w:val="16"/>
                <w:b w:val="1"/>
                <w:bCs w:val="1"/>
                <w:color w:val="auto"/>
              </w:rPr>
              <w:t>Oil, gas and consumable fuels</w:t>
            </w:r>
          </w:p>
        </w:tc>
        <w:tc>
          <w:tcPr>
            <w:tcW w:w="2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6"/>
        </w:trPr>
        <w:tc>
          <w:tcPr>
            <w:tcW w:w="2360" w:type="dxa"/>
            <w:vAlign w:val="bottom"/>
            <w:shd w:val="clear" w:color="auto" w:fill="CFF0FC"/>
          </w:tcPr>
          <w:p>
            <w:pPr>
              <w:spacing w:after="0"/>
              <w:rPr>
                <w:sz w:val="20"/>
                <w:szCs w:val="20"/>
                <w:color w:val="auto"/>
              </w:rPr>
            </w:pPr>
            <w:r>
              <w:rPr>
                <w:rFonts w:ascii="Arial" w:cs="Arial" w:eastAsia="Arial" w:hAnsi="Arial"/>
                <w:sz w:val="16"/>
                <w:szCs w:val="16"/>
                <w:color w:val="auto"/>
              </w:rPr>
              <w:t>MD America Energy,</w:t>
            </w:r>
          </w:p>
        </w:tc>
        <w:tc>
          <w:tcPr>
            <w:tcW w:w="25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First-lien loan ($9,000 par, due</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11/14/2018</w:t>
            </w:r>
          </w:p>
        </w:tc>
        <w:tc>
          <w:tcPr>
            <w:tcW w:w="104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+ 7.75%</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9.25%</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9,000</w:t>
            </w: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9,000</w:t>
            </w: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0.8%</w:t>
            </w:r>
          </w:p>
        </w:tc>
      </w:tr>
      <w:tr>
        <w:trPr>
          <w:trHeight w:val="216"/>
        </w:trPr>
        <w:tc>
          <w:tcPr>
            <w:tcW w:w="23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 xml:space="preserve">LLC </w:t>
            </w:r>
            <w:r>
              <w:rPr>
                <w:rFonts w:ascii="Arial" w:cs="Arial" w:eastAsia="Arial" w:hAnsi="Arial"/>
                <w:sz w:val="13"/>
                <w:szCs w:val="13"/>
                <w:color w:val="auto"/>
              </w:rPr>
              <w:t>(3)(6)</w:t>
            </w:r>
          </w:p>
        </w:tc>
        <w:tc>
          <w:tcPr>
            <w:tcW w:w="25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12/2024)</w:t>
            </w:r>
          </w:p>
        </w:tc>
        <w:tc>
          <w:tcPr>
            <w:tcW w:w="10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3"/>
        </w:trPr>
        <w:tc>
          <w:tcPr>
            <w:tcW w:w="2360" w:type="dxa"/>
            <w:vAlign w:val="bottom"/>
          </w:tcPr>
          <w:p>
            <w:pPr>
              <w:spacing w:after="0"/>
              <w:rPr>
                <w:sz w:val="20"/>
                <w:szCs w:val="20"/>
                <w:color w:val="auto"/>
              </w:rPr>
            </w:pPr>
            <w:r>
              <w:rPr>
                <w:rFonts w:ascii="Arial" w:cs="Arial" w:eastAsia="Arial" w:hAnsi="Arial"/>
                <w:sz w:val="16"/>
                <w:szCs w:val="16"/>
                <w:color w:val="auto"/>
              </w:rPr>
              <w:t>Mississippi Resources,</w:t>
            </w:r>
          </w:p>
        </w:tc>
        <w:tc>
          <w:tcPr>
            <w:tcW w:w="2560" w:type="dxa"/>
            <w:vAlign w:val="bottom"/>
          </w:tcPr>
          <w:p>
            <w:pPr>
              <w:ind w:left="260"/>
              <w:spacing w:after="0"/>
              <w:rPr>
                <w:sz w:val="20"/>
                <w:szCs w:val="20"/>
                <w:color w:val="auto"/>
              </w:rPr>
            </w:pPr>
            <w:r>
              <w:rPr>
                <w:rFonts w:ascii="Arial" w:cs="Arial" w:eastAsia="Arial" w:hAnsi="Arial"/>
                <w:sz w:val="16"/>
                <w:szCs w:val="16"/>
                <w:color w:val="auto"/>
              </w:rPr>
              <w:t>First-lien loan ($1,500 par, due</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6/29/2018</w:t>
            </w: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P + 8.00%</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12.00%</w:t>
            </w:r>
          </w:p>
        </w:tc>
        <w:tc>
          <w:tcPr>
            <w:tcW w:w="760" w:type="dxa"/>
            <w:vAlign w:val="bottom"/>
          </w:tcPr>
          <w:p>
            <w:pPr>
              <w:jc w:val="right"/>
              <w:spacing w:after="0"/>
              <w:rPr>
                <w:sz w:val="20"/>
                <w:szCs w:val="20"/>
                <w:color w:val="auto"/>
              </w:rPr>
            </w:pPr>
            <w:r>
              <w:rPr>
                <w:rFonts w:ascii="Arial" w:cs="Arial" w:eastAsia="Arial" w:hAnsi="Arial"/>
                <w:sz w:val="16"/>
                <w:szCs w:val="16"/>
                <w:color w:val="auto"/>
              </w:rPr>
              <w:t>1,498</w:t>
            </w:r>
          </w:p>
        </w:tc>
        <w:tc>
          <w:tcPr>
            <w:tcW w:w="22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0.0%</w:t>
            </w:r>
          </w:p>
        </w:tc>
      </w:tr>
      <w:tr>
        <w:trPr>
          <w:trHeight w:val="213"/>
        </w:trPr>
        <w:tc>
          <w:tcPr>
            <w:tcW w:w="2360" w:type="dxa"/>
            <w:vAlign w:val="bottom"/>
          </w:tcPr>
          <w:p>
            <w:pPr>
              <w:ind w:left="120"/>
              <w:spacing w:after="0"/>
              <w:rPr>
                <w:sz w:val="20"/>
                <w:szCs w:val="20"/>
                <w:color w:val="auto"/>
              </w:rPr>
            </w:pPr>
            <w:r>
              <w:rPr>
                <w:rFonts w:ascii="Arial" w:cs="Arial" w:eastAsia="Arial" w:hAnsi="Arial"/>
                <w:sz w:val="16"/>
                <w:szCs w:val="16"/>
                <w:color w:val="auto"/>
              </w:rPr>
              <w:t xml:space="preserve">LLC </w:t>
            </w:r>
            <w:r>
              <w:rPr>
                <w:rFonts w:ascii="Arial" w:cs="Arial" w:eastAsia="Arial" w:hAnsi="Arial"/>
                <w:sz w:val="13"/>
                <w:szCs w:val="13"/>
                <w:color w:val="auto"/>
              </w:rPr>
              <w:t>(3)(7)(16)</w:t>
            </w:r>
          </w:p>
        </w:tc>
        <w:tc>
          <w:tcPr>
            <w:tcW w:w="2560" w:type="dxa"/>
            <w:vAlign w:val="bottom"/>
          </w:tcPr>
          <w:p>
            <w:pPr>
              <w:ind w:left="260"/>
              <w:spacing w:after="0"/>
              <w:rPr>
                <w:sz w:val="20"/>
                <w:szCs w:val="20"/>
                <w:color w:val="auto"/>
              </w:rPr>
            </w:pPr>
            <w:r>
              <w:rPr>
                <w:rFonts w:ascii="Arial" w:cs="Arial" w:eastAsia="Arial" w:hAnsi="Arial"/>
                <w:sz w:val="16"/>
                <w:szCs w:val="16"/>
                <w:color w:val="auto"/>
              </w:rPr>
              <w:t>12/2021)</w:t>
            </w: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6"/>
        </w:trPr>
        <w:tc>
          <w:tcPr>
            <w:tcW w:w="2360" w:type="dxa"/>
            <w:vAlign w:val="bottom"/>
            <w:shd w:val="clear" w:color="auto" w:fill="CFF0FC"/>
          </w:tcPr>
          <w:p>
            <w:pPr>
              <w:spacing w:after="0"/>
              <w:rPr>
                <w:sz w:val="20"/>
                <w:szCs w:val="20"/>
                <w:color w:val="auto"/>
              </w:rPr>
            </w:pPr>
            <w:r>
              <w:rPr>
                <w:rFonts w:ascii="Arial" w:cs="Arial" w:eastAsia="Arial" w:hAnsi="Arial"/>
                <w:sz w:val="16"/>
                <w:szCs w:val="16"/>
                <w:color w:val="auto"/>
              </w:rPr>
              <w:t>Verdad Resources Intermediate</w:t>
            </w:r>
          </w:p>
        </w:tc>
        <w:tc>
          <w:tcPr>
            <w:tcW w:w="25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First-lien loan ($25,233 par, due</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4/10/2019</w:t>
            </w:r>
          </w:p>
        </w:tc>
        <w:tc>
          <w:tcPr>
            <w:tcW w:w="104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+ 7.50%</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9.50%</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24,721</w:t>
            </w: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25,437</w:t>
            </w: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2.2%</w:t>
            </w:r>
          </w:p>
        </w:tc>
      </w:tr>
      <w:tr>
        <w:trPr>
          <w:trHeight w:val="216"/>
        </w:trPr>
        <w:tc>
          <w:tcPr>
            <w:tcW w:w="2360" w:type="dxa"/>
            <w:vAlign w:val="bottom"/>
            <w:shd w:val="clear" w:color="auto" w:fill="CFF0FC"/>
          </w:tcPr>
          <w:p>
            <w:pPr>
              <w:ind w:left="120"/>
              <w:spacing w:after="0" w:line="216" w:lineRule="exact"/>
              <w:rPr>
                <w:sz w:val="20"/>
                <w:szCs w:val="20"/>
                <w:color w:val="auto"/>
              </w:rPr>
            </w:pPr>
            <w:r>
              <w:rPr>
                <w:rFonts w:ascii="Arial" w:cs="Arial" w:eastAsia="Arial" w:hAnsi="Arial"/>
                <w:sz w:val="15"/>
                <w:szCs w:val="15"/>
                <w:color w:val="auto"/>
              </w:rPr>
              <w:t xml:space="preserve">Holdings, LLC </w:t>
            </w:r>
            <w:r>
              <w:rPr>
                <w:rFonts w:ascii="Arial" w:cs="Arial" w:eastAsia="Arial" w:hAnsi="Arial"/>
                <w:sz w:val="25"/>
                <w:szCs w:val="25"/>
                <w:color w:val="auto"/>
                <w:vertAlign w:val="superscript"/>
              </w:rPr>
              <w:t>(3)</w:t>
            </w:r>
          </w:p>
        </w:tc>
        <w:tc>
          <w:tcPr>
            <w:tcW w:w="25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10/2024)</w:t>
            </w:r>
          </w:p>
        </w:tc>
        <w:tc>
          <w:tcPr>
            <w:tcW w:w="10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36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35,219</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34,437</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3.0%</w:t>
            </w:r>
          </w:p>
        </w:tc>
      </w:tr>
      <w:tr>
        <w:trPr>
          <w:trHeight w:val="213"/>
        </w:trPr>
        <w:tc>
          <w:tcPr>
            <w:tcW w:w="2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Other</w:t>
            </w:r>
          </w:p>
        </w:tc>
        <w:tc>
          <w:tcPr>
            <w:tcW w:w="256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CFF0FC"/>
            </w:tcBorders>
            <w:shd w:val="clear" w:color="auto" w:fill="CFF0FC"/>
          </w:tcPr>
          <w:p>
            <w:pPr>
              <w:spacing w:after="0"/>
              <w:rPr>
                <w:sz w:val="18"/>
                <w:szCs w:val="18"/>
                <w:color w:val="auto"/>
              </w:rPr>
            </w:pPr>
          </w:p>
        </w:tc>
        <w:tc>
          <w:tcPr>
            <w:tcW w:w="136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r>
      <w:tr>
        <w:trPr>
          <w:trHeight w:val="206"/>
        </w:trPr>
        <w:tc>
          <w:tcPr>
            <w:tcW w:w="2360" w:type="dxa"/>
            <w:vAlign w:val="bottom"/>
          </w:tcPr>
          <w:p>
            <w:pPr>
              <w:spacing w:after="0" w:line="207" w:lineRule="exact"/>
              <w:rPr>
                <w:sz w:val="20"/>
                <w:szCs w:val="20"/>
                <w:color w:val="auto"/>
              </w:rPr>
            </w:pPr>
            <w:r>
              <w:rPr>
                <w:rFonts w:ascii="Arial" w:cs="Arial" w:eastAsia="Arial" w:hAnsi="Arial"/>
                <w:sz w:val="14"/>
                <w:szCs w:val="14"/>
                <w:color w:val="auto"/>
              </w:rPr>
              <w:t xml:space="preserve">Lexipol, LLC </w:t>
            </w:r>
            <w:r>
              <w:rPr>
                <w:rFonts w:ascii="Arial" w:cs="Arial" w:eastAsia="Arial" w:hAnsi="Arial"/>
                <w:sz w:val="23"/>
                <w:szCs w:val="23"/>
                <w:color w:val="auto"/>
                <w:vertAlign w:val="superscript"/>
              </w:rPr>
              <w:t>(3)(5)</w:t>
            </w:r>
          </w:p>
        </w:tc>
        <w:tc>
          <w:tcPr>
            <w:tcW w:w="2560" w:type="dxa"/>
            <w:vAlign w:val="bottom"/>
          </w:tcPr>
          <w:p>
            <w:pPr>
              <w:ind w:left="260"/>
              <w:spacing w:after="0"/>
              <w:rPr>
                <w:sz w:val="20"/>
                <w:szCs w:val="20"/>
                <w:color w:val="auto"/>
              </w:rPr>
            </w:pPr>
            <w:r>
              <w:rPr>
                <w:rFonts w:ascii="Arial" w:cs="Arial" w:eastAsia="Arial" w:hAnsi="Arial"/>
                <w:sz w:val="16"/>
                <w:szCs w:val="16"/>
                <w:color w:val="auto"/>
              </w:rPr>
              <w:t>First-lien loan ($19,762 par, due</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10/8/2020</w:t>
            </w: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L + 5.75%</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6.75%</w:t>
            </w:r>
          </w:p>
        </w:tc>
        <w:tc>
          <w:tcPr>
            <w:tcW w:w="760" w:type="dxa"/>
            <w:vAlign w:val="bottom"/>
          </w:tcPr>
          <w:p>
            <w:pPr>
              <w:jc w:val="right"/>
              <w:spacing w:after="0"/>
              <w:rPr>
                <w:sz w:val="20"/>
                <w:szCs w:val="20"/>
                <w:color w:val="auto"/>
              </w:rPr>
            </w:pPr>
            <w:r>
              <w:rPr>
                <w:rFonts w:ascii="Arial" w:cs="Arial" w:eastAsia="Arial" w:hAnsi="Arial"/>
                <w:sz w:val="16"/>
                <w:szCs w:val="16"/>
                <w:color w:val="auto"/>
              </w:rPr>
              <w:t>19,427</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19,762</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1.7%</w:t>
            </w:r>
          </w:p>
        </w:tc>
      </w:tr>
      <w:tr>
        <w:trPr>
          <w:trHeight w:val="209"/>
        </w:trPr>
        <w:tc>
          <w:tcPr>
            <w:tcW w:w="2360" w:type="dxa"/>
            <w:vAlign w:val="bottom"/>
          </w:tcPr>
          <w:p>
            <w:pPr>
              <w:spacing w:after="0"/>
              <w:rPr>
                <w:sz w:val="18"/>
                <w:szCs w:val="18"/>
                <w:color w:val="auto"/>
              </w:rPr>
            </w:pPr>
          </w:p>
        </w:tc>
        <w:tc>
          <w:tcPr>
            <w:tcW w:w="2560" w:type="dxa"/>
            <w:vAlign w:val="bottom"/>
          </w:tcPr>
          <w:p>
            <w:pPr>
              <w:ind w:left="260"/>
              <w:spacing w:after="0"/>
              <w:rPr>
                <w:sz w:val="20"/>
                <w:szCs w:val="20"/>
                <w:color w:val="auto"/>
              </w:rPr>
            </w:pPr>
            <w:r>
              <w:rPr>
                <w:rFonts w:ascii="Arial" w:cs="Arial" w:eastAsia="Arial" w:hAnsi="Arial"/>
                <w:sz w:val="16"/>
                <w:szCs w:val="16"/>
                <w:color w:val="auto"/>
              </w:rPr>
              <w:t>10/2025)</w:t>
            </w: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23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Pharmaceuticals</w:t>
            </w:r>
          </w:p>
        </w:tc>
        <w:tc>
          <w:tcPr>
            <w:tcW w:w="2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03"/>
        </w:trPr>
        <w:tc>
          <w:tcPr>
            <w:tcW w:w="2360" w:type="dxa"/>
            <w:vAlign w:val="bottom"/>
          </w:tcPr>
          <w:p>
            <w:pPr>
              <w:spacing w:after="0"/>
              <w:rPr>
                <w:sz w:val="20"/>
                <w:szCs w:val="20"/>
                <w:color w:val="auto"/>
              </w:rPr>
            </w:pPr>
            <w:r>
              <w:rPr>
                <w:rFonts w:ascii="Arial" w:cs="Arial" w:eastAsia="Arial" w:hAnsi="Arial"/>
                <w:sz w:val="16"/>
                <w:szCs w:val="16"/>
                <w:color w:val="auto"/>
              </w:rPr>
              <w:t>Biohaven Pharmaceuticals,</w:t>
            </w:r>
          </w:p>
        </w:tc>
        <w:tc>
          <w:tcPr>
            <w:tcW w:w="2560" w:type="dxa"/>
            <w:vAlign w:val="bottom"/>
          </w:tcPr>
          <w:p>
            <w:pPr>
              <w:ind w:left="260"/>
              <w:spacing w:after="0"/>
              <w:rPr>
                <w:sz w:val="20"/>
                <w:szCs w:val="20"/>
                <w:color w:val="auto"/>
              </w:rPr>
            </w:pPr>
            <w:r>
              <w:rPr>
                <w:rFonts w:ascii="Arial" w:cs="Arial" w:eastAsia="Arial" w:hAnsi="Arial"/>
                <w:sz w:val="16"/>
                <w:szCs w:val="16"/>
                <w:color w:val="auto"/>
              </w:rPr>
              <w:t>First-lien loan ($27,948 par, due</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8/7/2020</w:t>
            </w: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L + 9.00%</w:t>
            </w:r>
          </w:p>
        </w:tc>
        <w:tc>
          <w:tcPr>
            <w:tcW w:w="1360" w:type="dxa"/>
            <w:vAlign w:val="bottom"/>
          </w:tcPr>
          <w:p>
            <w:pPr>
              <w:jc w:val="right"/>
              <w:ind w:right="179"/>
              <w:spacing w:after="0"/>
              <w:rPr>
                <w:sz w:val="20"/>
                <w:szCs w:val="20"/>
                <w:color w:val="auto"/>
              </w:rPr>
            </w:pPr>
            <w:r>
              <w:rPr>
                <w:rFonts w:ascii="Arial" w:cs="Arial" w:eastAsia="Arial" w:hAnsi="Arial"/>
                <w:sz w:val="16"/>
                <w:szCs w:val="16"/>
                <w:color w:val="auto"/>
              </w:rPr>
              <w:t>10.00% (incl.</w:t>
            </w:r>
          </w:p>
        </w:tc>
        <w:tc>
          <w:tcPr>
            <w:tcW w:w="760" w:type="dxa"/>
            <w:vAlign w:val="bottom"/>
          </w:tcPr>
          <w:p>
            <w:pPr>
              <w:jc w:val="right"/>
              <w:spacing w:after="0"/>
              <w:rPr>
                <w:sz w:val="20"/>
                <w:szCs w:val="20"/>
                <w:color w:val="auto"/>
              </w:rPr>
            </w:pPr>
            <w:r>
              <w:rPr>
                <w:rFonts w:ascii="Arial" w:cs="Arial" w:eastAsia="Arial" w:hAnsi="Arial"/>
                <w:sz w:val="16"/>
                <w:szCs w:val="16"/>
                <w:color w:val="auto"/>
              </w:rPr>
              <w:t>26,796</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27,569</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2.4%</w:t>
            </w:r>
          </w:p>
        </w:tc>
      </w:tr>
      <w:tr>
        <w:trPr>
          <w:trHeight w:val="213"/>
        </w:trPr>
        <w:tc>
          <w:tcPr>
            <w:tcW w:w="2360" w:type="dxa"/>
            <w:vAlign w:val="bottom"/>
          </w:tcPr>
          <w:p>
            <w:pPr>
              <w:ind w:left="120"/>
              <w:spacing w:after="0"/>
              <w:rPr>
                <w:sz w:val="20"/>
                <w:szCs w:val="20"/>
                <w:color w:val="auto"/>
              </w:rPr>
            </w:pPr>
            <w:r>
              <w:rPr>
                <w:rFonts w:ascii="Arial" w:cs="Arial" w:eastAsia="Arial" w:hAnsi="Arial"/>
                <w:sz w:val="16"/>
                <w:szCs w:val="16"/>
                <w:color w:val="auto"/>
              </w:rPr>
              <w:t xml:space="preserve">Inc. </w:t>
            </w:r>
            <w:r>
              <w:rPr>
                <w:rFonts w:ascii="Arial" w:cs="Arial" w:eastAsia="Arial" w:hAnsi="Arial"/>
                <w:sz w:val="13"/>
                <w:szCs w:val="13"/>
                <w:color w:val="auto"/>
              </w:rPr>
              <w:t>(3)(4)</w:t>
            </w:r>
          </w:p>
        </w:tc>
        <w:tc>
          <w:tcPr>
            <w:tcW w:w="2560" w:type="dxa"/>
            <w:vAlign w:val="bottom"/>
          </w:tcPr>
          <w:p>
            <w:pPr>
              <w:ind w:left="260"/>
              <w:spacing w:after="0"/>
              <w:rPr>
                <w:sz w:val="20"/>
                <w:szCs w:val="20"/>
                <w:color w:val="auto"/>
              </w:rPr>
            </w:pPr>
            <w:r>
              <w:rPr>
                <w:rFonts w:ascii="Arial" w:cs="Arial" w:eastAsia="Arial" w:hAnsi="Arial"/>
                <w:sz w:val="16"/>
                <w:szCs w:val="16"/>
                <w:color w:val="auto"/>
              </w:rPr>
              <w:t>8/2025)</w:t>
            </w: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jc w:val="right"/>
              <w:ind w:right="179"/>
              <w:spacing w:after="0"/>
              <w:rPr>
                <w:sz w:val="20"/>
                <w:szCs w:val="20"/>
                <w:color w:val="auto"/>
              </w:rPr>
            </w:pPr>
            <w:r>
              <w:rPr>
                <w:rFonts w:ascii="Arial" w:cs="Arial" w:eastAsia="Arial" w:hAnsi="Arial"/>
                <w:sz w:val="16"/>
                <w:szCs w:val="16"/>
                <w:color w:val="auto"/>
              </w:rPr>
              <w:t>4.00% PIK)</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36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TherapeuticsMD, Inc. </w:t>
            </w:r>
            <w:r>
              <w:rPr>
                <w:rFonts w:ascii="Arial" w:cs="Arial" w:eastAsia="Arial" w:hAnsi="Arial"/>
                <w:sz w:val="24"/>
                <w:szCs w:val="24"/>
                <w:color w:val="auto"/>
                <w:vertAlign w:val="superscript"/>
              </w:rPr>
              <w:t>(3)(4)</w:t>
            </w:r>
          </w:p>
        </w:tc>
        <w:tc>
          <w:tcPr>
            <w:tcW w:w="25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First-lien loan ($37,500 par, due</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4/24/2019</w:t>
            </w:r>
          </w:p>
        </w:tc>
        <w:tc>
          <w:tcPr>
            <w:tcW w:w="104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+ 7.75%</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10.45%</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35,887</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36,469</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3.1%</w:t>
            </w:r>
          </w:p>
        </w:tc>
      </w:tr>
      <w:tr>
        <w:trPr>
          <w:trHeight w:val="209"/>
        </w:trPr>
        <w:tc>
          <w:tcPr>
            <w:tcW w:w="2360" w:type="dxa"/>
            <w:vAlign w:val="bottom"/>
            <w:shd w:val="clear" w:color="auto" w:fill="CFF0FC"/>
          </w:tcPr>
          <w:p>
            <w:pPr>
              <w:spacing w:after="0"/>
              <w:rPr>
                <w:sz w:val="18"/>
                <w:szCs w:val="18"/>
                <w:color w:val="auto"/>
              </w:rPr>
            </w:pPr>
          </w:p>
        </w:tc>
        <w:tc>
          <w:tcPr>
            <w:tcW w:w="25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3/2024)</w:t>
            </w:r>
          </w:p>
        </w:tc>
        <w:tc>
          <w:tcPr>
            <w:tcW w:w="10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9"/>
        </w:trPr>
        <w:tc>
          <w:tcPr>
            <w:tcW w:w="23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62,683</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64,038</w:t>
            </w:r>
          </w:p>
        </w:tc>
        <w:tc>
          <w:tcPr>
            <w:tcW w:w="2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5.5%</w:t>
            </w:r>
          </w:p>
        </w:tc>
      </w:tr>
      <w:tr>
        <w:trPr>
          <w:trHeight w:val="213"/>
        </w:trPr>
        <w:tc>
          <w:tcPr>
            <w:tcW w:w="2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Real Estate</w:t>
            </w:r>
          </w:p>
        </w:tc>
        <w:tc>
          <w:tcPr>
            <w:tcW w:w="256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CFF0FC"/>
            </w:tcBorders>
            <w:shd w:val="clear" w:color="auto" w:fill="CFF0FC"/>
          </w:tcPr>
          <w:p>
            <w:pPr>
              <w:spacing w:after="0"/>
              <w:rPr>
                <w:sz w:val="18"/>
                <w:szCs w:val="18"/>
                <w:color w:val="auto"/>
              </w:rPr>
            </w:pPr>
          </w:p>
        </w:tc>
        <w:tc>
          <w:tcPr>
            <w:tcW w:w="136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r>
      <w:tr>
        <w:trPr>
          <w:trHeight w:val="206"/>
        </w:trPr>
        <w:tc>
          <w:tcPr>
            <w:tcW w:w="2360" w:type="dxa"/>
            <w:vAlign w:val="bottom"/>
          </w:tcPr>
          <w:p>
            <w:pPr>
              <w:spacing w:after="0" w:line="207" w:lineRule="exact"/>
              <w:rPr>
                <w:sz w:val="20"/>
                <w:szCs w:val="20"/>
                <w:color w:val="auto"/>
              </w:rPr>
            </w:pPr>
            <w:r>
              <w:rPr>
                <w:rFonts w:ascii="Arial" w:cs="Arial" w:eastAsia="Arial" w:hAnsi="Arial"/>
                <w:sz w:val="14"/>
                <w:szCs w:val="14"/>
                <w:color w:val="auto"/>
              </w:rPr>
              <w:t xml:space="preserve">ResMan, LLC </w:t>
            </w:r>
            <w:r>
              <w:rPr>
                <w:rFonts w:ascii="Arial" w:cs="Arial" w:eastAsia="Arial" w:hAnsi="Arial"/>
                <w:sz w:val="23"/>
                <w:szCs w:val="23"/>
                <w:color w:val="auto"/>
                <w:vertAlign w:val="superscript"/>
              </w:rPr>
              <w:t>(3)</w:t>
            </w:r>
          </w:p>
        </w:tc>
        <w:tc>
          <w:tcPr>
            <w:tcW w:w="2560" w:type="dxa"/>
            <w:vAlign w:val="bottom"/>
          </w:tcPr>
          <w:p>
            <w:pPr>
              <w:ind w:left="260"/>
              <w:spacing w:after="0"/>
              <w:rPr>
                <w:sz w:val="20"/>
                <w:szCs w:val="20"/>
                <w:color w:val="auto"/>
              </w:rPr>
            </w:pPr>
            <w:r>
              <w:rPr>
                <w:rFonts w:ascii="Arial" w:cs="Arial" w:eastAsia="Arial" w:hAnsi="Arial"/>
                <w:sz w:val="16"/>
                <w:szCs w:val="16"/>
                <w:color w:val="auto"/>
              </w:rPr>
              <w:t>First-lien loan ($39,886 par, due</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10/3/2019</w:t>
            </w: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L + 9.50%</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10.50%</w:t>
            </w:r>
          </w:p>
        </w:tc>
        <w:tc>
          <w:tcPr>
            <w:tcW w:w="760" w:type="dxa"/>
            <w:vAlign w:val="bottom"/>
          </w:tcPr>
          <w:p>
            <w:pPr>
              <w:jc w:val="right"/>
              <w:spacing w:after="0"/>
              <w:rPr>
                <w:sz w:val="20"/>
                <w:szCs w:val="20"/>
                <w:color w:val="auto"/>
              </w:rPr>
            </w:pPr>
            <w:r>
              <w:rPr>
                <w:rFonts w:ascii="Arial" w:cs="Arial" w:eastAsia="Arial" w:hAnsi="Arial"/>
                <w:sz w:val="16"/>
                <w:szCs w:val="16"/>
                <w:color w:val="auto"/>
              </w:rPr>
              <w:t>39,686</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39,763</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3.4%</w:t>
            </w:r>
          </w:p>
        </w:tc>
      </w:tr>
      <w:tr>
        <w:trPr>
          <w:trHeight w:val="209"/>
        </w:trPr>
        <w:tc>
          <w:tcPr>
            <w:tcW w:w="2360" w:type="dxa"/>
            <w:vAlign w:val="bottom"/>
          </w:tcPr>
          <w:p>
            <w:pPr>
              <w:spacing w:after="0"/>
              <w:rPr>
                <w:sz w:val="18"/>
                <w:szCs w:val="18"/>
                <w:color w:val="auto"/>
              </w:rPr>
            </w:pPr>
          </w:p>
        </w:tc>
        <w:tc>
          <w:tcPr>
            <w:tcW w:w="2560" w:type="dxa"/>
            <w:vAlign w:val="bottom"/>
          </w:tcPr>
          <w:p>
            <w:pPr>
              <w:ind w:left="260"/>
              <w:spacing w:after="0"/>
              <w:rPr>
                <w:sz w:val="20"/>
                <w:szCs w:val="20"/>
                <w:color w:val="auto"/>
              </w:rPr>
            </w:pPr>
            <w:r>
              <w:rPr>
                <w:rFonts w:ascii="Arial" w:cs="Arial" w:eastAsia="Arial" w:hAnsi="Arial"/>
                <w:sz w:val="16"/>
                <w:szCs w:val="16"/>
                <w:color w:val="auto"/>
              </w:rPr>
              <w:t>10/2024)</w:t>
            </w: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23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Retail and consumer products</w:t>
            </w:r>
          </w:p>
        </w:tc>
        <w:tc>
          <w:tcPr>
            <w:tcW w:w="2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03"/>
        </w:trPr>
        <w:tc>
          <w:tcPr>
            <w:tcW w:w="2360" w:type="dxa"/>
            <w:vAlign w:val="bottom"/>
          </w:tcPr>
          <w:p>
            <w:pPr>
              <w:spacing w:after="0"/>
              <w:rPr>
                <w:sz w:val="20"/>
                <w:szCs w:val="20"/>
                <w:color w:val="auto"/>
              </w:rPr>
            </w:pPr>
            <w:r>
              <w:rPr>
                <w:rFonts w:ascii="Arial" w:cs="Arial" w:eastAsia="Arial" w:hAnsi="Arial"/>
                <w:sz w:val="16"/>
                <w:szCs w:val="16"/>
                <w:color w:val="auto"/>
              </w:rPr>
              <w:t>99 Cents Only Stores</w:t>
            </w:r>
          </w:p>
        </w:tc>
        <w:tc>
          <w:tcPr>
            <w:tcW w:w="2560" w:type="dxa"/>
            <w:vAlign w:val="bottom"/>
          </w:tcPr>
          <w:p>
            <w:pPr>
              <w:ind w:left="260"/>
              <w:spacing w:after="0"/>
              <w:rPr>
                <w:sz w:val="20"/>
                <w:szCs w:val="20"/>
                <w:color w:val="auto"/>
              </w:rPr>
            </w:pPr>
            <w:r>
              <w:rPr>
                <w:rFonts w:ascii="Arial" w:cs="Arial" w:eastAsia="Arial" w:hAnsi="Arial"/>
                <w:sz w:val="16"/>
                <w:szCs w:val="16"/>
                <w:color w:val="auto"/>
              </w:rPr>
              <w:t>ABL FILO term loan ($25,000</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9/6/2017</w:t>
            </w: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L + 8.50%</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9.50%</w:t>
            </w:r>
          </w:p>
        </w:tc>
        <w:tc>
          <w:tcPr>
            <w:tcW w:w="760" w:type="dxa"/>
            <w:vAlign w:val="bottom"/>
          </w:tcPr>
          <w:p>
            <w:pPr>
              <w:jc w:val="right"/>
              <w:spacing w:after="0"/>
              <w:rPr>
                <w:sz w:val="20"/>
                <w:szCs w:val="20"/>
                <w:color w:val="auto"/>
              </w:rPr>
            </w:pPr>
            <w:r>
              <w:rPr>
                <w:rFonts w:ascii="Arial" w:cs="Arial" w:eastAsia="Arial" w:hAnsi="Arial"/>
                <w:sz w:val="16"/>
                <w:szCs w:val="16"/>
                <w:color w:val="auto"/>
              </w:rPr>
              <w:t>24,640</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25,625</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2.2%</w:t>
            </w:r>
          </w:p>
        </w:tc>
      </w:tr>
      <w:tr>
        <w:trPr>
          <w:trHeight w:val="216"/>
        </w:trPr>
        <w:tc>
          <w:tcPr>
            <w:tcW w:w="2360" w:type="dxa"/>
            <w:vAlign w:val="bottom"/>
          </w:tcPr>
          <w:p>
            <w:pPr>
              <w:ind w:left="120"/>
              <w:spacing w:after="0" w:line="216" w:lineRule="exact"/>
              <w:rPr>
                <w:sz w:val="20"/>
                <w:szCs w:val="20"/>
                <w:color w:val="auto"/>
              </w:rPr>
            </w:pPr>
            <w:r>
              <w:rPr>
                <w:rFonts w:ascii="Arial" w:cs="Arial" w:eastAsia="Arial" w:hAnsi="Arial"/>
                <w:sz w:val="15"/>
                <w:szCs w:val="15"/>
                <w:color w:val="auto"/>
              </w:rPr>
              <w:t xml:space="preserve">LLC </w:t>
            </w:r>
            <w:r>
              <w:rPr>
                <w:rFonts w:ascii="Arial" w:cs="Arial" w:eastAsia="Arial" w:hAnsi="Arial"/>
                <w:sz w:val="25"/>
                <w:szCs w:val="25"/>
                <w:color w:val="auto"/>
                <w:vertAlign w:val="superscript"/>
              </w:rPr>
              <w:t>(3)</w:t>
            </w:r>
          </w:p>
        </w:tc>
        <w:tc>
          <w:tcPr>
            <w:tcW w:w="2560" w:type="dxa"/>
            <w:vAlign w:val="bottom"/>
          </w:tcPr>
          <w:p>
            <w:pPr>
              <w:ind w:left="260"/>
              <w:spacing w:after="0"/>
              <w:rPr>
                <w:sz w:val="20"/>
                <w:szCs w:val="20"/>
                <w:color w:val="auto"/>
              </w:rPr>
            </w:pPr>
            <w:r>
              <w:rPr>
                <w:rFonts w:ascii="Arial" w:cs="Arial" w:eastAsia="Arial" w:hAnsi="Arial"/>
                <w:sz w:val="16"/>
                <w:szCs w:val="16"/>
                <w:color w:val="auto"/>
              </w:rPr>
              <w:t>par, due 5/2025)</w:t>
            </w: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3"/>
        </w:trPr>
        <w:tc>
          <w:tcPr>
            <w:tcW w:w="2360" w:type="dxa"/>
            <w:vAlign w:val="bottom"/>
            <w:shd w:val="clear" w:color="auto" w:fill="CFF0FC"/>
          </w:tcPr>
          <w:p>
            <w:pPr>
              <w:spacing w:after="0"/>
              <w:rPr>
                <w:sz w:val="20"/>
                <w:szCs w:val="20"/>
                <w:color w:val="auto"/>
              </w:rPr>
            </w:pPr>
            <w:r>
              <w:rPr>
                <w:rFonts w:ascii="Arial" w:cs="Arial" w:eastAsia="Arial" w:hAnsi="Arial"/>
                <w:sz w:val="16"/>
                <w:szCs w:val="16"/>
                <w:color w:val="auto"/>
              </w:rPr>
              <w:t>American Achievement,</w:t>
            </w:r>
          </w:p>
        </w:tc>
        <w:tc>
          <w:tcPr>
            <w:tcW w:w="25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First-lien loan ($23,876 par, due</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9/30/2015</w:t>
            </w:r>
          </w:p>
        </w:tc>
        <w:tc>
          <w:tcPr>
            <w:tcW w:w="104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+ 8.25%</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9.25%</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23,822</w:t>
            </w: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21,608</w:t>
            </w: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1.9%</w:t>
            </w:r>
          </w:p>
        </w:tc>
      </w:tr>
      <w:tr>
        <w:trPr>
          <w:trHeight w:val="216"/>
        </w:trPr>
        <w:tc>
          <w:tcPr>
            <w:tcW w:w="23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 xml:space="preserve">Corp. </w:t>
            </w:r>
            <w:r>
              <w:rPr>
                <w:rFonts w:ascii="Arial" w:cs="Arial" w:eastAsia="Arial" w:hAnsi="Arial"/>
                <w:sz w:val="13"/>
                <w:szCs w:val="13"/>
                <w:color w:val="auto"/>
              </w:rPr>
              <w:t>(3)(5)(16)</w:t>
            </w:r>
          </w:p>
        </w:tc>
        <w:tc>
          <w:tcPr>
            <w:tcW w:w="25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9/2022)</w:t>
            </w:r>
          </w:p>
        </w:tc>
        <w:tc>
          <w:tcPr>
            <w:tcW w:w="10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360" w:type="dxa"/>
            <w:vAlign w:val="bottom"/>
          </w:tcPr>
          <w:p>
            <w:pPr>
              <w:spacing w:after="0" w:line="207" w:lineRule="exact"/>
              <w:rPr>
                <w:sz w:val="20"/>
                <w:szCs w:val="20"/>
                <w:color w:val="auto"/>
              </w:rPr>
            </w:pPr>
            <w:r>
              <w:rPr>
                <w:rFonts w:ascii="Arial" w:cs="Arial" w:eastAsia="Arial" w:hAnsi="Arial"/>
                <w:sz w:val="14"/>
                <w:szCs w:val="14"/>
                <w:color w:val="auto"/>
              </w:rPr>
              <w:t xml:space="preserve">Designer Brands, Inc. </w:t>
            </w:r>
            <w:r>
              <w:rPr>
                <w:rFonts w:ascii="Arial" w:cs="Arial" w:eastAsia="Arial" w:hAnsi="Arial"/>
                <w:sz w:val="23"/>
                <w:szCs w:val="23"/>
                <w:color w:val="auto"/>
                <w:vertAlign w:val="superscript"/>
              </w:rPr>
              <w:t>(3)(4)</w:t>
            </w:r>
          </w:p>
        </w:tc>
        <w:tc>
          <w:tcPr>
            <w:tcW w:w="2560" w:type="dxa"/>
            <w:vAlign w:val="bottom"/>
          </w:tcPr>
          <w:p>
            <w:pPr>
              <w:ind w:left="260"/>
              <w:spacing w:after="0"/>
              <w:rPr>
                <w:sz w:val="20"/>
                <w:szCs w:val="20"/>
                <w:color w:val="auto"/>
              </w:rPr>
            </w:pPr>
            <w:r>
              <w:rPr>
                <w:rFonts w:ascii="Arial" w:cs="Arial" w:eastAsia="Arial" w:hAnsi="Arial"/>
                <w:sz w:val="16"/>
                <w:szCs w:val="16"/>
                <w:color w:val="auto"/>
                <w:w w:val="98"/>
              </w:rPr>
              <w:t>ABL First-lien loan ($49,375 par,</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8/7/2020</w:t>
            </w: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L + 8.50%</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9.75%</w:t>
            </w:r>
          </w:p>
        </w:tc>
        <w:tc>
          <w:tcPr>
            <w:tcW w:w="760" w:type="dxa"/>
            <w:vAlign w:val="bottom"/>
          </w:tcPr>
          <w:p>
            <w:pPr>
              <w:jc w:val="right"/>
              <w:spacing w:after="0"/>
              <w:rPr>
                <w:sz w:val="20"/>
                <w:szCs w:val="20"/>
                <w:color w:val="auto"/>
              </w:rPr>
            </w:pPr>
            <w:r>
              <w:rPr>
                <w:rFonts w:ascii="Arial" w:cs="Arial" w:eastAsia="Arial" w:hAnsi="Arial"/>
                <w:sz w:val="16"/>
                <w:szCs w:val="16"/>
                <w:color w:val="auto"/>
              </w:rPr>
              <w:t>48,218</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49,252</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4.2%</w:t>
            </w:r>
          </w:p>
        </w:tc>
      </w:tr>
      <w:tr>
        <w:trPr>
          <w:trHeight w:val="209"/>
        </w:trPr>
        <w:tc>
          <w:tcPr>
            <w:tcW w:w="2360" w:type="dxa"/>
            <w:vAlign w:val="bottom"/>
          </w:tcPr>
          <w:p>
            <w:pPr>
              <w:spacing w:after="0"/>
              <w:rPr>
                <w:sz w:val="18"/>
                <w:szCs w:val="18"/>
                <w:color w:val="auto"/>
              </w:rPr>
            </w:pPr>
          </w:p>
        </w:tc>
        <w:tc>
          <w:tcPr>
            <w:tcW w:w="2560" w:type="dxa"/>
            <w:vAlign w:val="bottom"/>
          </w:tcPr>
          <w:p>
            <w:pPr>
              <w:ind w:left="260"/>
              <w:spacing w:after="0"/>
              <w:rPr>
                <w:sz w:val="20"/>
                <w:szCs w:val="20"/>
                <w:color w:val="auto"/>
              </w:rPr>
            </w:pPr>
            <w:r>
              <w:rPr>
                <w:rFonts w:ascii="Arial" w:cs="Arial" w:eastAsia="Arial" w:hAnsi="Arial"/>
                <w:sz w:val="16"/>
                <w:szCs w:val="16"/>
                <w:color w:val="auto"/>
              </w:rPr>
              <w:t>due 8/2025)</w:t>
            </w: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6"/>
        </w:trPr>
        <w:tc>
          <w:tcPr>
            <w:tcW w:w="2360" w:type="dxa"/>
            <w:vAlign w:val="bottom"/>
            <w:shd w:val="clear" w:color="auto" w:fill="CFF0FC"/>
          </w:tcPr>
          <w:p>
            <w:pPr>
              <w:spacing w:after="0"/>
              <w:rPr>
                <w:sz w:val="20"/>
                <w:szCs w:val="20"/>
                <w:color w:val="auto"/>
              </w:rPr>
            </w:pPr>
            <w:r>
              <w:rPr>
                <w:rFonts w:ascii="Arial" w:cs="Arial" w:eastAsia="Arial" w:hAnsi="Arial"/>
                <w:sz w:val="16"/>
                <w:szCs w:val="16"/>
                <w:color w:val="auto"/>
              </w:rPr>
              <w:t>J.C. Penney Company,</w:t>
            </w:r>
          </w:p>
        </w:tc>
        <w:tc>
          <w:tcPr>
            <w:tcW w:w="2560" w:type="dxa"/>
            <w:vAlign w:val="bottom"/>
            <w:shd w:val="clear" w:color="auto" w:fill="CFF0FC"/>
          </w:tcPr>
          <w:p>
            <w:pPr>
              <w:ind w:left="260"/>
              <w:spacing w:after="0"/>
              <w:rPr>
                <w:sz w:val="20"/>
                <w:szCs w:val="20"/>
                <w:color w:val="auto"/>
              </w:rPr>
            </w:pPr>
            <w:r>
              <w:rPr>
                <w:rFonts w:ascii="Arial" w:cs="Arial" w:eastAsia="Arial" w:hAnsi="Arial"/>
                <w:sz w:val="16"/>
                <w:szCs w:val="16"/>
                <w:color w:val="auto"/>
                <w:w w:val="98"/>
              </w:rPr>
              <w:t>ABL DIP term loan ($12,198 par,</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6/8/2020</w:t>
            </w:r>
          </w:p>
        </w:tc>
        <w:tc>
          <w:tcPr>
            <w:tcW w:w="1040" w:type="dxa"/>
            <w:vAlign w:val="bottom"/>
            <w:shd w:val="clear" w:color="auto" w:fill="CFF0FC"/>
          </w:tcPr>
          <w:p>
            <w:pPr>
              <w:jc w:val="right"/>
              <w:ind w:right="27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12,198</w:t>
            </w: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13,336</w:t>
            </w: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1.1%</w:t>
            </w:r>
          </w:p>
        </w:tc>
      </w:tr>
      <w:tr>
        <w:trPr>
          <w:trHeight w:val="216"/>
        </w:trPr>
        <w:tc>
          <w:tcPr>
            <w:tcW w:w="23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 xml:space="preserve">Inc. </w:t>
            </w:r>
            <w:r>
              <w:rPr>
                <w:rFonts w:ascii="Arial" w:cs="Arial" w:eastAsia="Arial" w:hAnsi="Arial"/>
                <w:sz w:val="13"/>
                <w:szCs w:val="13"/>
                <w:color w:val="auto"/>
              </w:rPr>
              <w:t>(11)(13)</w:t>
            </w:r>
          </w:p>
        </w:tc>
        <w:tc>
          <w:tcPr>
            <w:tcW w:w="25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due 4/2021)</w:t>
            </w:r>
          </w:p>
        </w:tc>
        <w:tc>
          <w:tcPr>
            <w:tcW w:w="10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360" w:type="dxa"/>
            <w:vAlign w:val="bottom"/>
          </w:tcPr>
          <w:p>
            <w:pPr>
              <w:spacing w:after="0"/>
              <w:rPr>
                <w:sz w:val="17"/>
                <w:szCs w:val="17"/>
                <w:color w:val="auto"/>
              </w:rPr>
            </w:pPr>
          </w:p>
        </w:tc>
        <w:tc>
          <w:tcPr>
            <w:tcW w:w="2560" w:type="dxa"/>
            <w:vAlign w:val="bottom"/>
          </w:tcPr>
          <w:p>
            <w:pPr>
              <w:ind w:left="260"/>
              <w:spacing w:after="0"/>
              <w:rPr>
                <w:sz w:val="20"/>
                <w:szCs w:val="20"/>
                <w:color w:val="auto"/>
              </w:rPr>
            </w:pPr>
            <w:r>
              <w:rPr>
                <w:rFonts w:ascii="Arial" w:cs="Arial" w:eastAsia="Arial" w:hAnsi="Arial"/>
                <w:sz w:val="16"/>
                <w:szCs w:val="16"/>
                <w:color w:val="auto"/>
              </w:rPr>
              <w:t>First-lien loan ($4,129 par, due</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6/5/2019</w:t>
            </w:r>
          </w:p>
        </w:tc>
        <w:tc>
          <w:tcPr>
            <w:tcW w:w="104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3,153</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275</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0.0%</w:t>
            </w:r>
          </w:p>
        </w:tc>
      </w:tr>
      <w:tr>
        <w:trPr>
          <w:trHeight w:val="209"/>
        </w:trPr>
        <w:tc>
          <w:tcPr>
            <w:tcW w:w="2360" w:type="dxa"/>
            <w:vAlign w:val="bottom"/>
          </w:tcPr>
          <w:p>
            <w:pPr>
              <w:spacing w:after="0"/>
              <w:rPr>
                <w:sz w:val="18"/>
                <w:szCs w:val="18"/>
                <w:color w:val="auto"/>
              </w:rPr>
            </w:pPr>
          </w:p>
        </w:tc>
        <w:tc>
          <w:tcPr>
            <w:tcW w:w="2560" w:type="dxa"/>
            <w:vAlign w:val="bottom"/>
          </w:tcPr>
          <w:p>
            <w:pPr>
              <w:ind w:left="260"/>
              <w:spacing w:after="0"/>
              <w:rPr>
                <w:sz w:val="20"/>
                <w:szCs w:val="20"/>
                <w:color w:val="auto"/>
              </w:rPr>
            </w:pPr>
            <w:r>
              <w:rPr>
                <w:rFonts w:ascii="Arial" w:cs="Arial" w:eastAsia="Arial" w:hAnsi="Arial"/>
                <w:sz w:val="16"/>
                <w:szCs w:val="16"/>
                <w:color w:val="auto"/>
              </w:rPr>
              <w:t>6/2023)</w:t>
            </w: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360" w:type="dxa"/>
            <w:vAlign w:val="bottom"/>
            <w:shd w:val="clear" w:color="auto" w:fill="CFF0FC"/>
          </w:tcPr>
          <w:p>
            <w:pPr>
              <w:spacing w:after="0"/>
              <w:rPr>
                <w:sz w:val="18"/>
                <w:szCs w:val="18"/>
                <w:color w:val="auto"/>
              </w:rPr>
            </w:pPr>
          </w:p>
        </w:tc>
        <w:tc>
          <w:tcPr>
            <w:tcW w:w="25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First-lien secured note ($12,384</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6/5/2019</w:t>
            </w:r>
          </w:p>
        </w:tc>
        <w:tc>
          <w:tcPr>
            <w:tcW w:w="1040" w:type="dxa"/>
            <w:vAlign w:val="bottom"/>
            <w:shd w:val="clear" w:color="auto" w:fill="CFF0FC"/>
          </w:tcPr>
          <w:p>
            <w:pPr>
              <w:jc w:val="right"/>
              <w:ind w:right="27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10,122</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867</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0.1%</w:t>
            </w:r>
          </w:p>
        </w:tc>
      </w:tr>
      <w:tr>
        <w:trPr>
          <w:trHeight w:val="212"/>
        </w:trPr>
        <w:tc>
          <w:tcPr>
            <w:tcW w:w="2360" w:type="dxa"/>
            <w:vAlign w:val="bottom"/>
            <w:shd w:val="clear" w:color="auto" w:fill="CFF0FC"/>
          </w:tcPr>
          <w:p>
            <w:pPr>
              <w:spacing w:after="0"/>
              <w:rPr>
                <w:sz w:val="18"/>
                <w:szCs w:val="18"/>
                <w:color w:val="auto"/>
              </w:rPr>
            </w:pPr>
          </w:p>
        </w:tc>
        <w:tc>
          <w:tcPr>
            <w:tcW w:w="25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par, due 7/2023)</w:t>
            </w:r>
          </w:p>
        </w:tc>
        <w:tc>
          <w:tcPr>
            <w:tcW w:w="10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360" w:type="dxa"/>
            <w:vAlign w:val="bottom"/>
          </w:tcPr>
          <w:p>
            <w:pPr>
              <w:spacing w:after="0" w:line="207" w:lineRule="exact"/>
              <w:rPr>
                <w:sz w:val="20"/>
                <w:szCs w:val="20"/>
                <w:color w:val="auto"/>
              </w:rPr>
            </w:pPr>
            <w:r>
              <w:rPr>
                <w:rFonts w:ascii="Arial" w:cs="Arial" w:eastAsia="Arial" w:hAnsi="Arial"/>
                <w:sz w:val="14"/>
                <w:szCs w:val="14"/>
                <w:color w:val="auto"/>
              </w:rPr>
              <w:t xml:space="preserve">Maurices, Inc. </w:t>
            </w:r>
            <w:r>
              <w:rPr>
                <w:rFonts w:ascii="Arial" w:cs="Arial" w:eastAsia="Arial" w:hAnsi="Arial"/>
                <w:sz w:val="23"/>
                <w:szCs w:val="23"/>
                <w:color w:val="auto"/>
                <w:vertAlign w:val="superscript"/>
              </w:rPr>
              <w:t>(3)(5)</w:t>
            </w:r>
          </w:p>
        </w:tc>
        <w:tc>
          <w:tcPr>
            <w:tcW w:w="2560" w:type="dxa"/>
            <w:vAlign w:val="bottom"/>
          </w:tcPr>
          <w:p>
            <w:pPr>
              <w:ind w:left="260"/>
              <w:spacing w:after="0"/>
              <w:rPr>
                <w:sz w:val="20"/>
                <w:szCs w:val="20"/>
                <w:color w:val="auto"/>
              </w:rPr>
            </w:pPr>
            <w:r>
              <w:rPr>
                <w:rFonts w:ascii="Arial" w:cs="Arial" w:eastAsia="Arial" w:hAnsi="Arial"/>
                <w:sz w:val="16"/>
                <w:szCs w:val="16"/>
                <w:color w:val="auto"/>
              </w:rPr>
              <w:t>ABL FILO term loan ($20,667</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5/6/2019</w:t>
            </w: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L + 6.50%</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7.75%</w:t>
            </w:r>
          </w:p>
        </w:tc>
        <w:tc>
          <w:tcPr>
            <w:tcW w:w="760" w:type="dxa"/>
            <w:vAlign w:val="bottom"/>
          </w:tcPr>
          <w:p>
            <w:pPr>
              <w:jc w:val="right"/>
              <w:spacing w:after="0"/>
              <w:rPr>
                <w:sz w:val="20"/>
                <w:szCs w:val="20"/>
                <w:color w:val="auto"/>
              </w:rPr>
            </w:pPr>
            <w:r>
              <w:rPr>
                <w:rFonts w:ascii="Arial" w:cs="Arial" w:eastAsia="Arial" w:hAnsi="Arial"/>
                <w:sz w:val="16"/>
                <w:szCs w:val="16"/>
                <w:color w:val="auto"/>
              </w:rPr>
              <w:t>20,212</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21,132</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1.8%</w:t>
            </w:r>
          </w:p>
        </w:tc>
      </w:tr>
      <w:tr>
        <w:trPr>
          <w:trHeight w:val="209"/>
        </w:trPr>
        <w:tc>
          <w:tcPr>
            <w:tcW w:w="2360" w:type="dxa"/>
            <w:vAlign w:val="bottom"/>
          </w:tcPr>
          <w:p>
            <w:pPr>
              <w:spacing w:after="0"/>
              <w:rPr>
                <w:sz w:val="18"/>
                <w:szCs w:val="18"/>
                <w:color w:val="auto"/>
              </w:rPr>
            </w:pPr>
          </w:p>
        </w:tc>
        <w:tc>
          <w:tcPr>
            <w:tcW w:w="2560" w:type="dxa"/>
            <w:vAlign w:val="bottom"/>
          </w:tcPr>
          <w:p>
            <w:pPr>
              <w:ind w:left="260"/>
              <w:spacing w:after="0"/>
              <w:rPr>
                <w:sz w:val="20"/>
                <w:szCs w:val="20"/>
                <w:color w:val="auto"/>
              </w:rPr>
            </w:pPr>
            <w:r>
              <w:rPr>
                <w:rFonts w:ascii="Arial" w:cs="Arial" w:eastAsia="Arial" w:hAnsi="Arial"/>
                <w:sz w:val="16"/>
                <w:szCs w:val="16"/>
                <w:color w:val="auto"/>
              </w:rPr>
              <w:t>par, due 5/2024)</w:t>
            </w: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36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Moran Foods, LLC </w:t>
            </w:r>
            <w:r>
              <w:rPr>
                <w:rFonts w:ascii="Arial" w:cs="Arial" w:eastAsia="Arial" w:hAnsi="Arial"/>
                <w:sz w:val="24"/>
                <w:szCs w:val="24"/>
                <w:color w:val="auto"/>
                <w:vertAlign w:val="superscript"/>
              </w:rPr>
              <w:t>(3)</w:t>
            </w:r>
          </w:p>
        </w:tc>
        <w:tc>
          <w:tcPr>
            <w:tcW w:w="25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ABL FILO term loan ($30,000</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4/1/2020</w:t>
            </w:r>
          </w:p>
        </w:tc>
        <w:tc>
          <w:tcPr>
            <w:tcW w:w="104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+ 7.50%</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9.00%</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29,498</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30,600</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2.6%</w:t>
            </w:r>
          </w:p>
        </w:tc>
      </w:tr>
      <w:tr>
        <w:trPr>
          <w:trHeight w:val="212"/>
        </w:trPr>
        <w:tc>
          <w:tcPr>
            <w:tcW w:w="2360" w:type="dxa"/>
            <w:vAlign w:val="bottom"/>
            <w:shd w:val="clear" w:color="auto" w:fill="CFF0FC"/>
          </w:tcPr>
          <w:p>
            <w:pPr>
              <w:spacing w:after="0"/>
              <w:rPr>
                <w:sz w:val="18"/>
                <w:szCs w:val="18"/>
                <w:color w:val="auto"/>
              </w:rPr>
            </w:pPr>
          </w:p>
        </w:tc>
        <w:tc>
          <w:tcPr>
            <w:tcW w:w="25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par, due 4/2024)</w:t>
            </w:r>
          </w:p>
        </w:tc>
        <w:tc>
          <w:tcPr>
            <w:tcW w:w="10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51"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3"/>
        </w:trPr>
        <w:tc>
          <w:tcPr>
            <w:tcW w:w="2520" w:type="dxa"/>
            <w:vAlign w:val="bottom"/>
          </w:tcPr>
          <w:p>
            <w:pPr>
              <w:spacing w:after="0"/>
              <w:rPr>
                <w:sz w:val="17"/>
                <w:szCs w:val="17"/>
                <w:color w:val="auto"/>
              </w:rPr>
            </w:pPr>
          </w:p>
        </w:tc>
        <w:tc>
          <w:tcPr>
            <w:tcW w:w="2360" w:type="dxa"/>
            <w:vAlign w:val="bottom"/>
          </w:tcPr>
          <w:p>
            <w:pPr>
              <w:ind w:left="100"/>
              <w:spacing w:after="0"/>
              <w:rPr>
                <w:sz w:val="20"/>
                <w:szCs w:val="20"/>
                <w:color w:val="auto"/>
              </w:rPr>
            </w:pPr>
            <w:r>
              <w:rPr>
                <w:rFonts w:ascii="Arial" w:cs="Arial" w:eastAsia="Arial" w:hAnsi="Arial"/>
                <w:sz w:val="16"/>
                <w:szCs w:val="16"/>
                <w:color w:val="auto"/>
              </w:rPr>
              <w:t>ABL FILO term loan ($7,500</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4/1/2020</w:t>
            </w:r>
          </w:p>
        </w:tc>
        <w:tc>
          <w:tcPr>
            <w:tcW w:w="1360" w:type="dxa"/>
            <w:vAlign w:val="bottom"/>
          </w:tcPr>
          <w:p>
            <w:pPr>
              <w:jc w:val="right"/>
              <w:ind w:right="379"/>
              <w:spacing w:after="0"/>
              <w:rPr>
                <w:sz w:val="20"/>
                <w:szCs w:val="20"/>
                <w:color w:val="auto"/>
              </w:rPr>
            </w:pPr>
            <w:r>
              <w:rPr>
                <w:rFonts w:ascii="Arial" w:cs="Arial" w:eastAsia="Arial" w:hAnsi="Arial"/>
                <w:sz w:val="16"/>
                <w:szCs w:val="16"/>
                <w:color w:val="auto"/>
              </w:rPr>
              <w:t>P + 6.50%</w:t>
            </w: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9.75%</w:t>
            </w:r>
          </w:p>
        </w:tc>
        <w:tc>
          <w:tcPr>
            <w:tcW w:w="760" w:type="dxa"/>
            <w:vAlign w:val="bottom"/>
          </w:tcPr>
          <w:p>
            <w:pPr>
              <w:jc w:val="right"/>
              <w:spacing w:after="0"/>
              <w:rPr>
                <w:sz w:val="20"/>
                <w:szCs w:val="20"/>
                <w:color w:val="auto"/>
              </w:rPr>
            </w:pPr>
            <w:r>
              <w:rPr>
                <w:rFonts w:ascii="Arial" w:cs="Arial" w:eastAsia="Arial" w:hAnsi="Arial"/>
                <w:sz w:val="16"/>
                <w:szCs w:val="16"/>
                <w:color w:val="auto"/>
              </w:rPr>
              <w:t>7,374</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7,650</w:t>
            </w:r>
          </w:p>
        </w:tc>
        <w:tc>
          <w:tcPr>
            <w:tcW w:w="20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09"/>
        </w:trPr>
        <w:tc>
          <w:tcPr>
            <w:tcW w:w="2520" w:type="dxa"/>
            <w:vAlign w:val="bottom"/>
          </w:tcPr>
          <w:p>
            <w:pPr>
              <w:spacing w:after="0"/>
              <w:rPr>
                <w:sz w:val="18"/>
                <w:szCs w:val="18"/>
                <w:color w:val="auto"/>
              </w:rPr>
            </w:pPr>
          </w:p>
        </w:tc>
        <w:tc>
          <w:tcPr>
            <w:tcW w:w="2360" w:type="dxa"/>
            <w:vAlign w:val="bottom"/>
          </w:tcPr>
          <w:p>
            <w:pPr>
              <w:ind w:left="100"/>
              <w:spacing w:after="0"/>
              <w:rPr>
                <w:sz w:val="20"/>
                <w:szCs w:val="20"/>
                <w:color w:val="auto"/>
              </w:rPr>
            </w:pPr>
            <w:r>
              <w:rPr>
                <w:rFonts w:ascii="Arial" w:cs="Arial" w:eastAsia="Arial" w:hAnsi="Arial"/>
                <w:sz w:val="16"/>
                <w:szCs w:val="16"/>
                <w:color w:val="auto"/>
              </w:rPr>
              <w:t>par, due 4/2024)</w:t>
            </w:r>
          </w:p>
        </w:tc>
        <w:tc>
          <w:tcPr>
            <w:tcW w:w="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2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NMG Holding Company, Inc. </w:t>
            </w:r>
            <w:r>
              <w:rPr>
                <w:rFonts w:ascii="Arial" w:cs="Arial" w:eastAsia="Arial" w:hAnsi="Arial"/>
                <w:sz w:val="24"/>
                <w:szCs w:val="24"/>
                <w:color w:val="auto"/>
                <w:vertAlign w:val="superscript"/>
              </w:rPr>
              <w:t>(3)(11)</w:t>
            </w:r>
          </w:p>
        </w:tc>
        <w:tc>
          <w:tcPr>
            <w:tcW w:w="2360" w:type="dxa"/>
            <w:vAlign w:val="bottom"/>
            <w:shd w:val="clear" w:color="auto" w:fill="CFF0FC"/>
          </w:tcPr>
          <w:p>
            <w:pPr>
              <w:ind w:left="100"/>
              <w:spacing w:after="0"/>
              <w:rPr>
                <w:sz w:val="20"/>
                <w:szCs w:val="20"/>
                <w:color w:val="auto"/>
              </w:rPr>
            </w:pPr>
            <w:r>
              <w:rPr>
                <w:rFonts w:ascii="Arial" w:cs="Arial" w:eastAsia="Arial" w:hAnsi="Arial"/>
                <w:sz w:val="16"/>
                <w:szCs w:val="16"/>
                <w:color w:val="auto"/>
                <w:w w:val="96"/>
              </w:rPr>
              <w:t>First-lien term loan ($16,961 par,</w:t>
            </w: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9/25/2020</w:t>
            </w:r>
          </w:p>
        </w:tc>
        <w:tc>
          <w:tcPr>
            <w:tcW w:w="1360" w:type="dxa"/>
            <w:vAlign w:val="bottom"/>
            <w:shd w:val="clear" w:color="auto" w:fill="CFF0FC"/>
          </w:tcPr>
          <w:p>
            <w:pPr>
              <w:jc w:val="right"/>
              <w:ind w:right="379"/>
              <w:spacing w:after="0"/>
              <w:rPr>
                <w:sz w:val="20"/>
                <w:szCs w:val="20"/>
                <w:color w:val="auto"/>
              </w:rPr>
            </w:pPr>
            <w:r>
              <w:rPr>
                <w:rFonts w:ascii="Arial" w:cs="Arial" w:eastAsia="Arial" w:hAnsi="Arial"/>
                <w:sz w:val="16"/>
                <w:szCs w:val="16"/>
                <w:color w:val="auto"/>
              </w:rPr>
              <w:t>L + 12.00%</w:t>
            </w:r>
          </w:p>
        </w:tc>
        <w:tc>
          <w:tcPr>
            <w:tcW w:w="11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13.00%</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13,254</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17,994</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2"/>
        </w:trPr>
        <w:tc>
          <w:tcPr>
            <w:tcW w:w="2520" w:type="dxa"/>
            <w:vAlign w:val="bottom"/>
            <w:shd w:val="clear" w:color="auto" w:fill="CFF0FC"/>
          </w:tcPr>
          <w:p>
            <w:pPr>
              <w:spacing w:after="0"/>
              <w:rPr>
                <w:sz w:val="18"/>
                <w:szCs w:val="18"/>
                <w:color w:val="auto"/>
              </w:rPr>
            </w:pPr>
          </w:p>
        </w:tc>
        <w:tc>
          <w:tcPr>
            <w:tcW w:w="23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due 9/2025)</w:t>
            </w:r>
          </w:p>
        </w:tc>
        <w:tc>
          <w:tcPr>
            <w:tcW w:w="9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520" w:type="dxa"/>
            <w:vAlign w:val="bottom"/>
          </w:tcPr>
          <w:p>
            <w:pPr>
              <w:spacing w:after="0" w:line="207" w:lineRule="exact"/>
              <w:rPr>
                <w:sz w:val="20"/>
                <w:szCs w:val="20"/>
                <w:color w:val="auto"/>
              </w:rPr>
            </w:pPr>
            <w:r>
              <w:rPr>
                <w:rFonts w:ascii="Arial" w:cs="Arial" w:eastAsia="Arial" w:hAnsi="Arial"/>
                <w:sz w:val="14"/>
                <w:szCs w:val="14"/>
                <w:color w:val="auto"/>
              </w:rPr>
              <w:t xml:space="preserve">Penney Borrower, LLC </w:t>
            </w:r>
            <w:r>
              <w:rPr>
                <w:rFonts w:ascii="Arial" w:cs="Arial" w:eastAsia="Arial" w:hAnsi="Arial"/>
                <w:sz w:val="23"/>
                <w:szCs w:val="23"/>
                <w:color w:val="auto"/>
                <w:vertAlign w:val="superscript"/>
              </w:rPr>
              <w:t>(3)</w:t>
            </w:r>
          </w:p>
        </w:tc>
        <w:tc>
          <w:tcPr>
            <w:tcW w:w="2360" w:type="dxa"/>
            <w:vAlign w:val="bottom"/>
          </w:tcPr>
          <w:p>
            <w:pPr>
              <w:ind w:left="100"/>
              <w:spacing w:after="0"/>
              <w:rPr>
                <w:sz w:val="20"/>
                <w:szCs w:val="20"/>
                <w:color w:val="auto"/>
              </w:rPr>
            </w:pPr>
            <w:r>
              <w:rPr>
                <w:rFonts w:ascii="Arial" w:cs="Arial" w:eastAsia="Arial" w:hAnsi="Arial"/>
                <w:sz w:val="16"/>
                <w:szCs w:val="16"/>
                <w:color w:val="auto"/>
              </w:rPr>
              <w:t>ABL FILO term loan ($72,000</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12/7/2020</w:t>
            </w:r>
          </w:p>
        </w:tc>
        <w:tc>
          <w:tcPr>
            <w:tcW w:w="1360" w:type="dxa"/>
            <w:vAlign w:val="bottom"/>
          </w:tcPr>
          <w:p>
            <w:pPr>
              <w:jc w:val="right"/>
              <w:ind w:right="379"/>
              <w:spacing w:after="0"/>
              <w:rPr>
                <w:sz w:val="20"/>
                <w:szCs w:val="20"/>
                <w:color w:val="auto"/>
              </w:rPr>
            </w:pPr>
            <w:r>
              <w:rPr>
                <w:rFonts w:ascii="Arial" w:cs="Arial" w:eastAsia="Arial" w:hAnsi="Arial"/>
                <w:sz w:val="16"/>
                <w:szCs w:val="16"/>
                <w:color w:val="auto"/>
              </w:rPr>
              <w:t>L + 8.50%</w:t>
            </w: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9.25%</w:t>
            </w:r>
          </w:p>
        </w:tc>
        <w:tc>
          <w:tcPr>
            <w:tcW w:w="760" w:type="dxa"/>
            <w:vAlign w:val="bottom"/>
          </w:tcPr>
          <w:p>
            <w:pPr>
              <w:jc w:val="right"/>
              <w:spacing w:after="0"/>
              <w:rPr>
                <w:sz w:val="20"/>
                <w:szCs w:val="20"/>
                <w:color w:val="auto"/>
              </w:rPr>
            </w:pPr>
            <w:r>
              <w:rPr>
                <w:rFonts w:ascii="Arial" w:cs="Arial" w:eastAsia="Arial" w:hAnsi="Arial"/>
                <w:sz w:val="16"/>
                <w:szCs w:val="16"/>
                <w:color w:val="auto"/>
              </w:rPr>
              <w:t>70,220</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70,560</w:t>
            </w:r>
          </w:p>
        </w:tc>
        <w:tc>
          <w:tcPr>
            <w:tcW w:w="20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09"/>
        </w:trPr>
        <w:tc>
          <w:tcPr>
            <w:tcW w:w="2520" w:type="dxa"/>
            <w:vAlign w:val="bottom"/>
          </w:tcPr>
          <w:p>
            <w:pPr>
              <w:spacing w:after="0"/>
              <w:rPr>
                <w:sz w:val="18"/>
                <w:szCs w:val="18"/>
                <w:color w:val="auto"/>
              </w:rPr>
            </w:pPr>
          </w:p>
        </w:tc>
        <w:tc>
          <w:tcPr>
            <w:tcW w:w="2360" w:type="dxa"/>
            <w:vAlign w:val="bottom"/>
          </w:tcPr>
          <w:p>
            <w:pPr>
              <w:ind w:left="100"/>
              <w:spacing w:after="0"/>
              <w:rPr>
                <w:sz w:val="20"/>
                <w:szCs w:val="20"/>
                <w:color w:val="auto"/>
              </w:rPr>
            </w:pPr>
            <w:r>
              <w:rPr>
                <w:rFonts w:ascii="Arial" w:cs="Arial" w:eastAsia="Arial" w:hAnsi="Arial"/>
                <w:sz w:val="16"/>
                <w:szCs w:val="16"/>
                <w:color w:val="auto"/>
              </w:rPr>
              <w:t>par, due 12/2025)</w:t>
            </w:r>
          </w:p>
        </w:tc>
        <w:tc>
          <w:tcPr>
            <w:tcW w:w="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20" w:type="dxa"/>
            <w:vAlign w:val="bottom"/>
            <w:shd w:val="clear" w:color="auto" w:fill="CFF0FC"/>
          </w:tcPr>
          <w:p>
            <w:pPr>
              <w:spacing w:after="0"/>
              <w:rPr>
                <w:sz w:val="18"/>
                <w:szCs w:val="18"/>
                <w:color w:val="auto"/>
              </w:rPr>
            </w:pPr>
          </w:p>
        </w:tc>
        <w:tc>
          <w:tcPr>
            <w:tcW w:w="23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First-lien term loan ($6,912 par,</w:t>
            </w: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12/7/2020</w:t>
            </w:r>
          </w:p>
        </w:tc>
        <w:tc>
          <w:tcPr>
            <w:tcW w:w="1360" w:type="dxa"/>
            <w:vAlign w:val="bottom"/>
            <w:shd w:val="clear" w:color="auto" w:fill="CFF0FC"/>
          </w:tcPr>
          <w:p>
            <w:pPr>
              <w:jc w:val="right"/>
              <w:ind w:right="379"/>
              <w:spacing w:after="0"/>
              <w:rPr>
                <w:sz w:val="20"/>
                <w:szCs w:val="20"/>
                <w:color w:val="auto"/>
              </w:rPr>
            </w:pPr>
            <w:r>
              <w:rPr>
                <w:rFonts w:ascii="Arial" w:cs="Arial" w:eastAsia="Arial" w:hAnsi="Arial"/>
                <w:sz w:val="16"/>
                <w:szCs w:val="16"/>
                <w:color w:val="auto"/>
              </w:rPr>
              <w:t>L + 8.50%</w:t>
            </w:r>
          </w:p>
        </w:tc>
        <w:tc>
          <w:tcPr>
            <w:tcW w:w="11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9.50%</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5,827</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5,887</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09"/>
        </w:trPr>
        <w:tc>
          <w:tcPr>
            <w:tcW w:w="2520" w:type="dxa"/>
            <w:vAlign w:val="bottom"/>
            <w:shd w:val="clear" w:color="auto" w:fill="CFF0FC"/>
          </w:tcPr>
          <w:p>
            <w:pPr>
              <w:spacing w:after="0"/>
              <w:rPr>
                <w:sz w:val="18"/>
                <w:szCs w:val="18"/>
                <w:color w:val="auto"/>
              </w:rPr>
            </w:pPr>
          </w:p>
        </w:tc>
        <w:tc>
          <w:tcPr>
            <w:tcW w:w="23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due 12/2026)(11)</w:t>
            </w:r>
          </w:p>
        </w:tc>
        <w:tc>
          <w:tcPr>
            <w:tcW w:w="9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268,538</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264,786</w:t>
            </w: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22.8%</w:t>
            </w:r>
          </w:p>
        </w:tc>
        <w:tc>
          <w:tcPr>
            <w:tcW w:w="0" w:type="dxa"/>
            <w:vAlign w:val="bottom"/>
          </w:tcPr>
          <w:p>
            <w:pPr>
              <w:spacing w:after="0"/>
              <w:rPr>
                <w:sz w:val="1"/>
                <w:szCs w:val="1"/>
                <w:color w:val="auto"/>
              </w:rPr>
            </w:pPr>
          </w:p>
        </w:tc>
      </w:tr>
      <w:tr>
        <w:trPr>
          <w:trHeight w:val="20"/>
        </w:trPr>
        <w:tc>
          <w:tcPr>
            <w:tcW w:w="2520" w:type="dxa"/>
            <w:vAlign w:val="bottom"/>
            <w:vMerge w:val="restart"/>
            <w:shd w:val="clear" w:color="auto" w:fill="CFF0FC"/>
          </w:tcPr>
          <w:p>
            <w:pPr>
              <w:spacing w:after="0"/>
              <w:rPr>
                <w:sz w:val="20"/>
                <w:szCs w:val="20"/>
                <w:color w:val="auto"/>
              </w:rPr>
            </w:pPr>
            <w:r>
              <w:rPr>
                <w:rFonts w:ascii="Arial" w:cs="Arial" w:eastAsia="Arial" w:hAnsi="Arial"/>
                <w:sz w:val="16"/>
                <w:szCs w:val="16"/>
                <w:b w:val="1"/>
                <w:bCs w:val="1"/>
                <w:color w:val="auto"/>
              </w:rPr>
              <w:t>Total Debt Investments</w:t>
            </w:r>
          </w:p>
        </w:tc>
        <w:tc>
          <w:tcPr>
            <w:tcW w:w="236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1360" w:type="dxa"/>
            <w:vAlign w:val="bottom"/>
            <w:shd w:val="clear" w:color="auto" w:fill="CFF0FC"/>
          </w:tcPr>
          <w:p>
            <w:pPr>
              <w:spacing w:after="0" w:line="20" w:lineRule="exact"/>
              <w:rPr>
                <w:sz w:val="1"/>
                <w:szCs w:val="1"/>
                <w:color w:val="auto"/>
              </w:rPr>
            </w:pPr>
          </w:p>
        </w:tc>
        <w:tc>
          <w:tcPr>
            <w:tcW w:w="110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520" w:type="dxa"/>
            <w:vAlign w:val="bottom"/>
            <w:vMerge w:val="continue"/>
            <w:shd w:val="clear" w:color="auto" w:fill="CFF0FC"/>
          </w:tcPr>
          <w:p>
            <w:pPr>
              <w:spacing w:after="0"/>
              <w:rPr>
                <w:sz w:val="18"/>
                <w:szCs w:val="18"/>
                <w:color w:val="auto"/>
              </w:rPr>
            </w:pPr>
          </w:p>
        </w:tc>
        <w:tc>
          <w:tcPr>
            <w:tcW w:w="23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2,178,314</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2,212,929</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190.6%</w:t>
            </w:r>
          </w:p>
        </w:tc>
        <w:tc>
          <w:tcPr>
            <w:tcW w:w="0" w:type="dxa"/>
            <w:vAlign w:val="bottom"/>
          </w:tcPr>
          <w:p>
            <w:pPr>
              <w:spacing w:after="0"/>
              <w:rPr>
                <w:sz w:val="1"/>
                <w:szCs w:val="1"/>
                <w:color w:val="auto"/>
              </w:rPr>
            </w:pPr>
          </w:p>
        </w:tc>
      </w:tr>
      <w:tr>
        <w:trPr>
          <w:trHeight w:val="213"/>
        </w:trPr>
        <w:tc>
          <w:tcPr>
            <w:tcW w:w="25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Equity and Other Investments</w:t>
            </w:r>
          </w:p>
        </w:tc>
        <w:tc>
          <w:tcPr>
            <w:tcW w:w="23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20" w:type="dxa"/>
            <w:vAlign w:val="bottom"/>
          </w:tcPr>
          <w:p>
            <w:pPr>
              <w:spacing w:after="0"/>
              <w:rPr>
                <w:sz w:val="20"/>
                <w:szCs w:val="20"/>
                <w:color w:val="auto"/>
              </w:rPr>
            </w:pPr>
            <w:r>
              <w:rPr>
                <w:rFonts w:ascii="Arial" w:cs="Arial" w:eastAsia="Arial" w:hAnsi="Arial"/>
                <w:sz w:val="16"/>
                <w:szCs w:val="16"/>
                <w:b w:val="1"/>
                <w:bCs w:val="1"/>
                <w:color w:val="auto"/>
              </w:rPr>
              <w:t>Business Services</w:t>
            </w:r>
          </w:p>
        </w:tc>
        <w:tc>
          <w:tcPr>
            <w:tcW w:w="2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20" w:type="dxa"/>
            <w:vAlign w:val="bottom"/>
            <w:shd w:val="clear" w:color="auto" w:fill="CFF0FC"/>
          </w:tcPr>
          <w:p>
            <w:pPr>
              <w:spacing w:after="0" w:line="218" w:lineRule="exact"/>
              <w:rPr>
                <w:sz w:val="20"/>
                <w:szCs w:val="20"/>
                <w:color w:val="auto"/>
              </w:rPr>
            </w:pPr>
            <w:r>
              <w:rPr>
                <w:rFonts w:ascii="Arial" w:cs="Arial" w:eastAsia="Arial" w:hAnsi="Arial"/>
                <w:sz w:val="15"/>
                <w:szCs w:val="15"/>
                <w:color w:val="auto"/>
              </w:rPr>
              <w:t xml:space="preserve">Motus, LLC </w:t>
            </w:r>
            <w:r>
              <w:rPr>
                <w:rFonts w:ascii="Arial" w:cs="Arial" w:eastAsia="Arial" w:hAnsi="Arial"/>
                <w:sz w:val="25"/>
                <w:szCs w:val="25"/>
                <w:color w:val="auto"/>
                <w:vertAlign w:val="superscript"/>
              </w:rPr>
              <w:t>(13)</w:t>
            </w:r>
          </w:p>
        </w:tc>
        <w:tc>
          <w:tcPr>
            <w:tcW w:w="23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Class A Units (1,262 units)</w:t>
            </w: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1/17/2018</w:t>
            </w:r>
          </w:p>
        </w:tc>
        <w:tc>
          <w:tcPr>
            <w:tcW w:w="13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1,262</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3,318</w:t>
            </w: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3"/>
        </w:trPr>
        <w:tc>
          <w:tcPr>
            <w:tcW w:w="2520" w:type="dxa"/>
            <w:vAlign w:val="bottom"/>
          </w:tcPr>
          <w:p>
            <w:pPr>
              <w:spacing w:after="0"/>
              <w:rPr>
                <w:sz w:val="18"/>
                <w:szCs w:val="18"/>
                <w:color w:val="auto"/>
              </w:rPr>
            </w:pPr>
          </w:p>
        </w:tc>
        <w:tc>
          <w:tcPr>
            <w:tcW w:w="2360" w:type="dxa"/>
            <w:vAlign w:val="bottom"/>
          </w:tcPr>
          <w:p>
            <w:pPr>
              <w:ind w:left="100"/>
              <w:spacing w:after="0"/>
              <w:rPr>
                <w:sz w:val="20"/>
                <w:szCs w:val="20"/>
                <w:color w:val="auto"/>
              </w:rPr>
            </w:pPr>
            <w:r>
              <w:rPr>
                <w:rFonts w:ascii="Arial" w:cs="Arial" w:eastAsia="Arial" w:hAnsi="Arial"/>
                <w:sz w:val="16"/>
                <w:szCs w:val="16"/>
                <w:color w:val="auto"/>
              </w:rPr>
              <w:t>Class B Units (517,020 units)</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1/17/2018</w:t>
            </w:r>
          </w:p>
        </w:tc>
        <w:tc>
          <w:tcPr>
            <w:tcW w:w="1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19"/>
        </w:trPr>
        <w:tc>
          <w:tcPr>
            <w:tcW w:w="2520" w:type="dxa"/>
            <w:vAlign w:val="bottom"/>
            <w:shd w:val="clear" w:color="auto" w:fill="CFF0FC"/>
          </w:tcPr>
          <w:p>
            <w:pPr>
              <w:spacing w:after="0" w:line="218" w:lineRule="exact"/>
              <w:rPr>
                <w:sz w:val="20"/>
                <w:szCs w:val="20"/>
                <w:color w:val="auto"/>
              </w:rPr>
            </w:pPr>
            <w:r>
              <w:rPr>
                <w:rFonts w:ascii="Arial" w:cs="Arial" w:eastAsia="Arial" w:hAnsi="Arial"/>
                <w:sz w:val="15"/>
                <w:szCs w:val="15"/>
                <w:color w:val="auto"/>
              </w:rPr>
              <w:t xml:space="preserve">Nintex Global, Ltd. </w:t>
            </w:r>
            <w:r>
              <w:rPr>
                <w:rFonts w:ascii="Arial" w:cs="Arial" w:eastAsia="Arial" w:hAnsi="Arial"/>
                <w:sz w:val="25"/>
                <w:szCs w:val="25"/>
                <w:color w:val="auto"/>
                <w:vertAlign w:val="superscript"/>
              </w:rPr>
              <w:t>(13)</w:t>
            </w:r>
          </w:p>
        </w:tc>
        <w:tc>
          <w:tcPr>
            <w:tcW w:w="23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Class A Shares (1,197 shares)</w:t>
            </w: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3/30/2018</w:t>
            </w:r>
          </w:p>
        </w:tc>
        <w:tc>
          <w:tcPr>
            <w:tcW w:w="13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1,197</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3,286</w:t>
            </w: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3"/>
        </w:trPr>
        <w:tc>
          <w:tcPr>
            <w:tcW w:w="2520" w:type="dxa"/>
            <w:vAlign w:val="bottom"/>
          </w:tcPr>
          <w:p>
            <w:pPr>
              <w:spacing w:after="0"/>
              <w:rPr>
                <w:sz w:val="18"/>
                <w:szCs w:val="18"/>
                <w:color w:val="auto"/>
              </w:rPr>
            </w:pPr>
          </w:p>
        </w:tc>
        <w:tc>
          <w:tcPr>
            <w:tcW w:w="2360" w:type="dxa"/>
            <w:vAlign w:val="bottom"/>
          </w:tcPr>
          <w:p>
            <w:pPr>
              <w:ind w:left="100"/>
              <w:spacing w:after="0"/>
              <w:rPr>
                <w:sz w:val="20"/>
                <w:szCs w:val="20"/>
                <w:color w:val="auto"/>
              </w:rPr>
            </w:pPr>
            <w:r>
              <w:rPr>
                <w:rFonts w:ascii="Arial" w:cs="Arial" w:eastAsia="Arial" w:hAnsi="Arial"/>
                <w:sz w:val="16"/>
                <w:szCs w:val="16"/>
                <w:color w:val="auto"/>
                <w:w w:val="95"/>
              </w:rPr>
              <w:t>Class B Shares (398,557 shares)</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3/30/2018</w:t>
            </w:r>
          </w:p>
        </w:tc>
        <w:tc>
          <w:tcPr>
            <w:tcW w:w="1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w:t>
            </w: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06"/>
        </w:trPr>
        <w:tc>
          <w:tcPr>
            <w:tcW w:w="2520" w:type="dxa"/>
            <w:vAlign w:val="bottom"/>
            <w:shd w:val="clear" w:color="auto" w:fill="CFF0FC"/>
          </w:tcPr>
          <w:p>
            <w:pPr>
              <w:spacing w:after="0"/>
              <w:rPr>
                <w:sz w:val="20"/>
                <w:szCs w:val="20"/>
                <w:color w:val="auto"/>
              </w:rPr>
            </w:pPr>
            <w:r>
              <w:rPr>
                <w:rFonts w:ascii="Arial" w:cs="Arial" w:eastAsia="Arial" w:hAnsi="Arial"/>
                <w:sz w:val="16"/>
                <w:szCs w:val="16"/>
                <w:color w:val="auto"/>
              </w:rPr>
              <w:t>ServiceChannel Holdings,</w:t>
            </w:r>
          </w:p>
        </w:tc>
        <w:tc>
          <w:tcPr>
            <w:tcW w:w="23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207,991 Warrants</w:t>
            </w: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6/3/2020</w:t>
            </w:r>
          </w:p>
        </w:tc>
        <w:tc>
          <w:tcPr>
            <w:tcW w:w="13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335</w:t>
            </w: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335</w:t>
            </w: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16"/>
        </w:trPr>
        <w:tc>
          <w:tcPr>
            <w:tcW w:w="25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 xml:space="preserve">Inc. </w:t>
            </w:r>
            <w:r>
              <w:rPr>
                <w:rFonts w:ascii="Arial" w:cs="Arial" w:eastAsia="Arial" w:hAnsi="Arial"/>
                <w:sz w:val="13"/>
                <w:szCs w:val="13"/>
                <w:color w:val="auto"/>
              </w:rPr>
              <w:t>(13)(14)</w:t>
            </w:r>
          </w:p>
        </w:tc>
        <w:tc>
          <w:tcPr>
            <w:tcW w:w="23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tcPr>
          <w:p>
            <w:pPr>
              <w:spacing w:after="0" w:line="216" w:lineRule="exact"/>
              <w:rPr>
                <w:sz w:val="20"/>
                <w:szCs w:val="20"/>
                <w:color w:val="auto"/>
              </w:rPr>
            </w:pPr>
            <w:r>
              <w:rPr>
                <w:rFonts w:ascii="Arial" w:cs="Arial" w:eastAsia="Arial" w:hAnsi="Arial"/>
                <w:sz w:val="15"/>
                <w:szCs w:val="15"/>
                <w:color w:val="auto"/>
              </w:rPr>
              <w:t xml:space="preserve">WideOrbit, Inc. </w:t>
            </w:r>
            <w:r>
              <w:rPr>
                <w:rFonts w:ascii="Arial" w:cs="Arial" w:eastAsia="Arial" w:hAnsi="Arial"/>
                <w:sz w:val="25"/>
                <w:szCs w:val="25"/>
                <w:color w:val="auto"/>
                <w:vertAlign w:val="superscript"/>
              </w:rPr>
              <w:t>(13)(14)</w:t>
            </w:r>
          </w:p>
        </w:tc>
        <w:tc>
          <w:tcPr>
            <w:tcW w:w="2360" w:type="dxa"/>
            <w:vAlign w:val="bottom"/>
          </w:tcPr>
          <w:p>
            <w:pPr>
              <w:ind w:left="100"/>
              <w:spacing w:after="0"/>
              <w:rPr>
                <w:sz w:val="20"/>
                <w:szCs w:val="20"/>
                <w:color w:val="auto"/>
              </w:rPr>
            </w:pPr>
            <w:r>
              <w:rPr>
                <w:rFonts w:ascii="Arial" w:cs="Arial" w:eastAsia="Arial" w:hAnsi="Arial"/>
                <w:sz w:val="16"/>
                <w:szCs w:val="16"/>
                <w:color w:val="auto"/>
              </w:rPr>
              <w:t>1,567,807 Warrants</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7/8/2020</w:t>
            </w:r>
          </w:p>
        </w:tc>
        <w:tc>
          <w:tcPr>
            <w:tcW w:w="1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327</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327</w:t>
            </w: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0"/>
        </w:trPr>
        <w:tc>
          <w:tcPr>
            <w:tcW w:w="2520" w:type="dxa"/>
            <w:vAlign w:val="bottom"/>
            <w:shd w:val="clear" w:color="auto" w:fill="CFF0FC"/>
          </w:tcPr>
          <w:p>
            <w:pPr>
              <w:spacing w:after="0" w:line="20" w:lineRule="exact"/>
              <w:rPr>
                <w:sz w:val="1"/>
                <w:szCs w:val="1"/>
                <w:color w:val="auto"/>
              </w:rPr>
            </w:pPr>
          </w:p>
        </w:tc>
        <w:tc>
          <w:tcPr>
            <w:tcW w:w="236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1360" w:type="dxa"/>
            <w:vAlign w:val="bottom"/>
            <w:shd w:val="clear" w:color="auto" w:fill="CFF0FC"/>
          </w:tcPr>
          <w:p>
            <w:pPr>
              <w:spacing w:after="0" w:line="20" w:lineRule="exact"/>
              <w:rPr>
                <w:sz w:val="1"/>
                <w:szCs w:val="1"/>
                <w:color w:val="auto"/>
              </w:rPr>
            </w:pPr>
          </w:p>
        </w:tc>
        <w:tc>
          <w:tcPr>
            <w:tcW w:w="110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520" w:type="dxa"/>
            <w:vAlign w:val="bottom"/>
            <w:shd w:val="clear" w:color="auto" w:fill="CFF0FC"/>
          </w:tcPr>
          <w:p>
            <w:pPr>
              <w:spacing w:after="0"/>
              <w:rPr>
                <w:sz w:val="18"/>
                <w:szCs w:val="18"/>
                <w:color w:val="auto"/>
              </w:rPr>
            </w:pPr>
          </w:p>
        </w:tc>
        <w:tc>
          <w:tcPr>
            <w:tcW w:w="23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3,133</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7,299</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07"/>
        </w:trPr>
        <w:tc>
          <w:tcPr>
            <w:tcW w:w="2520" w:type="dxa"/>
            <w:vAlign w:val="bottom"/>
          </w:tcPr>
          <w:p>
            <w:pPr>
              <w:spacing w:after="0"/>
              <w:rPr>
                <w:sz w:val="20"/>
                <w:szCs w:val="20"/>
                <w:color w:val="auto"/>
              </w:rPr>
            </w:pPr>
            <w:r>
              <w:rPr>
                <w:rFonts w:ascii="Arial" w:cs="Arial" w:eastAsia="Arial" w:hAnsi="Arial"/>
                <w:sz w:val="16"/>
                <w:szCs w:val="16"/>
                <w:b w:val="1"/>
                <w:bCs w:val="1"/>
                <w:color w:val="auto"/>
              </w:rPr>
              <w:t>Communications</w:t>
            </w:r>
          </w:p>
        </w:tc>
        <w:tc>
          <w:tcPr>
            <w:tcW w:w="2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520" w:type="dxa"/>
            <w:vAlign w:val="bottom"/>
            <w:shd w:val="clear" w:color="auto" w:fill="CFF0FC"/>
          </w:tcPr>
          <w:p>
            <w:pPr>
              <w:spacing w:after="0" w:line="218" w:lineRule="exact"/>
              <w:rPr>
                <w:sz w:val="20"/>
                <w:szCs w:val="20"/>
                <w:color w:val="auto"/>
              </w:rPr>
            </w:pPr>
            <w:r>
              <w:rPr>
                <w:rFonts w:ascii="Arial" w:cs="Arial" w:eastAsia="Arial" w:hAnsi="Arial"/>
                <w:sz w:val="15"/>
                <w:szCs w:val="15"/>
                <w:color w:val="auto"/>
              </w:rPr>
              <w:t xml:space="preserve">IntelePeer Holdings, Inc. </w:t>
            </w:r>
            <w:r>
              <w:rPr>
                <w:rFonts w:ascii="Arial" w:cs="Arial" w:eastAsia="Arial" w:hAnsi="Arial"/>
                <w:sz w:val="25"/>
                <w:szCs w:val="25"/>
                <w:color w:val="auto"/>
                <w:vertAlign w:val="superscript"/>
              </w:rPr>
              <w:t>(13)(14)</w:t>
            </w:r>
          </w:p>
        </w:tc>
        <w:tc>
          <w:tcPr>
            <w:tcW w:w="23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280,000 Warrants</w:t>
            </w: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2/28/2020</w:t>
            </w:r>
          </w:p>
        </w:tc>
        <w:tc>
          <w:tcPr>
            <w:tcW w:w="13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183</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183</w:t>
            </w: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13"/>
        </w:trPr>
        <w:tc>
          <w:tcPr>
            <w:tcW w:w="2520" w:type="dxa"/>
            <w:vAlign w:val="bottom"/>
          </w:tcPr>
          <w:p>
            <w:pPr>
              <w:spacing w:after="0"/>
              <w:rPr>
                <w:sz w:val="20"/>
                <w:szCs w:val="20"/>
                <w:color w:val="auto"/>
              </w:rPr>
            </w:pPr>
            <w:r>
              <w:rPr>
                <w:rFonts w:ascii="Arial" w:cs="Arial" w:eastAsia="Arial" w:hAnsi="Arial"/>
                <w:sz w:val="16"/>
                <w:szCs w:val="16"/>
                <w:b w:val="1"/>
                <w:bCs w:val="1"/>
                <w:color w:val="auto"/>
              </w:rPr>
              <w:t>Education</w:t>
            </w:r>
          </w:p>
        </w:tc>
        <w:tc>
          <w:tcPr>
            <w:tcW w:w="2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20" w:type="dxa"/>
            <w:vAlign w:val="bottom"/>
            <w:shd w:val="clear" w:color="auto" w:fill="CFF0FC"/>
          </w:tcPr>
          <w:p>
            <w:pPr>
              <w:spacing w:after="0" w:line="218" w:lineRule="exact"/>
              <w:rPr>
                <w:sz w:val="20"/>
                <w:szCs w:val="20"/>
                <w:color w:val="auto"/>
              </w:rPr>
            </w:pPr>
            <w:r>
              <w:rPr>
                <w:rFonts w:ascii="Arial" w:cs="Arial" w:eastAsia="Arial" w:hAnsi="Arial"/>
                <w:sz w:val="15"/>
                <w:szCs w:val="15"/>
                <w:color w:val="auto"/>
              </w:rPr>
              <w:t xml:space="preserve">EMS Linq, Inc. </w:t>
            </w:r>
            <w:r>
              <w:rPr>
                <w:rFonts w:ascii="Arial" w:cs="Arial" w:eastAsia="Arial" w:hAnsi="Arial"/>
                <w:sz w:val="25"/>
                <w:szCs w:val="25"/>
                <w:color w:val="auto"/>
                <w:vertAlign w:val="superscript"/>
              </w:rPr>
              <w:t>(13)(14)</w:t>
            </w:r>
          </w:p>
        </w:tc>
        <w:tc>
          <w:tcPr>
            <w:tcW w:w="23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Common Units (474,684 units)</w:t>
            </w: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11/2/2020</w:t>
            </w:r>
          </w:p>
        </w:tc>
        <w:tc>
          <w:tcPr>
            <w:tcW w:w="13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1,500</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1,500</w:t>
            </w: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3"/>
        </w:trPr>
        <w:tc>
          <w:tcPr>
            <w:tcW w:w="2520" w:type="dxa"/>
            <w:vAlign w:val="bottom"/>
          </w:tcPr>
          <w:p>
            <w:pPr>
              <w:spacing w:after="0"/>
              <w:rPr>
                <w:sz w:val="20"/>
                <w:szCs w:val="20"/>
                <w:color w:val="auto"/>
              </w:rPr>
            </w:pPr>
            <w:r>
              <w:rPr>
                <w:rFonts w:ascii="Arial" w:cs="Arial" w:eastAsia="Arial" w:hAnsi="Arial"/>
                <w:sz w:val="16"/>
                <w:szCs w:val="16"/>
                <w:b w:val="1"/>
                <w:bCs w:val="1"/>
                <w:color w:val="auto"/>
              </w:rPr>
              <w:t>Financial services</w:t>
            </w:r>
          </w:p>
        </w:tc>
        <w:tc>
          <w:tcPr>
            <w:tcW w:w="2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520" w:type="dxa"/>
            <w:vAlign w:val="bottom"/>
            <w:shd w:val="clear" w:color="auto" w:fill="CFF0FC"/>
          </w:tcPr>
          <w:p>
            <w:pPr>
              <w:spacing w:after="0"/>
              <w:rPr>
                <w:sz w:val="20"/>
                <w:szCs w:val="20"/>
                <w:color w:val="auto"/>
              </w:rPr>
            </w:pPr>
            <w:r>
              <w:rPr>
                <w:rFonts w:ascii="Arial" w:cs="Arial" w:eastAsia="Arial" w:hAnsi="Arial"/>
                <w:sz w:val="16"/>
                <w:szCs w:val="16"/>
                <w:color w:val="auto"/>
              </w:rPr>
              <w:t>AvidXchange, Inc.</w:t>
            </w:r>
          </w:p>
        </w:tc>
        <w:tc>
          <w:tcPr>
            <w:tcW w:w="2360" w:type="dxa"/>
            <w:vAlign w:val="bottom"/>
            <w:shd w:val="clear" w:color="auto" w:fill="CFF0FC"/>
          </w:tcPr>
          <w:p>
            <w:pPr>
              <w:ind w:left="100"/>
              <w:spacing w:after="0"/>
              <w:rPr>
                <w:sz w:val="20"/>
                <w:szCs w:val="20"/>
                <w:color w:val="auto"/>
              </w:rPr>
            </w:pPr>
            <w:r>
              <w:rPr>
                <w:rFonts w:ascii="Arial" w:cs="Arial" w:eastAsia="Arial" w:hAnsi="Arial"/>
                <w:sz w:val="16"/>
                <w:szCs w:val="16"/>
                <w:color w:val="auto"/>
                <w:w w:val="98"/>
              </w:rPr>
              <w:t>Common Shares (2,198 shares)</w:t>
            </w: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4/7/2020</w:t>
            </w:r>
          </w:p>
        </w:tc>
        <w:tc>
          <w:tcPr>
            <w:tcW w:w="13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w:t>
            </w: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w:t>
            </w: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175"/>
        </w:trPr>
        <w:tc>
          <w:tcPr>
            <w:tcW w:w="2520" w:type="dxa"/>
            <w:vAlign w:val="bottom"/>
            <w:shd w:val="clear" w:color="auto" w:fill="CFF0FC"/>
          </w:tcPr>
          <w:p>
            <w:pPr>
              <w:spacing w:after="0"/>
              <w:rPr>
                <w:sz w:val="15"/>
                <w:szCs w:val="15"/>
                <w:color w:val="auto"/>
              </w:rPr>
            </w:pPr>
          </w:p>
        </w:tc>
        <w:tc>
          <w:tcPr>
            <w:tcW w:w="2360" w:type="dxa"/>
            <w:vAlign w:val="bottom"/>
            <w:shd w:val="clear" w:color="auto" w:fill="CFF0FC"/>
          </w:tcPr>
          <w:p>
            <w:pPr>
              <w:ind w:left="100"/>
              <w:spacing w:after="0"/>
              <w:rPr>
                <w:sz w:val="20"/>
                <w:szCs w:val="20"/>
                <w:color w:val="auto"/>
              </w:rPr>
            </w:pPr>
            <w:r>
              <w:rPr>
                <w:rFonts w:ascii="Arial" w:cs="Arial" w:eastAsia="Arial" w:hAnsi="Arial"/>
                <w:sz w:val="14"/>
                <w:szCs w:val="14"/>
                <w:color w:val="auto"/>
              </w:rPr>
              <w:t>(13)(14)</w:t>
            </w:r>
          </w:p>
        </w:tc>
        <w:tc>
          <w:tcPr>
            <w:tcW w:w="98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520" w:type="dxa"/>
            <w:vAlign w:val="bottom"/>
          </w:tcPr>
          <w:p>
            <w:pPr>
              <w:spacing w:after="0"/>
              <w:rPr>
                <w:sz w:val="17"/>
                <w:szCs w:val="17"/>
                <w:color w:val="auto"/>
              </w:rPr>
            </w:pPr>
          </w:p>
        </w:tc>
        <w:tc>
          <w:tcPr>
            <w:tcW w:w="2360" w:type="dxa"/>
            <w:vAlign w:val="bottom"/>
          </w:tcPr>
          <w:p>
            <w:pPr>
              <w:ind w:left="100"/>
              <w:spacing w:after="0"/>
              <w:rPr>
                <w:sz w:val="20"/>
                <w:szCs w:val="20"/>
                <w:color w:val="auto"/>
              </w:rPr>
            </w:pPr>
            <w:r>
              <w:rPr>
                <w:rFonts w:ascii="Arial" w:cs="Arial" w:eastAsia="Arial" w:hAnsi="Arial"/>
                <w:sz w:val="16"/>
                <w:szCs w:val="16"/>
                <w:color w:val="auto"/>
              </w:rPr>
              <w:t>Preferred Shares (293,232</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10/1/2019</w:t>
            </w:r>
          </w:p>
        </w:tc>
        <w:tc>
          <w:tcPr>
            <w:tcW w:w="1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15,763</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15,802</w:t>
            </w:r>
          </w:p>
        </w:tc>
        <w:tc>
          <w:tcPr>
            <w:tcW w:w="20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9"/>
        </w:trPr>
        <w:tc>
          <w:tcPr>
            <w:tcW w:w="2520" w:type="dxa"/>
            <w:vAlign w:val="bottom"/>
          </w:tcPr>
          <w:p>
            <w:pPr>
              <w:spacing w:after="0"/>
              <w:rPr>
                <w:sz w:val="18"/>
                <w:szCs w:val="18"/>
                <w:color w:val="auto"/>
              </w:rPr>
            </w:pPr>
          </w:p>
        </w:tc>
        <w:tc>
          <w:tcPr>
            <w:tcW w:w="2360" w:type="dxa"/>
            <w:vAlign w:val="bottom"/>
          </w:tcPr>
          <w:p>
            <w:pPr>
              <w:ind w:left="100"/>
              <w:spacing w:after="0"/>
              <w:rPr>
                <w:sz w:val="20"/>
                <w:szCs w:val="20"/>
                <w:color w:val="auto"/>
              </w:rPr>
            </w:pPr>
            <w:r>
              <w:rPr>
                <w:rFonts w:ascii="Arial" w:cs="Arial" w:eastAsia="Arial" w:hAnsi="Arial"/>
                <w:sz w:val="16"/>
                <w:szCs w:val="16"/>
                <w:color w:val="auto"/>
              </w:rPr>
              <w:t>shares)</w:t>
            </w:r>
          </w:p>
        </w:tc>
        <w:tc>
          <w:tcPr>
            <w:tcW w:w="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520" w:type="dxa"/>
            <w:vAlign w:val="bottom"/>
            <w:shd w:val="clear" w:color="auto" w:fill="CFF0FC"/>
          </w:tcPr>
          <w:p>
            <w:pPr>
              <w:spacing w:after="0"/>
              <w:rPr>
                <w:sz w:val="17"/>
                <w:szCs w:val="17"/>
                <w:color w:val="auto"/>
              </w:rPr>
            </w:pPr>
          </w:p>
        </w:tc>
        <w:tc>
          <w:tcPr>
            <w:tcW w:w="2360" w:type="dxa"/>
            <w:vAlign w:val="bottom"/>
            <w:shd w:val="clear" w:color="auto" w:fill="CFF0FC"/>
          </w:tcPr>
          <w:p>
            <w:pPr>
              <w:ind w:left="100"/>
              <w:spacing w:after="0"/>
              <w:rPr>
                <w:sz w:val="20"/>
                <w:szCs w:val="20"/>
                <w:color w:val="auto"/>
              </w:rPr>
            </w:pPr>
            <w:r>
              <w:rPr>
                <w:rFonts w:ascii="Arial" w:cs="Arial" w:eastAsia="Arial" w:hAnsi="Arial"/>
                <w:sz w:val="16"/>
                <w:szCs w:val="16"/>
                <w:color w:val="auto"/>
                <w:w w:val="95"/>
              </w:rPr>
              <w:t>Series F Preferred Shares (8,791</w:t>
            </w: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4/7/2020</w:t>
            </w:r>
          </w:p>
        </w:tc>
        <w:tc>
          <w:tcPr>
            <w:tcW w:w="13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431</w:t>
            </w: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431</w:t>
            </w: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16"/>
        </w:trPr>
        <w:tc>
          <w:tcPr>
            <w:tcW w:w="2520" w:type="dxa"/>
            <w:vAlign w:val="bottom"/>
            <w:shd w:val="clear" w:color="auto" w:fill="CFF0FC"/>
          </w:tcPr>
          <w:p>
            <w:pPr>
              <w:spacing w:after="0"/>
              <w:rPr>
                <w:sz w:val="18"/>
                <w:szCs w:val="18"/>
                <w:color w:val="auto"/>
              </w:rPr>
            </w:pPr>
          </w:p>
        </w:tc>
        <w:tc>
          <w:tcPr>
            <w:tcW w:w="23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shares)</w:t>
            </w:r>
            <w:r>
              <w:rPr>
                <w:rFonts w:ascii="Arial" w:cs="Arial" w:eastAsia="Arial" w:hAnsi="Arial"/>
                <w:sz w:val="13"/>
                <w:szCs w:val="13"/>
                <w:color w:val="auto"/>
              </w:rPr>
              <w:t>(13)(14)</w:t>
            </w:r>
          </w:p>
        </w:tc>
        <w:tc>
          <w:tcPr>
            <w:tcW w:w="9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2360" w:type="dxa"/>
            <w:vAlign w:val="bottom"/>
          </w:tcPr>
          <w:p>
            <w:pPr>
              <w:ind w:left="100"/>
              <w:spacing w:after="0" w:line="216" w:lineRule="exact"/>
              <w:rPr>
                <w:sz w:val="20"/>
                <w:szCs w:val="20"/>
                <w:color w:val="auto"/>
              </w:rPr>
            </w:pPr>
            <w:r>
              <w:rPr>
                <w:rFonts w:ascii="Arial" w:cs="Arial" w:eastAsia="Arial" w:hAnsi="Arial"/>
                <w:sz w:val="15"/>
                <w:szCs w:val="15"/>
                <w:color w:val="auto"/>
              </w:rPr>
              <w:t xml:space="preserve">75,016 Warrants </w:t>
            </w:r>
            <w:r>
              <w:rPr>
                <w:rFonts w:ascii="Arial" w:cs="Arial" w:eastAsia="Arial" w:hAnsi="Arial"/>
                <w:sz w:val="25"/>
                <w:szCs w:val="25"/>
                <w:color w:val="auto"/>
                <w:vertAlign w:val="superscript"/>
              </w:rPr>
              <w:t>(13)</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10/1/2019</w:t>
            </w:r>
          </w:p>
        </w:tc>
        <w:tc>
          <w:tcPr>
            <w:tcW w:w="1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475</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1,254</w:t>
            </w: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6"/>
        </w:trPr>
        <w:tc>
          <w:tcPr>
            <w:tcW w:w="2520" w:type="dxa"/>
            <w:vAlign w:val="bottom"/>
            <w:shd w:val="clear" w:color="auto" w:fill="CFF0FC"/>
          </w:tcPr>
          <w:p>
            <w:pPr>
              <w:spacing w:after="0" w:line="216" w:lineRule="exact"/>
              <w:rPr>
                <w:sz w:val="20"/>
                <w:szCs w:val="20"/>
                <w:color w:val="auto"/>
              </w:rPr>
            </w:pPr>
            <w:r>
              <w:rPr>
                <w:rFonts w:ascii="Arial" w:cs="Arial" w:eastAsia="Arial" w:hAnsi="Arial"/>
                <w:sz w:val="15"/>
                <w:szCs w:val="15"/>
                <w:color w:val="auto"/>
                <w:w w:val="97"/>
              </w:rPr>
              <w:t xml:space="preserve">Newport Parent Holdings, LP </w:t>
            </w:r>
            <w:r>
              <w:rPr>
                <w:rFonts w:ascii="Arial" w:cs="Arial" w:eastAsia="Arial" w:hAnsi="Arial"/>
                <w:sz w:val="25"/>
                <w:szCs w:val="25"/>
                <w:color w:val="auto"/>
                <w:w w:val="97"/>
                <w:vertAlign w:val="superscript"/>
              </w:rPr>
              <w:t>(13)(14)</w:t>
            </w:r>
          </w:p>
        </w:tc>
        <w:tc>
          <w:tcPr>
            <w:tcW w:w="23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Class A-2 Units (131,569 units)</w:t>
            </w: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12/10/2020</w:t>
            </w:r>
          </w:p>
        </w:tc>
        <w:tc>
          <w:tcPr>
            <w:tcW w:w="13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4,177</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4,177</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03"/>
        </w:trPr>
        <w:tc>
          <w:tcPr>
            <w:tcW w:w="2520" w:type="dxa"/>
            <w:vAlign w:val="bottom"/>
          </w:tcPr>
          <w:p>
            <w:pPr>
              <w:spacing w:after="0"/>
              <w:rPr>
                <w:sz w:val="20"/>
                <w:szCs w:val="20"/>
                <w:color w:val="auto"/>
              </w:rPr>
            </w:pPr>
            <w:r>
              <w:rPr>
                <w:rFonts w:ascii="Arial" w:cs="Arial" w:eastAsia="Arial" w:hAnsi="Arial"/>
                <w:sz w:val="16"/>
                <w:szCs w:val="16"/>
                <w:color w:val="auto"/>
              </w:rPr>
              <w:t>Oxford Square Capital</w:t>
            </w:r>
          </w:p>
        </w:tc>
        <w:tc>
          <w:tcPr>
            <w:tcW w:w="2360" w:type="dxa"/>
            <w:vAlign w:val="bottom"/>
          </w:tcPr>
          <w:p>
            <w:pPr>
              <w:ind w:left="100"/>
              <w:spacing w:after="0"/>
              <w:rPr>
                <w:sz w:val="20"/>
                <w:szCs w:val="20"/>
                <w:color w:val="auto"/>
              </w:rPr>
            </w:pPr>
            <w:r>
              <w:rPr>
                <w:rFonts w:ascii="Arial" w:cs="Arial" w:eastAsia="Arial" w:hAnsi="Arial"/>
                <w:sz w:val="16"/>
                <w:szCs w:val="16"/>
                <w:color w:val="auto"/>
                <w:w w:val="98"/>
              </w:rPr>
              <w:t>Common Shares (1,059 shares)</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8/5/2015</w:t>
            </w:r>
          </w:p>
        </w:tc>
        <w:tc>
          <w:tcPr>
            <w:tcW w:w="1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w:t>
            </w:r>
          </w:p>
        </w:tc>
        <w:tc>
          <w:tcPr>
            <w:tcW w:w="20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13"/>
        </w:trPr>
        <w:tc>
          <w:tcPr>
            <w:tcW w:w="2520" w:type="dxa"/>
            <w:vAlign w:val="bottom"/>
            <w:tcBorders>
              <w:bottom w:val="single" w:sz="8" w:color="CFF0FC"/>
            </w:tcBorders>
          </w:tcPr>
          <w:p>
            <w:pPr>
              <w:ind w:left="120"/>
              <w:spacing w:after="0"/>
              <w:rPr>
                <w:sz w:val="20"/>
                <w:szCs w:val="20"/>
                <w:color w:val="auto"/>
              </w:rPr>
            </w:pPr>
            <w:r>
              <w:rPr>
                <w:rFonts w:ascii="Arial" w:cs="Arial" w:eastAsia="Arial" w:hAnsi="Arial"/>
                <w:sz w:val="16"/>
                <w:szCs w:val="16"/>
                <w:color w:val="auto"/>
              </w:rPr>
              <w:t xml:space="preserve">Corp. </w:t>
            </w:r>
            <w:r>
              <w:rPr>
                <w:rFonts w:ascii="Arial" w:cs="Arial" w:eastAsia="Arial" w:hAnsi="Arial"/>
                <w:sz w:val="13"/>
                <w:szCs w:val="13"/>
                <w:color w:val="auto"/>
              </w:rPr>
              <w:t>(4)(12)</w:t>
            </w:r>
          </w:p>
        </w:tc>
        <w:tc>
          <w:tcPr>
            <w:tcW w:w="2360" w:type="dxa"/>
            <w:vAlign w:val="bottom"/>
            <w:tcBorders>
              <w:bottom w:val="single" w:sz="8" w:color="CFF0FC"/>
            </w:tcBorders>
          </w:tcPr>
          <w:p>
            <w:pPr>
              <w:spacing w:after="0"/>
              <w:rPr>
                <w:sz w:val="18"/>
                <w:szCs w:val="18"/>
                <w:color w:val="auto"/>
              </w:rPr>
            </w:pPr>
          </w:p>
        </w:tc>
        <w:tc>
          <w:tcPr>
            <w:tcW w:w="980" w:type="dxa"/>
            <w:vAlign w:val="bottom"/>
            <w:tcBorders>
              <w:bottom w:val="single" w:sz="8" w:color="CFF0FC"/>
            </w:tcBorders>
          </w:tcPr>
          <w:p>
            <w:pPr>
              <w:spacing w:after="0"/>
              <w:rPr>
                <w:sz w:val="18"/>
                <w:szCs w:val="18"/>
                <w:color w:val="auto"/>
              </w:rPr>
            </w:pPr>
          </w:p>
        </w:tc>
        <w:tc>
          <w:tcPr>
            <w:tcW w:w="1360" w:type="dxa"/>
            <w:vAlign w:val="bottom"/>
            <w:tcBorders>
              <w:bottom w:val="single" w:sz="8" w:color="CFF0FC"/>
            </w:tcBorders>
          </w:tcPr>
          <w:p>
            <w:pPr>
              <w:spacing w:after="0"/>
              <w:rPr>
                <w:sz w:val="18"/>
                <w:szCs w:val="18"/>
                <w:color w:val="auto"/>
              </w:rPr>
            </w:pPr>
          </w:p>
        </w:tc>
        <w:tc>
          <w:tcPr>
            <w:tcW w:w="110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20" w:type="dxa"/>
            <w:vAlign w:val="bottom"/>
            <w:shd w:val="clear" w:color="auto" w:fill="CFF0FC"/>
          </w:tcPr>
          <w:p>
            <w:pPr>
              <w:spacing w:after="0"/>
              <w:rPr>
                <w:sz w:val="18"/>
                <w:szCs w:val="18"/>
                <w:color w:val="auto"/>
              </w:rPr>
            </w:pPr>
          </w:p>
        </w:tc>
        <w:tc>
          <w:tcPr>
            <w:tcW w:w="23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20,961</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21,775</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7"/>
        </w:trPr>
        <w:tc>
          <w:tcPr>
            <w:tcW w:w="2520" w:type="dxa"/>
            <w:vAlign w:val="bottom"/>
          </w:tcPr>
          <w:p>
            <w:pPr>
              <w:spacing w:after="0"/>
              <w:rPr>
                <w:sz w:val="20"/>
                <w:szCs w:val="20"/>
                <w:color w:val="auto"/>
              </w:rPr>
            </w:pPr>
            <w:r>
              <w:rPr>
                <w:rFonts w:ascii="Arial" w:cs="Arial" w:eastAsia="Arial" w:hAnsi="Arial"/>
                <w:sz w:val="16"/>
                <w:szCs w:val="16"/>
                <w:b w:val="1"/>
                <w:bCs w:val="1"/>
                <w:color w:val="auto"/>
              </w:rPr>
              <w:t>Healthcare</w:t>
            </w:r>
          </w:p>
        </w:tc>
        <w:tc>
          <w:tcPr>
            <w:tcW w:w="2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520" w:type="dxa"/>
            <w:vAlign w:val="bottom"/>
            <w:shd w:val="clear" w:color="auto" w:fill="CFF0FC"/>
          </w:tcPr>
          <w:p>
            <w:pPr>
              <w:spacing w:after="0" w:line="205" w:lineRule="exact"/>
              <w:rPr>
                <w:sz w:val="20"/>
                <w:szCs w:val="20"/>
                <w:color w:val="auto"/>
              </w:rPr>
            </w:pPr>
            <w:r>
              <w:rPr>
                <w:rFonts w:ascii="Arial" w:cs="Arial" w:eastAsia="Arial" w:hAnsi="Arial"/>
                <w:sz w:val="14"/>
                <w:szCs w:val="14"/>
                <w:color w:val="auto"/>
              </w:rPr>
              <w:t xml:space="preserve">Caris Life Sciences, Inc. </w:t>
            </w:r>
            <w:r>
              <w:rPr>
                <w:rFonts w:ascii="Arial" w:cs="Arial" w:eastAsia="Arial" w:hAnsi="Arial"/>
                <w:sz w:val="23"/>
                <w:szCs w:val="23"/>
                <w:color w:val="auto"/>
                <w:vertAlign w:val="superscript"/>
              </w:rPr>
              <w:t>(13)</w:t>
            </w:r>
          </w:p>
        </w:tc>
        <w:tc>
          <w:tcPr>
            <w:tcW w:w="23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Series C Preferred Shares</w:t>
            </w: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10/13/2020</w:t>
            </w:r>
          </w:p>
        </w:tc>
        <w:tc>
          <w:tcPr>
            <w:tcW w:w="13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1,000</w:t>
            </w: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1,000</w:t>
            </w: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6"/>
        </w:trPr>
        <w:tc>
          <w:tcPr>
            <w:tcW w:w="2520" w:type="dxa"/>
            <w:vAlign w:val="bottom"/>
            <w:shd w:val="clear" w:color="auto" w:fill="CFF0FC"/>
          </w:tcPr>
          <w:p>
            <w:pPr>
              <w:spacing w:after="0"/>
              <w:rPr>
                <w:sz w:val="18"/>
                <w:szCs w:val="18"/>
                <w:color w:val="auto"/>
              </w:rPr>
            </w:pPr>
          </w:p>
        </w:tc>
        <w:tc>
          <w:tcPr>
            <w:tcW w:w="2360" w:type="dxa"/>
            <w:vAlign w:val="bottom"/>
            <w:shd w:val="clear" w:color="auto" w:fill="CFF0FC"/>
          </w:tcPr>
          <w:p>
            <w:pPr>
              <w:ind w:left="100"/>
              <w:spacing w:after="0" w:line="216" w:lineRule="exact"/>
              <w:rPr>
                <w:sz w:val="20"/>
                <w:szCs w:val="20"/>
                <w:color w:val="auto"/>
              </w:rPr>
            </w:pPr>
            <w:r>
              <w:rPr>
                <w:rFonts w:ascii="Arial" w:cs="Arial" w:eastAsia="Arial" w:hAnsi="Arial"/>
                <w:sz w:val="15"/>
                <w:szCs w:val="15"/>
                <w:color w:val="auto"/>
              </w:rPr>
              <w:t xml:space="preserve">(362,319 shares) </w:t>
            </w:r>
            <w:r>
              <w:rPr>
                <w:rFonts w:ascii="Arial" w:cs="Arial" w:eastAsia="Arial" w:hAnsi="Arial"/>
                <w:sz w:val="25"/>
                <w:szCs w:val="25"/>
                <w:color w:val="auto"/>
                <w:vertAlign w:val="superscript"/>
              </w:rPr>
              <w:t>(14)</w:t>
            </w:r>
          </w:p>
        </w:tc>
        <w:tc>
          <w:tcPr>
            <w:tcW w:w="9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20" w:type="dxa"/>
            <w:vAlign w:val="bottom"/>
          </w:tcPr>
          <w:p>
            <w:pPr>
              <w:spacing w:after="0"/>
              <w:rPr>
                <w:sz w:val="18"/>
                <w:szCs w:val="18"/>
                <w:color w:val="auto"/>
              </w:rPr>
            </w:pPr>
          </w:p>
        </w:tc>
        <w:tc>
          <w:tcPr>
            <w:tcW w:w="2360" w:type="dxa"/>
            <w:vAlign w:val="bottom"/>
          </w:tcPr>
          <w:p>
            <w:pPr>
              <w:ind w:left="100"/>
              <w:spacing w:after="0"/>
              <w:rPr>
                <w:sz w:val="20"/>
                <w:szCs w:val="20"/>
                <w:color w:val="auto"/>
              </w:rPr>
            </w:pPr>
            <w:r>
              <w:rPr>
                <w:rFonts w:ascii="Arial" w:cs="Arial" w:eastAsia="Arial" w:hAnsi="Arial"/>
                <w:sz w:val="16"/>
                <w:szCs w:val="16"/>
                <w:color w:val="auto"/>
              </w:rPr>
              <w:t>633,376 Warrants</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9/21/2018</w:t>
            </w:r>
          </w:p>
        </w:tc>
        <w:tc>
          <w:tcPr>
            <w:tcW w:w="1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192</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704</w:t>
            </w: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9"/>
        </w:trPr>
        <w:tc>
          <w:tcPr>
            <w:tcW w:w="2520" w:type="dxa"/>
            <w:vAlign w:val="bottom"/>
            <w:shd w:val="clear" w:color="auto" w:fill="CFF0FC"/>
          </w:tcPr>
          <w:p>
            <w:pPr>
              <w:spacing w:after="0"/>
              <w:rPr>
                <w:sz w:val="19"/>
                <w:szCs w:val="19"/>
                <w:color w:val="auto"/>
              </w:rPr>
            </w:pPr>
          </w:p>
        </w:tc>
        <w:tc>
          <w:tcPr>
            <w:tcW w:w="2360" w:type="dxa"/>
            <w:vAlign w:val="bottom"/>
            <w:shd w:val="clear" w:color="auto" w:fill="CFF0FC"/>
          </w:tcPr>
          <w:p>
            <w:pPr>
              <w:ind w:left="100"/>
              <w:spacing w:after="0" w:line="218" w:lineRule="exact"/>
              <w:rPr>
                <w:sz w:val="20"/>
                <w:szCs w:val="20"/>
                <w:color w:val="auto"/>
              </w:rPr>
            </w:pPr>
            <w:r>
              <w:rPr>
                <w:rFonts w:ascii="Arial" w:cs="Arial" w:eastAsia="Arial" w:hAnsi="Arial"/>
                <w:sz w:val="15"/>
                <w:szCs w:val="15"/>
                <w:color w:val="auto"/>
              </w:rPr>
              <w:t xml:space="preserve">569,991 Warrants </w:t>
            </w:r>
            <w:r>
              <w:rPr>
                <w:rFonts w:ascii="Arial" w:cs="Arial" w:eastAsia="Arial" w:hAnsi="Arial"/>
                <w:sz w:val="25"/>
                <w:szCs w:val="25"/>
                <w:color w:val="auto"/>
                <w:vertAlign w:val="superscript"/>
              </w:rPr>
              <w:t>(14)</w:t>
            </w: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4/2/2020</w:t>
            </w:r>
          </w:p>
        </w:tc>
        <w:tc>
          <w:tcPr>
            <w:tcW w:w="13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250</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472</w:t>
            </w: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06"/>
        </w:trPr>
        <w:tc>
          <w:tcPr>
            <w:tcW w:w="2520" w:type="dxa"/>
            <w:vAlign w:val="bottom"/>
          </w:tcPr>
          <w:p>
            <w:pPr>
              <w:spacing w:after="0" w:line="207" w:lineRule="exact"/>
              <w:rPr>
                <w:sz w:val="20"/>
                <w:szCs w:val="20"/>
                <w:color w:val="auto"/>
              </w:rPr>
            </w:pPr>
            <w:r>
              <w:rPr>
                <w:rFonts w:ascii="Arial" w:cs="Arial" w:eastAsia="Arial" w:hAnsi="Arial"/>
                <w:sz w:val="14"/>
                <w:szCs w:val="14"/>
                <w:color w:val="auto"/>
              </w:rPr>
              <w:t xml:space="preserve">Quantros, Inc. </w:t>
            </w:r>
            <w:r>
              <w:rPr>
                <w:rFonts w:ascii="Arial" w:cs="Arial" w:eastAsia="Arial" w:hAnsi="Arial"/>
                <w:sz w:val="23"/>
                <w:szCs w:val="23"/>
                <w:color w:val="auto"/>
                <w:vertAlign w:val="superscript"/>
              </w:rPr>
              <w:t>(13)</w:t>
            </w:r>
          </w:p>
        </w:tc>
        <w:tc>
          <w:tcPr>
            <w:tcW w:w="2360" w:type="dxa"/>
            <w:vAlign w:val="bottom"/>
          </w:tcPr>
          <w:p>
            <w:pPr>
              <w:ind w:left="100"/>
              <w:spacing w:after="0"/>
              <w:rPr>
                <w:sz w:val="20"/>
                <w:szCs w:val="20"/>
                <w:color w:val="auto"/>
              </w:rPr>
            </w:pPr>
            <w:r>
              <w:rPr>
                <w:rFonts w:ascii="Arial" w:cs="Arial" w:eastAsia="Arial" w:hAnsi="Arial"/>
                <w:sz w:val="16"/>
                <w:szCs w:val="16"/>
                <w:color w:val="auto"/>
              </w:rPr>
              <w:t>363 AA Preferred Stock</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10/7/2019</w:t>
            </w:r>
          </w:p>
        </w:tc>
        <w:tc>
          <w:tcPr>
            <w:tcW w:w="1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139</w:t>
            </w:r>
          </w:p>
        </w:tc>
        <w:tc>
          <w:tcPr>
            <w:tcW w:w="22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09"/>
        </w:trPr>
        <w:tc>
          <w:tcPr>
            <w:tcW w:w="2520" w:type="dxa"/>
            <w:vAlign w:val="bottom"/>
          </w:tcPr>
          <w:p>
            <w:pPr>
              <w:spacing w:after="0"/>
              <w:rPr>
                <w:sz w:val="18"/>
                <w:szCs w:val="18"/>
                <w:color w:val="auto"/>
              </w:rPr>
            </w:pPr>
          </w:p>
        </w:tc>
        <w:tc>
          <w:tcPr>
            <w:tcW w:w="2360" w:type="dxa"/>
            <w:vAlign w:val="bottom"/>
          </w:tcPr>
          <w:p>
            <w:pPr>
              <w:ind w:left="100"/>
              <w:spacing w:after="0"/>
              <w:rPr>
                <w:sz w:val="20"/>
                <w:szCs w:val="20"/>
                <w:color w:val="auto"/>
              </w:rPr>
            </w:pPr>
            <w:r>
              <w:rPr>
                <w:rFonts w:ascii="Arial" w:cs="Arial" w:eastAsia="Arial" w:hAnsi="Arial"/>
                <w:sz w:val="16"/>
                <w:szCs w:val="16"/>
                <w:color w:val="auto"/>
              </w:rPr>
              <w:t>Warrants</w:t>
            </w:r>
          </w:p>
        </w:tc>
        <w:tc>
          <w:tcPr>
            <w:tcW w:w="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20" w:type="dxa"/>
            <w:vAlign w:val="bottom"/>
            <w:shd w:val="clear" w:color="auto" w:fill="CFF0FC"/>
          </w:tcPr>
          <w:p>
            <w:pPr>
              <w:spacing w:after="0"/>
              <w:rPr>
                <w:sz w:val="18"/>
                <w:szCs w:val="18"/>
                <w:color w:val="auto"/>
              </w:rPr>
            </w:pPr>
          </w:p>
        </w:tc>
        <w:tc>
          <w:tcPr>
            <w:tcW w:w="23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2,748 A Preferred Stock</w:t>
            </w: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10/7/2019</w:t>
            </w:r>
          </w:p>
        </w:tc>
        <w:tc>
          <w:tcPr>
            <w:tcW w:w="13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12"/>
        </w:trPr>
        <w:tc>
          <w:tcPr>
            <w:tcW w:w="2520" w:type="dxa"/>
            <w:vAlign w:val="bottom"/>
            <w:shd w:val="clear" w:color="auto" w:fill="CFF0FC"/>
          </w:tcPr>
          <w:p>
            <w:pPr>
              <w:spacing w:after="0"/>
              <w:rPr>
                <w:sz w:val="18"/>
                <w:szCs w:val="18"/>
                <w:color w:val="auto"/>
              </w:rPr>
            </w:pPr>
          </w:p>
        </w:tc>
        <w:tc>
          <w:tcPr>
            <w:tcW w:w="23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Warrants</w:t>
            </w:r>
          </w:p>
        </w:tc>
        <w:tc>
          <w:tcPr>
            <w:tcW w:w="9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520" w:type="dxa"/>
            <w:vAlign w:val="bottom"/>
          </w:tcPr>
          <w:p>
            <w:pPr>
              <w:spacing w:after="0"/>
              <w:rPr>
                <w:sz w:val="17"/>
                <w:szCs w:val="17"/>
                <w:color w:val="auto"/>
              </w:rPr>
            </w:pPr>
          </w:p>
        </w:tc>
        <w:tc>
          <w:tcPr>
            <w:tcW w:w="2360" w:type="dxa"/>
            <w:vAlign w:val="bottom"/>
          </w:tcPr>
          <w:p>
            <w:pPr>
              <w:ind w:left="100"/>
              <w:spacing w:after="0"/>
              <w:rPr>
                <w:sz w:val="20"/>
                <w:szCs w:val="20"/>
                <w:color w:val="auto"/>
              </w:rPr>
            </w:pPr>
            <w:r>
              <w:rPr>
                <w:rFonts w:ascii="Arial" w:cs="Arial" w:eastAsia="Arial" w:hAnsi="Arial"/>
                <w:sz w:val="16"/>
                <w:szCs w:val="16"/>
                <w:color w:val="auto"/>
              </w:rPr>
              <w:t>4,681,958 Common Stock</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10/7/2019</w:t>
            </w:r>
          </w:p>
        </w:tc>
        <w:tc>
          <w:tcPr>
            <w:tcW w:w="1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09"/>
        </w:trPr>
        <w:tc>
          <w:tcPr>
            <w:tcW w:w="2520" w:type="dxa"/>
            <w:vAlign w:val="bottom"/>
          </w:tcPr>
          <w:p>
            <w:pPr>
              <w:spacing w:after="0"/>
              <w:rPr>
                <w:sz w:val="18"/>
                <w:szCs w:val="18"/>
                <w:color w:val="auto"/>
              </w:rPr>
            </w:pPr>
          </w:p>
        </w:tc>
        <w:tc>
          <w:tcPr>
            <w:tcW w:w="2360" w:type="dxa"/>
            <w:vAlign w:val="bottom"/>
          </w:tcPr>
          <w:p>
            <w:pPr>
              <w:ind w:left="100"/>
              <w:spacing w:after="0"/>
              <w:rPr>
                <w:sz w:val="20"/>
                <w:szCs w:val="20"/>
                <w:color w:val="auto"/>
              </w:rPr>
            </w:pPr>
            <w:r>
              <w:rPr>
                <w:rFonts w:ascii="Arial" w:cs="Arial" w:eastAsia="Arial" w:hAnsi="Arial"/>
                <w:sz w:val="16"/>
                <w:szCs w:val="16"/>
                <w:color w:val="auto"/>
              </w:rPr>
              <w:t>Warrants</w:t>
            </w:r>
          </w:p>
        </w:tc>
        <w:tc>
          <w:tcPr>
            <w:tcW w:w="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520" w:type="dxa"/>
            <w:vAlign w:val="bottom"/>
            <w:shd w:val="clear" w:color="auto" w:fill="CFF0FC"/>
          </w:tcPr>
          <w:p>
            <w:pPr>
              <w:spacing w:after="0"/>
              <w:rPr>
                <w:sz w:val="20"/>
                <w:szCs w:val="20"/>
                <w:color w:val="auto"/>
              </w:rPr>
            </w:pPr>
            <w:r>
              <w:rPr>
                <w:rFonts w:ascii="Arial" w:cs="Arial" w:eastAsia="Arial" w:hAnsi="Arial"/>
                <w:sz w:val="16"/>
                <w:szCs w:val="16"/>
                <w:color w:val="auto"/>
              </w:rPr>
              <w:t>Valant Medical Solutions,</w:t>
            </w:r>
          </w:p>
        </w:tc>
        <w:tc>
          <w:tcPr>
            <w:tcW w:w="23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954,478 Warrants</w:t>
            </w: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4/8/2019</w:t>
            </w:r>
          </w:p>
        </w:tc>
        <w:tc>
          <w:tcPr>
            <w:tcW w:w="13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281</w:t>
            </w: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239</w:t>
            </w: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16"/>
        </w:trPr>
        <w:tc>
          <w:tcPr>
            <w:tcW w:w="25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 xml:space="preserve">Inc. </w:t>
            </w:r>
            <w:r>
              <w:rPr>
                <w:rFonts w:ascii="Arial" w:cs="Arial" w:eastAsia="Arial" w:hAnsi="Arial"/>
                <w:sz w:val="13"/>
                <w:szCs w:val="13"/>
                <w:color w:val="auto"/>
              </w:rPr>
              <w:t>(13)(15)</w:t>
            </w:r>
          </w:p>
        </w:tc>
        <w:tc>
          <w:tcPr>
            <w:tcW w:w="23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tcPr>
          <w:p>
            <w:pPr>
              <w:spacing w:after="0" w:line="216" w:lineRule="exact"/>
              <w:rPr>
                <w:sz w:val="20"/>
                <w:szCs w:val="20"/>
                <w:color w:val="auto"/>
              </w:rPr>
            </w:pPr>
            <w:r>
              <w:rPr>
                <w:rFonts w:ascii="Arial" w:cs="Arial" w:eastAsia="Arial" w:hAnsi="Arial"/>
                <w:sz w:val="15"/>
                <w:szCs w:val="15"/>
                <w:color w:val="auto"/>
              </w:rPr>
              <w:t xml:space="preserve">Vita Topco, Inc. </w:t>
            </w:r>
            <w:r>
              <w:rPr>
                <w:rFonts w:ascii="Arial" w:cs="Arial" w:eastAsia="Arial" w:hAnsi="Arial"/>
                <w:sz w:val="25"/>
                <w:szCs w:val="25"/>
                <w:color w:val="auto"/>
                <w:vertAlign w:val="superscript"/>
              </w:rPr>
              <w:t>(13)(15)</w:t>
            </w:r>
          </w:p>
        </w:tc>
        <w:tc>
          <w:tcPr>
            <w:tcW w:w="2360" w:type="dxa"/>
            <w:vAlign w:val="bottom"/>
          </w:tcPr>
          <w:p>
            <w:pPr>
              <w:ind w:left="100"/>
              <w:spacing w:after="0"/>
              <w:rPr>
                <w:sz w:val="20"/>
                <w:szCs w:val="20"/>
                <w:color w:val="auto"/>
              </w:rPr>
            </w:pPr>
            <w:r>
              <w:rPr>
                <w:rFonts w:ascii="Arial" w:cs="Arial" w:eastAsia="Arial" w:hAnsi="Arial"/>
                <w:sz w:val="16"/>
                <w:szCs w:val="16"/>
                <w:color w:val="auto"/>
                <w:w w:val="98"/>
              </w:rPr>
              <w:t>Common Shares (1,000 shares)</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2/11/2019</w:t>
            </w:r>
          </w:p>
        </w:tc>
        <w:tc>
          <w:tcPr>
            <w:tcW w:w="1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8,973</w:t>
            </w: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0"/>
        </w:trPr>
        <w:tc>
          <w:tcPr>
            <w:tcW w:w="2520" w:type="dxa"/>
            <w:vAlign w:val="bottom"/>
            <w:shd w:val="clear" w:color="auto" w:fill="CFF0FC"/>
          </w:tcPr>
          <w:p>
            <w:pPr>
              <w:spacing w:after="0" w:line="20" w:lineRule="exact"/>
              <w:rPr>
                <w:sz w:val="1"/>
                <w:szCs w:val="1"/>
                <w:color w:val="auto"/>
              </w:rPr>
            </w:pPr>
          </w:p>
        </w:tc>
        <w:tc>
          <w:tcPr>
            <w:tcW w:w="236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1360" w:type="dxa"/>
            <w:vAlign w:val="bottom"/>
            <w:shd w:val="clear" w:color="auto" w:fill="CFF0FC"/>
          </w:tcPr>
          <w:p>
            <w:pPr>
              <w:spacing w:after="0" w:line="20" w:lineRule="exact"/>
              <w:rPr>
                <w:sz w:val="1"/>
                <w:szCs w:val="1"/>
                <w:color w:val="auto"/>
              </w:rPr>
            </w:pPr>
          </w:p>
        </w:tc>
        <w:tc>
          <w:tcPr>
            <w:tcW w:w="110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520" w:type="dxa"/>
            <w:vAlign w:val="bottom"/>
            <w:shd w:val="clear" w:color="auto" w:fill="CFF0FC"/>
          </w:tcPr>
          <w:p>
            <w:pPr>
              <w:spacing w:after="0"/>
              <w:rPr>
                <w:sz w:val="18"/>
                <w:szCs w:val="18"/>
                <w:color w:val="auto"/>
              </w:rPr>
            </w:pPr>
          </w:p>
        </w:tc>
        <w:tc>
          <w:tcPr>
            <w:tcW w:w="23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2,862</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11,388</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6"/>
        </w:trPr>
        <w:tc>
          <w:tcPr>
            <w:tcW w:w="2520" w:type="dxa"/>
            <w:vAlign w:val="bottom"/>
          </w:tcPr>
          <w:p>
            <w:pPr>
              <w:spacing w:after="0"/>
              <w:rPr>
                <w:sz w:val="20"/>
                <w:szCs w:val="20"/>
                <w:color w:val="auto"/>
              </w:rPr>
            </w:pPr>
            <w:r>
              <w:rPr>
                <w:rFonts w:ascii="Arial" w:cs="Arial" w:eastAsia="Arial" w:hAnsi="Arial"/>
                <w:sz w:val="16"/>
                <w:szCs w:val="16"/>
                <w:b w:val="1"/>
                <w:bCs w:val="1"/>
                <w:color w:val="auto"/>
              </w:rPr>
              <w:t>Hotel, gaming, and leisure</w:t>
            </w:r>
          </w:p>
        </w:tc>
        <w:tc>
          <w:tcPr>
            <w:tcW w:w="2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520" w:type="dxa"/>
            <w:vAlign w:val="bottom"/>
            <w:shd w:val="clear" w:color="auto" w:fill="CFF0FC"/>
          </w:tcPr>
          <w:p>
            <w:pPr>
              <w:spacing w:after="0" w:line="205" w:lineRule="exact"/>
              <w:rPr>
                <w:sz w:val="20"/>
                <w:szCs w:val="20"/>
                <w:color w:val="auto"/>
              </w:rPr>
            </w:pPr>
            <w:r>
              <w:rPr>
                <w:rFonts w:ascii="Arial" w:cs="Arial" w:eastAsia="Arial" w:hAnsi="Arial"/>
                <w:sz w:val="14"/>
                <w:szCs w:val="14"/>
                <w:color w:val="auto"/>
              </w:rPr>
              <w:t xml:space="preserve">IRGSE Holding Corp. </w:t>
            </w:r>
            <w:r>
              <w:rPr>
                <w:rFonts w:ascii="Arial" w:cs="Arial" w:eastAsia="Arial" w:hAnsi="Arial"/>
                <w:sz w:val="23"/>
                <w:szCs w:val="23"/>
                <w:color w:val="auto"/>
                <w:vertAlign w:val="superscript"/>
              </w:rPr>
              <w:t>(7)(13)</w:t>
            </w:r>
          </w:p>
        </w:tc>
        <w:tc>
          <w:tcPr>
            <w:tcW w:w="2360" w:type="dxa"/>
            <w:vAlign w:val="bottom"/>
            <w:shd w:val="clear" w:color="auto" w:fill="CFF0FC"/>
          </w:tcPr>
          <w:p>
            <w:pPr>
              <w:ind w:left="100"/>
              <w:spacing w:after="0"/>
              <w:rPr>
                <w:sz w:val="20"/>
                <w:szCs w:val="20"/>
                <w:color w:val="auto"/>
              </w:rPr>
            </w:pPr>
            <w:r>
              <w:rPr>
                <w:rFonts w:ascii="Arial" w:cs="Arial" w:eastAsia="Arial" w:hAnsi="Arial"/>
                <w:sz w:val="16"/>
                <w:szCs w:val="16"/>
                <w:color w:val="auto"/>
                <w:w w:val="97"/>
              </w:rPr>
              <w:t>Class A Units (33,790,171 units)</w:t>
            </w: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12/21/2018</w:t>
            </w:r>
          </w:p>
        </w:tc>
        <w:tc>
          <w:tcPr>
            <w:tcW w:w="13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21,842</w:t>
            </w: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1,267</w:t>
            </w: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175"/>
        </w:trPr>
        <w:tc>
          <w:tcPr>
            <w:tcW w:w="2520" w:type="dxa"/>
            <w:vAlign w:val="bottom"/>
            <w:shd w:val="clear" w:color="auto" w:fill="CFF0FC"/>
          </w:tcPr>
          <w:p>
            <w:pPr>
              <w:spacing w:after="0"/>
              <w:rPr>
                <w:sz w:val="15"/>
                <w:szCs w:val="15"/>
                <w:color w:val="auto"/>
              </w:rPr>
            </w:pPr>
          </w:p>
        </w:tc>
        <w:tc>
          <w:tcPr>
            <w:tcW w:w="2360" w:type="dxa"/>
            <w:vAlign w:val="bottom"/>
            <w:shd w:val="clear" w:color="auto" w:fill="CFF0FC"/>
          </w:tcPr>
          <w:p>
            <w:pPr>
              <w:ind w:left="100"/>
              <w:spacing w:after="0"/>
              <w:rPr>
                <w:sz w:val="20"/>
                <w:szCs w:val="20"/>
                <w:color w:val="auto"/>
              </w:rPr>
            </w:pPr>
            <w:r>
              <w:rPr>
                <w:rFonts w:ascii="Arial" w:cs="Arial" w:eastAsia="Arial" w:hAnsi="Arial"/>
                <w:sz w:val="14"/>
                <w:szCs w:val="14"/>
                <w:color w:val="auto"/>
              </w:rPr>
              <w:t>(14)</w:t>
            </w:r>
          </w:p>
        </w:tc>
        <w:tc>
          <w:tcPr>
            <w:tcW w:w="98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9"/>
        </w:trPr>
        <w:tc>
          <w:tcPr>
            <w:tcW w:w="2520" w:type="dxa"/>
            <w:vAlign w:val="bottom"/>
          </w:tcPr>
          <w:p>
            <w:pPr>
              <w:spacing w:after="0"/>
              <w:rPr>
                <w:sz w:val="18"/>
                <w:szCs w:val="18"/>
                <w:color w:val="auto"/>
              </w:rPr>
            </w:pPr>
          </w:p>
        </w:tc>
        <w:tc>
          <w:tcPr>
            <w:tcW w:w="2380" w:type="dxa"/>
            <w:vAlign w:val="bottom"/>
          </w:tcPr>
          <w:p>
            <w:pPr>
              <w:ind w:left="100"/>
              <w:spacing w:after="0"/>
              <w:rPr>
                <w:sz w:val="20"/>
                <w:szCs w:val="20"/>
                <w:color w:val="auto"/>
              </w:rPr>
            </w:pPr>
            <w:r>
              <w:rPr>
                <w:rFonts w:ascii="Arial" w:cs="Arial" w:eastAsia="Arial" w:hAnsi="Arial"/>
                <w:sz w:val="16"/>
                <w:szCs w:val="16"/>
                <w:color w:val="auto"/>
                <w:w w:val="95"/>
              </w:rPr>
              <w:t>Class C-1 Units (8,800,000 units)</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12/21/2018</w:t>
            </w:r>
          </w:p>
        </w:tc>
        <w:tc>
          <w:tcPr>
            <w:tcW w:w="1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48</w:t>
            </w:r>
          </w:p>
        </w:tc>
        <w:tc>
          <w:tcPr>
            <w:tcW w:w="2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0"/>
        </w:trPr>
        <w:tc>
          <w:tcPr>
            <w:tcW w:w="2520" w:type="dxa"/>
            <w:vAlign w:val="bottom"/>
            <w:shd w:val="clear" w:color="auto" w:fill="CFF0FC"/>
          </w:tcPr>
          <w:p>
            <w:pPr>
              <w:spacing w:after="0" w:line="20" w:lineRule="exact"/>
              <w:rPr>
                <w:sz w:val="1"/>
                <w:szCs w:val="1"/>
                <w:color w:val="auto"/>
              </w:rPr>
            </w:pPr>
          </w:p>
        </w:tc>
        <w:tc>
          <w:tcPr>
            <w:tcW w:w="238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1340" w:type="dxa"/>
            <w:vAlign w:val="bottom"/>
            <w:shd w:val="clear" w:color="auto" w:fill="CFF0FC"/>
          </w:tcPr>
          <w:p>
            <w:pPr>
              <w:spacing w:after="0" w:line="20" w:lineRule="exact"/>
              <w:rPr>
                <w:sz w:val="1"/>
                <w:szCs w:val="1"/>
                <w:color w:val="auto"/>
              </w:rPr>
            </w:pPr>
          </w:p>
        </w:tc>
        <w:tc>
          <w:tcPr>
            <w:tcW w:w="1060" w:type="dxa"/>
            <w:vAlign w:val="bottom"/>
            <w:tcBorders>
              <w:right w:val="single" w:sz="8" w:color="CFF0FC"/>
            </w:tcBorders>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520" w:type="dxa"/>
            <w:vAlign w:val="bottom"/>
            <w:shd w:val="clear" w:color="auto" w:fill="CFF0FC"/>
          </w:tcPr>
          <w:p>
            <w:pPr>
              <w:spacing w:after="0"/>
              <w:rPr>
                <w:sz w:val="18"/>
                <w:szCs w:val="18"/>
                <w:color w:val="auto"/>
              </w:rPr>
            </w:pPr>
          </w:p>
        </w:tc>
        <w:tc>
          <w:tcPr>
            <w:tcW w:w="23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60" w:type="dxa"/>
            <w:vAlign w:val="bottom"/>
            <w:tcBorders>
              <w:right w:val="single" w:sz="8" w:color="CFF0FC"/>
            </w:tcBorders>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21,942</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1,315</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07"/>
        </w:trPr>
        <w:tc>
          <w:tcPr>
            <w:tcW w:w="2520" w:type="dxa"/>
            <w:vAlign w:val="bottom"/>
          </w:tcPr>
          <w:p>
            <w:pPr>
              <w:spacing w:after="0"/>
              <w:rPr>
                <w:sz w:val="20"/>
                <w:szCs w:val="20"/>
                <w:color w:val="auto"/>
              </w:rPr>
            </w:pPr>
            <w:r>
              <w:rPr>
                <w:rFonts w:ascii="Arial" w:cs="Arial" w:eastAsia="Arial" w:hAnsi="Arial"/>
                <w:sz w:val="16"/>
                <w:szCs w:val="16"/>
                <w:b w:val="1"/>
                <w:bCs w:val="1"/>
                <w:color w:val="auto"/>
                <w:w w:val="96"/>
              </w:rPr>
              <w:t>Human resource support services</w:t>
            </w:r>
          </w:p>
        </w:tc>
        <w:tc>
          <w:tcPr>
            <w:tcW w:w="2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52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ClearCompany, LLC </w:t>
            </w:r>
            <w:r>
              <w:rPr>
                <w:rFonts w:ascii="Arial" w:cs="Arial" w:eastAsia="Arial" w:hAnsi="Arial"/>
                <w:sz w:val="24"/>
                <w:szCs w:val="24"/>
                <w:color w:val="auto"/>
                <w:vertAlign w:val="superscript"/>
              </w:rPr>
              <w:t>(13)(15)</w:t>
            </w:r>
          </w:p>
        </w:tc>
        <w:tc>
          <w:tcPr>
            <w:tcW w:w="2380" w:type="dxa"/>
            <w:vAlign w:val="bottom"/>
            <w:shd w:val="clear" w:color="auto" w:fill="CFF0FC"/>
          </w:tcPr>
          <w:p>
            <w:pPr>
              <w:ind w:left="100"/>
              <w:spacing w:after="0"/>
              <w:rPr>
                <w:sz w:val="20"/>
                <w:szCs w:val="20"/>
                <w:color w:val="auto"/>
              </w:rPr>
            </w:pPr>
            <w:r>
              <w:rPr>
                <w:rFonts w:ascii="Arial" w:cs="Arial" w:eastAsia="Arial" w:hAnsi="Arial"/>
                <w:sz w:val="16"/>
                <w:szCs w:val="16"/>
                <w:color w:val="auto"/>
              </w:rPr>
              <w:t>Series A Preferred Units</w:t>
            </w: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8/24/2018</w:t>
            </w:r>
          </w:p>
        </w:tc>
        <w:tc>
          <w:tcPr>
            <w:tcW w:w="1340" w:type="dxa"/>
            <w:vAlign w:val="bottom"/>
            <w:shd w:val="clear" w:color="auto" w:fill="CFF0FC"/>
          </w:tcPr>
          <w:p>
            <w:pPr>
              <w:spacing w:after="0"/>
              <w:rPr>
                <w:sz w:val="18"/>
                <w:szCs w:val="18"/>
                <w:color w:val="auto"/>
              </w:rPr>
            </w:pPr>
          </w:p>
        </w:tc>
        <w:tc>
          <w:tcPr>
            <w:tcW w:w="1060" w:type="dxa"/>
            <w:vAlign w:val="bottom"/>
            <w:tcBorders>
              <w:right w:val="single" w:sz="8" w:color="CFF0FC"/>
            </w:tcBorders>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2,014</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3,031</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2"/>
        </w:trPr>
        <w:tc>
          <w:tcPr>
            <w:tcW w:w="2520" w:type="dxa"/>
            <w:vAlign w:val="bottom"/>
            <w:shd w:val="clear" w:color="auto" w:fill="CFF0FC"/>
          </w:tcPr>
          <w:p>
            <w:pPr>
              <w:spacing w:after="0"/>
              <w:rPr>
                <w:sz w:val="18"/>
                <w:szCs w:val="18"/>
                <w:color w:val="auto"/>
              </w:rPr>
            </w:pPr>
          </w:p>
        </w:tc>
        <w:tc>
          <w:tcPr>
            <w:tcW w:w="2380" w:type="dxa"/>
            <w:vAlign w:val="bottom"/>
            <w:shd w:val="clear" w:color="auto" w:fill="CFF0FC"/>
          </w:tcPr>
          <w:p>
            <w:pPr>
              <w:ind w:left="100"/>
              <w:spacing w:after="0"/>
              <w:rPr>
                <w:sz w:val="20"/>
                <w:szCs w:val="20"/>
                <w:color w:val="auto"/>
              </w:rPr>
            </w:pPr>
            <w:r>
              <w:rPr>
                <w:rFonts w:ascii="Arial" w:cs="Arial" w:eastAsia="Arial" w:hAnsi="Arial"/>
                <w:sz w:val="16"/>
                <w:szCs w:val="16"/>
                <w:color w:val="auto"/>
              </w:rPr>
              <w:t>(1,429,228 units)</w:t>
            </w:r>
          </w:p>
        </w:tc>
        <w:tc>
          <w:tcPr>
            <w:tcW w:w="9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60" w:type="dxa"/>
            <w:vAlign w:val="bottom"/>
            <w:tcBorders>
              <w:right w:val="single" w:sz="8" w:color="CFF0FC"/>
            </w:tcBorders>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tcPr>
          <w:p>
            <w:pPr>
              <w:spacing w:after="0" w:line="216" w:lineRule="exact"/>
              <w:rPr>
                <w:sz w:val="20"/>
                <w:szCs w:val="20"/>
                <w:color w:val="auto"/>
              </w:rPr>
            </w:pPr>
            <w:r>
              <w:rPr>
                <w:rFonts w:ascii="Arial" w:cs="Arial" w:eastAsia="Arial" w:hAnsi="Arial"/>
                <w:sz w:val="15"/>
                <w:szCs w:val="15"/>
                <w:color w:val="auto"/>
                <w:w w:val="96"/>
              </w:rPr>
              <w:t xml:space="preserve">DaySmart Holdings, LLC </w:t>
            </w:r>
            <w:r>
              <w:rPr>
                <w:rFonts w:ascii="Arial" w:cs="Arial" w:eastAsia="Arial" w:hAnsi="Arial"/>
                <w:sz w:val="25"/>
                <w:szCs w:val="25"/>
                <w:color w:val="auto"/>
                <w:w w:val="96"/>
                <w:vertAlign w:val="superscript"/>
              </w:rPr>
              <w:t>(13)(14)(15)</w:t>
            </w:r>
          </w:p>
        </w:tc>
        <w:tc>
          <w:tcPr>
            <w:tcW w:w="2380" w:type="dxa"/>
            <w:vAlign w:val="bottom"/>
          </w:tcPr>
          <w:p>
            <w:pPr>
              <w:ind w:left="100"/>
              <w:spacing w:after="0"/>
              <w:rPr>
                <w:sz w:val="20"/>
                <w:szCs w:val="20"/>
                <w:color w:val="auto"/>
              </w:rPr>
            </w:pPr>
            <w:r>
              <w:rPr>
                <w:rFonts w:ascii="Arial" w:cs="Arial" w:eastAsia="Arial" w:hAnsi="Arial"/>
                <w:sz w:val="16"/>
                <w:szCs w:val="16"/>
                <w:color w:val="auto"/>
              </w:rPr>
              <w:t>Class A Units (155,240 units)</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10/1/2019</w:t>
            </w:r>
          </w:p>
        </w:tc>
        <w:tc>
          <w:tcPr>
            <w:tcW w:w="1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1,234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1,413</w:t>
            </w:r>
          </w:p>
        </w:tc>
        <w:tc>
          <w:tcPr>
            <w:tcW w:w="2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0"/>
        </w:trPr>
        <w:tc>
          <w:tcPr>
            <w:tcW w:w="2520" w:type="dxa"/>
            <w:vAlign w:val="bottom"/>
            <w:shd w:val="clear" w:color="auto" w:fill="CFF0FC"/>
          </w:tcPr>
          <w:p>
            <w:pPr>
              <w:spacing w:after="0" w:line="20" w:lineRule="exact"/>
              <w:rPr>
                <w:sz w:val="1"/>
                <w:szCs w:val="1"/>
                <w:color w:val="auto"/>
              </w:rPr>
            </w:pPr>
          </w:p>
        </w:tc>
        <w:tc>
          <w:tcPr>
            <w:tcW w:w="238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1340" w:type="dxa"/>
            <w:vAlign w:val="bottom"/>
            <w:shd w:val="clear" w:color="auto" w:fill="CFF0FC"/>
          </w:tcPr>
          <w:p>
            <w:pPr>
              <w:spacing w:after="0" w:line="20" w:lineRule="exact"/>
              <w:rPr>
                <w:sz w:val="1"/>
                <w:szCs w:val="1"/>
                <w:color w:val="auto"/>
              </w:rPr>
            </w:pPr>
          </w:p>
        </w:tc>
        <w:tc>
          <w:tcPr>
            <w:tcW w:w="1060" w:type="dxa"/>
            <w:vAlign w:val="bottom"/>
            <w:tcBorders>
              <w:right w:val="single" w:sz="8" w:color="CFF0FC"/>
            </w:tcBorders>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520" w:type="dxa"/>
            <w:vAlign w:val="bottom"/>
            <w:shd w:val="clear" w:color="auto" w:fill="CFF0FC"/>
          </w:tcPr>
          <w:p>
            <w:pPr>
              <w:spacing w:after="0"/>
              <w:rPr>
                <w:sz w:val="18"/>
                <w:szCs w:val="18"/>
                <w:color w:val="auto"/>
              </w:rPr>
            </w:pPr>
          </w:p>
        </w:tc>
        <w:tc>
          <w:tcPr>
            <w:tcW w:w="23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60" w:type="dxa"/>
            <w:vAlign w:val="bottom"/>
            <w:tcBorders>
              <w:right w:val="single" w:sz="8" w:color="CFF0FC"/>
            </w:tcBorders>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3,248</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4,444</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07"/>
        </w:trPr>
        <w:tc>
          <w:tcPr>
            <w:tcW w:w="2520" w:type="dxa"/>
            <w:vAlign w:val="bottom"/>
          </w:tcPr>
          <w:p>
            <w:pPr>
              <w:spacing w:after="0"/>
              <w:rPr>
                <w:sz w:val="20"/>
                <w:szCs w:val="20"/>
                <w:color w:val="auto"/>
              </w:rPr>
            </w:pPr>
            <w:r>
              <w:rPr>
                <w:rFonts w:ascii="Arial" w:cs="Arial" w:eastAsia="Arial" w:hAnsi="Arial"/>
                <w:sz w:val="16"/>
                <w:szCs w:val="16"/>
                <w:b w:val="1"/>
                <w:bCs w:val="1"/>
                <w:color w:val="auto"/>
              </w:rPr>
              <w:t>Insurance</w:t>
            </w:r>
          </w:p>
        </w:tc>
        <w:tc>
          <w:tcPr>
            <w:tcW w:w="2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52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Riskonnect, Inc. </w:t>
            </w:r>
            <w:r>
              <w:rPr>
                <w:rFonts w:ascii="Arial" w:cs="Arial" w:eastAsia="Arial" w:hAnsi="Arial"/>
                <w:sz w:val="24"/>
                <w:szCs w:val="24"/>
                <w:color w:val="auto"/>
                <w:vertAlign w:val="superscript"/>
              </w:rPr>
              <w:t>(13)</w:t>
            </w:r>
          </w:p>
        </w:tc>
        <w:tc>
          <w:tcPr>
            <w:tcW w:w="2380" w:type="dxa"/>
            <w:vAlign w:val="bottom"/>
            <w:shd w:val="clear" w:color="auto" w:fill="CFF0FC"/>
          </w:tcPr>
          <w:p>
            <w:pPr>
              <w:ind w:left="100"/>
              <w:spacing w:after="0"/>
              <w:rPr>
                <w:sz w:val="20"/>
                <w:szCs w:val="20"/>
                <w:color w:val="auto"/>
              </w:rPr>
            </w:pPr>
            <w:r>
              <w:rPr>
                <w:rFonts w:ascii="Arial" w:cs="Arial" w:eastAsia="Arial" w:hAnsi="Arial"/>
                <w:sz w:val="16"/>
                <w:szCs w:val="16"/>
                <w:color w:val="auto"/>
                <w:w w:val="98"/>
              </w:rPr>
              <w:t>Common Shares Class A (1,020</w:t>
            </w: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6/30/2017</w:t>
            </w:r>
          </w:p>
        </w:tc>
        <w:tc>
          <w:tcPr>
            <w:tcW w:w="1340" w:type="dxa"/>
            <w:vAlign w:val="bottom"/>
            <w:shd w:val="clear" w:color="auto" w:fill="CFF0FC"/>
          </w:tcPr>
          <w:p>
            <w:pPr>
              <w:spacing w:after="0"/>
              <w:rPr>
                <w:sz w:val="18"/>
                <w:szCs w:val="18"/>
                <w:color w:val="auto"/>
              </w:rPr>
            </w:pPr>
          </w:p>
        </w:tc>
        <w:tc>
          <w:tcPr>
            <w:tcW w:w="1060" w:type="dxa"/>
            <w:vAlign w:val="bottom"/>
            <w:tcBorders>
              <w:right w:val="single" w:sz="8" w:color="CFF0FC"/>
            </w:tcBorders>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1,020</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2,208</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2"/>
        </w:trPr>
        <w:tc>
          <w:tcPr>
            <w:tcW w:w="2520" w:type="dxa"/>
            <w:vAlign w:val="bottom"/>
            <w:shd w:val="clear" w:color="auto" w:fill="CFF0FC"/>
          </w:tcPr>
          <w:p>
            <w:pPr>
              <w:spacing w:after="0"/>
              <w:rPr>
                <w:sz w:val="18"/>
                <w:szCs w:val="18"/>
                <w:color w:val="auto"/>
              </w:rPr>
            </w:pPr>
          </w:p>
        </w:tc>
        <w:tc>
          <w:tcPr>
            <w:tcW w:w="2380" w:type="dxa"/>
            <w:vAlign w:val="bottom"/>
            <w:shd w:val="clear" w:color="auto" w:fill="CFF0FC"/>
          </w:tcPr>
          <w:p>
            <w:pPr>
              <w:ind w:left="100"/>
              <w:spacing w:after="0"/>
              <w:rPr>
                <w:sz w:val="20"/>
                <w:szCs w:val="20"/>
                <w:color w:val="auto"/>
              </w:rPr>
            </w:pPr>
            <w:r>
              <w:rPr>
                <w:rFonts w:ascii="Arial" w:cs="Arial" w:eastAsia="Arial" w:hAnsi="Arial"/>
                <w:sz w:val="16"/>
                <w:szCs w:val="16"/>
                <w:color w:val="auto"/>
              </w:rPr>
              <w:t>units)</w:t>
            </w:r>
          </w:p>
        </w:tc>
        <w:tc>
          <w:tcPr>
            <w:tcW w:w="9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60" w:type="dxa"/>
            <w:vAlign w:val="bottom"/>
            <w:tcBorders>
              <w:right w:val="single" w:sz="8" w:color="CFF0FC"/>
            </w:tcBorders>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520" w:type="dxa"/>
            <w:vAlign w:val="bottom"/>
          </w:tcPr>
          <w:p>
            <w:pPr>
              <w:spacing w:after="0"/>
              <w:rPr>
                <w:sz w:val="17"/>
                <w:szCs w:val="17"/>
                <w:color w:val="auto"/>
              </w:rPr>
            </w:pPr>
          </w:p>
        </w:tc>
        <w:tc>
          <w:tcPr>
            <w:tcW w:w="2380" w:type="dxa"/>
            <w:vAlign w:val="bottom"/>
          </w:tcPr>
          <w:p>
            <w:pPr>
              <w:ind w:left="100"/>
              <w:spacing w:after="0"/>
              <w:rPr>
                <w:sz w:val="20"/>
                <w:szCs w:val="20"/>
                <w:color w:val="auto"/>
              </w:rPr>
            </w:pPr>
            <w:r>
              <w:rPr>
                <w:rFonts w:ascii="Arial" w:cs="Arial" w:eastAsia="Arial" w:hAnsi="Arial"/>
                <w:sz w:val="16"/>
                <w:szCs w:val="16"/>
                <w:color w:val="auto"/>
              </w:rPr>
              <w:t>Common Shares Class B</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6/30/2017</w:t>
            </w:r>
          </w:p>
        </w:tc>
        <w:tc>
          <w:tcPr>
            <w:tcW w:w="1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22</w:t>
            </w:r>
          </w:p>
        </w:tc>
        <w:tc>
          <w:tcPr>
            <w:tcW w:w="22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09"/>
        </w:trPr>
        <w:tc>
          <w:tcPr>
            <w:tcW w:w="2520" w:type="dxa"/>
            <w:vAlign w:val="bottom"/>
            <w:tcBorders>
              <w:bottom w:val="single" w:sz="8" w:color="CFF0FC"/>
            </w:tcBorders>
          </w:tcPr>
          <w:p>
            <w:pPr>
              <w:spacing w:after="0"/>
              <w:rPr>
                <w:sz w:val="18"/>
                <w:szCs w:val="18"/>
                <w:color w:val="auto"/>
              </w:rPr>
            </w:pPr>
          </w:p>
        </w:tc>
        <w:tc>
          <w:tcPr>
            <w:tcW w:w="2380" w:type="dxa"/>
            <w:vAlign w:val="bottom"/>
            <w:tcBorders>
              <w:bottom w:val="single" w:sz="8" w:color="CFF0FC"/>
            </w:tcBorders>
          </w:tcPr>
          <w:p>
            <w:pPr>
              <w:ind w:left="100"/>
              <w:spacing w:after="0"/>
              <w:rPr>
                <w:sz w:val="20"/>
                <w:szCs w:val="20"/>
                <w:color w:val="auto"/>
              </w:rPr>
            </w:pPr>
            <w:r>
              <w:rPr>
                <w:rFonts w:ascii="Arial" w:cs="Arial" w:eastAsia="Arial" w:hAnsi="Arial"/>
                <w:sz w:val="16"/>
                <w:szCs w:val="16"/>
                <w:color w:val="auto"/>
              </w:rPr>
              <w:t>(987,929 units)</w:t>
            </w:r>
          </w:p>
        </w:tc>
        <w:tc>
          <w:tcPr>
            <w:tcW w:w="980" w:type="dxa"/>
            <w:vAlign w:val="bottom"/>
            <w:tcBorders>
              <w:bottom w:val="single" w:sz="8" w:color="CFF0FC"/>
            </w:tcBorders>
          </w:tcPr>
          <w:p>
            <w:pPr>
              <w:spacing w:after="0"/>
              <w:rPr>
                <w:sz w:val="18"/>
                <w:szCs w:val="18"/>
                <w:color w:val="auto"/>
              </w:rPr>
            </w:pPr>
          </w:p>
        </w:tc>
        <w:tc>
          <w:tcPr>
            <w:tcW w:w="1340" w:type="dxa"/>
            <w:vAlign w:val="bottom"/>
            <w:tcBorders>
              <w:bottom w:val="single" w:sz="8" w:color="CFF0FC"/>
            </w:tcBorders>
          </w:tcPr>
          <w:p>
            <w:pPr>
              <w:spacing w:after="0"/>
              <w:rPr>
                <w:sz w:val="18"/>
                <w:szCs w:val="18"/>
                <w:color w:val="auto"/>
              </w:rPr>
            </w:pPr>
          </w:p>
        </w:tc>
        <w:tc>
          <w:tcPr>
            <w:tcW w:w="1060" w:type="dxa"/>
            <w:vAlign w:val="bottom"/>
            <w:tcBorders>
              <w:bottom w:val="single" w:sz="8" w:color="CFF0FC"/>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20" w:type="dxa"/>
            <w:vAlign w:val="bottom"/>
            <w:shd w:val="clear" w:color="auto" w:fill="CFF0FC"/>
          </w:tcPr>
          <w:p>
            <w:pPr>
              <w:spacing w:after="0"/>
              <w:rPr>
                <w:sz w:val="18"/>
                <w:szCs w:val="18"/>
                <w:color w:val="auto"/>
              </w:rPr>
            </w:pPr>
          </w:p>
        </w:tc>
        <w:tc>
          <w:tcPr>
            <w:tcW w:w="23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60" w:type="dxa"/>
            <w:vAlign w:val="bottom"/>
            <w:tcBorders>
              <w:right w:val="single" w:sz="8" w:color="CFF0FC"/>
            </w:tcBorders>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1,030</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2,230</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07"/>
        </w:trPr>
        <w:tc>
          <w:tcPr>
            <w:tcW w:w="2520" w:type="dxa"/>
            <w:vAlign w:val="bottom"/>
          </w:tcPr>
          <w:p>
            <w:pPr>
              <w:spacing w:after="0"/>
              <w:rPr>
                <w:sz w:val="20"/>
                <w:szCs w:val="20"/>
                <w:color w:val="auto"/>
              </w:rPr>
            </w:pPr>
            <w:r>
              <w:rPr>
                <w:rFonts w:ascii="Arial" w:cs="Arial" w:eastAsia="Arial" w:hAnsi="Arial"/>
                <w:sz w:val="16"/>
                <w:szCs w:val="16"/>
                <w:b w:val="1"/>
                <w:bCs w:val="1"/>
                <w:color w:val="auto"/>
              </w:rPr>
              <w:t>Internet Services</w:t>
            </w:r>
          </w:p>
        </w:tc>
        <w:tc>
          <w:tcPr>
            <w:tcW w:w="2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52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Lucidworks, Inc. </w:t>
            </w:r>
            <w:r>
              <w:rPr>
                <w:rFonts w:ascii="Arial" w:cs="Arial" w:eastAsia="Arial" w:hAnsi="Arial"/>
                <w:sz w:val="24"/>
                <w:szCs w:val="24"/>
                <w:color w:val="auto"/>
                <w:vertAlign w:val="superscript"/>
              </w:rPr>
              <w:t>(13)</w:t>
            </w:r>
          </w:p>
        </w:tc>
        <w:tc>
          <w:tcPr>
            <w:tcW w:w="2380" w:type="dxa"/>
            <w:vAlign w:val="bottom"/>
            <w:shd w:val="clear" w:color="auto" w:fill="CFF0FC"/>
          </w:tcPr>
          <w:p>
            <w:pPr>
              <w:ind w:left="100"/>
              <w:spacing w:after="0"/>
              <w:rPr>
                <w:sz w:val="20"/>
                <w:szCs w:val="20"/>
                <w:color w:val="auto"/>
              </w:rPr>
            </w:pPr>
            <w:r>
              <w:rPr>
                <w:rFonts w:ascii="Arial" w:cs="Arial" w:eastAsia="Arial" w:hAnsi="Arial"/>
                <w:sz w:val="16"/>
                <w:szCs w:val="16"/>
                <w:color w:val="auto"/>
              </w:rPr>
              <w:t>Series F Preferred Shares</w:t>
            </w: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8/2/2019</w:t>
            </w:r>
          </w:p>
        </w:tc>
        <w:tc>
          <w:tcPr>
            <w:tcW w:w="1340" w:type="dxa"/>
            <w:vAlign w:val="bottom"/>
            <w:shd w:val="clear" w:color="auto" w:fill="CFF0FC"/>
          </w:tcPr>
          <w:p>
            <w:pPr>
              <w:spacing w:after="0"/>
              <w:rPr>
                <w:sz w:val="18"/>
                <w:szCs w:val="18"/>
                <w:color w:val="auto"/>
              </w:rPr>
            </w:pPr>
          </w:p>
        </w:tc>
        <w:tc>
          <w:tcPr>
            <w:tcW w:w="1060" w:type="dxa"/>
            <w:vAlign w:val="bottom"/>
            <w:tcBorders>
              <w:right w:val="single" w:sz="8" w:color="CFF0FC"/>
            </w:tcBorders>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800</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874</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2"/>
        </w:trPr>
        <w:tc>
          <w:tcPr>
            <w:tcW w:w="2520" w:type="dxa"/>
            <w:vAlign w:val="bottom"/>
            <w:shd w:val="clear" w:color="auto" w:fill="CFF0FC"/>
          </w:tcPr>
          <w:p>
            <w:pPr>
              <w:spacing w:after="0"/>
              <w:rPr>
                <w:sz w:val="18"/>
                <w:szCs w:val="18"/>
                <w:color w:val="auto"/>
              </w:rPr>
            </w:pPr>
          </w:p>
        </w:tc>
        <w:tc>
          <w:tcPr>
            <w:tcW w:w="2380" w:type="dxa"/>
            <w:vAlign w:val="bottom"/>
            <w:shd w:val="clear" w:color="auto" w:fill="CFF0FC"/>
          </w:tcPr>
          <w:p>
            <w:pPr>
              <w:ind w:left="100"/>
              <w:spacing w:after="0"/>
              <w:rPr>
                <w:sz w:val="20"/>
                <w:szCs w:val="20"/>
                <w:color w:val="auto"/>
              </w:rPr>
            </w:pPr>
            <w:r>
              <w:rPr>
                <w:rFonts w:ascii="Arial" w:cs="Arial" w:eastAsia="Arial" w:hAnsi="Arial"/>
                <w:sz w:val="16"/>
                <w:szCs w:val="16"/>
                <w:color w:val="auto"/>
              </w:rPr>
              <w:t>(199,054 shares)</w:t>
            </w:r>
          </w:p>
        </w:tc>
        <w:tc>
          <w:tcPr>
            <w:tcW w:w="9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60" w:type="dxa"/>
            <w:vAlign w:val="bottom"/>
            <w:tcBorders>
              <w:right w:val="single" w:sz="8" w:color="CFF0FC"/>
            </w:tcBorders>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20" w:type="dxa"/>
            <w:vAlign w:val="bottom"/>
          </w:tcPr>
          <w:p>
            <w:pPr>
              <w:spacing w:after="0"/>
              <w:rPr>
                <w:sz w:val="20"/>
                <w:szCs w:val="20"/>
                <w:color w:val="auto"/>
              </w:rPr>
            </w:pPr>
            <w:r>
              <w:rPr>
                <w:rFonts w:ascii="Arial" w:cs="Arial" w:eastAsia="Arial" w:hAnsi="Arial"/>
                <w:sz w:val="16"/>
                <w:szCs w:val="16"/>
                <w:b w:val="1"/>
                <w:bCs w:val="1"/>
                <w:color w:val="auto"/>
              </w:rPr>
              <w:t>Marketing services</w:t>
            </w:r>
          </w:p>
        </w:tc>
        <w:tc>
          <w:tcPr>
            <w:tcW w:w="2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2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Validity, Inc. </w:t>
            </w:r>
            <w:r>
              <w:rPr>
                <w:rFonts w:ascii="Arial" w:cs="Arial" w:eastAsia="Arial" w:hAnsi="Arial"/>
                <w:sz w:val="24"/>
                <w:szCs w:val="24"/>
                <w:color w:val="auto"/>
                <w:vertAlign w:val="superscript"/>
              </w:rPr>
              <w:t>(13)</w:t>
            </w:r>
          </w:p>
        </w:tc>
        <w:tc>
          <w:tcPr>
            <w:tcW w:w="2380" w:type="dxa"/>
            <w:vAlign w:val="bottom"/>
            <w:shd w:val="clear" w:color="auto" w:fill="CFF0FC"/>
          </w:tcPr>
          <w:p>
            <w:pPr>
              <w:ind w:left="100"/>
              <w:spacing w:after="0"/>
              <w:rPr>
                <w:sz w:val="20"/>
                <w:szCs w:val="20"/>
                <w:color w:val="auto"/>
              </w:rPr>
            </w:pPr>
            <w:r>
              <w:rPr>
                <w:rFonts w:ascii="Arial" w:cs="Arial" w:eastAsia="Arial" w:hAnsi="Arial"/>
                <w:sz w:val="16"/>
                <w:szCs w:val="16"/>
                <w:color w:val="auto"/>
              </w:rPr>
              <w:t>Series A Preferred Shares</w:t>
            </w: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5/31/2018</w:t>
            </w:r>
          </w:p>
        </w:tc>
        <w:tc>
          <w:tcPr>
            <w:tcW w:w="1340" w:type="dxa"/>
            <w:vAlign w:val="bottom"/>
            <w:shd w:val="clear" w:color="auto" w:fill="CFF0FC"/>
          </w:tcPr>
          <w:p>
            <w:pPr>
              <w:spacing w:after="0"/>
              <w:rPr>
                <w:sz w:val="18"/>
                <w:szCs w:val="18"/>
                <w:color w:val="auto"/>
              </w:rPr>
            </w:pPr>
          </w:p>
        </w:tc>
        <w:tc>
          <w:tcPr>
            <w:tcW w:w="1060" w:type="dxa"/>
            <w:vAlign w:val="bottom"/>
            <w:tcBorders>
              <w:right w:val="single" w:sz="8" w:color="CFF0FC"/>
            </w:tcBorders>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3,840</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13,056</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2"/>
        </w:trPr>
        <w:tc>
          <w:tcPr>
            <w:tcW w:w="2520" w:type="dxa"/>
            <w:vAlign w:val="bottom"/>
            <w:shd w:val="clear" w:color="auto" w:fill="CFF0FC"/>
          </w:tcPr>
          <w:p>
            <w:pPr>
              <w:spacing w:after="0"/>
              <w:rPr>
                <w:sz w:val="18"/>
                <w:szCs w:val="18"/>
                <w:color w:val="auto"/>
              </w:rPr>
            </w:pPr>
          </w:p>
        </w:tc>
        <w:tc>
          <w:tcPr>
            <w:tcW w:w="2380" w:type="dxa"/>
            <w:vAlign w:val="bottom"/>
            <w:shd w:val="clear" w:color="auto" w:fill="CFF0FC"/>
          </w:tcPr>
          <w:p>
            <w:pPr>
              <w:ind w:left="100"/>
              <w:spacing w:after="0"/>
              <w:rPr>
                <w:sz w:val="20"/>
                <w:szCs w:val="20"/>
                <w:color w:val="auto"/>
              </w:rPr>
            </w:pPr>
            <w:r>
              <w:rPr>
                <w:rFonts w:ascii="Arial" w:cs="Arial" w:eastAsia="Arial" w:hAnsi="Arial"/>
                <w:sz w:val="16"/>
                <w:szCs w:val="16"/>
                <w:color w:val="auto"/>
              </w:rPr>
              <w:t>(3,840,000 shares)</w:t>
            </w:r>
          </w:p>
        </w:tc>
        <w:tc>
          <w:tcPr>
            <w:tcW w:w="9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60" w:type="dxa"/>
            <w:vAlign w:val="bottom"/>
            <w:tcBorders>
              <w:right w:val="single" w:sz="8" w:color="CFF0FC"/>
            </w:tcBorders>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20" w:type="dxa"/>
            <w:vAlign w:val="bottom"/>
          </w:tcPr>
          <w:p>
            <w:pPr>
              <w:spacing w:after="0"/>
              <w:rPr>
                <w:sz w:val="20"/>
                <w:szCs w:val="20"/>
                <w:color w:val="auto"/>
              </w:rPr>
            </w:pPr>
            <w:r>
              <w:rPr>
                <w:rFonts w:ascii="Arial" w:cs="Arial" w:eastAsia="Arial" w:hAnsi="Arial"/>
                <w:sz w:val="16"/>
                <w:szCs w:val="16"/>
                <w:b w:val="1"/>
                <w:bCs w:val="1"/>
                <w:color w:val="auto"/>
              </w:rPr>
              <w:t>Oil, gas and consumable fuels</w:t>
            </w:r>
          </w:p>
        </w:tc>
        <w:tc>
          <w:tcPr>
            <w:tcW w:w="2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20" w:type="dxa"/>
            <w:vAlign w:val="bottom"/>
            <w:shd w:val="clear" w:color="auto" w:fill="CFF0FC"/>
          </w:tcPr>
          <w:p>
            <w:pPr>
              <w:spacing w:after="0" w:line="218" w:lineRule="exact"/>
              <w:rPr>
                <w:sz w:val="20"/>
                <w:szCs w:val="20"/>
                <w:color w:val="auto"/>
              </w:rPr>
            </w:pPr>
            <w:r>
              <w:rPr>
                <w:rFonts w:ascii="Arial" w:cs="Arial" w:eastAsia="Arial" w:hAnsi="Arial"/>
                <w:sz w:val="15"/>
                <w:szCs w:val="15"/>
                <w:color w:val="auto"/>
              </w:rPr>
              <w:t xml:space="preserve">SMPA Holdings LLC </w:t>
            </w:r>
            <w:r>
              <w:rPr>
                <w:rFonts w:ascii="Arial" w:cs="Arial" w:eastAsia="Arial" w:hAnsi="Arial"/>
                <w:sz w:val="25"/>
                <w:szCs w:val="25"/>
                <w:color w:val="auto"/>
                <w:vertAlign w:val="superscript"/>
              </w:rPr>
              <w:t>(6)(13)(14)</w:t>
            </w:r>
          </w:p>
        </w:tc>
        <w:tc>
          <w:tcPr>
            <w:tcW w:w="2380" w:type="dxa"/>
            <w:vAlign w:val="bottom"/>
            <w:shd w:val="clear" w:color="auto" w:fill="CFF0FC"/>
          </w:tcPr>
          <w:p>
            <w:pPr>
              <w:ind w:left="100"/>
              <w:spacing w:after="0"/>
              <w:rPr>
                <w:sz w:val="20"/>
                <w:szCs w:val="20"/>
                <w:color w:val="auto"/>
              </w:rPr>
            </w:pPr>
            <w:r>
              <w:rPr>
                <w:rFonts w:ascii="Arial" w:cs="Arial" w:eastAsia="Arial" w:hAnsi="Arial"/>
                <w:sz w:val="16"/>
                <w:szCs w:val="16"/>
                <w:color w:val="auto"/>
              </w:rPr>
              <w:t>Common Units (15,000 units)</w:t>
            </w: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12/24/2020</w:t>
            </w:r>
          </w:p>
        </w:tc>
        <w:tc>
          <w:tcPr>
            <w:tcW w:w="1340" w:type="dxa"/>
            <w:vAlign w:val="bottom"/>
            <w:shd w:val="clear" w:color="auto" w:fill="CFF0FC"/>
          </w:tcPr>
          <w:p>
            <w:pPr>
              <w:spacing w:after="0"/>
              <w:rPr>
                <w:sz w:val="19"/>
                <w:szCs w:val="19"/>
                <w:color w:val="auto"/>
              </w:rPr>
            </w:pPr>
          </w:p>
        </w:tc>
        <w:tc>
          <w:tcPr>
            <w:tcW w:w="1060" w:type="dxa"/>
            <w:vAlign w:val="bottom"/>
            <w:tcBorders>
              <w:right w:val="single" w:sz="8" w:color="CFF0FC"/>
            </w:tcBorders>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3,892</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3,892</w:t>
            </w:r>
          </w:p>
        </w:tc>
        <w:tc>
          <w:tcPr>
            <w:tcW w:w="2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3"/>
        </w:trPr>
        <w:tc>
          <w:tcPr>
            <w:tcW w:w="2520" w:type="dxa"/>
            <w:vAlign w:val="bottom"/>
          </w:tcPr>
          <w:p>
            <w:pPr>
              <w:spacing w:after="0"/>
              <w:rPr>
                <w:sz w:val="20"/>
                <w:szCs w:val="20"/>
                <w:color w:val="auto"/>
              </w:rPr>
            </w:pPr>
            <w:r>
              <w:rPr>
                <w:rFonts w:ascii="Arial" w:cs="Arial" w:eastAsia="Arial" w:hAnsi="Arial"/>
                <w:sz w:val="16"/>
                <w:szCs w:val="16"/>
                <w:b w:val="1"/>
                <w:bCs w:val="1"/>
                <w:color w:val="auto"/>
              </w:rPr>
              <w:t>Pharmaceuticals</w:t>
            </w:r>
          </w:p>
        </w:tc>
        <w:tc>
          <w:tcPr>
            <w:tcW w:w="2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20" w:type="dxa"/>
            <w:vAlign w:val="bottom"/>
            <w:shd w:val="clear" w:color="auto" w:fill="CFF0FC"/>
          </w:tcPr>
          <w:p>
            <w:pPr>
              <w:spacing w:after="0" w:line="218" w:lineRule="exact"/>
              <w:rPr>
                <w:sz w:val="20"/>
                <w:szCs w:val="20"/>
                <w:color w:val="auto"/>
              </w:rPr>
            </w:pPr>
            <w:r>
              <w:rPr>
                <w:rFonts w:ascii="Arial" w:cs="Arial" w:eastAsia="Arial" w:hAnsi="Arial"/>
                <w:sz w:val="15"/>
                <w:szCs w:val="15"/>
                <w:color w:val="auto"/>
              </w:rPr>
              <w:t xml:space="preserve">TherapeuticsMD, Inc. </w:t>
            </w:r>
            <w:r>
              <w:rPr>
                <w:rFonts w:ascii="Arial" w:cs="Arial" w:eastAsia="Arial" w:hAnsi="Arial"/>
                <w:sz w:val="25"/>
                <w:szCs w:val="25"/>
                <w:color w:val="auto"/>
                <w:vertAlign w:val="superscript"/>
              </w:rPr>
              <w:t>(13)(14)</w:t>
            </w:r>
          </w:p>
        </w:tc>
        <w:tc>
          <w:tcPr>
            <w:tcW w:w="2380" w:type="dxa"/>
            <w:vAlign w:val="bottom"/>
            <w:shd w:val="clear" w:color="auto" w:fill="CFF0FC"/>
          </w:tcPr>
          <w:p>
            <w:pPr>
              <w:ind w:left="100"/>
              <w:spacing w:after="0"/>
              <w:rPr>
                <w:sz w:val="20"/>
                <w:szCs w:val="20"/>
                <w:color w:val="auto"/>
              </w:rPr>
            </w:pPr>
            <w:r>
              <w:rPr>
                <w:rFonts w:ascii="Arial" w:cs="Arial" w:eastAsia="Arial" w:hAnsi="Arial"/>
                <w:sz w:val="16"/>
                <w:szCs w:val="16"/>
                <w:color w:val="auto"/>
              </w:rPr>
              <w:t>712,817 Warrants</w:t>
            </w: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8/5/2020</w:t>
            </w:r>
          </w:p>
        </w:tc>
        <w:tc>
          <w:tcPr>
            <w:tcW w:w="1340" w:type="dxa"/>
            <w:vAlign w:val="bottom"/>
            <w:shd w:val="clear" w:color="auto" w:fill="CFF0FC"/>
          </w:tcPr>
          <w:p>
            <w:pPr>
              <w:spacing w:after="0"/>
              <w:rPr>
                <w:sz w:val="19"/>
                <w:szCs w:val="19"/>
                <w:color w:val="auto"/>
              </w:rPr>
            </w:pPr>
          </w:p>
        </w:tc>
        <w:tc>
          <w:tcPr>
            <w:tcW w:w="1060" w:type="dxa"/>
            <w:vAlign w:val="bottom"/>
            <w:tcBorders>
              <w:right w:val="single" w:sz="8" w:color="CFF0FC"/>
            </w:tcBorders>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1,029</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584</w:t>
            </w:r>
          </w:p>
        </w:tc>
        <w:tc>
          <w:tcPr>
            <w:tcW w:w="2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3"/>
        </w:trPr>
        <w:tc>
          <w:tcPr>
            <w:tcW w:w="2520" w:type="dxa"/>
            <w:vAlign w:val="bottom"/>
          </w:tcPr>
          <w:p>
            <w:pPr>
              <w:spacing w:after="0"/>
              <w:rPr>
                <w:sz w:val="20"/>
                <w:szCs w:val="20"/>
                <w:color w:val="auto"/>
              </w:rPr>
            </w:pPr>
            <w:r>
              <w:rPr>
                <w:rFonts w:ascii="Arial" w:cs="Arial" w:eastAsia="Arial" w:hAnsi="Arial"/>
                <w:sz w:val="16"/>
                <w:szCs w:val="16"/>
                <w:b w:val="1"/>
                <w:bCs w:val="1"/>
                <w:color w:val="auto"/>
              </w:rPr>
              <w:t>Retail and consumer products</w:t>
            </w:r>
          </w:p>
        </w:tc>
        <w:tc>
          <w:tcPr>
            <w:tcW w:w="2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2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Copper Bidco LLC </w:t>
            </w:r>
            <w:r>
              <w:rPr>
                <w:rFonts w:ascii="Arial" w:cs="Arial" w:eastAsia="Arial" w:hAnsi="Arial"/>
                <w:sz w:val="24"/>
                <w:szCs w:val="24"/>
                <w:color w:val="auto"/>
                <w:vertAlign w:val="superscript"/>
              </w:rPr>
              <w:t>(11)(13)(14)</w:t>
            </w:r>
          </w:p>
        </w:tc>
        <w:tc>
          <w:tcPr>
            <w:tcW w:w="2380" w:type="dxa"/>
            <w:vAlign w:val="bottom"/>
            <w:shd w:val="clear" w:color="auto" w:fill="CFF0FC"/>
          </w:tcPr>
          <w:p>
            <w:pPr>
              <w:ind w:left="100"/>
              <w:spacing w:after="0"/>
              <w:rPr>
                <w:sz w:val="20"/>
                <w:szCs w:val="20"/>
                <w:color w:val="auto"/>
              </w:rPr>
            </w:pPr>
            <w:r>
              <w:rPr>
                <w:rFonts w:ascii="Arial" w:cs="Arial" w:eastAsia="Arial" w:hAnsi="Arial"/>
                <w:sz w:val="16"/>
                <w:szCs w:val="16"/>
                <w:color w:val="auto"/>
              </w:rPr>
              <w:t>Trust Certificates (132,928</w:t>
            </w: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12/7/2020</w:t>
            </w:r>
          </w:p>
        </w:tc>
        <w:tc>
          <w:tcPr>
            <w:tcW w:w="1340" w:type="dxa"/>
            <w:vAlign w:val="bottom"/>
            <w:shd w:val="clear" w:color="auto" w:fill="CFF0FC"/>
          </w:tcPr>
          <w:p>
            <w:pPr>
              <w:spacing w:after="0"/>
              <w:rPr>
                <w:sz w:val="18"/>
                <w:szCs w:val="18"/>
                <w:color w:val="auto"/>
              </w:rPr>
            </w:pPr>
          </w:p>
        </w:tc>
        <w:tc>
          <w:tcPr>
            <w:tcW w:w="1060" w:type="dxa"/>
            <w:vAlign w:val="bottom"/>
            <w:tcBorders>
              <w:right w:val="single" w:sz="8" w:color="CFF0FC"/>
            </w:tcBorders>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930</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930</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2"/>
        </w:trPr>
        <w:tc>
          <w:tcPr>
            <w:tcW w:w="2520" w:type="dxa"/>
            <w:vAlign w:val="bottom"/>
            <w:shd w:val="clear" w:color="auto" w:fill="CFF0FC"/>
          </w:tcPr>
          <w:p>
            <w:pPr>
              <w:spacing w:after="0"/>
              <w:rPr>
                <w:sz w:val="18"/>
                <w:szCs w:val="18"/>
                <w:color w:val="auto"/>
              </w:rPr>
            </w:pPr>
          </w:p>
        </w:tc>
        <w:tc>
          <w:tcPr>
            <w:tcW w:w="2380" w:type="dxa"/>
            <w:vAlign w:val="bottom"/>
            <w:shd w:val="clear" w:color="auto" w:fill="CFF0FC"/>
          </w:tcPr>
          <w:p>
            <w:pPr>
              <w:ind w:left="100"/>
              <w:spacing w:after="0"/>
              <w:rPr>
                <w:sz w:val="20"/>
                <w:szCs w:val="20"/>
                <w:color w:val="auto"/>
              </w:rPr>
            </w:pPr>
            <w:r>
              <w:rPr>
                <w:rFonts w:ascii="Arial" w:cs="Arial" w:eastAsia="Arial" w:hAnsi="Arial"/>
                <w:sz w:val="16"/>
                <w:szCs w:val="16"/>
                <w:color w:val="auto"/>
              </w:rPr>
              <w:t>Certificates)</w:t>
            </w:r>
          </w:p>
        </w:tc>
        <w:tc>
          <w:tcPr>
            <w:tcW w:w="9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60" w:type="dxa"/>
            <w:vAlign w:val="bottom"/>
            <w:tcBorders>
              <w:right w:val="single" w:sz="8" w:color="CFF0FC"/>
            </w:tcBorders>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tcPr>
          <w:p>
            <w:pPr>
              <w:spacing w:after="0" w:line="216" w:lineRule="exact"/>
              <w:rPr>
                <w:sz w:val="20"/>
                <w:szCs w:val="20"/>
                <w:color w:val="auto"/>
              </w:rPr>
            </w:pPr>
            <w:r>
              <w:rPr>
                <w:rFonts w:ascii="Arial" w:cs="Arial" w:eastAsia="Arial" w:hAnsi="Arial"/>
                <w:sz w:val="15"/>
                <w:szCs w:val="15"/>
                <w:color w:val="auto"/>
              </w:rPr>
              <w:t xml:space="preserve">NMG Parent LLC Com Unit </w:t>
            </w:r>
            <w:r>
              <w:rPr>
                <w:rFonts w:ascii="Arial" w:cs="Arial" w:eastAsia="Arial" w:hAnsi="Arial"/>
                <w:sz w:val="25"/>
                <w:szCs w:val="25"/>
                <w:color w:val="auto"/>
                <w:vertAlign w:val="superscript"/>
              </w:rPr>
              <w:t>(13)(14)</w:t>
            </w:r>
          </w:p>
        </w:tc>
        <w:tc>
          <w:tcPr>
            <w:tcW w:w="2380" w:type="dxa"/>
            <w:vAlign w:val="bottom"/>
          </w:tcPr>
          <w:p>
            <w:pPr>
              <w:ind w:left="100"/>
              <w:spacing w:after="0"/>
              <w:rPr>
                <w:sz w:val="20"/>
                <w:szCs w:val="20"/>
                <w:color w:val="auto"/>
              </w:rPr>
            </w:pPr>
            <w:r>
              <w:rPr>
                <w:rFonts w:ascii="Arial" w:cs="Arial" w:eastAsia="Arial" w:hAnsi="Arial"/>
                <w:sz w:val="16"/>
                <w:szCs w:val="16"/>
                <w:color w:val="auto"/>
              </w:rPr>
              <w:t>Common Units (110,210 units)</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9/29/2020</w:t>
            </w:r>
          </w:p>
        </w:tc>
        <w:tc>
          <w:tcPr>
            <w:tcW w:w="1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6,613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6,613</w:t>
            </w:r>
          </w:p>
        </w:tc>
        <w:tc>
          <w:tcPr>
            <w:tcW w:w="2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0"/>
        </w:trPr>
        <w:tc>
          <w:tcPr>
            <w:tcW w:w="2520" w:type="dxa"/>
            <w:vAlign w:val="bottom"/>
            <w:shd w:val="clear" w:color="auto" w:fill="CFF0FC"/>
          </w:tcPr>
          <w:p>
            <w:pPr>
              <w:spacing w:after="0" w:line="20" w:lineRule="exact"/>
              <w:rPr>
                <w:sz w:val="1"/>
                <w:szCs w:val="1"/>
                <w:color w:val="auto"/>
              </w:rPr>
            </w:pPr>
          </w:p>
        </w:tc>
        <w:tc>
          <w:tcPr>
            <w:tcW w:w="238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1340" w:type="dxa"/>
            <w:vAlign w:val="bottom"/>
            <w:shd w:val="clear" w:color="auto" w:fill="CFF0FC"/>
          </w:tcPr>
          <w:p>
            <w:pPr>
              <w:spacing w:after="0" w:line="20" w:lineRule="exact"/>
              <w:rPr>
                <w:sz w:val="1"/>
                <w:szCs w:val="1"/>
                <w:color w:val="auto"/>
              </w:rPr>
            </w:pPr>
          </w:p>
        </w:tc>
        <w:tc>
          <w:tcPr>
            <w:tcW w:w="1060" w:type="dxa"/>
            <w:vAlign w:val="bottom"/>
            <w:tcBorders>
              <w:right w:val="single" w:sz="8" w:color="CFF0FC"/>
            </w:tcBorders>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520" w:type="dxa"/>
            <w:vAlign w:val="bottom"/>
            <w:shd w:val="clear" w:color="auto" w:fill="CFF0FC"/>
          </w:tcPr>
          <w:p>
            <w:pPr>
              <w:spacing w:after="0"/>
              <w:rPr>
                <w:sz w:val="17"/>
                <w:szCs w:val="17"/>
                <w:color w:val="auto"/>
              </w:rPr>
            </w:pPr>
          </w:p>
        </w:tc>
        <w:tc>
          <w:tcPr>
            <w:tcW w:w="23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60" w:type="dxa"/>
            <w:vAlign w:val="bottom"/>
            <w:tcBorders>
              <w:right w:val="single" w:sz="8" w:color="CFF0FC"/>
            </w:tcBorders>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7,543</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7,543</w:t>
            </w:r>
          </w:p>
        </w:tc>
        <w:tc>
          <w:tcPr>
            <w:tcW w:w="22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12"/>
        </w:trPr>
        <w:tc>
          <w:tcPr>
            <w:tcW w:w="25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Other Investments</w:t>
            </w:r>
          </w:p>
        </w:tc>
        <w:tc>
          <w:tcPr>
            <w:tcW w:w="23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60" w:type="dxa"/>
            <w:vAlign w:val="bottom"/>
            <w:tcBorders>
              <w:right w:val="single" w:sz="8" w:color="CFF0FC"/>
            </w:tcBorders>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520" w:type="dxa"/>
            <w:vAlign w:val="bottom"/>
          </w:tcPr>
          <w:p>
            <w:pPr>
              <w:spacing w:after="0"/>
              <w:rPr>
                <w:sz w:val="20"/>
                <w:szCs w:val="20"/>
                <w:color w:val="auto"/>
              </w:rPr>
            </w:pPr>
            <w:r>
              <w:rPr>
                <w:rFonts w:ascii="Arial" w:cs="Arial" w:eastAsia="Arial" w:hAnsi="Arial"/>
                <w:sz w:val="16"/>
                <w:szCs w:val="16"/>
                <w:color w:val="auto"/>
              </w:rPr>
              <w:t>Bain Capital Credit CLO Ltd,</w:t>
            </w:r>
          </w:p>
        </w:tc>
        <w:tc>
          <w:tcPr>
            <w:tcW w:w="2380" w:type="dxa"/>
            <w:vAlign w:val="bottom"/>
          </w:tcPr>
          <w:p>
            <w:pPr>
              <w:ind w:left="100"/>
              <w:spacing w:after="0"/>
              <w:rPr>
                <w:sz w:val="20"/>
                <w:szCs w:val="20"/>
                <w:color w:val="auto"/>
              </w:rPr>
            </w:pPr>
            <w:r>
              <w:rPr>
                <w:rFonts w:ascii="Arial" w:cs="Arial" w:eastAsia="Arial" w:hAnsi="Arial"/>
                <w:sz w:val="16"/>
                <w:szCs w:val="16"/>
                <w:color w:val="auto"/>
              </w:rPr>
              <w:t>Structured Product ($500 par,</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10/15/2020</w:t>
            </w:r>
          </w:p>
        </w:tc>
        <w:tc>
          <w:tcPr>
            <w:tcW w:w="1340" w:type="dxa"/>
            <w:vAlign w:val="bottom"/>
          </w:tcPr>
          <w:p>
            <w:pPr>
              <w:ind w:left="140"/>
              <w:spacing w:after="0"/>
              <w:rPr>
                <w:sz w:val="20"/>
                <w:szCs w:val="20"/>
                <w:color w:val="auto"/>
              </w:rPr>
            </w:pPr>
            <w:r>
              <w:rPr>
                <w:rFonts w:ascii="Arial" w:cs="Arial" w:eastAsia="Arial" w:hAnsi="Arial"/>
                <w:sz w:val="16"/>
                <w:szCs w:val="16"/>
                <w:color w:val="auto"/>
              </w:rPr>
              <w:t>L + 5.35%</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5.56%</w:t>
            </w:r>
          </w:p>
        </w:tc>
        <w:tc>
          <w:tcPr>
            <w:tcW w:w="780" w:type="dxa"/>
            <w:vAlign w:val="bottom"/>
          </w:tcPr>
          <w:p>
            <w:pPr>
              <w:jc w:val="right"/>
              <w:spacing w:after="0"/>
              <w:rPr>
                <w:sz w:val="20"/>
                <w:szCs w:val="20"/>
                <w:color w:val="auto"/>
              </w:rPr>
            </w:pPr>
            <w:r>
              <w:rPr>
                <w:rFonts w:ascii="Arial" w:cs="Arial" w:eastAsia="Arial" w:hAnsi="Arial"/>
                <w:sz w:val="16"/>
                <w:szCs w:val="16"/>
                <w:color w:val="auto"/>
              </w:rPr>
              <w:t>411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443</w:t>
            </w:r>
          </w:p>
        </w:tc>
        <w:tc>
          <w:tcPr>
            <w:tcW w:w="22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16"/>
        </w:trPr>
        <w:tc>
          <w:tcPr>
            <w:tcW w:w="2520" w:type="dxa"/>
            <w:vAlign w:val="bottom"/>
          </w:tcPr>
          <w:p>
            <w:pPr>
              <w:ind w:left="120"/>
              <w:spacing w:after="0" w:line="216" w:lineRule="exact"/>
              <w:rPr>
                <w:sz w:val="20"/>
                <w:szCs w:val="20"/>
                <w:color w:val="auto"/>
              </w:rPr>
            </w:pPr>
            <w:r>
              <w:rPr>
                <w:rFonts w:ascii="Arial" w:cs="Arial" w:eastAsia="Arial" w:hAnsi="Arial"/>
                <w:sz w:val="15"/>
                <w:szCs w:val="15"/>
                <w:color w:val="auto"/>
              </w:rPr>
              <w:t xml:space="preserve">Series 2018-1A </w:t>
            </w:r>
            <w:r>
              <w:rPr>
                <w:rFonts w:ascii="Arial" w:cs="Arial" w:eastAsia="Arial" w:hAnsi="Arial"/>
                <w:sz w:val="25"/>
                <w:szCs w:val="25"/>
                <w:color w:val="auto"/>
                <w:vertAlign w:val="superscript"/>
              </w:rPr>
              <w:t>(3)(4)(11)</w:t>
            </w:r>
          </w:p>
        </w:tc>
        <w:tc>
          <w:tcPr>
            <w:tcW w:w="2380" w:type="dxa"/>
            <w:vAlign w:val="bottom"/>
          </w:tcPr>
          <w:p>
            <w:pPr>
              <w:ind w:left="100"/>
              <w:spacing w:after="0"/>
              <w:rPr>
                <w:sz w:val="20"/>
                <w:szCs w:val="20"/>
                <w:color w:val="auto"/>
              </w:rPr>
            </w:pPr>
            <w:r>
              <w:rPr>
                <w:rFonts w:ascii="Arial" w:cs="Arial" w:eastAsia="Arial" w:hAnsi="Arial"/>
                <w:sz w:val="16"/>
                <w:szCs w:val="16"/>
                <w:color w:val="auto"/>
              </w:rPr>
              <w:t>due 4/2031)</w:t>
            </w:r>
          </w:p>
        </w:tc>
        <w:tc>
          <w:tcPr>
            <w:tcW w:w="9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520" w:type="dxa"/>
            <w:vAlign w:val="bottom"/>
            <w:shd w:val="clear" w:color="auto" w:fill="CFF0FC"/>
          </w:tcPr>
          <w:p>
            <w:pPr>
              <w:spacing w:after="0"/>
              <w:rPr>
                <w:sz w:val="20"/>
                <w:szCs w:val="20"/>
                <w:color w:val="auto"/>
              </w:rPr>
            </w:pPr>
            <w:r>
              <w:rPr>
                <w:rFonts w:ascii="Arial" w:cs="Arial" w:eastAsia="Arial" w:hAnsi="Arial"/>
                <w:sz w:val="16"/>
                <w:szCs w:val="16"/>
                <w:color w:val="auto"/>
              </w:rPr>
              <w:t>Carlyle Global Market Strategies</w:t>
            </w:r>
          </w:p>
        </w:tc>
        <w:tc>
          <w:tcPr>
            <w:tcW w:w="2380" w:type="dxa"/>
            <w:vAlign w:val="bottom"/>
            <w:shd w:val="clear" w:color="auto" w:fill="CFF0FC"/>
          </w:tcPr>
          <w:p>
            <w:pPr>
              <w:ind w:left="100"/>
              <w:spacing w:after="0"/>
              <w:rPr>
                <w:sz w:val="20"/>
                <w:szCs w:val="20"/>
                <w:color w:val="auto"/>
              </w:rPr>
            </w:pPr>
            <w:r>
              <w:rPr>
                <w:rFonts w:ascii="Arial" w:cs="Arial" w:eastAsia="Arial" w:hAnsi="Arial"/>
                <w:sz w:val="16"/>
                <w:szCs w:val="16"/>
                <w:color w:val="auto"/>
              </w:rPr>
              <w:t>Structured Product ($1,550 par,</w:t>
            </w: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8/11/2020</w:t>
            </w:r>
          </w:p>
        </w:tc>
        <w:tc>
          <w:tcPr>
            <w:tcW w:w="13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L + 5.75%</w:t>
            </w:r>
          </w:p>
        </w:tc>
        <w:tc>
          <w:tcPr>
            <w:tcW w:w="1060" w:type="dxa"/>
            <w:vAlign w:val="bottom"/>
            <w:tcBorders>
              <w:right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5.97%</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1,203</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1,414</w:t>
            </w:r>
          </w:p>
        </w:tc>
        <w:tc>
          <w:tcPr>
            <w:tcW w:w="22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199"/>
        </w:trPr>
        <w:tc>
          <w:tcPr>
            <w:tcW w:w="25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CLO Ltd, Series 2018-1A</w:t>
            </w:r>
          </w:p>
        </w:tc>
        <w:tc>
          <w:tcPr>
            <w:tcW w:w="2380" w:type="dxa"/>
            <w:vAlign w:val="bottom"/>
            <w:shd w:val="clear" w:color="auto" w:fill="CFF0FC"/>
          </w:tcPr>
          <w:p>
            <w:pPr>
              <w:ind w:left="100"/>
              <w:spacing w:after="0"/>
              <w:rPr>
                <w:sz w:val="20"/>
                <w:szCs w:val="20"/>
                <w:color w:val="auto"/>
              </w:rPr>
            </w:pPr>
            <w:r>
              <w:rPr>
                <w:rFonts w:ascii="Arial" w:cs="Arial" w:eastAsia="Arial" w:hAnsi="Arial"/>
                <w:sz w:val="16"/>
                <w:szCs w:val="16"/>
                <w:color w:val="auto"/>
              </w:rPr>
              <w:t>due 4/2031)</w:t>
            </w:r>
          </w:p>
        </w:tc>
        <w:tc>
          <w:tcPr>
            <w:tcW w:w="98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60" w:type="dxa"/>
            <w:vAlign w:val="bottom"/>
            <w:tcBorders>
              <w:right w:val="single" w:sz="8" w:color="CFF0FC"/>
            </w:tcBorders>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5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4"/>
                <w:szCs w:val="14"/>
                <w:color w:val="auto"/>
              </w:rPr>
              <w:t>(3)(4)(11)</w:t>
            </w:r>
          </w:p>
        </w:tc>
        <w:tc>
          <w:tcPr>
            <w:tcW w:w="238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CFF0FC"/>
            </w:tcBorders>
            <w:shd w:val="clear" w:color="auto" w:fill="CFF0FC"/>
          </w:tcPr>
          <w:p>
            <w:pPr>
              <w:spacing w:after="0"/>
              <w:rPr>
                <w:sz w:val="17"/>
                <w:szCs w:val="17"/>
                <w:color w:val="auto"/>
              </w:rPr>
            </w:pPr>
          </w:p>
        </w:tc>
        <w:tc>
          <w:tcPr>
            <w:tcW w:w="134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right w:val="single" w:sz="8" w:color="CFF0FC"/>
            </w:tcBorders>
            <w:shd w:val="clear" w:color="auto" w:fill="CFF0FC"/>
          </w:tcPr>
          <w:p>
            <w:pPr>
              <w:spacing w:after="0"/>
              <w:rPr>
                <w:sz w:val="17"/>
                <w:szCs w:val="17"/>
                <w:color w:val="auto"/>
              </w:rPr>
            </w:pPr>
          </w:p>
        </w:tc>
        <w:tc>
          <w:tcPr>
            <w:tcW w:w="7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7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520" w:type="dxa"/>
            <w:vAlign w:val="bottom"/>
          </w:tcPr>
          <w:p>
            <w:pPr>
              <w:spacing w:after="0"/>
              <w:rPr>
                <w:sz w:val="20"/>
                <w:szCs w:val="20"/>
                <w:color w:val="auto"/>
              </w:rPr>
            </w:pPr>
            <w:r>
              <w:rPr>
                <w:rFonts w:ascii="Arial" w:cs="Arial" w:eastAsia="Arial" w:hAnsi="Arial"/>
                <w:sz w:val="16"/>
                <w:szCs w:val="16"/>
                <w:color w:val="auto"/>
              </w:rPr>
              <w:t>Carlyle Global Market Strategies</w:t>
            </w:r>
          </w:p>
        </w:tc>
        <w:tc>
          <w:tcPr>
            <w:tcW w:w="2380" w:type="dxa"/>
            <w:vAlign w:val="bottom"/>
          </w:tcPr>
          <w:p>
            <w:pPr>
              <w:ind w:left="100"/>
              <w:spacing w:after="0"/>
              <w:rPr>
                <w:sz w:val="20"/>
                <w:szCs w:val="20"/>
                <w:color w:val="auto"/>
              </w:rPr>
            </w:pPr>
            <w:r>
              <w:rPr>
                <w:rFonts w:ascii="Arial" w:cs="Arial" w:eastAsia="Arial" w:hAnsi="Arial"/>
                <w:sz w:val="16"/>
                <w:szCs w:val="16"/>
                <w:color w:val="auto"/>
              </w:rPr>
              <w:t>Structured Product ($4,150 par,</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9/3/2020</w:t>
            </w:r>
          </w:p>
        </w:tc>
        <w:tc>
          <w:tcPr>
            <w:tcW w:w="1340" w:type="dxa"/>
            <w:vAlign w:val="bottom"/>
          </w:tcPr>
          <w:p>
            <w:pPr>
              <w:ind w:left="140"/>
              <w:spacing w:after="0"/>
              <w:rPr>
                <w:sz w:val="20"/>
                <w:szCs w:val="20"/>
                <w:color w:val="auto"/>
              </w:rPr>
            </w:pPr>
            <w:r>
              <w:rPr>
                <w:rFonts w:ascii="Arial" w:cs="Arial" w:eastAsia="Arial" w:hAnsi="Arial"/>
                <w:sz w:val="16"/>
                <w:szCs w:val="16"/>
                <w:color w:val="auto"/>
              </w:rPr>
              <w:t>L + 6.15%</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6.39%</w:t>
            </w:r>
          </w:p>
        </w:tc>
        <w:tc>
          <w:tcPr>
            <w:tcW w:w="780" w:type="dxa"/>
            <w:vAlign w:val="bottom"/>
          </w:tcPr>
          <w:p>
            <w:pPr>
              <w:jc w:val="right"/>
              <w:spacing w:after="0"/>
              <w:rPr>
                <w:sz w:val="20"/>
                <w:szCs w:val="20"/>
                <w:color w:val="auto"/>
              </w:rPr>
            </w:pPr>
            <w:r>
              <w:rPr>
                <w:rFonts w:ascii="Arial" w:cs="Arial" w:eastAsia="Arial" w:hAnsi="Arial"/>
                <w:sz w:val="16"/>
                <w:szCs w:val="16"/>
                <w:color w:val="auto"/>
              </w:rPr>
              <w:t>3,400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3,821</w:t>
            </w:r>
          </w:p>
        </w:tc>
        <w:tc>
          <w:tcPr>
            <w:tcW w:w="22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199"/>
        </w:trPr>
        <w:tc>
          <w:tcPr>
            <w:tcW w:w="2520" w:type="dxa"/>
            <w:vAlign w:val="bottom"/>
          </w:tcPr>
          <w:p>
            <w:pPr>
              <w:ind w:left="120"/>
              <w:spacing w:after="0"/>
              <w:rPr>
                <w:sz w:val="20"/>
                <w:szCs w:val="20"/>
                <w:color w:val="auto"/>
              </w:rPr>
            </w:pPr>
            <w:r>
              <w:rPr>
                <w:rFonts w:ascii="Arial" w:cs="Arial" w:eastAsia="Arial" w:hAnsi="Arial"/>
                <w:sz w:val="16"/>
                <w:szCs w:val="16"/>
                <w:color w:val="auto"/>
              </w:rPr>
              <w:t>CLO Ltd, Series 2017-4A</w:t>
            </w:r>
          </w:p>
        </w:tc>
        <w:tc>
          <w:tcPr>
            <w:tcW w:w="2380" w:type="dxa"/>
            <w:vAlign w:val="bottom"/>
          </w:tcPr>
          <w:p>
            <w:pPr>
              <w:ind w:left="100"/>
              <w:spacing w:after="0"/>
              <w:rPr>
                <w:sz w:val="20"/>
                <w:szCs w:val="20"/>
                <w:color w:val="auto"/>
              </w:rPr>
            </w:pPr>
            <w:r>
              <w:rPr>
                <w:rFonts w:ascii="Arial" w:cs="Arial" w:eastAsia="Arial" w:hAnsi="Arial"/>
                <w:sz w:val="16"/>
                <w:szCs w:val="16"/>
                <w:color w:val="auto"/>
              </w:rPr>
              <w:t>due 1/2030)</w:t>
            </w:r>
          </w:p>
        </w:tc>
        <w:tc>
          <w:tcPr>
            <w:tcW w:w="9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520" w:type="dxa"/>
            <w:vAlign w:val="bottom"/>
          </w:tcPr>
          <w:p>
            <w:pPr>
              <w:ind w:left="120"/>
              <w:spacing w:after="0"/>
              <w:rPr>
                <w:sz w:val="20"/>
                <w:szCs w:val="20"/>
                <w:color w:val="auto"/>
              </w:rPr>
            </w:pPr>
            <w:r>
              <w:rPr>
                <w:rFonts w:ascii="Arial" w:cs="Arial" w:eastAsia="Arial" w:hAnsi="Arial"/>
                <w:sz w:val="14"/>
                <w:szCs w:val="14"/>
                <w:color w:val="auto"/>
              </w:rPr>
              <w:t>(3)(4)(11)</w:t>
            </w:r>
          </w:p>
        </w:tc>
        <w:tc>
          <w:tcPr>
            <w:tcW w:w="2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2520" w:type="dxa"/>
            <w:vAlign w:val="bottom"/>
          </w:tcPr>
          <w:p>
            <w:pPr>
              <w:spacing w:after="0"/>
              <w:rPr>
                <w:sz w:val="3"/>
                <w:szCs w:val="3"/>
                <w:color w:val="auto"/>
              </w:rPr>
            </w:pPr>
          </w:p>
        </w:tc>
        <w:tc>
          <w:tcPr>
            <w:tcW w:w="23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520" w:type="dxa"/>
            <w:vAlign w:val="bottom"/>
            <w:shd w:val="clear" w:color="auto" w:fill="CFF0FC"/>
          </w:tcPr>
          <w:p>
            <w:pPr>
              <w:spacing w:after="0"/>
              <w:rPr>
                <w:sz w:val="20"/>
                <w:szCs w:val="20"/>
                <w:color w:val="auto"/>
              </w:rPr>
            </w:pPr>
            <w:r>
              <w:rPr>
                <w:rFonts w:ascii="Arial" w:cs="Arial" w:eastAsia="Arial" w:hAnsi="Arial"/>
                <w:sz w:val="16"/>
                <w:szCs w:val="16"/>
                <w:color w:val="auto"/>
              </w:rPr>
              <w:t>Madison Park Funding Ltd,</w:t>
            </w:r>
          </w:p>
        </w:tc>
        <w:tc>
          <w:tcPr>
            <w:tcW w:w="2380" w:type="dxa"/>
            <w:vAlign w:val="bottom"/>
            <w:shd w:val="clear" w:color="auto" w:fill="CFF0FC"/>
          </w:tcPr>
          <w:p>
            <w:pPr>
              <w:ind w:left="100"/>
              <w:spacing w:after="0"/>
              <w:rPr>
                <w:sz w:val="20"/>
                <w:szCs w:val="20"/>
                <w:color w:val="auto"/>
              </w:rPr>
            </w:pPr>
            <w:r>
              <w:rPr>
                <w:rFonts w:ascii="Arial" w:cs="Arial" w:eastAsia="Arial" w:hAnsi="Arial"/>
                <w:sz w:val="16"/>
                <w:szCs w:val="16"/>
                <w:color w:val="auto"/>
              </w:rPr>
              <w:t>Structured Product ($2,400 par,</w:t>
            </w: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8/11/2020</w:t>
            </w:r>
          </w:p>
        </w:tc>
        <w:tc>
          <w:tcPr>
            <w:tcW w:w="13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L + 5.80%</w:t>
            </w:r>
          </w:p>
        </w:tc>
        <w:tc>
          <w:tcPr>
            <w:tcW w:w="1060" w:type="dxa"/>
            <w:vAlign w:val="bottom"/>
            <w:tcBorders>
              <w:right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6.02%</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1,983</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2,276</w:t>
            </w:r>
          </w:p>
        </w:tc>
        <w:tc>
          <w:tcPr>
            <w:tcW w:w="22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6"/>
        </w:trPr>
        <w:tc>
          <w:tcPr>
            <w:tcW w:w="2520" w:type="dxa"/>
            <w:vAlign w:val="bottom"/>
            <w:shd w:val="clear" w:color="auto" w:fill="CFF0FC"/>
          </w:tcPr>
          <w:p>
            <w:pPr>
              <w:ind w:left="120"/>
              <w:spacing w:after="0" w:line="216" w:lineRule="exact"/>
              <w:rPr>
                <w:sz w:val="20"/>
                <w:szCs w:val="20"/>
                <w:color w:val="auto"/>
              </w:rPr>
            </w:pPr>
            <w:r>
              <w:rPr>
                <w:rFonts w:ascii="Arial" w:cs="Arial" w:eastAsia="Arial" w:hAnsi="Arial"/>
                <w:sz w:val="15"/>
                <w:szCs w:val="15"/>
                <w:color w:val="auto"/>
              </w:rPr>
              <w:t xml:space="preserve">Series 2014-14A </w:t>
            </w:r>
            <w:r>
              <w:rPr>
                <w:rFonts w:ascii="Arial" w:cs="Arial" w:eastAsia="Arial" w:hAnsi="Arial"/>
                <w:sz w:val="25"/>
                <w:szCs w:val="25"/>
                <w:color w:val="auto"/>
                <w:vertAlign w:val="superscript"/>
              </w:rPr>
              <w:t>(3)(4)(11)</w:t>
            </w:r>
          </w:p>
        </w:tc>
        <w:tc>
          <w:tcPr>
            <w:tcW w:w="2380" w:type="dxa"/>
            <w:vAlign w:val="bottom"/>
            <w:shd w:val="clear" w:color="auto" w:fill="CFF0FC"/>
          </w:tcPr>
          <w:p>
            <w:pPr>
              <w:ind w:left="100"/>
              <w:spacing w:after="0"/>
              <w:rPr>
                <w:sz w:val="20"/>
                <w:szCs w:val="20"/>
                <w:color w:val="auto"/>
              </w:rPr>
            </w:pPr>
            <w:r>
              <w:rPr>
                <w:rFonts w:ascii="Arial" w:cs="Arial" w:eastAsia="Arial" w:hAnsi="Arial"/>
                <w:sz w:val="16"/>
                <w:szCs w:val="16"/>
                <w:color w:val="auto"/>
              </w:rPr>
              <w:t>due 10/2030)</w:t>
            </w:r>
          </w:p>
        </w:tc>
        <w:tc>
          <w:tcPr>
            <w:tcW w:w="9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60" w:type="dxa"/>
            <w:vAlign w:val="bottom"/>
            <w:tcBorders>
              <w:right w:val="single" w:sz="8" w:color="CFF0FC"/>
            </w:tcBorders>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520" w:type="dxa"/>
            <w:vAlign w:val="bottom"/>
          </w:tcPr>
          <w:p>
            <w:pPr>
              <w:spacing w:after="0"/>
              <w:rPr>
                <w:sz w:val="20"/>
                <w:szCs w:val="20"/>
                <w:color w:val="auto"/>
              </w:rPr>
            </w:pPr>
            <w:r>
              <w:rPr>
                <w:rFonts w:ascii="Arial" w:cs="Arial" w:eastAsia="Arial" w:hAnsi="Arial"/>
                <w:sz w:val="16"/>
                <w:szCs w:val="16"/>
                <w:color w:val="auto"/>
              </w:rPr>
              <w:t>OZLM Ltd., Series</w:t>
            </w:r>
          </w:p>
        </w:tc>
        <w:tc>
          <w:tcPr>
            <w:tcW w:w="2380" w:type="dxa"/>
            <w:vAlign w:val="bottom"/>
          </w:tcPr>
          <w:p>
            <w:pPr>
              <w:ind w:left="100"/>
              <w:spacing w:after="0"/>
              <w:rPr>
                <w:sz w:val="20"/>
                <w:szCs w:val="20"/>
                <w:color w:val="auto"/>
              </w:rPr>
            </w:pPr>
            <w:r>
              <w:rPr>
                <w:rFonts w:ascii="Arial" w:cs="Arial" w:eastAsia="Arial" w:hAnsi="Arial"/>
                <w:sz w:val="16"/>
                <w:szCs w:val="16"/>
                <w:color w:val="auto"/>
              </w:rPr>
              <w:t>Structured Product ($2,000 par,</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5/28/2020</w:t>
            </w:r>
          </w:p>
        </w:tc>
        <w:tc>
          <w:tcPr>
            <w:tcW w:w="1340" w:type="dxa"/>
            <w:vAlign w:val="bottom"/>
          </w:tcPr>
          <w:p>
            <w:pPr>
              <w:ind w:left="140"/>
              <w:spacing w:after="0"/>
              <w:rPr>
                <w:sz w:val="20"/>
                <w:szCs w:val="20"/>
                <w:color w:val="auto"/>
              </w:rPr>
            </w:pPr>
            <w:r>
              <w:rPr>
                <w:rFonts w:ascii="Arial" w:cs="Arial" w:eastAsia="Arial" w:hAnsi="Arial"/>
                <w:sz w:val="16"/>
                <w:szCs w:val="16"/>
                <w:color w:val="auto"/>
              </w:rPr>
              <w:t>L + 2.85%</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3.09%</w:t>
            </w:r>
          </w:p>
        </w:tc>
        <w:tc>
          <w:tcPr>
            <w:tcW w:w="780" w:type="dxa"/>
            <w:vAlign w:val="bottom"/>
          </w:tcPr>
          <w:p>
            <w:pPr>
              <w:jc w:val="right"/>
              <w:spacing w:after="0"/>
              <w:rPr>
                <w:sz w:val="20"/>
                <w:szCs w:val="20"/>
                <w:color w:val="auto"/>
              </w:rPr>
            </w:pPr>
            <w:r>
              <w:rPr>
                <w:rFonts w:ascii="Arial" w:cs="Arial" w:eastAsia="Arial" w:hAnsi="Arial"/>
                <w:sz w:val="16"/>
                <w:szCs w:val="16"/>
                <w:color w:val="auto"/>
              </w:rPr>
              <w:t>1,754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1,904</w:t>
            </w:r>
          </w:p>
        </w:tc>
        <w:tc>
          <w:tcPr>
            <w:tcW w:w="22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3"/>
        </w:trPr>
        <w:tc>
          <w:tcPr>
            <w:tcW w:w="2520" w:type="dxa"/>
            <w:vAlign w:val="bottom"/>
            <w:tcBorders>
              <w:bottom w:val="single" w:sz="8" w:color="CFF0FC"/>
            </w:tcBorders>
          </w:tcPr>
          <w:p>
            <w:pPr>
              <w:ind w:left="120"/>
              <w:spacing w:after="0"/>
              <w:rPr>
                <w:sz w:val="20"/>
                <w:szCs w:val="20"/>
                <w:color w:val="auto"/>
              </w:rPr>
            </w:pPr>
            <w:r>
              <w:rPr>
                <w:rFonts w:ascii="Arial" w:cs="Arial" w:eastAsia="Arial" w:hAnsi="Arial"/>
                <w:sz w:val="16"/>
                <w:szCs w:val="16"/>
                <w:color w:val="auto"/>
              </w:rPr>
              <w:t xml:space="preserve">2018-18A </w:t>
            </w:r>
            <w:r>
              <w:rPr>
                <w:rFonts w:ascii="Arial" w:cs="Arial" w:eastAsia="Arial" w:hAnsi="Arial"/>
                <w:sz w:val="13"/>
                <w:szCs w:val="13"/>
                <w:color w:val="auto"/>
              </w:rPr>
              <w:t>(3)(4)(11)</w:t>
            </w:r>
          </w:p>
        </w:tc>
        <w:tc>
          <w:tcPr>
            <w:tcW w:w="2380" w:type="dxa"/>
            <w:vAlign w:val="bottom"/>
            <w:tcBorders>
              <w:bottom w:val="single" w:sz="8" w:color="CFF0FC"/>
            </w:tcBorders>
          </w:tcPr>
          <w:p>
            <w:pPr>
              <w:ind w:left="100"/>
              <w:spacing w:after="0"/>
              <w:rPr>
                <w:sz w:val="20"/>
                <w:szCs w:val="20"/>
                <w:color w:val="auto"/>
              </w:rPr>
            </w:pPr>
            <w:r>
              <w:rPr>
                <w:rFonts w:ascii="Arial" w:cs="Arial" w:eastAsia="Arial" w:hAnsi="Arial"/>
                <w:sz w:val="16"/>
                <w:szCs w:val="16"/>
                <w:color w:val="auto"/>
              </w:rPr>
              <w:t>due 4/2031)</w:t>
            </w:r>
          </w:p>
        </w:tc>
        <w:tc>
          <w:tcPr>
            <w:tcW w:w="980" w:type="dxa"/>
            <w:vAlign w:val="bottom"/>
            <w:tcBorders>
              <w:bottom w:val="single" w:sz="8" w:color="CFF0FC"/>
            </w:tcBorders>
          </w:tcPr>
          <w:p>
            <w:pPr>
              <w:spacing w:after="0"/>
              <w:rPr>
                <w:sz w:val="18"/>
                <w:szCs w:val="18"/>
                <w:color w:val="auto"/>
              </w:rPr>
            </w:pPr>
          </w:p>
        </w:tc>
        <w:tc>
          <w:tcPr>
            <w:tcW w:w="1340" w:type="dxa"/>
            <w:vAlign w:val="bottom"/>
            <w:tcBorders>
              <w:bottom w:val="single" w:sz="8" w:color="CFF0FC"/>
            </w:tcBorders>
          </w:tcPr>
          <w:p>
            <w:pPr>
              <w:spacing w:after="0"/>
              <w:rPr>
                <w:sz w:val="18"/>
                <w:szCs w:val="18"/>
                <w:color w:val="auto"/>
              </w:rPr>
            </w:pPr>
          </w:p>
        </w:tc>
        <w:tc>
          <w:tcPr>
            <w:tcW w:w="1060" w:type="dxa"/>
            <w:vAlign w:val="bottom"/>
            <w:tcBorders>
              <w:bottom w:val="single" w:sz="8" w:color="CFF0FC"/>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520" w:type="dxa"/>
            <w:vAlign w:val="bottom"/>
            <w:shd w:val="clear" w:color="auto" w:fill="CFF0FC"/>
          </w:tcPr>
          <w:p>
            <w:pPr>
              <w:spacing w:after="0"/>
              <w:rPr>
                <w:sz w:val="18"/>
                <w:szCs w:val="18"/>
                <w:color w:val="auto"/>
              </w:rPr>
            </w:pPr>
          </w:p>
        </w:tc>
        <w:tc>
          <w:tcPr>
            <w:tcW w:w="23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60" w:type="dxa"/>
            <w:vAlign w:val="bottom"/>
            <w:tcBorders>
              <w:right w:val="single" w:sz="8" w:color="CFF0FC"/>
            </w:tcBorders>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8,751</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9,858</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0"/>
        </w:trPr>
        <w:tc>
          <w:tcPr>
            <w:tcW w:w="2520" w:type="dxa"/>
            <w:vAlign w:val="bottom"/>
            <w:vMerge w:val="restart"/>
          </w:tcPr>
          <w:p>
            <w:pPr>
              <w:spacing w:after="0"/>
              <w:rPr>
                <w:sz w:val="20"/>
                <w:szCs w:val="20"/>
                <w:color w:val="auto"/>
              </w:rPr>
            </w:pPr>
            <w:r>
              <w:rPr>
                <w:rFonts w:ascii="Arial" w:cs="Arial" w:eastAsia="Arial" w:hAnsi="Arial"/>
                <w:sz w:val="16"/>
                <w:szCs w:val="16"/>
                <w:b w:val="1"/>
                <w:bCs w:val="1"/>
                <w:color w:val="auto"/>
              </w:rPr>
              <w:t>Total Equity and Other</w:t>
            </w:r>
          </w:p>
        </w:tc>
        <w:tc>
          <w:tcPr>
            <w:tcW w:w="2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20" w:type="dxa"/>
            <w:vAlign w:val="bottom"/>
            <w:vMerge w:val="continue"/>
          </w:tcPr>
          <w:p>
            <w:pPr>
              <w:spacing w:after="0"/>
              <w:rPr>
                <w:sz w:val="17"/>
                <w:szCs w:val="17"/>
                <w:color w:val="auto"/>
              </w:rPr>
            </w:pPr>
          </w:p>
        </w:tc>
        <w:tc>
          <w:tcPr>
            <w:tcW w:w="2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80,714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85,941</w:t>
            </w:r>
          </w:p>
        </w:tc>
        <w:tc>
          <w:tcPr>
            <w:tcW w:w="22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13"/>
        </w:trPr>
        <w:tc>
          <w:tcPr>
            <w:tcW w:w="2520" w:type="dxa"/>
            <w:vAlign w:val="bottom"/>
            <w:tcBorders>
              <w:bottom w:val="single" w:sz="8" w:color="CFF0FC"/>
            </w:tcBorders>
          </w:tcPr>
          <w:p>
            <w:pPr>
              <w:ind w:left="120"/>
              <w:spacing w:after="0"/>
              <w:rPr>
                <w:sz w:val="20"/>
                <w:szCs w:val="20"/>
                <w:color w:val="auto"/>
              </w:rPr>
            </w:pPr>
            <w:r>
              <w:rPr>
                <w:rFonts w:ascii="Arial" w:cs="Arial" w:eastAsia="Arial" w:hAnsi="Arial"/>
                <w:sz w:val="16"/>
                <w:szCs w:val="16"/>
                <w:b w:val="1"/>
                <w:bCs w:val="1"/>
                <w:color w:val="auto"/>
              </w:rPr>
              <w:t>Investments</w:t>
            </w:r>
          </w:p>
        </w:tc>
        <w:tc>
          <w:tcPr>
            <w:tcW w:w="2380" w:type="dxa"/>
            <w:vAlign w:val="bottom"/>
            <w:tcBorders>
              <w:bottom w:val="single" w:sz="8" w:color="CFF0FC"/>
            </w:tcBorders>
          </w:tcPr>
          <w:p>
            <w:pPr>
              <w:spacing w:after="0"/>
              <w:rPr>
                <w:sz w:val="18"/>
                <w:szCs w:val="18"/>
                <w:color w:val="auto"/>
              </w:rPr>
            </w:pPr>
          </w:p>
        </w:tc>
        <w:tc>
          <w:tcPr>
            <w:tcW w:w="980" w:type="dxa"/>
            <w:vAlign w:val="bottom"/>
            <w:tcBorders>
              <w:bottom w:val="single" w:sz="8" w:color="CFF0FC"/>
            </w:tcBorders>
          </w:tcPr>
          <w:p>
            <w:pPr>
              <w:spacing w:after="0"/>
              <w:rPr>
                <w:sz w:val="18"/>
                <w:szCs w:val="18"/>
                <w:color w:val="auto"/>
              </w:rPr>
            </w:pPr>
          </w:p>
        </w:tc>
        <w:tc>
          <w:tcPr>
            <w:tcW w:w="1340" w:type="dxa"/>
            <w:vAlign w:val="bottom"/>
            <w:tcBorders>
              <w:bottom w:val="single" w:sz="8" w:color="CFF0FC"/>
            </w:tcBorders>
          </w:tcPr>
          <w:p>
            <w:pPr>
              <w:spacing w:after="0"/>
              <w:rPr>
                <w:sz w:val="18"/>
                <w:szCs w:val="18"/>
                <w:color w:val="auto"/>
              </w:rPr>
            </w:pPr>
          </w:p>
        </w:tc>
        <w:tc>
          <w:tcPr>
            <w:tcW w:w="1060" w:type="dxa"/>
            <w:vAlign w:val="bottom"/>
            <w:tcBorders>
              <w:bottom w:val="single" w:sz="8" w:color="CFF0FC"/>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Total Investments</w:t>
            </w:r>
          </w:p>
        </w:tc>
        <w:tc>
          <w:tcPr>
            <w:tcW w:w="238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right w:val="single" w:sz="8" w:color="CFF0FC"/>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7"/>
              </w:rPr>
              <w:t>$ 2,259,028</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98"/>
              </w:rPr>
              <w:t>2,298,870</w:t>
            </w:r>
          </w:p>
        </w:tc>
        <w:tc>
          <w:tcPr>
            <w:tcW w:w="22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198.0</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98"/>
              </w:rPr>
              <w:t>%</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86"/>
        </w:trPr>
        <w:tc>
          <w:tcPr>
            <w:tcW w:w="2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960" w:type="dxa"/>
            <w:vAlign w:val="bottom"/>
            <w:gridSpan w:val="8"/>
          </w:tcPr>
          <w:p>
            <w:pPr>
              <w:jc w:val="center"/>
              <w:ind w:right="220"/>
              <w:spacing w:after="0"/>
              <w:rPr>
                <w:sz w:val="20"/>
                <w:szCs w:val="20"/>
                <w:color w:val="auto"/>
              </w:rPr>
            </w:pPr>
            <w:r>
              <w:rPr>
                <w:rFonts w:ascii="Arial" w:cs="Arial" w:eastAsia="Arial" w:hAnsi="Arial"/>
                <w:sz w:val="14"/>
                <w:szCs w:val="14"/>
                <w:b w:val="1"/>
                <w:bCs w:val="1"/>
                <w:color w:val="auto"/>
                <w:w w:val="91"/>
              </w:rPr>
              <w:t>Interest Rate Swaps as of December 31, 2020</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120" w:type="dxa"/>
            <w:vAlign w:val="bottom"/>
          </w:tcPr>
          <w:p>
            <w:pPr>
              <w:spacing w:after="0"/>
              <w:rPr>
                <w:sz w:val="11"/>
                <w:szCs w:val="11"/>
                <w:color w:val="auto"/>
              </w:rPr>
            </w:pPr>
          </w:p>
        </w:tc>
        <w:tc>
          <w:tcPr>
            <w:tcW w:w="1300" w:type="dxa"/>
            <w:vAlign w:val="bottom"/>
            <w:tcBorders>
              <w:top w:val="single" w:sz="8" w:color="auto"/>
            </w:tcBorders>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Company</w:t>
            </w:r>
          </w:p>
        </w:tc>
        <w:tc>
          <w:tcPr>
            <w:tcW w:w="1320" w:type="dxa"/>
            <w:vAlign w:val="bottom"/>
            <w:tcBorders>
              <w:top w:val="single" w:sz="8" w:color="auto"/>
            </w:tcBorders>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Company</w:t>
            </w:r>
          </w:p>
        </w:tc>
        <w:tc>
          <w:tcPr>
            <w:tcW w:w="12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2"/>
              </w:rPr>
              <w:t>Notional</w:t>
            </w:r>
          </w:p>
        </w:tc>
        <w:tc>
          <w:tcPr>
            <w:tcW w:w="2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jc w:val="center"/>
              <w:ind w:right="440"/>
              <w:spacing w:after="0" w:line="133" w:lineRule="exact"/>
              <w:rPr>
                <w:sz w:val="20"/>
                <w:szCs w:val="20"/>
                <w:color w:val="auto"/>
              </w:rPr>
            </w:pPr>
            <w:r>
              <w:rPr>
                <w:rFonts w:ascii="Arial" w:cs="Arial" w:eastAsia="Arial" w:hAnsi="Arial"/>
                <w:sz w:val="14"/>
                <w:szCs w:val="14"/>
                <w:b w:val="1"/>
                <w:bCs w:val="1"/>
                <w:color w:val="auto"/>
              </w:rPr>
              <w:t>Fair</w:t>
            </w:r>
          </w:p>
        </w:tc>
        <w:tc>
          <w:tcPr>
            <w:tcW w:w="1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4"/>
              </w:rPr>
              <w:t>Upfront</w:t>
            </w:r>
          </w:p>
        </w:tc>
        <w:tc>
          <w:tcPr>
            <w:tcW w:w="1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center"/>
              <w:ind w:right="92"/>
              <w:spacing w:after="0" w:line="133" w:lineRule="exact"/>
              <w:rPr>
                <w:sz w:val="20"/>
                <w:szCs w:val="20"/>
                <w:color w:val="auto"/>
              </w:rPr>
            </w:pPr>
            <w:r>
              <w:rPr>
                <w:rFonts w:ascii="Arial" w:cs="Arial" w:eastAsia="Arial" w:hAnsi="Arial"/>
                <w:sz w:val="14"/>
                <w:szCs w:val="14"/>
                <w:b w:val="1"/>
                <w:bCs w:val="1"/>
                <w:color w:val="auto"/>
                <w:w w:val="91"/>
              </w:rPr>
              <w:t>Change in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1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500" w:type="dxa"/>
            <w:vAlign w:val="bottom"/>
            <w:gridSpan w:val="3"/>
            <w:vMerge w:val="restart"/>
          </w:tcPr>
          <w:p>
            <w:pPr>
              <w:jc w:val="right"/>
              <w:ind w:right="370"/>
              <w:spacing w:after="0"/>
              <w:rPr>
                <w:sz w:val="20"/>
                <w:szCs w:val="20"/>
                <w:color w:val="auto"/>
              </w:rPr>
            </w:pPr>
            <w:r>
              <w:rPr>
                <w:rFonts w:ascii="Arial" w:cs="Arial" w:eastAsia="Arial" w:hAnsi="Arial"/>
                <w:sz w:val="14"/>
                <w:szCs w:val="14"/>
                <w:b w:val="1"/>
                <w:bCs w:val="1"/>
                <w:color w:val="auto"/>
              </w:rPr>
              <w:t>Maturity Date</w:t>
            </w:r>
          </w:p>
        </w:tc>
        <w:tc>
          <w:tcPr>
            <w:tcW w:w="11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rPr>
              <w:t>Market</w:t>
            </w:r>
          </w:p>
        </w:tc>
        <w:tc>
          <w:tcPr>
            <w:tcW w:w="12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(Payments) /</w:t>
            </w:r>
          </w:p>
        </w:tc>
        <w:tc>
          <w:tcPr>
            <w:tcW w:w="16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71"/>
        </w:trPr>
        <w:tc>
          <w:tcPr>
            <w:tcW w:w="212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Receives</w:t>
            </w: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Pays</w:t>
            </w:r>
          </w:p>
        </w:tc>
        <w:tc>
          <w:tcPr>
            <w:tcW w:w="1500" w:type="dxa"/>
            <w:vAlign w:val="bottom"/>
            <w:gridSpan w:val="3"/>
            <w:vMerge w:val="continue"/>
          </w:tcPr>
          <w:p>
            <w:pPr>
              <w:spacing w:after="0"/>
              <w:rPr>
                <w:sz w:val="14"/>
                <w:szCs w:val="14"/>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4"/>
                <w:szCs w:val="14"/>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Value</w:t>
            </w:r>
          </w:p>
        </w:tc>
        <w:tc>
          <w:tcPr>
            <w:tcW w:w="12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Receipts</w:t>
            </w:r>
          </w:p>
        </w:tc>
        <w:tc>
          <w:tcPr>
            <w:tcW w:w="12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Gains / (Losses)</w:t>
            </w:r>
          </w:p>
        </w:tc>
        <w:tc>
          <w:tcPr>
            <w:tcW w:w="0" w:type="dxa"/>
            <w:vAlign w:val="bottom"/>
          </w:tcPr>
          <w:p>
            <w:pPr>
              <w:spacing w:after="0"/>
              <w:rPr>
                <w:sz w:val="1"/>
                <w:szCs w:val="1"/>
                <w:color w:val="auto"/>
              </w:rPr>
            </w:pPr>
          </w:p>
        </w:tc>
      </w:tr>
      <w:tr>
        <w:trPr>
          <w:trHeight w:val="223"/>
        </w:trPr>
        <w:tc>
          <w:tcPr>
            <w:tcW w:w="2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10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L</w:t>
            </w:r>
          </w:p>
        </w:tc>
        <w:tc>
          <w:tcPr>
            <w:tcW w:w="22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1.47%</w:t>
            </w:r>
          </w:p>
        </w:tc>
        <w:tc>
          <w:tcPr>
            <w:tcW w:w="24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7/30/2021</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11,700</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20" w:type="dxa"/>
            <w:vAlign w:val="bottom"/>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4.50%</w:t>
            </w:r>
          </w:p>
        </w:tc>
        <w:tc>
          <w:tcPr>
            <w:tcW w:w="220" w:type="dxa"/>
            <w:vAlign w:val="bottom"/>
          </w:tcPr>
          <w:p>
            <w:pPr>
              <w:spacing w:after="0"/>
              <w:rPr>
                <w:sz w:val="19"/>
                <w:szCs w:val="19"/>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L + 2.37%</w:t>
            </w:r>
          </w:p>
        </w:tc>
        <w:tc>
          <w:tcPr>
            <w:tcW w:w="1200" w:type="dxa"/>
            <w:vAlign w:val="bottom"/>
          </w:tcPr>
          <w:p>
            <w:pPr>
              <w:jc w:val="right"/>
              <w:spacing w:after="0"/>
              <w:rPr>
                <w:sz w:val="20"/>
                <w:szCs w:val="20"/>
                <w:color w:val="auto"/>
              </w:rPr>
            </w:pPr>
            <w:r>
              <w:rPr>
                <w:rFonts w:ascii="Arial" w:cs="Arial" w:eastAsia="Arial" w:hAnsi="Arial"/>
                <w:sz w:val="18"/>
                <w:szCs w:val="18"/>
                <w:color w:val="auto"/>
              </w:rPr>
              <w:t>8/1/2022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115,000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3,480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4.50%</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center"/>
              <w:ind w:right="240"/>
              <w:spacing w:after="0"/>
              <w:rPr>
                <w:sz w:val="20"/>
                <w:szCs w:val="20"/>
                <w:color w:val="auto"/>
              </w:rPr>
            </w:pPr>
            <w:r>
              <w:rPr>
                <w:rFonts w:ascii="Arial" w:cs="Arial" w:eastAsia="Arial" w:hAnsi="Arial"/>
                <w:sz w:val="18"/>
                <w:szCs w:val="18"/>
                <w:color w:val="auto"/>
                <w:w w:val="93"/>
              </w:rPr>
              <w:t>L + 1.59%</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8/1/2022</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20" w:type="dxa"/>
            <w:vAlign w:val="bottom"/>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4.50%</w:t>
            </w:r>
          </w:p>
        </w:tc>
        <w:tc>
          <w:tcPr>
            <w:tcW w:w="220" w:type="dxa"/>
            <w:vAlign w:val="bottom"/>
          </w:tcPr>
          <w:p>
            <w:pPr>
              <w:spacing w:after="0"/>
              <w:rPr>
                <w:sz w:val="19"/>
                <w:szCs w:val="19"/>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L + 1.60%</w:t>
            </w:r>
          </w:p>
        </w:tc>
        <w:tc>
          <w:tcPr>
            <w:tcW w:w="1200" w:type="dxa"/>
            <w:vAlign w:val="bottom"/>
          </w:tcPr>
          <w:p>
            <w:pPr>
              <w:jc w:val="right"/>
              <w:spacing w:after="0"/>
              <w:rPr>
                <w:sz w:val="20"/>
                <w:szCs w:val="20"/>
                <w:color w:val="auto"/>
              </w:rPr>
            </w:pPr>
            <w:r>
              <w:rPr>
                <w:rFonts w:ascii="Arial" w:cs="Arial" w:eastAsia="Arial" w:hAnsi="Arial"/>
                <w:sz w:val="18"/>
                <w:szCs w:val="18"/>
                <w:color w:val="auto"/>
              </w:rPr>
              <w:t>8/1/2022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7,500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1300" w:type="dxa"/>
            <w:vAlign w:val="bottom"/>
            <w:gridSpan w:val="2"/>
            <w:shd w:val="clear" w:color="auto" w:fill="CFF0FC"/>
          </w:tcPr>
          <w:p>
            <w:pPr>
              <w:jc w:val="center"/>
              <w:ind w:right="260"/>
              <w:spacing w:after="0"/>
              <w:rPr>
                <w:sz w:val="20"/>
                <w:szCs w:val="20"/>
                <w:color w:val="auto"/>
              </w:rPr>
            </w:pPr>
            <w:r>
              <w:rPr>
                <w:rFonts w:ascii="Arial" w:cs="Arial" w:eastAsia="Arial" w:hAnsi="Arial"/>
                <w:sz w:val="18"/>
                <w:szCs w:val="18"/>
                <w:color w:val="auto"/>
                <w:w w:val="93"/>
              </w:rPr>
              <w:t>L + 2.11%</w:t>
            </w: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4.50%</w:t>
            </w: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8/1/2022</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27,531</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(949)</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20" w:type="dxa"/>
            <w:vAlign w:val="bottom"/>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L + 2.11%</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4.50%</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8/1/2022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2,160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4.50%</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center"/>
              <w:ind w:right="240"/>
              <w:spacing w:after="0"/>
              <w:rPr>
                <w:sz w:val="20"/>
                <w:szCs w:val="20"/>
                <w:color w:val="auto"/>
              </w:rPr>
            </w:pPr>
            <w:r>
              <w:rPr>
                <w:rFonts w:ascii="Arial" w:cs="Arial" w:eastAsia="Arial" w:hAnsi="Arial"/>
                <w:sz w:val="18"/>
                <w:szCs w:val="18"/>
                <w:color w:val="auto"/>
                <w:w w:val="93"/>
              </w:rPr>
              <w:t>L + 1.99%</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1/22/2023</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7,055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20" w:type="dxa"/>
            <w:vAlign w:val="bottom"/>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L</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0.33%</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6/9/2023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5,000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21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(a)(e)</w:t>
            </w:r>
          </w:p>
        </w:tc>
        <w:tc>
          <w:tcPr>
            <w:tcW w:w="1300" w:type="dxa"/>
            <w:vAlign w:val="bottom"/>
            <w:gridSpan w:val="2"/>
            <w:shd w:val="clear" w:color="auto" w:fill="CFF0FC"/>
          </w:tcPr>
          <w:p>
            <w:pPr>
              <w:jc w:val="center"/>
              <w:ind w:right="240"/>
              <w:spacing w:after="0"/>
              <w:rPr>
                <w:sz w:val="20"/>
                <w:szCs w:val="20"/>
                <w:color w:val="auto"/>
              </w:rPr>
            </w:pPr>
            <w:r>
              <w:rPr>
                <w:rFonts w:ascii="Arial" w:cs="Arial" w:eastAsia="Arial" w:hAnsi="Arial"/>
                <w:sz w:val="18"/>
                <w:szCs w:val="18"/>
                <w:color w:val="auto"/>
                <w:w w:val="95"/>
              </w:rPr>
              <w:t>L + 2.28%</w:t>
            </w: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3.875%</w:t>
            </w: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11/1/2024</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20" w:type="dxa"/>
            <w:vAlign w:val="bottom"/>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(a)(b)</w:t>
            </w: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L</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1.97%</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6/25/2020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(a)(b)</w:t>
            </w:r>
          </w:p>
        </w:tc>
        <w:tc>
          <w:tcPr>
            <w:tcW w:w="1300" w:type="dxa"/>
            <w:vAlign w:val="bottom"/>
            <w:gridSpan w:val="2"/>
            <w:shd w:val="clear" w:color="auto" w:fill="CFF0FC"/>
          </w:tcPr>
          <w:p>
            <w:pPr>
              <w:jc w:val="center"/>
              <w:ind w:right="240"/>
              <w:spacing w:after="0"/>
              <w:rPr>
                <w:sz w:val="20"/>
                <w:szCs w:val="20"/>
                <w:color w:val="auto"/>
              </w:rPr>
            </w:pPr>
            <w:r>
              <w:rPr>
                <w:rFonts w:ascii="Arial" w:cs="Arial" w:eastAsia="Arial" w:hAnsi="Arial"/>
                <w:sz w:val="18"/>
                <w:szCs w:val="18"/>
                <w:color w:val="auto"/>
                <w:w w:val="99"/>
              </w:rPr>
              <w:t>L</w:t>
            </w: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1.36%</w:t>
            </w: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7/29/2022</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2120" w:type="dxa"/>
            <w:vAlign w:val="bottom"/>
          </w:tcPr>
          <w:p>
            <w:pPr>
              <w:spacing w:after="0"/>
              <w:rPr>
                <w:sz w:val="20"/>
                <w:szCs w:val="20"/>
                <w:color w:val="auto"/>
              </w:rPr>
            </w:pPr>
            <w:r>
              <w:rPr>
                <w:rFonts w:ascii="Arial" w:cs="Arial" w:eastAsia="Arial" w:hAnsi="Arial"/>
                <w:sz w:val="18"/>
                <w:szCs w:val="18"/>
                <w:color w:val="auto"/>
              </w:rPr>
              <w:t>Total</w:t>
            </w: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371,391</w:t>
            </w: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11,869</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1,476</w:t>
            </w: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20" w:type="dxa"/>
            <w:vAlign w:val="bottom"/>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(a)(c)(d)</w:t>
            </w: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3.875%</w:t>
            </w:r>
          </w:p>
        </w:tc>
        <w:tc>
          <w:tcPr>
            <w:tcW w:w="220" w:type="dxa"/>
            <w:vAlign w:val="bottom"/>
          </w:tcPr>
          <w:p>
            <w:pPr>
              <w:spacing w:after="0"/>
              <w:rPr>
                <w:sz w:val="19"/>
                <w:szCs w:val="19"/>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L + 2.25%</w:t>
            </w:r>
          </w:p>
        </w:tc>
        <w:tc>
          <w:tcPr>
            <w:tcW w:w="1200" w:type="dxa"/>
            <w:vAlign w:val="bottom"/>
          </w:tcPr>
          <w:p>
            <w:pPr>
              <w:jc w:val="right"/>
              <w:spacing w:after="0"/>
              <w:rPr>
                <w:sz w:val="20"/>
                <w:szCs w:val="20"/>
                <w:color w:val="auto"/>
              </w:rPr>
            </w:pPr>
            <w:r>
              <w:rPr>
                <w:rFonts w:ascii="Arial" w:cs="Arial" w:eastAsia="Arial" w:hAnsi="Arial"/>
                <w:sz w:val="18"/>
                <w:szCs w:val="18"/>
                <w:color w:val="auto"/>
              </w:rPr>
              <w:t>11/1/2024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300,000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14,716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16,503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(a)(c)(d)</w:t>
            </w: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3.875%</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center"/>
              <w:ind w:right="240"/>
              <w:spacing w:after="0"/>
              <w:rPr>
                <w:sz w:val="20"/>
                <w:szCs w:val="20"/>
                <w:color w:val="auto"/>
              </w:rPr>
            </w:pPr>
            <w:r>
              <w:rPr>
                <w:rFonts w:ascii="Arial" w:cs="Arial" w:eastAsia="Arial" w:hAnsi="Arial"/>
                <w:sz w:val="18"/>
                <w:szCs w:val="18"/>
                <w:color w:val="auto"/>
                <w:w w:val="93"/>
              </w:rPr>
              <w:t>L + 2.46%</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11/1/2024</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2,053</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120" w:type="dxa"/>
            <w:vAlign w:val="bottom"/>
          </w:tcPr>
          <w:p>
            <w:pPr>
              <w:spacing w:after="0"/>
              <w:rPr>
                <w:sz w:val="20"/>
                <w:szCs w:val="20"/>
                <w:color w:val="auto"/>
              </w:rPr>
            </w:pPr>
            <w:r>
              <w:rPr>
                <w:rFonts w:ascii="Arial" w:cs="Arial" w:eastAsia="Arial" w:hAnsi="Arial"/>
                <w:sz w:val="18"/>
                <w:szCs w:val="18"/>
                <w:color w:val="auto"/>
              </w:rPr>
              <w:t>Total</w:t>
            </w: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350,000</w:t>
            </w: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16,769</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20" w:type="dxa"/>
            <w:vAlign w:val="bottom"/>
            <w:shd w:val="clear" w:color="auto" w:fill="CFF0FC"/>
          </w:tcPr>
          <w:p>
            <w:pPr>
              <w:spacing w:after="0"/>
              <w:rPr>
                <w:sz w:val="20"/>
                <w:szCs w:val="20"/>
                <w:color w:val="auto"/>
              </w:rPr>
            </w:pPr>
            <w:r>
              <w:rPr>
                <w:rFonts w:ascii="Arial" w:cs="Arial" w:eastAsia="Arial" w:hAnsi="Arial"/>
                <w:sz w:val="18"/>
                <w:szCs w:val="18"/>
                <w:color w:val="auto"/>
              </w:rPr>
              <w:t>Cash collateral</w:t>
            </w: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(26,431)</w:t>
            </w: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120" w:type="dxa"/>
            <w:vAlign w:val="bottom"/>
          </w:tcPr>
          <w:p>
            <w:pPr>
              <w:ind w:left="260"/>
              <w:spacing w:after="0"/>
              <w:rPr>
                <w:sz w:val="20"/>
                <w:szCs w:val="20"/>
                <w:color w:val="auto"/>
              </w:rPr>
            </w:pPr>
            <w:r>
              <w:rPr>
                <w:rFonts w:ascii="Arial" w:cs="Arial" w:eastAsia="Arial" w:hAnsi="Arial"/>
                <w:sz w:val="18"/>
                <w:szCs w:val="18"/>
                <w:b w:val="1"/>
                <w:bCs w:val="1"/>
                <w:color w:val="auto"/>
              </w:rPr>
              <w:t>Total derivatives</w:t>
            </w: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721,391</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2,207</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1,476</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1000" w:hanging="493"/>
        <w:spacing w:after="0"/>
        <w:tabs>
          <w:tab w:leader="none" w:pos="10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Contains a variable rate structure. Bears interest at a rate determined by three-month LIBOR.</w:t>
      </w:r>
    </w:p>
    <w:p>
      <w:pPr>
        <w:spacing w:after="0" w:line="23" w:lineRule="exact"/>
        <w:rPr>
          <w:rFonts w:ascii="Arial" w:cs="Arial" w:eastAsia="Arial" w:hAnsi="Arial"/>
          <w:sz w:val="18"/>
          <w:szCs w:val="18"/>
          <w:color w:val="auto"/>
        </w:rPr>
      </w:pPr>
    </w:p>
    <w:p>
      <w:pPr>
        <w:ind w:left="1000" w:hanging="493"/>
        <w:spacing w:after="0"/>
        <w:tabs>
          <w:tab w:leader="none" w:pos="10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Interest rate swap was terminated or matured during the period.</w:t>
      </w:r>
    </w:p>
    <w:p>
      <w:pPr>
        <w:spacing w:after="0" w:line="9" w:lineRule="exact"/>
        <w:rPr>
          <w:rFonts w:ascii="Arial" w:cs="Arial" w:eastAsia="Arial" w:hAnsi="Arial"/>
          <w:sz w:val="18"/>
          <w:szCs w:val="18"/>
          <w:color w:val="auto"/>
        </w:rPr>
      </w:pPr>
    </w:p>
    <w:p>
      <w:pPr>
        <w:ind w:left="1000" w:right="200" w:hanging="493"/>
        <w:spacing w:after="0" w:line="250" w:lineRule="auto"/>
        <w:tabs>
          <w:tab w:leader="none" w:pos="10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Instrument is used in a hedge accounting relationship. The associated change in fair value is recorded along with the change in fair value of the hedged item within interest expense.</w:t>
      </w:r>
    </w:p>
    <w:p>
      <w:pPr>
        <w:ind w:left="1000" w:right="180" w:hanging="493"/>
        <w:spacing w:after="0" w:line="250" w:lineRule="auto"/>
        <w:tabs>
          <w:tab w:leader="none" w:pos="10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$2.5 million in aggregate notional value of these instruments is no longer designated as instruments in a hedge accounting relationship. The associated change in fair value of the de-designated portion is recorded within unrealized gain/(loss).</w:t>
      </w:r>
    </w:p>
    <w:p>
      <w:pPr>
        <w:ind w:left="1000" w:right="20" w:hanging="493"/>
        <w:spacing w:after="0" w:line="260" w:lineRule="auto"/>
        <w:tabs>
          <w:tab w:leader="none" w:pos="10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fair market value of this instrument is presented net with the $2.5 million in aggregate notional value of instruments no longer designated as instruments in a hedge accounting relationship.</w:t>
      </w:r>
    </w:p>
    <w:p>
      <w:pPr>
        <w:spacing w:after="0" w:line="90" w:lineRule="exact"/>
        <w:rPr>
          <w:rFonts w:ascii="Arial" w:cs="Arial" w:eastAsia="Arial" w:hAnsi="Arial"/>
          <w:sz w:val="18"/>
          <w:szCs w:val="18"/>
          <w:color w:val="auto"/>
        </w:rPr>
      </w:pPr>
    </w:p>
    <w:p>
      <w:pPr>
        <w:ind w:left="500" w:hanging="492"/>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Certain portfolio company investments are subject to contractual restrictions on sales.</w:t>
      </w:r>
    </w:p>
    <w:p>
      <w:pPr>
        <w:spacing w:after="0" w:line="23" w:lineRule="exact"/>
        <w:rPr>
          <w:rFonts w:ascii="Arial" w:cs="Arial" w:eastAsia="Arial" w:hAnsi="Arial"/>
          <w:sz w:val="18"/>
          <w:szCs w:val="18"/>
          <w:color w:val="auto"/>
        </w:rPr>
      </w:pPr>
    </w:p>
    <w:p>
      <w:pPr>
        <w:ind w:left="500" w:right="20" w:hanging="492"/>
        <w:spacing w:after="0" w:line="250"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ind w:left="500" w:right="20" w:hanging="492"/>
        <w:spacing w:after="0" w:line="265" w:lineRule="auto"/>
        <w:tabs>
          <w:tab w:leader="none" w:pos="5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Investment contains a variable rate structure, subject to an interest rate floor. Variable rate investments bear interest at a rate that may be determined by reference to either London Interbank Offered Rate (“LIBOR” or “L”) (which can include one-, two-, three- or six-month LIBOR), Euro Interbank Offer Rate (“Euribor” or “E”) (which can include one-, two-, three-, or six-month Euribor), Canadian Dollar Offered Rate (“CDOR” or “C”), Bank Bill Swap Bid Rate (“BBSY” or “B”) or an alternate base rate (which can include the Federal Funds Effective Rate or the Prime Rate or “P”), at the borrower’s option, which reset periodically based on the terms of the credit agreement. For investments with multiple interest rate contracts, the interest rate shown is the weighted average interest rate in effect at December 31, 2020.</w:t>
      </w:r>
    </w:p>
    <w:p>
      <w:pPr>
        <w:ind w:left="500" w:right="20" w:hanging="492"/>
        <w:spacing w:after="0" w:line="265" w:lineRule="auto"/>
        <w:tabs>
          <w:tab w:leader="none" w:pos="5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This portfolio company is not a qualifying asset under Section 55(a) of the Investment Company Act of 1940, as amended (the “1940 Act”). Under the 1940 Act, the Company may not acquire any non-qualifying asset unless, at the time such acquisition is made, qualifying assets represent at least 70% of total assets. Non-qualifying assets represented 12.7% of total assets as of December 31, 2020.</w:t>
      </w:r>
    </w:p>
    <w:p>
      <w:pPr>
        <w:ind w:left="500" w:right="60" w:hanging="492"/>
        <w:spacing w:after="0" w:line="265" w:lineRule="auto"/>
        <w:tabs>
          <w:tab w:leader="none" w:pos="5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holds the “last out” tranche.</w:t>
      </w:r>
    </w:p>
    <w:p>
      <w:pPr>
        <w:ind w:left="500" w:right="220" w:hanging="492"/>
        <w:spacing w:after="0" w:line="255"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Under the 1940 Act, the Company is deemed to be an “Affiliated Person” of, as defined in the 1940 Act, this portfolio company, as the Company owns more than 5% of the portfolio company’s outstanding voting securities. Transactions during the year ended December 31, 2020 in which the Company was an Affiliated Person of the portfolio company are as follows: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u w:val="single" w:color="auto"/>
          <w:color w:val="auto"/>
        </w:rPr>
        <w:t>Non-controlled, Affiliated Investments during the year ended December 31, 2020</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ind w:right="39"/>
              <w:spacing w:after="0"/>
              <w:rPr>
                <w:sz w:val="20"/>
                <w:szCs w:val="20"/>
                <w:color w:val="auto"/>
              </w:rPr>
            </w:pPr>
            <w:r>
              <w:rPr>
                <w:rFonts w:ascii="Arial" w:cs="Arial" w:eastAsia="Arial" w:hAnsi="Arial"/>
                <w:sz w:val="14"/>
                <w:szCs w:val="14"/>
                <w:b w:val="1"/>
                <w:bCs w:val="1"/>
                <w:color w:val="auto"/>
              </w:rPr>
              <w:t>Fair</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Net Change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ind w:right="59"/>
              <w:spacing w:after="0"/>
              <w:rPr>
                <w:sz w:val="20"/>
                <w:szCs w:val="20"/>
                <w:color w:val="auto"/>
              </w:rPr>
            </w:pPr>
            <w:r>
              <w:rPr>
                <w:rFonts w:ascii="Arial" w:cs="Arial" w:eastAsia="Arial" w:hAnsi="Arial"/>
                <w:sz w:val="14"/>
                <w:szCs w:val="14"/>
                <w:b w:val="1"/>
                <w:bCs w:val="1"/>
                <w:color w:val="auto"/>
              </w:rPr>
              <w:t>Fair</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3"/>
              </w:rPr>
              <w:t>Value at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2"/>
                <w:szCs w:val="12"/>
                <w:color w:val="auto"/>
              </w:rPr>
            </w:pPr>
          </w:p>
        </w:tc>
        <w:tc>
          <w:tcPr>
            <w:tcW w:w="920" w:type="dxa"/>
            <w:vAlign w:val="bottom"/>
            <w:gridSpan w:val="2"/>
            <w:vMerge w:val="restart"/>
          </w:tcPr>
          <w:p>
            <w:pPr>
              <w:jc w:val="right"/>
              <w:ind w:right="401"/>
              <w:spacing w:after="0"/>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4"/>
              </w:rPr>
              <w:t>Realized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3"/>
              </w:rPr>
              <w:t>Value at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restart"/>
          </w:tcPr>
          <w:p>
            <w:pPr>
              <w:jc w:val="right"/>
              <w:ind w:right="35"/>
              <w:spacing w:after="0"/>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2"/>
                <w:szCs w:val="12"/>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48"/>
        </w:trPr>
        <w:tc>
          <w:tcPr>
            <w:tcW w:w="2380" w:type="dxa"/>
            <w:vAlign w:val="bottom"/>
            <w:gridSpan w:val="2"/>
            <w:vMerge w:val="restart"/>
          </w:tcPr>
          <w:p>
            <w:pPr>
              <w:ind w:left="840"/>
              <w:spacing w:after="0"/>
              <w:rPr>
                <w:sz w:val="20"/>
                <w:szCs w:val="20"/>
                <w:color w:val="auto"/>
              </w:rPr>
            </w:pPr>
            <w:r>
              <w:rPr>
                <w:rFonts w:ascii="Arial" w:cs="Arial" w:eastAsia="Arial" w:hAnsi="Arial"/>
                <w:sz w:val="14"/>
                <w:szCs w:val="14"/>
                <w:b w:val="1"/>
                <w:bCs w:val="1"/>
                <w:color w:val="auto"/>
              </w:rPr>
              <w:t>Company</w:t>
            </w: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December</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In Unrealized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Transfers</w:t>
            </w: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ind w:right="39"/>
              <w:spacing w:after="0"/>
              <w:rPr>
                <w:sz w:val="20"/>
                <w:szCs w:val="20"/>
                <w:color w:val="auto"/>
              </w:rPr>
            </w:pPr>
            <w:r>
              <w:rPr>
                <w:rFonts w:ascii="Arial" w:cs="Arial" w:eastAsia="Arial" w:hAnsi="Arial"/>
                <w:sz w:val="14"/>
                <w:szCs w:val="14"/>
                <w:b w:val="1"/>
                <w:bCs w:val="1"/>
                <w:color w:val="auto"/>
                <w:w w:val="91"/>
              </w:rPr>
              <w:t>31, 2019</w:t>
            </w:r>
          </w:p>
        </w:tc>
        <w:tc>
          <w:tcPr>
            <w:tcW w:w="1220" w:type="dxa"/>
            <w:vAlign w:val="bottom"/>
            <w:gridSpan w:val="4"/>
          </w:tcPr>
          <w:p>
            <w:pPr>
              <w:ind w:left="200"/>
              <w:spacing w:after="0"/>
              <w:rPr>
                <w:sz w:val="20"/>
                <w:szCs w:val="20"/>
                <w:color w:val="auto"/>
              </w:rPr>
            </w:pPr>
            <w:r>
              <w:rPr>
                <w:rFonts w:ascii="Arial" w:cs="Arial" w:eastAsia="Arial" w:hAnsi="Arial"/>
                <w:sz w:val="14"/>
                <w:szCs w:val="14"/>
                <w:b w:val="1"/>
                <w:bCs w:val="1"/>
                <w:color w:val="auto"/>
              </w:rPr>
              <w:t>Additions (a)</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Reductions (b)</w:t>
            </w:r>
          </w:p>
        </w:tc>
        <w:tc>
          <w:tcPr>
            <w:tcW w:w="10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Gain/(Loss)</w:t>
            </w:r>
          </w:p>
        </w:tc>
        <w:tc>
          <w:tcPr>
            <w:tcW w:w="1060" w:type="dxa"/>
            <w:vAlign w:val="bottom"/>
            <w:gridSpan w:val="4"/>
          </w:tcPr>
          <w:p>
            <w:pPr>
              <w:ind w:left="80"/>
              <w:spacing w:after="0"/>
              <w:rPr>
                <w:sz w:val="20"/>
                <w:szCs w:val="20"/>
                <w:color w:val="auto"/>
              </w:rPr>
            </w:pPr>
            <w:r>
              <w:rPr>
                <w:rFonts w:ascii="Arial" w:cs="Arial" w:eastAsia="Arial" w:hAnsi="Arial"/>
                <w:sz w:val="14"/>
                <w:szCs w:val="14"/>
                <w:b w:val="1"/>
                <w:bCs w:val="1"/>
                <w:color w:val="auto"/>
              </w:rPr>
              <w:t>Gain/(Losses)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ind w:right="59"/>
              <w:spacing w:after="0"/>
              <w:rPr>
                <w:sz w:val="20"/>
                <w:szCs w:val="20"/>
                <w:color w:val="auto"/>
              </w:rPr>
            </w:pPr>
            <w:r>
              <w:rPr>
                <w:rFonts w:ascii="Arial" w:cs="Arial" w:eastAsia="Arial" w:hAnsi="Arial"/>
                <w:sz w:val="14"/>
                <w:szCs w:val="14"/>
                <w:b w:val="1"/>
                <w:bCs w:val="1"/>
                <w:color w:val="auto"/>
                <w:w w:val="96"/>
              </w:rPr>
              <w:t>2020</w:t>
            </w:r>
          </w:p>
        </w:tc>
        <w:tc>
          <w:tcPr>
            <w:tcW w:w="20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rPr>
              <w:t>Income</w:t>
            </w:r>
          </w:p>
        </w:tc>
        <w:tc>
          <w:tcPr>
            <w:tcW w:w="200" w:type="dxa"/>
            <w:vAlign w:val="bottom"/>
          </w:tcPr>
          <w:p>
            <w:pPr>
              <w:spacing w:after="0"/>
              <w:rPr>
                <w:sz w:val="14"/>
                <w:szCs w:val="14"/>
                <w:color w:val="auto"/>
              </w:rPr>
            </w:pPr>
          </w:p>
        </w:tc>
        <w:tc>
          <w:tcPr>
            <w:tcW w:w="720" w:type="dxa"/>
            <w:vAlign w:val="bottom"/>
            <w:gridSpan w:val="3"/>
          </w:tcPr>
          <w:p>
            <w:pPr>
              <w:ind w:left="80"/>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23"/>
        </w:trPr>
        <w:tc>
          <w:tcPr>
            <w:tcW w:w="2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AFS Technologies, Inc.</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50,136</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555</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(61,819)</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(691)</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11,819</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4,554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380" w:type="dxa"/>
            <w:vAlign w:val="bottom"/>
            <w:gridSpan w:val="2"/>
          </w:tcPr>
          <w:p>
            <w:pPr>
              <w:spacing w:after="0"/>
              <w:rPr>
                <w:sz w:val="20"/>
                <w:szCs w:val="20"/>
                <w:color w:val="auto"/>
              </w:rPr>
            </w:pPr>
            <w:r>
              <w:rPr>
                <w:rFonts w:ascii="Arial" w:cs="Arial" w:eastAsia="Arial" w:hAnsi="Arial"/>
                <w:sz w:val="18"/>
                <w:szCs w:val="18"/>
                <w:color w:val="auto"/>
              </w:rPr>
              <w:t>MD America Energy,</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80" w:type="dxa"/>
            <w:vAlign w:val="bottom"/>
            <w:gridSpan w:val="2"/>
          </w:tcPr>
          <w:p>
            <w:pPr>
              <w:ind w:left="140"/>
              <w:spacing w:after="0"/>
              <w:rPr>
                <w:sz w:val="20"/>
                <w:szCs w:val="20"/>
                <w:color w:val="auto"/>
              </w:rPr>
            </w:pPr>
            <w:r>
              <w:rPr>
                <w:rFonts w:ascii="Arial" w:cs="Arial" w:eastAsia="Arial" w:hAnsi="Arial"/>
                <w:sz w:val="18"/>
                <w:szCs w:val="18"/>
                <w:color w:val="auto"/>
              </w:rPr>
              <w:t xml:space="preserve">LLC </w:t>
            </w:r>
            <w:r>
              <w:rPr>
                <w:rFonts w:ascii="Arial" w:cs="Arial" w:eastAsia="Arial" w:hAnsi="Arial"/>
                <w:sz w:val="15"/>
                <w:szCs w:val="15"/>
                <w:color w:val="auto"/>
              </w:rPr>
              <w:t>(c)</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61"/>
              <w:spacing w:after="0"/>
              <w:rPr>
                <w:sz w:val="20"/>
                <w:szCs w:val="20"/>
                <w:color w:val="auto"/>
              </w:rPr>
            </w:pPr>
            <w:r>
              <w:rPr>
                <w:rFonts w:ascii="Arial" w:cs="Arial" w:eastAsia="Arial" w:hAnsi="Arial"/>
                <w:sz w:val="18"/>
                <w:szCs w:val="18"/>
                <w:color w:val="auto"/>
              </w:rPr>
              <w:t>(1,094)</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3,476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(3,965)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14,463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12,892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309</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38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50,136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567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(62,913</w:t>
            </w:r>
          </w:p>
        </w:tc>
        <w:tc>
          <w:tcPr>
            <w:tcW w:w="200" w:type="dxa"/>
            <w:vAlign w:val="bottom"/>
            <w:tcBorders>
              <w:top w:val="single" w:sz="8" w:color="CFF0FC"/>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2,785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7,854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14,463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12,892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368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4,606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000" w:right="100" w:hanging="493"/>
        <w:spacing w:after="0" w:line="258" w:lineRule="auto"/>
        <w:tabs>
          <w:tab w:leader="none" w:pos="10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spacing w:after="0" w:line="1" w:lineRule="exact"/>
        <w:rPr>
          <w:rFonts w:ascii="Arial" w:cs="Arial" w:eastAsia="Arial" w:hAnsi="Arial"/>
          <w:sz w:val="18"/>
          <w:szCs w:val="18"/>
          <w:color w:val="auto"/>
        </w:rPr>
      </w:pPr>
    </w:p>
    <w:p>
      <w:pPr>
        <w:ind w:left="1000" w:hanging="493"/>
        <w:spacing w:after="0" w:line="250" w:lineRule="auto"/>
        <w:tabs>
          <w:tab w:leader="none" w:pos="10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may be applied to the outstanding principal balance.</w:t>
      </w:r>
    </w:p>
    <w:p>
      <w:pPr>
        <w:spacing w:after="0" w:line="1" w:lineRule="exact"/>
        <w:rPr>
          <w:rFonts w:ascii="Arial" w:cs="Arial" w:eastAsia="Arial" w:hAnsi="Arial"/>
          <w:sz w:val="18"/>
          <w:szCs w:val="18"/>
          <w:color w:val="auto"/>
        </w:rPr>
      </w:pPr>
    </w:p>
    <w:p>
      <w:pPr>
        <w:ind w:left="1000" w:hanging="493"/>
        <w:spacing w:after="0"/>
        <w:tabs>
          <w:tab w:leader="none" w:pos="10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Includes investment in SMPA Holdings, LLC of 15,000 common equity units.</w:t>
      </w:r>
    </w:p>
    <w:p>
      <w:pPr>
        <w:spacing w:after="0" w:line="102" w:lineRule="exact"/>
        <w:rPr>
          <w:rFonts w:ascii="Arial" w:cs="Arial" w:eastAsia="Arial" w:hAnsi="Arial"/>
          <w:sz w:val="18"/>
          <w:szCs w:val="18"/>
          <w:color w:val="auto"/>
        </w:rPr>
      </w:pPr>
    </w:p>
    <w:p>
      <w:pPr>
        <w:ind w:left="500" w:right="200" w:hanging="492"/>
        <w:spacing w:after="0" w:line="301" w:lineRule="auto"/>
        <w:tabs>
          <w:tab w:leader="none" w:pos="5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year ended December 31, 2020 in which the Company was an Affiliated Person of and was deemed to Control a portfolio company are as follows: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Controlled, Affiliated Investments during the year ended December 31, 2020</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ind w:left="140"/>
              <w:spacing w:after="0"/>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Net Change</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center"/>
              <w:ind w:right="59"/>
              <w:spacing w:after="0"/>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Value at</w:t>
            </w:r>
          </w:p>
        </w:tc>
        <w:tc>
          <w:tcPr>
            <w:tcW w:w="160" w:type="dxa"/>
            <w:vAlign w:val="bottom"/>
          </w:tcPr>
          <w:p>
            <w:pPr>
              <w:spacing w:after="0"/>
              <w:rPr>
                <w:sz w:val="12"/>
                <w:szCs w:val="12"/>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2"/>
                <w:szCs w:val="12"/>
                <w:color w:val="auto"/>
              </w:rPr>
            </w:pPr>
          </w:p>
        </w:tc>
        <w:tc>
          <w:tcPr>
            <w:tcW w:w="8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Gross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right"/>
              <w:ind w:right="241"/>
              <w:spacing w:after="0"/>
              <w:rPr>
                <w:sz w:val="20"/>
                <w:szCs w:val="20"/>
                <w:color w:val="auto"/>
              </w:rPr>
            </w:pPr>
            <w:r>
              <w:rPr>
                <w:rFonts w:ascii="Arial" w:cs="Arial" w:eastAsia="Arial" w:hAnsi="Arial"/>
                <w:sz w:val="14"/>
                <w:szCs w:val="14"/>
                <w:b w:val="1"/>
                <w:bCs w:val="1"/>
                <w:color w:val="auto"/>
                <w:w w:val="94"/>
              </w:rPr>
              <w:t>Realized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6"/>
              </w:rPr>
              <w:t>Value at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6"/>
              </w:rPr>
              <w:t>Other</w:t>
            </w:r>
          </w:p>
        </w:tc>
        <w:tc>
          <w:tcPr>
            <w:tcW w:w="6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48"/>
        </w:trPr>
        <w:tc>
          <w:tcPr>
            <w:tcW w:w="2300" w:type="dxa"/>
            <w:vAlign w:val="bottom"/>
            <w:gridSpan w:val="2"/>
            <w:vMerge w:val="restart"/>
          </w:tcPr>
          <w:p>
            <w:pPr>
              <w:ind w:left="800"/>
              <w:spacing w:after="0"/>
              <w:rPr>
                <w:sz w:val="20"/>
                <w:szCs w:val="20"/>
                <w:color w:val="auto"/>
              </w:rPr>
            </w:pPr>
            <w:r>
              <w:rPr>
                <w:rFonts w:ascii="Arial" w:cs="Arial" w:eastAsia="Arial" w:hAnsi="Arial"/>
                <w:sz w:val="14"/>
                <w:szCs w:val="14"/>
                <w:b w:val="1"/>
                <w:bCs w:val="1"/>
                <w:color w:val="auto"/>
              </w:rPr>
              <w:t>Company</w:t>
            </w:r>
          </w:p>
        </w:tc>
        <w:tc>
          <w:tcPr>
            <w:tcW w:w="100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December</w:t>
            </w: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In Unrealized</w:t>
            </w: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rPr>
              <w:t>Transfers</w:t>
            </w:r>
          </w:p>
        </w:tc>
        <w:tc>
          <w:tcPr>
            <w:tcW w:w="1040" w:type="dxa"/>
            <w:vAlign w:val="bottom"/>
            <w:gridSpan w:val="3"/>
          </w:tcPr>
          <w:p>
            <w:pPr>
              <w:jc w:val="center"/>
              <w:ind w:left="128"/>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Arial" w:cs="Arial" w:eastAsia="Arial" w:hAnsi="Arial"/>
                <w:sz w:val="14"/>
                <w:szCs w:val="14"/>
                <w:b w:val="1"/>
                <w:bCs w:val="1"/>
                <w:color w:val="auto"/>
              </w:rPr>
              <w:t>31, 2019</w:t>
            </w:r>
          </w:p>
        </w:tc>
        <w:tc>
          <w:tcPr>
            <w:tcW w:w="22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Additions (a)</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Reductions (b)</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Gain/(Loss)</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Gain/(Losses)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center"/>
              <w:ind w:right="59"/>
              <w:spacing w:after="0"/>
              <w:rPr>
                <w:sz w:val="20"/>
                <w:szCs w:val="20"/>
                <w:color w:val="auto"/>
              </w:rPr>
            </w:pPr>
            <w:r>
              <w:rPr>
                <w:rFonts w:ascii="Arial" w:cs="Arial" w:eastAsia="Arial" w:hAnsi="Arial"/>
                <w:sz w:val="14"/>
                <w:szCs w:val="14"/>
                <w:b w:val="1"/>
                <w:bCs w:val="1"/>
                <w:color w:val="auto"/>
                <w:w w:val="89"/>
              </w:rPr>
              <w:t>2020</w:t>
            </w:r>
          </w:p>
        </w:tc>
        <w:tc>
          <w:tcPr>
            <w:tcW w:w="220" w:type="dxa"/>
            <w:vAlign w:val="bottom"/>
          </w:tcPr>
          <w:p>
            <w:pPr>
              <w:spacing w:after="0"/>
              <w:rPr>
                <w:sz w:val="14"/>
                <w:szCs w:val="14"/>
                <w:color w:val="auto"/>
              </w:rPr>
            </w:pPr>
          </w:p>
        </w:tc>
        <w:tc>
          <w:tcPr>
            <w:tcW w:w="8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9"/>
              </w:rPr>
              <w:t>Income</w:t>
            </w:r>
          </w:p>
        </w:tc>
        <w:tc>
          <w:tcPr>
            <w:tcW w:w="680" w:type="dxa"/>
            <w:vAlign w:val="bottom"/>
            <w:gridSpan w:val="3"/>
          </w:tcPr>
          <w:p>
            <w:pPr>
              <w:ind w:left="80"/>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23"/>
        </w:trPr>
        <w:tc>
          <w:tcPr>
            <w:tcW w:w="2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IRGSE Holding Corp.</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FF0FC"/>
          </w:tcPr>
          <w:p>
            <w:pPr>
              <w:ind w:left="160"/>
              <w:spacing w:after="0"/>
              <w:rPr>
                <w:sz w:val="20"/>
                <w:szCs w:val="20"/>
                <w:color w:val="auto"/>
              </w:rPr>
            </w:pPr>
            <w:r>
              <w:rPr>
                <w:rFonts w:ascii="Arial" w:cs="Arial" w:eastAsia="Arial" w:hAnsi="Arial"/>
                <w:sz w:val="18"/>
                <w:szCs w:val="18"/>
                <w:color w:val="auto"/>
                <w:w w:val="87"/>
              </w:rPr>
              <w:t>34,812</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6,464</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(467)</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(4,133)</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ind w:left="50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36,676</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3,809</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300" w:type="dxa"/>
            <w:vAlign w:val="bottom"/>
            <w:gridSpan w:val="2"/>
          </w:tcPr>
          <w:p>
            <w:pPr>
              <w:spacing w:after="0"/>
              <w:rPr>
                <w:sz w:val="20"/>
                <w:szCs w:val="20"/>
                <w:color w:val="auto"/>
              </w:rPr>
            </w:pPr>
            <w:r>
              <w:rPr>
                <w:rFonts w:ascii="Arial" w:cs="Arial" w:eastAsia="Arial" w:hAnsi="Arial"/>
                <w:sz w:val="18"/>
                <w:szCs w:val="18"/>
                <w:color w:val="auto"/>
              </w:rPr>
              <w:t>Mississippi Resources,</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gridSpan w:val="2"/>
          </w:tcPr>
          <w:p>
            <w:pPr>
              <w:ind w:left="140"/>
              <w:spacing w:after="0"/>
              <w:rPr>
                <w:sz w:val="20"/>
                <w:szCs w:val="20"/>
                <w:color w:val="auto"/>
              </w:rPr>
            </w:pPr>
            <w:r>
              <w:rPr>
                <w:rFonts w:ascii="Arial" w:cs="Arial" w:eastAsia="Arial" w:hAnsi="Arial"/>
                <w:sz w:val="18"/>
                <w:szCs w:val="18"/>
                <w:color w:val="auto"/>
              </w:rPr>
              <w:t>LLC</w:t>
            </w:r>
          </w:p>
        </w:tc>
        <w:tc>
          <w:tcPr>
            <w:tcW w:w="120" w:type="dxa"/>
            <w:vAlign w:val="bottom"/>
          </w:tcPr>
          <w:p>
            <w:pPr>
              <w:spacing w:after="0"/>
              <w:rPr>
                <w:sz w:val="20"/>
                <w:szCs w:val="20"/>
                <w:color w:val="auto"/>
              </w:rPr>
            </w:pPr>
          </w:p>
        </w:tc>
        <w:tc>
          <w:tcPr>
            <w:tcW w:w="660" w:type="dxa"/>
            <w:vAlign w:val="bottom"/>
          </w:tcPr>
          <w:p>
            <w:pPr>
              <w:ind w:left="160"/>
              <w:spacing w:after="0"/>
              <w:rPr>
                <w:sz w:val="20"/>
                <w:szCs w:val="20"/>
                <w:color w:val="auto"/>
              </w:rPr>
            </w:pPr>
            <w:r>
              <w:rPr>
                <w:rFonts w:ascii="Arial" w:cs="Arial" w:eastAsia="Arial" w:hAnsi="Arial"/>
                <w:sz w:val="18"/>
                <w:szCs w:val="18"/>
                <w:color w:val="auto"/>
                <w:w w:val="87"/>
              </w:rPr>
              <w:t>13,104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(214)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19,329</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(32,219)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ind w:left="50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30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top w:val="single" w:sz="8" w:color="auto"/>
              <w:bottom w:val="single" w:sz="8" w:color="auto"/>
            </w:tcBorders>
            <w:shd w:val="clear" w:color="auto" w:fill="CFF0FC"/>
          </w:tcPr>
          <w:p>
            <w:pPr>
              <w:ind w:left="160"/>
              <w:spacing w:after="0"/>
              <w:rPr>
                <w:sz w:val="20"/>
                <w:szCs w:val="20"/>
                <w:color w:val="auto"/>
              </w:rPr>
            </w:pPr>
            <w:r>
              <w:rPr>
                <w:rFonts w:ascii="Arial" w:cs="Arial" w:eastAsia="Arial" w:hAnsi="Arial"/>
                <w:sz w:val="18"/>
                <w:szCs w:val="18"/>
                <w:b w:val="1"/>
                <w:bCs w:val="1"/>
                <w:color w:val="auto"/>
                <w:w w:val="87"/>
              </w:rPr>
              <w:t>47,916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6,464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(214)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18,862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(36,352</w:t>
            </w:r>
          </w:p>
        </w:tc>
        <w:tc>
          <w:tcPr>
            <w:tcW w:w="140" w:type="dxa"/>
            <w:vAlign w:val="bottom"/>
            <w:tcBorders>
              <w:top w:val="single" w:sz="8" w:color="CFF0FC"/>
              <w:bottom w:val="single" w:sz="8" w:color="CFF0FC"/>
            </w:tcBorders>
            <w:shd w:val="clear" w:color="auto" w:fill="CFF0FC"/>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shd w:val="clear" w:color="auto" w:fill="CFF0FC"/>
          </w:tcPr>
          <w:p>
            <w:pPr>
              <w:ind w:left="500"/>
              <w:spacing w:after="0"/>
              <w:rPr>
                <w:sz w:val="20"/>
                <w:szCs w:val="20"/>
                <w:color w:val="auto"/>
              </w:rPr>
            </w:pPr>
            <w:r>
              <w:rPr>
                <w:rFonts w:ascii="Arial" w:cs="Arial" w:eastAsia="Arial" w:hAnsi="Arial"/>
                <w:sz w:val="18"/>
                <w:szCs w:val="18"/>
                <w:b w:val="1"/>
                <w:bCs w:val="1"/>
                <w:color w:val="auto"/>
                <w:w w:val="99"/>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36,676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3,809</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1000" w:right="100" w:hanging="493"/>
        <w:spacing w:after="0" w:line="258" w:lineRule="auto"/>
        <w:tabs>
          <w:tab w:leader="none" w:pos="10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spacing w:after="0" w:line="1" w:lineRule="exact"/>
        <w:rPr>
          <w:rFonts w:ascii="Arial" w:cs="Arial" w:eastAsia="Arial" w:hAnsi="Arial"/>
          <w:sz w:val="18"/>
          <w:szCs w:val="18"/>
          <w:color w:val="auto"/>
        </w:rPr>
      </w:pPr>
    </w:p>
    <w:p>
      <w:pPr>
        <w:ind w:left="1000" w:hanging="493"/>
        <w:spacing w:after="0" w:line="255" w:lineRule="auto"/>
        <w:tabs>
          <w:tab w:leader="none" w:pos="10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may be applied to the outstanding principal balance.</w:t>
      </w:r>
    </w:p>
    <w:p>
      <w:pPr>
        <w:spacing w:after="0" w:line="95" w:lineRule="exact"/>
        <w:rPr>
          <w:rFonts w:ascii="Arial" w:cs="Arial" w:eastAsia="Arial" w:hAnsi="Arial"/>
          <w:sz w:val="18"/>
          <w:szCs w:val="18"/>
          <w:color w:val="auto"/>
        </w:rPr>
      </w:pPr>
    </w:p>
    <w:p>
      <w:pPr>
        <w:ind w:left="500" w:right="640" w:hanging="492"/>
        <w:spacing w:after="0" w:line="258"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 of December 31, 2020, the estimated cost basis of investments for U.S. federal tax purposes was $2,285,393, resulting in estimated gross unrealized gains and losses of $125,374 and $101,215, respectively.</w:t>
      </w:r>
    </w:p>
    <w:p>
      <w:pPr>
        <w:spacing w:after="0" w:line="1" w:lineRule="exact"/>
        <w:rPr>
          <w:rFonts w:ascii="Arial" w:cs="Arial" w:eastAsia="Arial" w:hAnsi="Arial"/>
          <w:sz w:val="18"/>
          <w:szCs w:val="18"/>
          <w:color w:val="auto"/>
        </w:rPr>
      </w:pPr>
    </w:p>
    <w:p>
      <w:pPr>
        <w:ind w:left="500" w:right="80" w:hanging="492"/>
        <w:spacing w:after="0" w:line="250"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These investments contain a fixed rate structure. The Company entered into an interest rate swap agreement to swap to a floating rate. Refer to Note 5 for further information related to the Company’s interest rate swaps on investments.</w:t>
      </w:r>
    </w:p>
    <w:p>
      <w:pPr>
        <w:ind w:left="500" w:right="80" w:hanging="492"/>
        <w:spacing w:after="0" w:line="250"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In accordance with Financial Accounting Standards Board Accounting Standards Codification Topic 820,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(“Topic ASC 820”), unless otherwise indicated, the fair values of all investments were determined using significant unobservable inputs and are considered Level 3 investments. See Note 6 for further information related to investments at fair value.</w:t>
      </w:r>
    </w:p>
    <w:p>
      <w:pPr>
        <w:spacing w:after="0" w:line="1" w:lineRule="exact"/>
        <w:rPr>
          <w:rFonts w:ascii="Arial" w:cs="Arial" w:eastAsia="Arial" w:hAnsi="Arial"/>
          <w:sz w:val="18"/>
          <w:szCs w:val="18"/>
          <w:color w:val="auto"/>
        </w:rPr>
      </w:pPr>
    </w:p>
    <w:p>
      <w:pPr>
        <w:ind w:left="500" w:right="120" w:hanging="492"/>
        <w:spacing w:after="0" w:line="250"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This investment is valued using observable inputs and is considered a Level 2 investment. See Note 6 for further information related to investments at fair value.</w:t>
      </w:r>
    </w:p>
    <w:p>
      <w:pPr>
        <w:ind w:left="500" w:right="120" w:hanging="492"/>
        <w:spacing w:after="0" w:line="250"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This investment is valued using observable inputs and is considered a Level 1 investment. See Note 6 for further information related to investments at fair value.</w:t>
      </w:r>
    </w:p>
    <w:p>
      <w:pPr>
        <w:ind w:left="500" w:hanging="49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This investment is non-income producing.</w:t>
      </w:r>
    </w:p>
    <w:p>
      <w:pPr>
        <w:spacing w:after="0" w:line="9" w:lineRule="exact"/>
        <w:rPr>
          <w:rFonts w:ascii="Arial" w:cs="Arial" w:eastAsia="Arial" w:hAnsi="Arial"/>
          <w:sz w:val="18"/>
          <w:szCs w:val="18"/>
          <w:color w:val="auto"/>
        </w:rPr>
      </w:pPr>
    </w:p>
    <w:p>
      <w:pPr>
        <w:ind w:left="500" w:right="360" w:hanging="492"/>
        <w:spacing w:after="0" w:line="250"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or a portion of this security was acquired in transaction exempt from registration under the Securities Act of 1933, and may be deemed to be “restricted securities” under the Securities Act. As of December 31, 2020, the aggregate fair value of these securities is $20,983, or 1.8% of the Company’s net assets.</w:t>
      </w:r>
    </w:p>
    <w:p>
      <w:pPr>
        <w:spacing w:after="0" w:line="1" w:lineRule="exact"/>
        <w:rPr>
          <w:rFonts w:ascii="Arial" w:cs="Arial" w:eastAsia="Arial" w:hAnsi="Arial"/>
          <w:sz w:val="18"/>
          <w:szCs w:val="18"/>
          <w:color w:val="auto"/>
        </w:rPr>
      </w:pPr>
    </w:p>
    <w:p>
      <w:pPr>
        <w:ind w:left="500" w:hanging="49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Ownership of equity investments may occur through a holding company or partnership.</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Investment is on non-accrual status as of December 31, 2020.</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Sixth Street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80" w:type="dxa"/>
            <w:vAlign w:val="bottom"/>
          </w:tcPr>
          <w:p>
            <w:pPr>
              <w:spacing w:after="0"/>
              <w:rPr>
                <w:sz w:val="14"/>
                <w:szCs w:val="14"/>
                <w:color w:val="auto"/>
              </w:rPr>
            </w:pPr>
          </w:p>
        </w:tc>
        <w:tc>
          <w:tcPr>
            <w:tcW w:w="1480" w:type="dxa"/>
            <w:vAlign w:val="bottom"/>
            <w:tcBorders>
              <w:bottom w:val="single" w:sz="8" w:color="auto"/>
            </w:tcBorders>
            <w:gridSpan w:val="4"/>
          </w:tcPr>
          <w:p>
            <w:pPr>
              <w:jc w:val="right"/>
              <w:ind w:right="208"/>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4"/>
                <w:szCs w:val="14"/>
                <w:color w:val="auto"/>
              </w:rPr>
            </w:pPr>
          </w:p>
        </w:tc>
        <w:tc>
          <w:tcPr>
            <w:tcW w:w="130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Paid in Capital in</w:t>
            </w: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Distributable</w:t>
            </w: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Total Net</w:t>
            </w:r>
          </w:p>
        </w:tc>
        <w:tc>
          <w:tcPr>
            <w:tcW w:w="0" w:type="dxa"/>
            <w:vAlign w:val="bottom"/>
          </w:tcPr>
          <w:p>
            <w:pPr>
              <w:spacing w:after="0"/>
              <w:rPr>
                <w:sz w:val="1"/>
                <w:szCs w:val="1"/>
                <w:color w:val="auto"/>
              </w:rPr>
            </w:pPr>
          </w:p>
        </w:tc>
      </w:tr>
      <w:tr>
        <w:trPr>
          <w:trHeight w:val="133"/>
        </w:trPr>
        <w:tc>
          <w:tcPr>
            <w:tcW w:w="4480" w:type="dxa"/>
            <w:vAlign w:val="bottom"/>
          </w:tcPr>
          <w:p>
            <w:pPr>
              <w:spacing w:after="0"/>
              <w:rPr>
                <w:sz w:val="11"/>
                <w:szCs w:val="11"/>
                <w:color w:val="auto"/>
              </w:rPr>
            </w:pPr>
          </w:p>
        </w:tc>
        <w:tc>
          <w:tcPr>
            <w:tcW w:w="7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jc w:val="right"/>
              <w:ind w:right="68"/>
              <w:spacing w:after="0" w:line="133" w:lineRule="exact"/>
              <w:rPr>
                <w:sz w:val="20"/>
                <w:szCs w:val="20"/>
                <w:color w:val="auto"/>
              </w:rPr>
            </w:pPr>
            <w:r>
              <w:rPr>
                <w:rFonts w:ascii="Arial" w:cs="Arial" w:eastAsia="Arial" w:hAnsi="Arial"/>
                <w:sz w:val="14"/>
                <w:szCs w:val="14"/>
                <w:b w:val="1"/>
                <w:bCs w:val="1"/>
                <w:color w:val="auto"/>
              </w:rPr>
              <w:t>Par</w:t>
            </w:r>
          </w:p>
        </w:tc>
        <w:tc>
          <w:tcPr>
            <w:tcW w:w="200" w:type="dxa"/>
            <w:vAlign w:val="bottom"/>
          </w:tcPr>
          <w:p>
            <w:pPr>
              <w:spacing w:after="0"/>
              <w:rPr>
                <w:sz w:val="11"/>
                <w:szCs w:val="11"/>
                <w:color w:val="auto"/>
              </w:rPr>
            </w:pPr>
          </w:p>
        </w:tc>
        <w:tc>
          <w:tcPr>
            <w:tcW w:w="6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1"/>
                <w:szCs w:val="11"/>
                <w:color w:val="auto"/>
              </w:rPr>
            </w:pPr>
          </w:p>
        </w:tc>
        <w:tc>
          <w:tcPr>
            <w:tcW w:w="620" w:type="dxa"/>
            <w:vAlign w:val="bottom"/>
            <w:gridSpan w:val="2"/>
            <w:vMerge w:val="restart"/>
          </w:tcPr>
          <w:p>
            <w:pPr>
              <w:jc w:val="right"/>
              <w:ind w:right="199"/>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0" w:type="dxa"/>
            <w:vAlign w:val="bottom"/>
            <w:gridSpan w:val="2"/>
            <w:vMerge w:val="continue"/>
          </w:tcPr>
          <w:p>
            <w:pPr>
              <w:spacing w:after="0"/>
              <w:rPr>
                <w:sz w:val="11"/>
                <w:szCs w:val="11"/>
                <w:color w:val="auto"/>
              </w:rPr>
            </w:pPr>
          </w:p>
        </w:tc>
        <w:tc>
          <w:tcPr>
            <w:tcW w:w="1020" w:type="dxa"/>
            <w:vAlign w:val="bottom"/>
            <w:gridSpan w:val="3"/>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4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920" w:type="dxa"/>
            <w:vAlign w:val="bottom"/>
            <w:gridSpan w:val="4"/>
          </w:tcPr>
          <w:p>
            <w:pPr>
              <w:ind w:left="200"/>
              <w:spacing w:after="0"/>
              <w:rPr>
                <w:sz w:val="20"/>
                <w:szCs w:val="20"/>
                <w:color w:val="auto"/>
              </w:rPr>
            </w:pPr>
            <w:r>
              <w:rPr>
                <w:rFonts w:ascii="Arial" w:cs="Arial" w:eastAsia="Arial" w:hAnsi="Arial"/>
                <w:sz w:val="14"/>
                <w:szCs w:val="14"/>
                <w:b w:val="1"/>
                <w:bCs w:val="1"/>
                <w:color w:val="auto"/>
              </w:rPr>
              <w:t>Amount</w:t>
            </w:r>
          </w:p>
        </w:tc>
        <w:tc>
          <w:tcPr>
            <w:tcW w:w="6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Excess of Par</w:t>
            </w:r>
          </w:p>
        </w:tc>
        <w:tc>
          <w:tcPr>
            <w:tcW w:w="100" w:type="dxa"/>
            <w:vAlign w:val="bottom"/>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3"/>
              </w:rPr>
              <w:t>Earnings</w:t>
            </w:r>
          </w:p>
        </w:tc>
        <w:tc>
          <w:tcPr>
            <w:tcW w:w="8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156"/>
        </w:trPr>
        <w:tc>
          <w:tcPr>
            <w:tcW w:w="448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at December 31, 2020</w:t>
            </w:r>
          </w:p>
        </w:tc>
        <w:tc>
          <w:tcPr>
            <w:tcW w:w="7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67,684,209</w:t>
            </w:r>
          </w:p>
        </w:tc>
        <w:tc>
          <w:tcPr>
            <w:tcW w:w="2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680</w:t>
            </w:r>
          </w:p>
        </w:tc>
        <w:tc>
          <w:tcPr>
            <w:tcW w:w="200" w:type="dxa"/>
            <w:vAlign w:val="bottom"/>
            <w:tcBorders>
              <w:top w:val="single" w:sz="8" w:color="CFF0FC"/>
            </w:tcBorders>
            <w:shd w:val="clear" w:color="auto" w:fill="CFF0FC"/>
          </w:tcPr>
          <w:p>
            <w:pPr>
              <w:spacing w:after="0"/>
              <w:rPr>
                <w:sz w:val="13"/>
                <w:szCs w:val="13"/>
                <w:color w:val="auto"/>
              </w:rPr>
            </w:pPr>
          </w:p>
        </w:tc>
        <w:tc>
          <w:tcPr>
            <w:tcW w:w="6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296,044</w:t>
            </w:r>
          </w:p>
        </w:tc>
        <w:tc>
          <w:tcPr>
            <w:tcW w:w="200" w:type="dxa"/>
            <w:vAlign w:val="bottom"/>
            <w:tcBorders>
              <w:top w:val="single" w:sz="8" w:color="CFF0FC"/>
            </w:tcBorders>
            <w:shd w:val="clear" w:color="auto" w:fill="CFF0FC"/>
          </w:tcPr>
          <w:p>
            <w:pPr>
              <w:spacing w:after="0"/>
              <w:rPr>
                <w:sz w:val="13"/>
                <w:szCs w:val="13"/>
                <w:color w:val="auto"/>
              </w:rPr>
            </w:pPr>
          </w:p>
        </w:tc>
        <w:tc>
          <w:tcPr>
            <w:tcW w:w="5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85"/>
              </w:rPr>
              <w:t>$ (4,291)</w:t>
            </w: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1,025,676</w:t>
            </w:r>
          </w:p>
        </w:tc>
        <w:tc>
          <w:tcPr>
            <w:tcW w:w="2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139,250</w:t>
            </w:r>
          </w:p>
        </w:tc>
        <w:tc>
          <w:tcPr>
            <w:tcW w:w="200" w:type="dxa"/>
            <w:vAlign w:val="bottom"/>
            <w:tcBorders>
              <w:top w:val="single" w:sz="8" w:color="CFF0FC"/>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1"/>
              </w:rPr>
              <w:t>$ 1,161,315</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4480" w:type="dxa"/>
            <w:vAlign w:val="bottom"/>
          </w:tcPr>
          <w:p>
            <w:pPr>
              <w:ind w:left="140"/>
              <w:spacing w:after="0" w:line="143" w:lineRule="exact"/>
              <w:rPr>
                <w:sz w:val="20"/>
                <w:szCs w:val="20"/>
                <w:color w:val="auto"/>
              </w:rPr>
            </w:pPr>
            <w:r>
              <w:rPr>
                <w:rFonts w:ascii="Arial" w:cs="Arial" w:eastAsia="Arial" w:hAnsi="Arial"/>
                <w:sz w:val="14"/>
                <w:szCs w:val="14"/>
                <w:color w:val="auto"/>
              </w:rPr>
              <w:t>Cumulative effect adjustment for the adoption of ASU</w:t>
            </w: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480" w:type="dxa"/>
            <w:vAlign w:val="bottom"/>
          </w:tcPr>
          <w:p>
            <w:pPr>
              <w:ind w:left="240"/>
              <w:spacing w:after="0"/>
              <w:rPr>
                <w:sz w:val="20"/>
                <w:szCs w:val="20"/>
                <w:color w:val="auto"/>
              </w:rPr>
            </w:pPr>
            <w:r>
              <w:rPr>
                <w:rFonts w:ascii="Arial" w:cs="Arial" w:eastAsia="Arial" w:hAnsi="Arial"/>
                <w:sz w:val="14"/>
                <w:szCs w:val="14"/>
                <w:color w:val="auto"/>
              </w:rPr>
              <w:t xml:space="preserve">2020-06 </w:t>
            </w:r>
            <w:r>
              <w:rPr>
                <w:rFonts w:ascii="Arial" w:cs="Arial" w:eastAsia="Arial" w:hAnsi="Arial"/>
                <w:sz w:val="12"/>
                <w:szCs w:val="12"/>
                <w:color w:val="auto"/>
              </w:rPr>
              <w:t>(2)</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20" w:type="dxa"/>
            <w:vAlign w:val="bottom"/>
            <w:gridSpan w:val="2"/>
          </w:tcPr>
          <w:p>
            <w:pPr>
              <w:jc w:val="right"/>
              <w:ind w:right="9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4"/>
                <w:szCs w:val="14"/>
                <w:color w:val="auto"/>
              </w:rPr>
              <w:t>(457)</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172</w:t>
            </w:r>
          </w:p>
        </w:tc>
        <w:tc>
          <w:tcPr>
            <w:tcW w:w="20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(285)</w:t>
            </w:r>
          </w:p>
        </w:tc>
        <w:tc>
          <w:tcPr>
            <w:tcW w:w="0" w:type="dxa"/>
            <w:vAlign w:val="bottom"/>
          </w:tcPr>
          <w:p>
            <w:pPr>
              <w:spacing w:after="0"/>
              <w:rPr>
                <w:sz w:val="1"/>
                <w:szCs w:val="1"/>
                <w:color w:val="auto"/>
              </w:rPr>
            </w:pPr>
          </w:p>
        </w:tc>
      </w:tr>
      <w:tr>
        <w:trPr>
          <w:trHeight w:val="162"/>
        </w:trPr>
        <w:tc>
          <w:tcPr>
            <w:tcW w:w="4480" w:type="dxa"/>
            <w:vAlign w:val="bottom"/>
            <w:shd w:val="clear" w:color="auto" w:fill="CFF0FC"/>
          </w:tcPr>
          <w:p>
            <w:pPr>
              <w:ind w:left="140"/>
              <w:spacing w:after="0"/>
              <w:rPr>
                <w:sz w:val="20"/>
                <w:szCs w:val="20"/>
                <w:color w:val="auto"/>
              </w:rPr>
            </w:pPr>
            <w:r>
              <w:rPr>
                <w:rFonts w:ascii="Arial" w:cs="Arial" w:eastAsia="Arial" w:hAnsi="Arial"/>
                <w:sz w:val="14"/>
                <w:szCs w:val="14"/>
                <w:color w:val="auto"/>
              </w:rPr>
              <w:t>Net increase in net assets resulting from operations:</w:t>
            </w:r>
          </w:p>
        </w:tc>
        <w:tc>
          <w:tcPr>
            <w:tcW w:w="7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80" w:type="dxa"/>
            <w:vAlign w:val="bottom"/>
          </w:tcPr>
          <w:p>
            <w:pPr>
              <w:ind w:left="260"/>
              <w:spacing w:after="0"/>
              <w:rPr>
                <w:sz w:val="20"/>
                <w:szCs w:val="20"/>
                <w:color w:val="auto"/>
              </w:rPr>
            </w:pPr>
            <w:r>
              <w:rPr>
                <w:rFonts w:ascii="Arial" w:cs="Arial" w:eastAsia="Arial" w:hAnsi="Arial"/>
                <w:sz w:val="14"/>
                <w:szCs w:val="14"/>
                <w:color w:val="auto"/>
              </w:rPr>
              <w:t>Net investment income</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20" w:type="dxa"/>
            <w:vAlign w:val="bottom"/>
            <w:gridSpan w:val="2"/>
          </w:tcPr>
          <w:p>
            <w:pPr>
              <w:jc w:val="right"/>
              <w:ind w:right="9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32,310</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32,310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48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Net change in unrealized gains on investments and</w:t>
            </w: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480" w:type="dxa"/>
            <w:vAlign w:val="bottom"/>
            <w:shd w:val="clear" w:color="auto" w:fill="CFF0FC"/>
          </w:tcPr>
          <w:p>
            <w:pPr>
              <w:ind w:left="360"/>
              <w:spacing w:after="0"/>
              <w:rPr>
                <w:sz w:val="20"/>
                <w:szCs w:val="20"/>
                <w:color w:val="auto"/>
              </w:rPr>
            </w:pPr>
            <w:r>
              <w:rPr>
                <w:rFonts w:ascii="Arial" w:cs="Arial" w:eastAsia="Arial" w:hAnsi="Arial"/>
                <w:sz w:val="14"/>
                <w:szCs w:val="14"/>
                <w:color w:val="auto"/>
              </w:rPr>
              <w:t>foreign currency translation</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99"/>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9,755</w:t>
            </w: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9,755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480" w:type="dxa"/>
            <w:vAlign w:val="bottom"/>
          </w:tcPr>
          <w:p>
            <w:pPr>
              <w:ind w:left="260"/>
              <w:spacing w:after="0" w:line="143" w:lineRule="exact"/>
              <w:rPr>
                <w:sz w:val="20"/>
                <w:szCs w:val="20"/>
                <w:color w:val="auto"/>
              </w:rPr>
            </w:pPr>
            <w:r>
              <w:rPr>
                <w:rFonts w:ascii="Arial" w:cs="Arial" w:eastAsia="Arial" w:hAnsi="Arial"/>
                <w:sz w:val="14"/>
                <w:szCs w:val="14"/>
                <w:color w:val="auto"/>
              </w:rPr>
              <w:t>Net realized gains on investments and foreign</w:t>
            </w: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480" w:type="dxa"/>
            <w:vAlign w:val="bottom"/>
          </w:tcPr>
          <w:p>
            <w:pPr>
              <w:ind w:left="360"/>
              <w:spacing w:after="0"/>
              <w:rPr>
                <w:sz w:val="20"/>
                <w:szCs w:val="20"/>
                <w:color w:val="auto"/>
              </w:rPr>
            </w:pPr>
            <w:r>
              <w:rPr>
                <w:rFonts w:ascii="Arial" w:cs="Arial" w:eastAsia="Arial" w:hAnsi="Arial"/>
                <w:sz w:val="14"/>
                <w:szCs w:val="14"/>
                <w:color w:val="auto"/>
              </w:rPr>
              <w:t>currency transactions</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20" w:type="dxa"/>
            <w:vAlign w:val="bottom"/>
            <w:gridSpan w:val="2"/>
          </w:tcPr>
          <w:p>
            <w:pPr>
              <w:jc w:val="right"/>
              <w:ind w:right="9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14,587</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14,587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480" w:type="dxa"/>
            <w:vAlign w:val="bottom"/>
            <w:shd w:val="clear" w:color="auto" w:fill="CFF0FC"/>
          </w:tcPr>
          <w:p>
            <w:pPr>
              <w:ind w:left="140"/>
              <w:spacing w:after="0" w:line="143" w:lineRule="exact"/>
              <w:rPr>
                <w:sz w:val="20"/>
                <w:szCs w:val="20"/>
                <w:color w:val="auto"/>
              </w:rPr>
            </w:pPr>
            <w:r>
              <w:rPr>
                <w:rFonts w:ascii="Arial" w:cs="Arial" w:eastAsia="Arial" w:hAnsi="Arial"/>
                <w:sz w:val="14"/>
                <w:szCs w:val="14"/>
                <w:color w:val="auto"/>
              </w:rPr>
              <w:t>Increase in Net Assets Resulting from Capital Share</w:t>
            </w: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480" w:type="dxa"/>
            <w:vAlign w:val="bottom"/>
            <w:shd w:val="clear" w:color="auto" w:fill="CFF0FC"/>
          </w:tcPr>
          <w:p>
            <w:pPr>
              <w:ind w:left="240"/>
              <w:spacing w:after="0"/>
              <w:rPr>
                <w:sz w:val="20"/>
                <w:szCs w:val="20"/>
                <w:color w:val="auto"/>
              </w:rPr>
            </w:pPr>
            <w:r>
              <w:rPr>
                <w:rFonts w:ascii="Arial" w:cs="Arial" w:eastAsia="Arial" w:hAnsi="Arial"/>
                <w:sz w:val="14"/>
                <w:szCs w:val="14"/>
                <w:color w:val="auto"/>
              </w:rPr>
              <w:t>Transactions:</w:t>
            </w:r>
          </w:p>
        </w:tc>
        <w:tc>
          <w:tcPr>
            <w:tcW w:w="7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480" w:type="dxa"/>
            <w:vAlign w:val="bottom"/>
          </w:tcPr>
          <w:p>
            <w:pPr>
              <w:ind w:left="260"/>
              <w:spacing w:after="0" w:line="143" w:lineRule="exact"/>
              <w:rPr>
                <w:sz w:val="20"/>
                <w:szCs w:val="20"/>
                <w:color w:val="auto"/>
              </w:rPr>
            </w:pPr>
            <w:r>
              <w:rPr>
                <w:rFonts w:ascii="Arial" w:cs="Arial" w:eastAsia="Arial" w:hAnsi="Arial"/>
                <w:sz w:val="14"/>
                <w:szCs w:val="14"/>
                <w:color w:val="auto"/>
              </w:rPr>
              <w:t>Issuance of common stock, net of offering and</w:t>
            </w: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480" w:type="dxa"/>
            <w:vAlign w:val="bottom"/>
          </w:tcPr>
          <w:p>
            <w:pPr>
              <w:ind w:left="360"/>
              <w:spacing w:after="0"/>
              <w:rPr>
                <w:sz w:val="20"/>
                <w:szCs w:val="20"/>
                <w:color w:val="auto"/>
              </w:rPr>
            </w:pPr>
            <w:r>
              <w:rPr>
                <w:rFonts w:ascii="Arial" w:cs="Arial" w:eastAsia="Arial" w:hAnsi="Arial"/>
                <w:sz w:val="14"/>
                <w:szCs w:val="14"/>
                <w:color w:val="auto"/>
              </w:rPr>
              <w:t>underwriting costs</w:t>
            </w:r>
          </w:p>
        </w:tc>
        <w:tc>
          <w:tcPr>
            <w:tcW w:w="760" w:type="dxa"/>
            <w:vAlign w:val="bottom"/>
          </w:tcPr>
          <w:p>
            <w:pPr>
              <w:jc w:val="right"/>
              <w:spacing w:after="0"/>
              <w:rPr>
                <w:sz w:val="20"/>
                <w:szCs w:val="20"/>
                <w:color w:val="auto"/>
              </w:rPr>
            </w:pPr>
            <w:r>
              <w:rPr>
                <w:rFonts w:ascii="Arial" w:cs="Arial" w:eastAsia="Arial" w:hAnsi="Arial"/>
                <w:sz w:val="14"/>
                <w:szCs w:val="14"/>
                <w:color w:val="auto"/>
              </w:rPr>
              <w:t>4,049,689</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41</w:t>
            </w:r>
          </w:p>
        </w:tc>
        <w:tc>
          <w:tcPr>
            <w:tcW w:w="2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20" w:type="dxa"/>
            <w:vAlign w:val="bottom"/>
            <w:gridSpan w:val="2"/>
          </w:tcPr>
          <w:p>
            <w:pPr>
              <w:jc w:val="right"/>
              <w:ind w:right="9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85,904</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85,945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80" w:type="dxa"/>
            <w:vAlign w:val="bottom"/>
            <w:shd w:val="clear" w:color="auto" w:fill="CFF0FC"/>
          </w:tcPr>
          <w:p>
            <w:pPr>
              <w:ind w:left="140"/>
              <w:spacing w:after="0"/>
              <w:rPr>
                <w:sz w:val="20"/>
                <w:szCs w:val="20"/>
                <w:color w:val="auto"/>
              </w:rPr>
            </w:pPr>
            <w:r>
              <w:rPr>
                <w:rFonts w:ascii="Arial" w:cs="Arial" w:eastAsia="Arial" w:hAnsi="Arial"/>
                <w:sz w:val="14"/>
                <w:szCs w:val="14"/>
                <w:color w:val="auto"/>
              </w:rPr>
              <w:t>Dividends to stockholders:</w:t>
            </w:r>
          </w:p>
        </w:tc>
        <w:tc>
          <w:tcPr>
            <w:tcW w:w="7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80" w:type="dxa"/>
            <w:vAlign w:val="bottom"/>
          </w:tcPr>
          <w:p>
            <w:pPr>
              <w:ind w:left="260"/>
              <w:spacing w:after="0"/>
              <w:rPr>
                <w:sz w:val="20"/>
                <w:szCs w:val="20"/>
                <w:color w:val="auto"/>
              </w:rPr>
            </w:pPr>
            <w:r>
              <w:rPr>
                <w:rFonts w:ascii="Arial" w:cs="Arial" w:eastAsia="Arial" w:hAnsi="Arial"/>
                <w:sz w:val="14"/>
                <w:szCs w:val="14"/>
                <w:color w:val="auto"/>
              </w:rPr>
              <w:t>Stock issued in connection with dividend reinvestment plan</w:t>
            </w:r>
          </w:p>
        </w:tc>
        <w:tc>
          <w:tcPr>
            <w:tcW w:w="760" w:type="dxa"/>
            <w:vAlign w:val="bottom"/>
          </w:tcPr>
          <w:p>
            <w:pPr>
              <w:jc w:val="right"/>
              <w:spacing w:after="0"/>
              <w:rPr>
                <w:sz w:val="20"/>
                <w:szCs w:val="20"/>
                <w:color w:val="auto"/>
              </w:rPr>
            </w:pPr>
            <w:r>
              <w:rPr>
                <w:rFonts w:ascii="Arial" w:cs="Arial" w:eastAsia="Arial" w:hAnsi="Arial"/>
                <w:sz w:val="14"/>
                <w:szCs w:val="14"/>
                <w:color w:val="auto"/>
              </w:rPr>
              <w:t>236,100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w:t>
            </w:r>
          </w:p>
        </w:tc>
        <w:tc>
          <w:tcPr>
            <w:tcW w:w="2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20" w:type="dxa"/>
            <w:vAlign w:val="bottom"/>
            <w:gridSpan w:val="2"/>
          </w:tcPr>
          <w:p>
            <w:pPr>
              <w:jc w:val="right"/>
              <w:ind w:right="9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4,707</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4,709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Dividends declared from net investment income</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99"/>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(123,004)</w:t>
            </w: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(123,004)</w:t>
            </w:r>
          </w:p>
        </w:tc>
        <w:tc>
          <w:tcPr>
            <w:tcW w:w="0" w:type="dxa"/>
            <w:vAlign w:val="bottom"/>
          </w:tcPr>
          <w:p>
            <w:pPr>
              <w:spacing w:after="0"/>
              <w:rPr>
                <w:sz w:val="1"/>
                <w:szCs w:val="1"/>
                <w:color w:val="auto"/>
              </w:rPr>
            </w:pPr>
          </w:p>
        </w:tc>
      </w:tr>
      <w:tr>
        <w:trPr>
          <w:trHeight w:val="143"/>
        </w:trPr>
        <w:tc>
          <w:tcPr>
            <w:tcW w:w="4480" w:type="dxa"/>
            <w:vAlign w:val="bottom"/>
          </w:tcPr>
          <w:p>
            <w:pPr>
              <w:ind w:left="140"/>
              <w:spacing w:after="0" w:line="143" w:lineRule="exact"/>
              <w:rPr>
                <w:sz w:val="20"/>
                <w:szCs w:val="20"/>
                <w:color w:val="auto"/>
              </w:rPr>
            </w:pPr>
            <w:r>
              <w:rPr>
                <w:rFonts w:ascii="Arial" w:cs="Arial" w:eastAsia="Arial" w:hAnsi="Arial"/>
                <w:sz w:val="14"/>
                <w:szCs w:val="14"/>
                <w:color w:val="auto"/>
              </w:rPr>
              <w:t>Tax reclassification of stockholders' equity in accordance with</w:t>
            </w: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480" w:type="dxa"/>
            <w:vAlign w:val="bottom"/>
          </w:tcPr>
          <w:p>
            <w:pPr>
              <w:ind w:left="240"/>
              <w:spacing w:after="0"/>
              <w:rPr>
                <w:sz w:val="20"/>
                <w:szCs w:val="20"/>
                <w:color w:val="auto"/>
              </w:rPr>
            </w:pPr>
            <w:r>
              <w:rPr>
                <w:rFonts w:ascii="Arial" w:cs="Arial" w:eastAsia="Arial" w:hAnsi="Arial"/>
                <w:sz w:val="14"/>
                <w:szCs w:val="14"/>
                <w:color w:val="auto"/>
              </w:rPr>
              <w:t xml:space="preserve">GAAP </w:t>
            </w:r>
            <w:r>
              <w:rPr>
                <w:rFonts w:ascii="Arial" w:cs="Arial" w:eastAsia="Arial" w:hAnsi="Arial"/>
                <w:sz w:val="12"/>
                <w:szCs w:val="12"/>
                <w:color w:val="auto"/>
              </w:rPr>
              <w:t>(1)</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20" w:type="dxa"/>
            <w:vAlign w:val="bottom"/>
            <w:gridSpan w:val="2"/>
          </w:tcPr>
          <w:p>
            <w:pPr>
              <w:jc w:val="right"/>
              <w:ind w:right="9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4"/>
                <w:szCs w:val="14"/>
                <w:color w:val="auto"/>
              </w:rPr>
              <w:t>(460)</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460</w:t>
            </w:r>
          </w:p>
        </w:tc>
        <w:tc>
          <w:tcPr>
            <w:tcW w:w="20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448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at March 31, 2021</w:t>
            </w: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71,969,998</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w:t>
            </w:r>
          </w:p>
        </w:tc>
        <w:tc>
          <w:tcPr>
            <w:tcW w:w="4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723</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6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296,044</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5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89"/>
              </w:rPr>
              <w:t>$ (4,291</w:t>
            </w:r>
          </w:p>
        </w:tc>
        <w:tc>
          <w:tcPr>
            <w:tcW w:w="120" w:type="dxa"/>
            <w:vAlign w:val="bottom"/>
            <w:tcBorders>
              <w:top w:val="single" w:sz="8" w:color="CFF0FC"/>
              <w:bottom w:val="single" w:sz="8" w:color="CFF0FC"/>
            </w:tcBorders>
            <w:shd w:val="clear" w:color="auto" w:fill="CFF0FC"/>
          </w:tcPr>
          <w:p>
            <w:pPr>
              <w:jc w:val="right"/>
              <w:ind w:right="39"/>
              <w:spacing w:after="0"/>
              <w:rPr>
                <w:sz w:val="20"/>
                <w:szCs w:val="20"/>
                <w:color w:val="auto"/>
              </w:rPr>
            </w:pPr>
            <w:r>
              <w:rPr>
                <w:rFonts w:ascii="Arial" w:cs="Arial" w:eastAsia="Arial" w:hAnsi="Arial"/>
                <w:sz w:val="8"/>
                <w:szCs w:val="8"/>
                <w:b w:val="1"/>
                <w:bCs w:val="1"/>
                <w:color w:val="auto"/>
                <w:w w:val="73"/>
              </w:rPr>
              <w:t>)</w:t>
            </w: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14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1,115,370</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73,530</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7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91"/>
              </w:rPr>
              <w:t>$ 1,185,332</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80" w:type="dxa"/>
            <w:vAlign w:val="bottom"/>
            <w:vMerge w:val="restart"/>
          </w:tcPr>
          <w:p>
            <w:pPr>
              <w:ind w:left="140"/>
              <w:spacing w:after="0"/>
              <w:rPr>
                <w:sz w:val="20"/>
                <w:szCs w:val="20"/>
                <w:color w:val="auto"/>
              </w:rPr>
            </w:pPr>
            <w:r>
              <w:rPr>
                <w:rFonts w:ascii="Arial" w:cs="Arial" w:eastAsia="Arial" w:hAnsi="Arial"/>
                <w:sz w:val="14"/>
                <w:szCs w:val="14"/>
                <w:color w:val="auto"/>
              </w:rPr>
              <w:t>Net increase in net assets resulting from operations:</w:t>
            </w: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48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4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investment income</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99"/>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27,388</w:t>
            </w: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27,388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480" w:type="dxa"/>
            <w:vAlign w:val="bottom"/>
          </w:tcPr>
          <w:p>
            <w:pPr>
              <w:ind w:left="260"/>
              <w:spacing w:after="0" w:line="143" w:lineRule="exact"/>
              <w:rPr>
                <w:sz w:val="20"/>
                <w:szCs w:val="20"/>
                <w:color w:val="auto"/>
              </w:rPr>
            </w:pPr>
            <w:r>
              <w:rPr>
                <w:rFonts w:ascii="Arial" w:cs="Arial" w:eastAsia="Arial" w:hAnsi="Arial"/>
                <w:sz w:val="14"/>
                <w:szCs w:val="14"/>
                <w:color w:val="auto"/>
              </w:rPr>
              <w:t>Net change in unrealized gains on investments and</w:t>
            </w: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480" w:type="dxa"/>
            <w:vAlign w:val="bottom"/>
          </w:tcPr>
          <w:p>
            <w:pPr>
              <w:ind w:left="360"/>
              <w:spacing w:after="0"/>
              <w:rPr>
                <w:sz w:val="20"/>
                <w:szCs w:val="20"/>
                <w:color w:val="auto"/>
              </w:rPr>
            </w:pPr>
            <w:r>
              <w:rPr>
                <w:rFonts w:ascii="Arial" w:cs="Arial" w:eastAsia="Arial" w:hAnsi="Arial"/>
                <w:sz w:val="14"/>
                <w:szCs w:val="14"/>
                <w:color w:val="auto"/>
              </w:rPr>
              <w:t>foreign currency translation</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20" w:type="dxa"/>
            <w:vAlign w:val="bottom"/>
            <w:gridSpan w:val="2"/>
          </w:tcPr>
          <w:p>
            <w:pPr>
              <w:jc w:val="right"/>
              <w:ind w:right="9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28,945</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28,945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48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Net realized gains on investments and foreign</w:t>
            </w: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480" w:type="dxa"/>
            <w:vAlign w:val="bottom"/>
            <w:shd w:val="clear" w:color="auto" w:fill="CFF0FC"/>
          </w:tcPr>
          <w:p>
            <w:pPr>
              <w:ind w:left="360"/>
              <w:spacing w:after="0"/>
              <w:rPr>
                <w:sz w:val="20"/>
                <w:szCs w:val="20"/>
                <w:color w:val="auto"/>
              </w:rPr>
            </w:pPr>
            <w:r>
              <w:rPr>
                <w:rFonts w:ascii="Arial" w:cs="Arial" w:eastAsia="Arial" w:hAnsi="Arial"/>
                <w:sz w:val="14"/>
                <w:szCs w:val="14"/>
                <w:color w:val="auto"/>
              </w:rPr>
              <w:t>currency transactions</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99"/>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2,021</w:t>
            </w: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2,021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480" w:type="dxa"/>
            <w:vAlign w:val="bottom"/>
          </w:tcPr>
          <w:p>
            <w:pPr>
              <w:ind w:left="140"/>
              <w:spacing w:after="0" w:line="143" w:lineRule="exact"/>
              <w:rPr>
                <w:sz w:val="20"/>
                <w:szCs w:val="20"/>
                <w:color w:val="auto"/>
              </w:rPr>
            </w:pPr>
            <w:r>
              <w:rPr>
                <w:rFonts w:ascii="Arial" w:cs="Arial" w:eastAsia="Arial" w:hAnsi="Arial"/>
                <w:sz w:val="14"/>
                <w:szCs w:val="14"/>
                <w:color w:val="auto"/>
              </w:rPr>
              <w:t>Decrease in Net Assets Resulting from Capital Share</w:t>
            </w: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480" w:type="dxa"/>
            <w:vAlign w:val="bottom"/>
          </w:tcPr>
          <w:p>
            <w:pPr>
              <w:ind w:left="240"/>
              <w:spacing w:after="0"/>
              <w:rPr>
                <w:sz w:val="20"/>
                <w:szCs w:val="20"/>
                <w:color w:val="auto"/>
              </w:rPr>
            </w:pPr>
            <w:r>
              <w:rPr>
                <w:rFonts w:ascii="Arial" w:cs="Arial" w:eastAsia="Arial" w:hAnsi="Arial"/>
                <w:sz w:val="14"/>
                <w:szCs w:val="14"/>
                <w:color w:val="auto"/>
              </w:rPr>
              <w:t>Transactions:</w:t>
            </w: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48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Issuance of common stock, net of offering and</w:t>
            </w: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480" w:type="dxa"/>
            <w:vAlign w:val="bottom"/>
            <w:shd w:val="clear" w:color="auto" w:fill="CFF0FC"/>
          </w:tcPr>
          <w:p>
            <w:pPr>
              <w:ind w:left="360"/>
              <w:spacing w:after="0"/>
              <w:rPr>
                <w:sz w:val="20"/>
                <w:szCs w:val="20"/>
                <w:color w:val="auto"/>
              </w:rPr>
            </w:pPr>
            <w:r>
              <w:rPr>
                <w:rFonts w:ascii="Arial" w:cs="Arial" w:eastAsia="Arial" w:hAnsi="Arial"/>
                <w:sz w:val="14"/>
                <w:szCs w:val="14"/>
                <w:color w:val="auto"/>
              </w:rPr>
              <w:t>underwriting costs</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99"/>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62"/>
        </w:trPr>
        <w:tc>
          <w:tcPr>
            <w:tcW w:w="4480" w:type="dxa"/>
            <w:vAlign w:val="bottom"/>
          </w:tcPr>
          <w:p>
            <w:pPr>
              <w:ind w:left="140"/>
              <w:spacing w:after="0"/>
              <w:rPr>
                <w:sz w:val="20"/>
                <w:szCs w:val="20"/>
                <w:color w:val="auto"/>
              </w:rPr>
            </w:pPr>
            <w:r>
              <w:rPr>
                <w:rFonts w:ascii="Arial" w:cs="Arial" w:eastAsia="Arial" w:hAnsi="Arial"/>
                <w:sz w:val="14"/>
                <w:szCs w:val="14"/>
                <w:color w:val="auto"/>
              </w:rPr>
              <w:t>Dividends to stockholders:</w:t>
            </w: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Stock issued in connection with dividend reinvestment plan</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679,685</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2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99"/>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14,292</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14,298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80" w:type="dxa"/>
            <w:vAlign w:val="bottom"/>
          </w:tcPr>
          <w:p>
            <w:pPr>
              <w:ind w:left="260"/>
              <w:spacing w:after="0"/>
              <w:rPr>
                <w:sz w:val="20"/>
                <w:szCs w:val="20"/>
                <w:color w:val="auto"/>
              </w:rPr>
            </w:pPr>
            <w:r>
              <w:rPr>
                <w:rFonts w:ascii="Arial" w:cs="Arial" w:eastAsia="Arial" w:hAnsi="Arial"/>
                <w:sz w:val="14"/>
                <w:szCs w:val="14"/>
                <w:color w:val="auto"/>
              </w:rPr>
              <w:t>Dividends declared from net investment income</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20" w:type="dxa"/>
            <w:vAlign w:val="bottom"/>
            <w:gridSpan w:val="2"/>
          </w:tcPr>
          <w:p>
            <w:pPr>
              <w:jc w:val="right"/>
              <w:ind w:right="9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(34,130)</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(34,130)</w:t>
            </w:r>
          </w:p>
        </w:tc>
        <w:tc>
          <w:tcPr>
            <w:tcW w:w="0" w:type="dxa"/>
            <w:vAlign w:val="bottom"/>
          </w:tcPr>
          <w:p>
            <w:pPr>
              <w:spacing w:after="0"/>
              <w:rPr>
                <w:sz w:val="1"/>
                <w:szCs w:val="1"/>
                <w:color w:val="auto"/>
              </w:rPr>
            </w:pPr>
          </w:p>
        </w:tc>
      </w:tr>
      <w:tr>
        <w:trPr>
          <w:trHeight w:val="155"/>
        </w:trPr>
        <w:tc>
          <w:tcPr>
            <w:tcW w:w="448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at June 30, 2021</w:t>
            </w: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72,649,683</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w:t>
            </w:r>
          </w:p>
        </w:tc>
        <w:tc>
          <w:tcPr>
            <w:tcW w:w="4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729</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6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296,044</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5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89"/>
              </w:rPr>
              <w:t>$ (4,291</w:t>
            </w:r>
          </w:p>
        </w:tc>
        <w:tc>
          <w:tcPr>
            <w:tcW w:w="120" w:type="dxa"/>
            <w:vAlign w:val="bottom"/>
            <w:tcBorders>
              <w:top w:val="single" w:sz="8" w:color="CFF0FC"/>
              <w:bottom w:val="single" w:sz="8" w:color="CFF0FC"/>
            </w:tcBorders>
            <w:shd w:val="clear" w:color="auto" w:fill="CFF0FC"/>
          </w:tcPr>
          <w:p>
            <w:pPr>
              <w:jc w:val="right"/>
              <w:ind w:right="39"/>
              <w:spacing w:after="0"/>
              <w:rPr>
                <w:sz w:val="20"/>
                <w:szCs w:val="20"/>
                <w:color w:val="auto"/>
              </w:rPr>
            </w:pPr>
            <w:r>
              <w:rPr>
                <w:rFonts w:ascii="Arial" w:cs="Arial" w:eastAsia="Arial" w:hAnsi="Arial"/>
                <w:sz w:val="8"/>
                <w:szCs w:val="8"/>
                <w:b w:val="1"/>
                <w:bCs w:val="1"/>
                <w:color w:val="auto"/>
                <w:w w:val="73"/>
              </w:rPr>
              <w:t>)</w:t>
            </w: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14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1,129,621</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97,754</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7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91"/>
              </w:rPr>
              <w:t>$ 1,223,813</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00" w:hanging="492"/>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Company’s tax year end is March 31</w:t>
      </w:r>
      <w:r>
        <w:rPr>
          <w:rFonts w:ascii="Arial" w:cs="Arial" w:eastAsia="Arial" w:hAnsi="Arial"/>
          <w:sz w:val="15"/>
          <w:szCs w:val="15"/>
          <w:color w:val="auto"/>
        </w:rPr>
        <w:t>st</w:t>
      </w:r>
      <w:r>
        <w:rPr>
          <w:rFonts w:ascii="Arial" w:cs="Arial" w:eastAsia="Arial" w:hAnsi="Arial"/>
          <w:sz w:val="18"/>
          <w:szCs w:val="18"/>
          <w:color w:val="auto"/>
        </w:rPr>
        <w:t>.</w:t>
      </w:r>
    </w:p>
    <w:p>
      <w:pPr>
        <w:spacing w:after="0" w:line="23" w:lineRule="exact"/>
        <w:rPr>
          <w:rFonts w:ascii="Arial" w:cs="Arial" w:eastAsia="Arial" w:hAnsi="Arial"/>
          <w:sz w:val="18"/>
          <w:szCs w:val="18"/>
          <w:color w:val="auto"/>
        </w:rPr>
      </w:pPr>
    </w:p>
    <w:p>
      <w:pPr>
        <w:ind w:left="500" w:hanging="492"/>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See Note 2 for further information related to the adoption of ASU 2020-06.</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Sixth Street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1500" w:type="dxa"/>
            <w:vAlign w:val="bottom"/>
            <w:tcBorders>
              <w:bottom w:val="single" w:sz="8" w:color="auto"/>
            </w:tcBorders>
            <w:gridSpan w:val="5"/>
          </w:tcPr>
          <w:p>
            <w:pPr>
              <w:jc w:val="right"/>
              <w:ind w:right="208"/>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4"/>
                <w:szCs w:val="14"/>
                <w:color w:val="auto"/>
              </w:rPr>
            </w:pPr>
          </w:p>
        </w:tc>
        <w:tc>
          <w:tcPr>
            <w:tcW w:w="130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4"/>
                <w:szCs w:val="14"/>
                <w:b w:val="1"/>
                <w:bCs w:val="1"/>
                <w:color w:val="auto"/>
              </w:rPr>
              <w:t>Treasury Stock</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Paid in Capital in</w:t>
            </w:r>
          </w:p>
        </w:tc>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Distributable</w:t>
            </w:r>
          </w:p>
        </w:tc>
        <w:tc>
          <w:tcPr>
            <w:tcW w:w="20" w:type="dxa"/>
            <w:vAlign w:val="bottom"/>
          </w:tcPr>
          <w:p>
            <w:pPr>
              <w:spacing w:after="0"/>
              <w:rPr>
                <w:sz w:val="14"/>
                <w:szCs w:val="14"/>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6"/>
              </w:rPr>
              <w:t>Total Net</w:t>
            </w:r>
          </w:p>
        </w:tc>
        <w:tc>
          <w:tcPr>
            <w:tcW w:w="0" w:type="dxa"/>
            <w:vAlign w:val="bottom"/>
          </w:tcPr>
          <w:p>
            <w:pPr>
              <w:spacing w:after="0"/>
              <w:rPr>
                <w:sz w:val="1"/>
                <w:szCs w:val="1"/>
                <w:color w:val="auto"/>
              </w:rPr>
            </w:pPr>
          </w:p>
        </w:tc>
      </w:tr>
      <w:tr>
        <w:trPr>
          <w:trHeight w:val="133"/>
        </w:trPr>
        <w:tc>
          <w:tcPr>
            <w:tcW w:w="4440" w:type="dxa"/>
            <w:vAlign w:val="bottom"/>
          </w:tcPr>
          <w:p>
            <w:pPr>
              <w:spacing w:after="0"/>
              <w:rPr>
                <w:sz w:val="11"/>
                <w:szCs w:val="11"/>
                <w:color w:val="auto"/>
              </w:rPr>
            </w:pPr>
          </w:p>
        </w:tc>
        <w:tc>
          <w:tcPr>
            <w:tcW w:w="9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ind w:right="88"/>
              <w:spacing w:after="0" w:line="133" w:lineRule="exact"/>
              <w:rPr>
                <w:sz w:val="20"/>
                <w:szCs w:val="20"/>
                <w:color w:val="auto"/>
              </w:rPr>
            </w:pPr>
            <w:r>
              <w:rPr>
                <w:rFonts w:ascii="Arial" w:cs="Arial" w:eastAsia="Arial" w:hAnsi="Arial"/>
                <w:sz w:val="14"/>
                <w:szCs w:val="14"/>
                <w:b w:val="1"/>
                <w:bCs w:val="1"/>
                <w:color w:val="auto"/>
              </w:rPr>
              <w:t>Par</w:t>
            </w:r>
          </w:p>
        </w:tc>
        <w:tc>
          <w:tcPr>
            <w:tcW w:w="220" w:type="dxa"/>
            <w:vAlign w:val="bottom"/>
          </w:tcPr>
          <w:p>
            <w:pPr>
              <w:spacing w:after="0"/>
              <w:rPr>
                <w:sz w:val="11"/>
                <w:szCs w:val="11"/>
                <w:color w:val="auto"/>
              </w:rPr>
            </w:pPr>
          </w:p>
        </w:tc>
        <w:tc>
          <w:tcPr>
            <w:tcW w:w="5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8"/>
              </w:rPr>
              <w:t>Shares</w:t>
            </w:r>
          </w:p>
        </w:tc>
        <w:tc>
          <w:tcPr>
            <w:tcW w:w="220" w:type="dxa"/>
            <w:vAlign w:val="bottom"/>
          </w:tcPr>
          <w:p>
            <w:pPr>
              <w:spacing w:after="0"/>
              <w:rPr>
                <w:sz w:val="11"/>
                <w:szCs w:val="11"/>
                <w:color w:val="auto"/>
              </w:rPr>
            </w:pPr>
          </w:p>
        </w:tc>
        <w:tc>
          <w:tcPr>
            <w:tcW w:w="720" w:type="dxa"/>
            <w:vAlign w:val="bottom"/>
            <w:gridSpan w:val="2"/>
            <w:vMerge w:val="restart"/>
          </w:tcPr>
          <w:p>
            <w:pPr>
              <w:jc w:val="right"/>
              <w:ind w:right="299"/>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1"/>
                <w:szCs w:val="11"/>
                <w:color w:val="auto"/>
              </w:rPr>
            </w:pPr>
          </w:p>
        </w:tc>
        <w:tc>
          <w:tcPr>
            <w:tcW w:w="1620" w:type="dxa"/>
            <w:vAlign w:val="bottom"/>
            <w:gridSpan w:val="2"/>
            <w:vMerge w:val="continue"/>
          </w:tcPr>
          <w:p>
            <w:pPr>
              <w:spacing w:after="0"/>
              <w:rPr>
                <w:sz w:val="11"/>
                <w:szCs w:val="11"/>
                <w:color w:val="auto"/>
              </w:rPr>
            </w:pPr>
          </w:p>
        </w:tc>
        <w:tc>
          <w:tcPr>
            <w:tcW w:w="104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4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20" w:type="dxa"/>
            <w:vAlign w:val="bottom"/>
            <w:gridSpan w:val="4"/>
          </w:tcPr>
          <w:p>
            <w:pPr>
              <w:ind w:left="80"/>
              <w:spacing w:after="0"/>
              <w:rPr>
                <w:sz w:val="20"/>
                <w:szCs w:val="20"/>
                <w:color w:val="auto"/>
              </w:rPr>
            </w:pPr>
            <w:r>
              <w:rPr>
                <w:rFonts w:ascii="Arial" w:cs="Arial" w:eastAsia="Arial" w:hAnsi="Arial"/>
                <w:sz w:val="14"/>
                <w:szCs w:val="14"/>
                <w:b w:val="1"/>
                <w:bCs w:val="1"/>
                <w:color w:val="auto"/>
              </w:rPr>
              <w:t>Amount</w:t>
            </w:r>
          </w:p>
        </w:tc>
        <w:tc>
          <w:tcPr>
            <w:tcW w:w="5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Excess of Par</w:t>
            </w:r>
          </w:p>
        </w:tc>
        <w:tc>
          <w:tcPr>
            <w:tcW w:w="80" w:type="dxa"/>
            <w:vAlign w:val="bottom"/>
          </w:tcPr>
          <w:p>
            <w:pPr>
              <w:spacing w:after="0"/>
              <w:rPr>
                <w:sz w:val="14"/>
                <w:szCs w:val="1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6"/>
              </w:rPr>
              <w:t>Earnings</w:t>
            </w:r>
          </w:p>
        </w:tc>
        <w:tc>
          <w:tcPr>
            <w:tcW w:w="20" w:type="dxa"/>
            <w:vAlign w:val="bottom"/>
          </w:tcPr>
          <w:p>
            <w:pPr>
              <w:spacing w:after="0"/>
              <w:rPr>
                <w:sz w:val="14"/>
                <w:szCs w:val="1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155"/>
        </w:trPr>
        <w:tc>
          <w:tcPr>
            <w:tcW w:w="444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at December 31, 2019</w:t>
            </w:r>
          </w:p>
        </w:tc>
        <w:tc>
          <w:tcPr>
            <w:tcW w:w="7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66,524,591</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4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666</w:t>
            </w:r>
          </w:p>
        </w:tc>
        <w:tc>
          <w:tcPr>
            <w:tcW w:w="220" w:type="dxa"/>
            <w:vAlign w:val="bottom"/>
            <w:tcBorders>
              <w:top w:val="single" w:sz="8" w:color="CFF0FC"/>
            </w:tcBorders>
            <w:shd w:val="clear" w:color="auto" w:fill="CFF0FC"/>
          </w:tcPr>
          <w:p>
            <w:pPr>
              <w:spacing w:after="0"/>
              <w:rPr>
                <w:sz w:val="13"/>
                <w:szCs w:val="13"/>
                <w:color w:val="auto"/>
              </w:rPr>
            </w:pPr>
          </w:p>
        </w:tc>
        <w:tc>
          <w:tcPr>
            <w:tcW w:w="5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89,080</w:t>
            </w:r>
          </w:p>
        </w:tc>
        <w:tc>
          <w:tcPr>
            <w:tcW w:w="220" w:type="dxa"/>
            <w:vAlign w:val="bottom"/>
            <w:tcBorders>
              <w:top w:val="single" w:sz="8" w:color="CFF0FC"/>
            </w:tcBorders>
            <w:shd w:val="clear" w:color="auto" w:fill="CFF0FC"/>
          </w:tcPr>
          <w:p>
            <w:pPr>
              <w:spacing w:after="0"/>
              <w:rPr>
                <w:sz w:val="13"/>
                <w:szCs w:val="13"/>
                <w:color w:val="auto"/>
              </w:rPr>
            </w:pPr>
          </w:p>
        </w:tc>
        <w:tc>
          <w:tcPr>
            <w:tcW w:w="5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85"/>
              </w:rPr>
              <w:t>$ (1,359)</w:t>
            </w:r>
          </w:p>
        </w:tc>
        <w:tc>
          <w:tcPr>
            <w:tcW w:w="2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14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1,009,270</w:t>
            </w: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110,720</w:t>
            </w:r>
          </w:p>
        </w:tc>
        <w:tc>
          <w:tcPr>
            <w:tcW w:w="22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86"/>
              </w:rPr>
              <w:t>$ 1,119,297</w:t>
            </w:r>
          </w:p>
        </w:tc>
        <w:tc>
          <w:tcPr>
            <w:tcW w:w="6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440" w:type="dxa"/>
            <w:vAlign w:val="bottom"/>
          </w:tcPr>
          <w:p>
            <w:pPr>
              <w:ind w:left="140"/>
              <w:spacing w:after="0"/>
              <w:rPr>
                <w:sz w:val="20"/>
                <w:szCs w:val="20"/>
                <w:color w:val="auto"/>
              </w:rPr>
            </w:pPr>
            <w:r>
              <w:rPr>
                <w:rFonts w:ascii="Arial" w:cs="Arial" w:eastAsia="Arial" w:hAnsi="Arial"/>
                <w:sz w:val="14"/>
                <w:szCs w:val="14"/>
                <w:color w:val="auto"/>
              </w:rPr>
              <w:t>Net decrease in net assets resulting from operations:</w:t>
            </w: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investment income</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99"/>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6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33,662</w:t>
            </w:r>
          </w:p>
        </w:tc>
        <w:tc>
          <w:tcPr>
            <w:tcW w:w="22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33,662</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440" w:type="dxa"/>
            <w:vAlign w:val="bottom"/>
          </w:tcPr>
          <w:p>
            <w:pPr>
              <w:ind w:left="260"/>
              <w:spacing w:after="0" w:line="143" w:lineRule="exact"/>
              <w:rPr>
                <w:sz w:val="20"/>
                <w:szCs w:val="20"/>
                <w:color w:val="auto"/>
              </w:rPr>
            </w:pPr>
            <w:r>
              <w:rPr>
                <w:rFonts w:ascii="Arial" w:cs="Arial" w:eastAsia="Arial" w:hAnsi="Arial"/>
                <w:sz w:val="14"/>
                <w:szCs w:val="14"/>
                <w:color w:val="auto"/>
              </w:rPr>
              <w:t>Net change in unrealized losses on investments and</w:t>
            </w: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440" w:type="dxa"/>
            <w:vAlign w:val="bottom"/>
          </w:tcPr>
          <w:p>
            <w:pPr>
              <w:ind w:left="360"/>
              <w:spacing w:after="0"/>
              <w:rPr>
                <w:sz w:val="20"/>
                <w:szCs w:val="20"/>
                <w:color w:val="auto"/>
              </w:rPr>
            </w:pPr>
            <w:r>
              <w:rPr>
                <w:rFonts w:ascii="Arial" w:cs="Arial" w:eastAsia="Arial" w:hAnsi="Arial"/>
                <w:sz w:val="14"/>
                <w:szCs w:val="14"/>
                <w:color w:val="auto"/>
              </w:rPr>
              <w:t>foreign currency translation</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20" w:type="dxa"/>
            <w:vAlign w:val="bottom"/>
            <w:gridSpan w:val="2"/>
          </w:tcPr>
          <w:p>
            <w:pPr>
              <w:jc w:val="right"/>
              <w:ind w:right="19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(84,680)</w:t>
            </w:r>
          </w:p>
        </w:tc>
        <w:tc>
          <w:tcPr>
            <w:tcW w:w="760" w:type="dxa"/>
            <w:vAlign w:val="bottom"/>
            <w:gridSpan w:val="3"/>
          </w:tcPr>
          <w:p>
            <w:pPr>
              <w:jc w:val="right"/>
              <w:ind w:right="20"/>
              <w:spacing w:after="0"/>
              <w:rPr>
                <w:sz w:val="20"/>
                <w:szCs w:val="20"/>
                <w:color w:val="auto"/>
              </w:rPr>
            </w:pPr>
            <w:r>
              <w:rPr>
                <w:rFonts w:ascii="Arial" w:cs="Arial" w:eastAsia="Arial" w:hAnsi="Arial"/>
                <w:sz w:val="14"/>
                <w:szCs w:val="14"/>
                <w:color w:val="auto"/>
              </w:rPr>
              <w:t>(84,680)</w:t>
            </w:r>
          </w:p>
        </w:tc>
        <w:tc>
          <w:tcPr>
            <w:tcW w:w="0" w:type="dxa"/>
            <w:vAlign w:val="bottom"/>
          </w:tcPr>
          <w:p>
            <w:pPr>
              <w:spacing w:after="0"/>
              <w:rPr>
                <w:sz w:val="1"/>
                <w:szCs w:val="1"/>
                <w:color w:val="auto"/>
              </w:rPr>
            </w:pPr>
          </w:p>
        </w:tc>
      </w:tr>
      <w:tr>
        <w:trPr>
          <w:trHeight w:val="143"/>
        </w:trPr>
        <w:tc>
          <w:tcPr>
            <w:tcW w:w="444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Net realized losses on investments and foreign</w:t>
            </w:r>
          </w:p>
        </w:tc>
        <w:tc>
          <w:tcPr>
            <w:tcW w:w="7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440" w:type="dxa"/>
            <w:vAlign w:val="bottom"/>
            <w:shd w:val="clear" w:color="auto" w:fill="CFF0FC"/>
          </w:tcPr>
          <w:p>
            <w:pPr>
              <w:ind w:left="360"/>
              <w:spacing w:after="0"/>
              <w:rPr>
                <w:sz w:val="20"/>
                <w:szCs w:val="20"/>
                <w:color w:val="auto"/>
              </w:rPr>
            </w:pPr>
            <w:r>
              <w:rPr>
                <w:rFonts w:ascii="Arial" w:cs="Arial" w:eastAsia="Arial" w:hAnsi="Arial"/>
                <w:sz w:val="14"/>
                <w:szCs w:val="14"/>
                <w:color w:val="auto"/>
              </w:rPr>
              <w:t>currency transactions</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99"/>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6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(2,081)</w:t>
            </w:r>
          </w:p>
        </w:tc>
        <w:tc>
          <w:tcPr>
            <w:tcW w:w="760" w:type="dxa"/>
            <w:vAlign w:val="bottom"/>
            <w:gridSpan w:val="3"/>
            <w:shd w:val="clear" w:color="auto" w:fill="CFF0FC"/>
          </w:tcPr>
          <w:p>
            <w:pPr>
              <w:jc w:val="right"/>
              <w:ind w:right="20"/>
              <w:spacing w:after="0"/>
              <w:rPr>
                <w:sz w:val="20"/>
                <w:szCs w:val="20"/>
                <w:color w:val="auto"/>
              </w:rPr>
            </w:pPr>
            <w:r>
              <w:rPr>
                <w:rFonts w:ascii="Arial" w:cs="Arial" w:eastAsia="Arial" w:hAnsi="Arial"/>
                <w:sz w:val="14"/>
                <w:szCs w:val="14"/>
                <w:color w:val="auto"/>
              </w:rPr>
              <w:t>(2,081)</w:t>
            </w:r>
          </w:p>
        </w:tc>
        <w:tc>
          <w:tcPr>
            <w:tcW w:w="0" w:type="dxa"/>
            <w:vAlign w:val="bottom"/>
          </w:tcPr>
          <w:p>
            <w:pPr>
              <w:spacing w:after="0"/>
              <w:rPr>
                <w:sz w:val="1"/>
                <w:szCs w:val="1"/>
                <w:color w:val="auto"/>
              </w:rPr>
            </w:pPr>
          </w:p>
        </w:tc>
      </w:tr>
      <w:tr>
        <w:trPr>
          <w:trHeight w:val="143"/>
        </w:trPr>
        <w:tc>
          <w:tcPr>
            <w:tcW w:w="4440" w:type="dxa"/>
            <w:vAlign w:val="bottom"/>
          </w:tcPr>
          <w:p>
            <w:pPr>
              <w:ind w:left="140"/>
              <w:spacing w:after="0" w:line="143" w:lineRule="exact"/>
              <w:rPr>
                <w:sz w:val="20"/>
                <w:szCs w:val="20"/>
                <w:color w:val="auto"/>
              </w:rPr>
            </w:pPr>
            <w:r>
              <w:rPr>
                <w:rFonts w:ascii="Arial" w:cs="Arial" w:eastAsia="Arial" w:hAnsi="Arial"/>
                <w:sz w:val="14"/>
                <w:szCs w:val="14"/>
                <w:color w:val="auto"/>
              </w:rPr>
              <w:t>Decrease in Net Assets Resulting from Capital Share</w:t>
            </w: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440" w:type="dxa"/>
            <w:vAlign w:val="bottom"/>
          </w:tcPr>
          <w:p>
            <w:pPr>
              <w:ind w:left="240"/>
              <w:spacing w:after="0"/>
              <w:rPr>
                <w:sz w:val="20"/>
                <w:szCs w:val="20"/>
                <w:color w:val="auto"/>
              </w:rPr>
            </w:pPr>
            <w:r>
              <w:rPr>
                <w:rFonts w:ascii="Arial" w:cs="Arial" w:eastAsia="Arial" w:hAnsi="Arial"/>
                <w:sz w:val="14"/>
                <w:szCs w:val="14"/>
                <w:color w:val="auto"/>
              </w:rPr>
              <w:t>Transactions:</w:t>
            </w: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Purchases of treasury stock</w:t>
            </w: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(206,964)</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206,964</w:t>
            </w:r>
          </w:p>
        </w:tc>
        <w:tc>
          <w:tcPr>
            <w:tcW w:w="940" w:type="dxa"/>
            <w:vAlign w:val="bottom"/>
            <w:gridSpan w:val="3"/>
            <w:shd w:val="clear" w:color="auto" w:fill="CFF0FC"/>
          </w:tcPr>
          <w:p>
            <w:pPr>
              <w:jc w:val="right"/>
              <w:ind w:right="139"/>
              <w:spacing w:after="0"/>
              <w:rPr>
                <w:sz w:val="20"/>
                <w:szCs w:val="20"/>
                <w:color w:val="auto"/>
              </w:rPr>
            </w:pPr>
            <w:r>
              <w:rPr>
                <w:rFonts w:ascii="Arial" w:cs="Arial" w:eastAsia="Arial" w:hAnsi="Arial"/>
                <w:sz w:val="14"/>
                <w:szCs w:val="14"/>
                <w:color w:val="auto"/>
              </w:rPr>
              <w:t>(2,932)</w:t>
            </w:r>
          </w:p>
        </w:tc>
        <w:tc>
          <w:tcPr>
            <w:tcW w:w="140" w:type="dxa"/>
            <w:vAlign w:val="bottom"/>
            <w:shd w:val="clear" w:color="auto" w:fill="CFF0FC"/>
          </w:tcPr>
          <w:p>
            <w:pPr>
              <w:spacing w:after="0"/>
              <w:rPr>
                <w:sz w:val="14"/>
                <w:szCs w:val="14"/>
                <w:color w:val="auto"/>
              </w:rPr>
            </w:pPr>
          </w:p>
        </w:tc>
        <w:tc>
          <w:tcPr>
            <w:tcW w:w="16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gridSpan w:val="3"/>
            <w:shd w:val="clear" w:color="auto" w:fill="CFF0FC"/>
          </w:tcPr>
          <w:p>
            <w:pPr>
              <w:jc w:val="right"/>
              <w:ind w:right="20"/>
              <w:spacing w:after="0"/>
              <w:rPr>
                <w:sz w:val="20"/>
                <w:szCs w:val="20"/>
                <w:color w:val="auto"/>
              </w:rPr>
            </w:pPr>
            <w:r>
              <w:rPr>
                <w:rFonts w:ascii="Arial" w:cs="Arial" w:eastAsia="Arial" w:hAnsi="Arial"/>
                <w:sz w:val="14"/>
                <w:szCs w:val="14"/>
                <w:color w:val="auto"/>
              </w:rPr>
              <w:t>(2,932)</w:t>
            </w:r>
          </w:p>
        </w:tc>
        <w:tc>
          <w:tcPr>
            <w:tcW w:w="0" w:type="dxa"/>
            <w:vAlign w:val="bottom"/>
          </w:tcPr>
          <w:p>
            <w:pPr>
              <w:spacing w:after="0"/>
              <w:rPr>
                <w:sz w:val="1"/>
                <w:szCs w:val="1"/>
                <w:color w:val="auto"/>
              </w:rPr>
            </w:pPr>
          </w:p>
        </w:tc>
      </w:tr>
      <w:tr>
        <w:trPr>
          <w:trHeight w:val="162"/>
        </w:trPr>
        <w:tc>
          <w:tcPr>
            <w:tcW w:w="4440" w:type="dxa"/>
            <w:vAlign w:val="bottom"/>
          </w:tcPr>
          <w:p>
            <w:pPr>
              <w:ind w:left="140"/>
              <w:spacing w:after="0"/>
              <w:rPr>
                <w:sz w:val="20"/>
                <w:szCs w:val="20"/>
                <w:color w:val="auto"/>
              </w:rPr>
            </w:pPr>
            <w:r>
              <w:rPr>
                <w:rFonts w:ascii="Arial" w:cs="Arial" w:eastAsia="Arial" w:hAnsi="Arial"/>
                <w:sz w:val="14"/>
                <w:szCs w:val="14"/>
                <w:color w:val="auto"/>
              </w:rPr>
              <w:t>Dividends to stockholders:</w:t>
            </w: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Stock issued in connection with dividend reinvestment plan</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252,144</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2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99"/>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4,825</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4,828</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40" w:type="dxa"/>
            <w:vAlign w:val="bottom"/>
          </w:tcPr>
          <w:p>
            <w:pPr>
              <w:ind w:left="260"/>
              <w:spacing w:after="0"/>
              <w:rPr>
                <w:sz w:val="20"/>
                <w:szCs w:val="20"/>
                <w:color w:val="auto"/>
              </w:rPr>
            </w:pPr>
            <w:r>
              <w:rPr>
                <w:rFonts w:ascii="Arial" w:cs="Arial" w:eastAsia="Arial" w:hAnsi="Arial"/>
                <w:sz w:val="14"/>
                <w:szCs w:val="14"/>
                <w:color w:val="auto"/>
              </w:rPr>
              <w:t>Dividends declared from net investment income</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20" w:type="dxa"/>
            <w:vAlign w:val="bottom"/>
            <w:gridSpan w:val="2"/>
          </w:tcPr>
          <w:p>
            <w:pPr>
              <w:jc w:val="right"/>
              <w:ind w:right="19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(31,358)</w:t>
            </w:r>
          </w:p>
        </w:tc>
        <w:tc>
          <w:tcPr>
            <w:tcW w:w="760" w:type="dxa"/>
            <w:vAlign w:val="bottom"/>
            <w:gridSpan w:val="3"/>
          </w:tcPr>
          <w:p>
            <w:pPr>
              <w:jc w:val="right"/>
              <w:ind w:right="20"/>
              <w:spacing w:after="0"/>
              <w:rPr>
                <w:sz w:val="20"/>
                <w:szCs w:val="20"/>
                <w:color w:val="auto"/>
              </w:rPr>
            </w:pPr>
            <w:r>
              <w:rPr>
                <w:rFonts w:ascii="Arial" w:cs="Arial" w:eastAsia="Arial" w:hAnsi="Arial"/>
                <w:sz w:val="14"/>
                <w:szCs w:val="14"/>
                <w:color w:val="auto"/>
              </w:rPr>
              <w:t>(31,358)</w:t>
            </w:r>
          </w:p>
        </w:tc>
        <w:tc>
          <w:tcPr>
            <w:tcW w:w="0" w:type="dxa"/>
            <w:vAlign w:val="bottom"/>
          </w:tcPr>
          <w:p>
            <w:pPr>
              <w:spacing w:after="0"/>
              <w:rPr>
                <w:sz w:val="1"/>
                <w:szCs w:val="1"/>
                <w:color w:val="auto"/>
              </w:rPr>
            </w:pPr>
          </w:p>
        </w:tc>
      </w:tr>
      <w:tr>
        <w:trPr>
          <w:trHeight w:val="143"/>
        </w:trPr>
        <w:tc>
          <w:tcPr>
            <w:tcW w:w="4440" w:type="dxa"/>
            <w:vAlign w:val="bottom"/>
            <w:shd w:val="clear" w:color="auto" w:fill="CFF0FC"/>
          </w:tcPr>
          <w:p>
            <w:pPr>
              <w:ind w:left="140"/>
              <w:spacing w:after="0" w:line="143" w:lineRule="exact"/>
              <w:rPr>
                <w:sz w:val="20"/>
                <w:szCs w:val="20"/>
                <w:color w:val="auto"/>
              </w:rPr>
            </w:pPr>
            <w:r>
              <w:rPr>
                <w:rFonts w:ascii="Arial" w:cs="Arial" w:eastAsia="Arial" w:hAnsi="Arial"/>
                <w:sz w:val="14"/>
                <w:szCs w:val="14"/>
                <w:color w:val="auto"/>
              </w:rPr>
              <w:t>Tax reclassification of stockholders' equity in accordance with</w:t>
            </w:r>
          </w:p>
        </w:tc>
        <w:tc>
          <w:tcPr>
            <w:tcW w:w="7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440" w:type="dxa"/>
            <w:vAlign w:val="bottom"/>
            <w:shd w:val="clear" w:color="auto" w:fill="CFF0FC"/>
          </w:tcPr>
          <w:p>
            <w:pPr>
              <w:ind w:left="240"/>
              <w:spacing w:after="0"/>
              <w:rPr>
                <w:sz w:val="20"/>
                <w:szCs w:val="20"/>
                <w:color w:val="auto"/>
              </w:rPr>
            </w:pPr>
            <w:r>
              <w:rPr>
                <w:rFonts w:ascii="Arial" w:cs="Arial" w:eastAsia="Arial" w:hAnsi="Arial"/>
                <w:sz w:val="14"/>
                <w:szCs w:val="14"/>
                <w:color w:val="auto"/>
              </w:rPr>
              <w:t xml:space="preserve">GAAP </w:t>
            </w:r>
            <w:r>
              <w:rPr>
                <w:rFonts w:ascii="Arial" w:cs="Arial" w:eastAsia="Arial" w:hAnsi="Arial"/>
                <w:sz w:val="12"/>
                <w:szCs w:val="12"/>
                <w:color w:val="auto"/>
              </w:rPr>
              <w:t>(1)</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99"/>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6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(1,016)</w:t>
            </w:r>
          </w:p>
        </w:tc>
        <w:tc>
          <w:tcPr>
            <w:tcW w:w="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1,016</w:t>
            </w:r>
          </w:p>
        </w:tc>
        <w:tc>
          <w:tcPr>
            <w:tcW w:w="2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444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b w:val="1"/>
                <w:bCs w:val="1"/>
                <w:color w:val="auto"/>
              </w:rPr>
              <w:t>Balance at March 31, 2020</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66,569,771</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669</w:t>
            </w:r>
          </w:p>
        </w:tc>
        <w:tc>
          <w:tcPr>
            <w:tcW w:w="220" w:type="dxa"/>
            <w:vAlign w:val="bottom"/>
            <w:tcBorders>
              <w:bottom w:val="single" w:sz="8" w:color="CFF0FC"/>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296,044</w:t>
            </w:r>
          </w:p>
        </w:tc>
        <w:tc>
          <w:tcPr>
            <w:tcW w:w="220" w:type="dxa"/>
            <w:vAlign w:val="bottom"/>
            <w:tcBorders>
              <w:bottom w:val="single" w:sz="8" w:color="CFF0FC"/>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9"/>
              </w:rPr>
              <w:t>$ (4,291</w:t>
            </w:r>
          </w:p>
        </w:tc>
        <w:tc>
          <w:tcPr>
            <w:tcW w:w="220" w:type="dxa"/>
            <w:vAlign w:val="bottom"/>
            <w:tcBorders>
              <w:bottom w:val="single" w:sz="8" w:color="CFF0FC"/>
            </w:tcBorders>
          </w:tcPr>
          <w:p>
            <w:pPr>
              <w:jc w:val="right"/>
              <w:ind w:right="139"/>
              <w:spacing w:after="0"/>
              <w:rPr>
                <w:sz w:val="20"/>
                <w:szCs w:val="20"/>
                <w:color w:val="auto"/>
              </w:rPr>
            </w:pPr>
            <w:r>
              <w:rPr>
                <w:rFonts w:ascii="Arial" w:cs="Arial" w:eastAsia="Arial" w:hAnsi="Arial"/>
                <w:sz w:val="8"/>
                <w:szCs w:val="8"/>
                <w:b w:val="1"/>
                <w:bCs w:val="1"/>
                <w:color w:val="auto"/>
                <w:w w:val="73"/>
              </w:rPr>
              <w:t>)</w:t>
            </w: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1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1,013,079</w:t>
            </w:r>
          </w:p>
        </w:tc>
        <w:tc>
          <w:tcPr>
            <w:tcW w:w="220" w:type="dxa"/>
            <w:vAlign w:val="bottom"/>
            <w:tcBorders>
              <w:bottom w:val="single" w:sz="8" w:color="CFF0FC"/>
            </w:tcBorders>
          </w:tcPr>
          <w:p>
            <w:pPr>
              <w:spacing w:after="0"/>
              <w:rPr>
                <w:sz w:val="17"/>
                <w:szCs w:val="17"/>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27,279</w:t>
            </w:r>
          </w:p>
        </w:tc>
        <w:tc>
          <w:tcPr>
            <w:tcW w:w="22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6"/>
              </w:rPr>
              <w:t>$ 1,036,736</w:t>
            </w:r>
          </w:p>
        </w:tc>
        <w:tc>
          <w:tcPr>
            <w:tcW w:w="6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440" w:type="dxa"/>
            <w:vAlign w:val="bottom"/>
            <w:shd w:val="clear" w:color="auto" w:fill="CFF0FC"/>
          </w:tcPr>
          <w:p>
            <w:pPr>
              <w:ind w:left="140"/>
              <w:spacing w:after="0" w:line="143" w:lineRule="exact"/>
              <w:rPr>
                <w:sz w:val="20"/>
                <w:szCs w:val="20"/>
                <w:color w:val="auto"/>
              </w:rPr>
            </w:pPr>
            <w:r>
              <w:rPr>
                <w:rFonts w:ascii="Arial" w:cs="Arial" w:eastAsia="Arial" w:hAnsi="Arial"/>
                <w:sz w:val="14"/>
                <w:szCs w:val="14"/>
                <w:color w:val="auto"/>
              </w:rPr>
              <w:t>Net increase in net assets resulting from operations:</w:t>
            </w:r>
          </w:p>
        </w:tc>
        <w:tc>
          <w:tcPr>
            <w:tcW w:w="7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440" w:type="dxa"/>
            <w:vAlign w:val="bottom"/>
          </w:tcPr>
          <w:p>
            <w:pPr>
              <w:ind w:left="260"/>
              <w:spacing w:after="0"/>
              <w:rPr>
                <w:sz w:val="20"/>
                <w:szCs w:val="20"/>
                <w:color w:val="auto"/>
              </w:rPr>
            </w:pPr>
            <w:r>
              <w:rPr>
                <w:rFonts w:ascii="Arial" w:cs="Arial" w:eastAsia="Arial" w:hAnsi="Arial"/>
                <w:sz w:val="14"/>
                <w:szCs w:val="14"/>
                <w:color w:val="auto"/>
              </w:rPr>
              <w:t>Net investment income</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20" w:type="dxa"/>
            <w:vAlign w:val="bottom"/>
            <w:gridSpan w:val="2"/>
          </w:tcPr>
          <w:p>
            <w:pPr>
              <w:jc w:val="right"/>
              <w:ind w:right="19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39,469</w:t>
            </w:r>
          </w:p>
        </w:tc>
        <w:tc>
          <w:tcPr>
            <w:tcW w:w="22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39,469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44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Net change in unrealized gains on investments and</w:t>
            </w:r>
          </w:p>
        </w:tc>
        <w:tc>
          <w:tcPr>
            <w:tcW w:w="7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440" w:type="dxa"/>
            <w:vAlign w:val="bottom"/>
            <w:shd w:val="clear" w:color="auto" w:fill="CFF0FC"/>
          </w:tcPr>
          <w:p>
            <w:pPr>
              <w:ind w:left="360"/>
              <w:spacing w:after="0"/>
              <w:rPr>
                <w:sz w:val="20"/>
                <w:szCs w:val="20"/>
                <w:color w:val="auto"/>
              </w:rPr>
            </w:pPr>
            <w:r>
              <w:rPr>
                <w:rFonts w:ascii="Arial" w:cs="Arial" w:eastAsia="Arial" w:hAnsi="Arial"/>
                <w:sz w:val="14"/>
                <w:szCs w:val="14"/>
                <w:color w:val="auto"/>
              </w:rPr>
              <w:t>foreign currency translation</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99"/>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6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57,234</w:t>
            </w:r>
          </w:p>
        </w:tc>
        <w:tc>
          <w:tcPr>
            <w:tcW w:w="22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57,234</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440" w:type="dxa"/>
            <w:vAlign w:val="bottom"/>
          </w:tcPr>
          <w:p>
            <w:pPr>
              <w:ind w:left="260"/>
              <w:spacing w:after="0" w:line="143" w:lineRule="exact"/>
              <w:rPr>
                <w:sz w:val="20"/>
                <w:szCs w:val="20"/>
                <w:color w:val="auto"/>
              </w:rPr>
            </w:pPr>
            <w:r>
              <w:rPr>
                <w:rFonts w:ascii="Arial" w:cs="Arial" w:eastAsia="Arial" w:hAnsi="Arial"/>
                <w:sz w:val="14"/>
                <w:szCs w:val="14"/>
                <w:color w:val="auto"/>
              </w:rPr>
              <w:t>Net realized losses on investments and foreign</w:t>
            </w: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440" w:type="dxa"/>
            <w:vAlign w:val="bottom"/>
          </w:tcPr>
          <w:p>
            <w:pPr>
              <w:ind w:left="360"/>
              <w:spacing w:after="0"/>
              <w:rPr>
                <w:sz w:val="20"/>
                <w:szCs w:val="20"/>
                <w:color w:val="auto"/>
              </w:rPr>
            </w:pPr>
            <w:r>
              <w:rPr>
                <w:rFonts w:ascii="Arial" w:cs="Arial" w:eastAsia="Arial" w:hAnsi="Arial"/>
                <w:sz w:val="14"/>
                <w:szCs w:val="14"/>
                <w:color w:val="auto"/>
              </w:rPr>
              <w:t>currency transactions</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20" w:type="dxa"/>
            <w:vAlign w:val="bottom"/>
            <w:gridSpan w:val="2"/>
          </w:tcPr>
          <w:p>
            <w:pPr>
              <w:jc w:val="right"/>
              <w:ind w:right="19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(833)</w:t>
            </w:r>
          </w:p>
        </w:tc>
        <w:tc>
          <w:tcPr>
            <w:tcW w:w="760" w:type="dxa"/>
            <w:vAlign w:val="bottom"/>
            <w:gridSpan w:val="3"/>
          </w:tcPr>
          <w:p>
            <w:pPr>
              <w:jc w:val="right"/>
              <w:ind w:right="20"/>
              <w:spacing w:after="0"/>
              <w:rPr>
                <w:sz w:val="20"/>
                <w:szCs w:val="20"/>
                <w:color w:val="auto"/>
              </w:rPr>
            </w:pPr>
            <w:r>
              <w:rPr>
                <w:rFonts w:ascii="Arial" w:cs="Arial" w:eastAsia="Arial" w:hAnsi="Arial"/>
                <w:sz w:val="14"/>
                <w:szCs w:val="14"/>
                <w:color w:val="auto"/>
              </w:rPr>
              <w:t>(833)</w:t>
            </w:r>
          </w:p>
        </w:tc>
        <w:tc>
          <w:tcPr>
            <w:tcW w:w="0" w:type="dxa"/>
            <w:vAlign w:val="bottom"/>
          </w:tcPr>
          <w:p>
            <w:pPr>
              <w:spacing w:after="0"/>
              <w:rPr>
                <w:sz w:val="1"/>
                <w:szCs w:val="1"/>
                <w:color w:val="auto"/>
              </w:rPr>
            </w:pPr>
          </w:p>
        </w:tc>
      </w:tr>
      <w:tr>
        <w:trPr>
          <w:trHeight w:val="143"/>
        </w:trPr>
        <w:tc>
          <w:tcPr>
            <w:tcW w:w="4440" w:type="dxa"/>
            <w:vAlign w:val="bottom"/>
            <w:shd w:val="clear" w:color="auto" w:fill="CFF0FC"/>
          </w:tcPr>
          <w:p>
            <w:pPr>
              <w:ind w:left="140"/>
              <w:spacing w:after="0" w:line="143" w:lineRule="exact"/>
              <w:rPr>
                <w:sz w:val="20"/>
                <w:szCs w:val="20"/>
                <w:color w:val="auto"/>
              </w:rPr>
            </w:pPr>
            <w:r>
              <w:rPr>
                <w:rFonts w:ascii="Arial" w:cs="Arial" w:eastAsia="Arial" w:hAnsi="Arial"/>
                <w:sz w:val="14"/>
                <w:szCs w:val="14"/>
                <w:color w:val="auto"/>
              </w:rPr>
              <w:t>Decrease in Net Assets Resulting from Capital Share</w:t>
            </w:r>
          </w:p>
        </w:tc>
        <w:tc>
          <w:tcPr>
            <w:tcW w:w="7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440" w:type="dxa"/>
            <w:vAlign w:val="bottom"/>
            <w:shd w:val="clear" w:color="auto" w:fill="CFF0FC"/>
          </w:tcPr>
          <w:p>
            <w:pPr>
              <w:ind w:left="240"/>
              <w:spacing w:after="0"/>
              <w:rPr>
                <w:sz w:val="20"/>
                <w:szCs w:val="20"/>
                <w:color w:val="auto"/>
              </w:rPr>
            </w:pPr>
            <w:r>
              <w:rPr>
                <w:rFonts w:ascii="Arial" w:cs="Arial" w:eastAsia="Arial" w:hAnsi="Arial"/>
                <w:sz w:val="14"/>
                <w:szCs w:val="14"/>
                <w:color w:val="auto"/>
              </w:rPr>
              <w:t>Transactions:</w:t>
            </w:r>
          </w:p>
        </w:tc>
        <w:tc>
          <w:tcPr>
            <w:tcW w:w="7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40" w:type="dxa"/>
            <w:vAlign w:val="bottom"/>
          </w:tcPr>
          <w:p>
            <w:pPr>
              <w:ind w:left="260"/>
              <w:spacing w:after="0"/>
              <w:rPr>
                <w:sz w:val="20"/>
                <w:szCs w:val="20"/>
                <w:color w:val="auto"/>
              </w:rPr>
            </w:pPr>
            <w:r>
              <w:rPr>
                <w:rFonts w:ascii="Arial" w:cs="Arial" w:eastAsia="Arial" w:hAnsi="Arial"/>
                <w:sz w:val="14"/>
                <w:szCs w:val="14"/>
                <w:color w:val="auto"/>
              </w:rPr>
              <w:t>Repurchase of convertible notes</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20" w:type="dxa"/>
            <w:vAlign w:val="bottom"/>
            <w:gridSpan w:val="2"/>
          </w:tcPr>
          <w:p>
            <w:pPr>
              <w:jc w:val="right"/>
              <w:ind w:right="19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4"/>
                <w:szCs w:val="14"/>
                <w:color w:val="auto"/>
              </w:rPr>
              <w:t>(910)</w:t>
            </w:r>
          </w:p>
        </w:tc>
        <w:tc>
          <w:tcPr>
            <w:tcW w:w="8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gridSpan w:val="3"/>
          </w:tcPr>
          <w:p>
            <w:pPr>
              <w:jc w:val="right"/>
              <w:ind w:right="20"/>
              <w:spacing w:after="0"/>
              <w:rPr>
                <w:sz w:val="20"/>
                <w:szCs w:val="20"/>
                <w:color w:val="auto"/>
              </w:rPr>
            </w:pPr>
            <w:r>
              <w:rPr>
                <w:rFonts w:ascii="Arial" w:cs="Arial" w:eastAsia="Arial" w:hAnsi="Arial"/>
                <w:sz w:val="14"/>
                <w:szCs w:val="14"/>
                <w:color w:val="auto"/>
              </w:rPr>
              <w:t>(910)</w:t>
            </w:r>
          </w:p>
        </w:tc>
        <w:tc>
          <w:tcPr>
            <w:tcW w:w="0" w:type="dxa"/>
            <w:vAlign w:val="bottom"/>
          </w:tcPr>
          <w:p>
            <w:pPr>
              <w:spacing w:after="0"/>
              <w:rPr>
                <w:sz w:val="1"/>
                <w:szCs w:val="1"/>
                <w:color w:val="auto"/>
              </w:rPr>
            </w:pPr>
          </w:p>
        </w:tc>
      </w:tr>
      <w:tr>
        <w:trPr>
          <w:trHeight w:val="162"/>
        </w:trPr>
        <w:tc>
          <w:tcPr>
            <w:tcW w:w="4440" w:type="dxa"/>
            <w:vAlign w:val="bottom"/>
            <w:shd w:val="clear" w:color="auto" w:fill="CFF0FC"/>
          </w:tcPr>
          <w:p>
            <w:pPr>
              <w:ind w:left="140"/>
              <w:spacing w:after="0"/>
              <w:rPr>
                <w:sz w:val="20"/>
                <w:szCs w:val="20"/>
                <w:color w:val="auto"/>
              </w:rPr>
            </w:pPr>
            <w:r>
              <w:rPr>
                <w:rFonts w:ascii="Arial" w:cs="Arial" w:eastAsia="Arial" w:hAnsi="Arial"/>
                <w:sz w:val="14"/>
                <w:szCs w:val="14"/>
                <w:color w:val="auto"/>
              </w:rPr>
              <w:t>Dividends to stockholders:</w:t>
            </w:r>
          </w:p>
        </w:tc>
        <w:tc>
          <w:tcPr>
            <w:tcW w:w="7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40" w:type="dxa"/>
            <w:vAlign w:val="bottom"/>
          </w:tcPr>
          <w:p>
            <w:pPr>
              <w:ind w:left="260"/>
              <w:spacing w:after="0"/>
              <w:rPr>
                <w:sz w:val="20"/>
                <w:szCs w:val="20"/>
                <w:color w:val="auto"/>
              </w:rPr>
            </w:pPr>
            <w:r>
              <w:rPr>
                <w:rFonts w:ascii="Arial" w:cs="Arial" w:eastAsia="Arial" w:hAnsi="Arial"/>
                <w:sz w:val="14"/>
                <w:szCs w:val="14"/>
                <w:color w:val="auto"/>
              </w:rPr>
              <w:t>Stock issued in connection with dividend reinvestment plan</w:t>
            </w:r>
          </w:p>
        </w:tc>
        <w:tc>
          <w:tcPr>
            <w:tcW w:w="760" w:type="dxa"/>
            <w:vAlign w:val="bottom"/>
          </w:tcPr>
          <w:p>
            <w:pPr>
              <w:jc w:val="right"/>
              <w:spacing w:after="0"/>
              <w:rPr>
                <w:sz w:val="20"/>
                <w:szCs w:val="20"/>
                <w:color w:val="auto"/>
              </w:rPr>
            </w:pPr>
            <w:r>
              <w:rPr>
                <w:rFonts w:ascii="Arial" w:cs="Arial" w:eastAsia="Arial" w:hAnsi="Arial"/>
                <w:sz w:val="14"/>
                <w:szCs w:val="14"/>
                <w:color w:val="auto"/>
              </w:rPr>
              <w:t>772,642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7</w:t>
            </w:r>
          </w:p>
        </w:tc>
        <w:tc>
          <w:tcPr>
            <w:tcW w:w="2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20" w:type="dxa"/>
            <w:vAlign w:val="bottom"/>
            <w:gridSpan w:val="2"/>
          </w:tcPr>
          <w:p>
            <w:pPr>
              <w:jc w:val="right"/>
              <w:ind w:right="19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11,876</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11,883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Dividends declared from net investment income</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99"/>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6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(60,978)</w:t>
            </w:r>
          </w:p>
        </w:tc>
        <w:tc>
          <w:tcPr>
            <w:tcW w:w="760" w:type="dxa"/>
            <w:vAlign w:val="bottom"/>
            <w:gridSpan w:val="3"/>
            <w:shd w:val="clear" w:color="auto" w:fill="CFF0FC"/>
          </w:tcPr>
          <w:p>
            <w:pPr>
              <w:jc w:val="right"/>
              <w:ind w:right="20"/>
              <w:spacing w:after="0"/>
              <w:rPr>
                <w:sz w:val="20"/>
                <w:szCs w:val="20"/>
                <w:color w:val="auto"/>
              </w:rPr>
            </w:pPr>
            <w:r>
              <w:rPr>
                <w:rFonts w:ascii="Arial" w:cs="Arial" w:eastAsia="Arial" w:hAnsi="Arial"/>
                <w:sz w:val="14"/>
                <w:szCs w:val="14"/>
                <w:color w:val="auto"/>
              </w:rPr>
              <w:t>(60,978)</w:t>
            </w:r>
          </w:p>
        </w:tc>
        <w:tc>
          <w:tcPr>
            <w:tcW w:w="0" w:type="dxa"/>
            <w:vAlign w:val="bottom"/>
          </w:tcPr>
          <w:p>
            <w:pPr>
              <w:spacing w:after="0"/>
              <w:rPr>
                <w:sz w:val="1"/>
                <w:szCs w:val="1"/>
                <w:color w:val="auto"/>
              </w:rPr>
            </w:pPr>
          </w:p>
        </w:tc>
      </w:tr>
      <w:tr>
        <w:trPr>
          <w:trHeight w:val="155"/>
        </w:trPr>
        <w:tc>
          <w:tcPr>
            <w:tcW w:w="4440" w:type="dxa"/>
            <w:vAlign w:val="bottom"/>
          </w:tcPr>
          <w:p>
            <w:pPr>
              <w:spacing w:after="0" w:line="155" w:lineRule="exact"/>
              <w:rPr>
                <w:sz w:val="20"/>
                <w:szCs w:val="20"/>
                <w:color w:val="auto"/>
              </w:rPr>
            </w:pPr>
            <w:r>
              <w:rPr>
                <w:rFonts w:ascii="Arial" w:cs="Arial" w:eastAsia="Arial" w:hAnsi="Arial"/>
                <w:sz w:val="14"/>
                <w:szCs w:val="14"/>
                <w:b w:val="1"/>
                <w:bCs w:val="1"/>
                <w:color w:val="auto"/>
              </w:rPr>
              <w:t>Balance at June 30, 2020</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67,342,413</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676</w:t>
            </w:r>
          </w:p>
        </w:tc>
        <w:tc>
          <w:tcPr>
            <w:tcW w:w="220" w:type="dxa"/>
            <w:vAlign w:val="bottom"/>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296,044</w:t>
            </w:r>
          </w:p>
        </w:tc>
        <w:tc>
          <w:tcPr>
            <w:tcW w:w="220" w:type="dxa"/>
            <w:vAlign w:val="bottom"/>
          </w:tcPr>
          <w:p>
            <w:pPr>
              <w:spacing w:after="0"/>
              <w:rPr>
                <w:sz w:val="13"/>
                <w:szCs w:val="13"/>
                <w:color w:val="auto"/>
              </w:rPr>
            </w:pP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9"/>
              </w:rPr>
              <w:t>$ (4,291</w:t>
            </w:r>
          </w:p>
        </w:tc>
        <w:tc>
          <w:tcPr>
            <w:tcW w:w="220" w:type="dxa"/>
            <w:vAlign w:val="bottom"/>
          </w:tcPr>
          <w:p>
            <w:pPr>
              <w:jc w:val="right"/>
              <w:ind w:right="139"/>
              <w:spacing w:after="0"/>
              <w:rPr>
                <w:sz w:val="20"/>
                <w:szCs w:val="20"/>
                <w:color w:val="auto"/>
              </w:rPr>
            </w:pPr>
            <w:r>
              <w:rPr>
                <w:rFonts w:ascii="Arial" w:cs="Arial" w:eastAsia="Arial" w:hAnsi="Arial"/>
                <w:sz w:val="8"/>
                <w:szCs w:val="8"/>
                <w:b w:val="1"/>
                <w:bCs w:val="1"/>
                <w:color w:val="auto"/>
                <w:w w:val="73"/>
              </w:rPr>
              <w:t>)</w:t>
            </w: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1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1,024,045</w:t>
            </w:r>
          </w:p>
        </w:tc>
        <w:tc>
          <w:tcPr>
            <w:tcW w:w="22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62,171</w:t>
            </w:r>
          </w:p>
        </w:tc>
        <w:tc>
          <w:tcPr>
            <w:tcW w:w="2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6"/>
              </w:rPr>
              <w:t>$ 1,082,601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The Company’s tax year end is March 31</w:t>
      </w:r>
      <w:r>
        <w:rPr>
          <w:rFonts w:ascii="Arial" w:cs="Arial" w:eastAsia="Arial" w:hAnsi="Arial"/>
          <w:sz w:val="13"/>
          <w:szCs w:val="13"/>
          <w:color w:val="auto"/>
        </w:rPr>
        <w:t>st</w:t>
      </w:r>
      <w:r>
        <w:rPr>
          <w:rFonts w:ascii="Arial" w:cs="Arial" w:eastAsia="Arial" w:hAnsi="Arial"/>
          <w:sz w:val="16"/>
          <w:szCs w:val="16"/>
          <w:color w:val="auto"/>
        </w:rPr>
        <w:t>.</w:t>
      </w:r>
    </w:p>
    <w:p>
      <w:pPr>
        <w:spacing w:after="0" w:line="198"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Sixth Street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Six Months Ended</w:t>
            </w:r>
          </w:p>
        </w:tc>
        <w:tc>
          <w:tcPr>
            <w:tcW w:w="200" w:type="dxa"/>
            <w:vAlign w:val="bottom"/>
          </w:tcPr>
          <w:p>
            <w:pPr>
              <w:spacing w:after="0"/>
              <w:rPr>
                <w:sz w:val="14"/>
                <w:szCs w:val="14"/>
                <w:color w:val="auto"/>
              </w:rPr>
            </w:pPr>
          </w:p>
        </w:tc>
        <w:tc>
          <w:tcPr>
            <w:tcW w:w="17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7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June 30, 2021</w:t>
            </w:r>
          </w:p>
        </w:tc>
        <w:tc>
          <w:tcPr>
            <w:tcW w:w="200" w:type="dxa"/>
            <w:vAlign w:val="bottom"/>
          </w:tcPr>
          <w:p>
            <w:pPr>
              <w:spacing w:after="0"/>
              <w:rPr>
                <w:sz w:val="14"/>
                <w:szCs w:val="14"/>
                <w:color w:val="auto"/>
              </w:rPr>
            </w:pPr>
          </w:p>
        </w:tc>
        <w:tc>
          <w:tcPr>
            <w:tcW w:w="17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June 30, 2020</w:t>
            </w:r>
          </w:p>
        </w:tc>
      </w:tr>
      <w:tr>
        <w:trPr>
          <w:trHeight w:val="223"/>
        </w:trPr>
        <w:tc>
          <w:tcPr>
            <w:tcW w:w="7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00" w:type="dxa"/>
            <w:vAlign w:val="bottom"/>
            <w:tcBorders>
              <w:top w:val="single" w:sz="8" w:color="auto"/>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7320" w:type="dxa"/>
            <w:vAlign w:val="bottom"/>
          </w:tcPr>
          <w:p>
            <w:pPr>
              <w:spacing w:after="0"/>
              <w:rPr>
                <w:sz w:val="20"/>
                <w:szCs w:val="20"/>
                <w:color w:val="auto"/>
              </w:rPr>
            </w:pPr>
            <w:r>
              <w:rPr>
                <w:rFonts w:ascii="Arial" w:cs="Arial" w:eastAsia="Arial" w:hAnsi="Arial"/>
                <w:sz w:val="18"/>
                <w:szCs w:val="18"/>
                <w:color w:val="auto"/>
              </w:rPr>
              <w:t>Increase in net assets resulting from operations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115,006</w:t>
            </w:r>
          </w:p>
        </w:tc>
        <w:tc>
          <w:tcPr>
            <w:tcW w:w="26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42,771</w:t>
            </w:r>
          </w:p>
        </w:tc>
        <w:tc>
          <w:tcPr>
            <w:tcW w:w="120" w:type="dxa"/>
            <w:vAlign w:val="bottom"/>
          </w:tcPr>
          <w:p>
            <w:pPr>
              <w:spacing w:after="0"/>
              <w:rPr>
                <w:sz w:val="19"/>
                <w:szCs w:val="19"/>
                <w:color w:val="auto"/>
              </w:rPr>
            </w:pPr>
          </w:p>
        </w:tc>
      </w:tr>
      <w:tr>
        <w:trPr>
          <w:trHeight w:val="215"/>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increase in net assets resulting from operations</w:t>
            </w: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3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to net cash provided by (used) in operating activities:</w:t>
            </w:r>
          </w:p>
        </w:tc>
        <w:tc>
          <w:tcPr>
            <w:tcW w:w="200" w:type="dxa"/>
            <w:vAlign w:val="bottom"/>
            <w:shd w:val="clear" w:color="auto" w:fill="CFF0FC"/>
          </w:tcPr>
          <w:p>
            <w:pPr>
              <w:spacing w:after="0"/>
              <w:rPr>
                <w:sz w:val="20"/>
                <w:szCs w:val="20"/>
                <w:color w:val="auto"/>
              </w:rPr>
            </w:pPr>
          </w:p>
        </w:tc>
        <w:tc>
          <w:tcPr>
            <w:tcW w:w="15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5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0"/>
        </w:trPr>
        <w:tc>
          <w:tcPr>
            <w:tcW w:w="7320" w:type="dxa"/>
            <w:vAlign w:val="bottom"/>
          </w:tcPr>
          <w:p>
            <w:pPr>
              <w:ind w:left="500"/>
              <w:spacing w:after="0"/>
              <w:rPr>
                <w:sz w:val="20"/>
                <w:szCs w:val="20"/>
                <w:color w:val="auto"/>
              </w:rPr>
            </w:pPr>
            <w:r>
              <w:rPr>
                <w:rFonts w:ascii="Arial" w:cs="Arial" w:eastAsia="Arial" w:hAnsi="Arial"/>
                <w:sz w:val="18"/>
                <w:szCs w:val="18"/>
                <w:color w:val="auto"/>
              </w:rPr>
              <w:t>Net change in unrealized (gains) losses on investments</w:t>
            </w:r>
          </w:p>
        </w:tc>
        <w:tc>
          <w:tcPr>
            <w:tcW w:w="200" w:type="dxa"/>
            <w:vAlign w:val="bottom"/>
          </w:tcPr>
          <w:p>
            <w:pPr>
              <w:spacing w:after="0"/>
              <w:rPr>
                <w:sz w:val="19"/>
                <w:szCs w:val="19"/>
                <w:color w:val="auto"/>
              </w:rPr>
            </w:pPr>
          </w:p>
        </w:tc>
        <w:tc>
          <w:tcPr>
            <w:tcW w:w="1820" w:type="dxa"/>
            <w:vAlign w:val="bottom"/>
            <w:gridSpan w:val="2"/>
          </w:tcPr>
          <w:p>
            <w:pPr>
              <w:jc w:val="right"/>
              <w:ind w:right="200"/>
              <w:spacing w:after="0"/>
              <w:rPr>
                <w:sz w:val="20"/>
                <w:szCs w:val="20"/>
                <w:color w:val="auto"/>
              </w:rPr>
            </w:pPr>
            <w:r>
              <w:rPr>
                <w:rFonts w:ascii="Arial" w:cs="Arial" w:eastAsia="Arial" w:hAnsi="Arial"/>
                <w:sz w:val="18"/>
                <w:szCs w:val="18"/>
                <w:color w:val="auto"/>
              </w:rPr>
              <w:t>(41,396)</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42,564</w:t>
            </w:r>
          </w:p>
        </w:tc>
        <w:tc>
          <w:tcPr>
            <w:tcW w:w="120" w:type="dxa"/>
            <w:vAlign w:val="bottom"/>
          </w:tcPr>
          <w:p>
            <w:pPr>
              <w:spacing w:after="0"/>
              <w:rPr>
                <w:sz w:val="19"/>
                <w:szCs w:val="19"/>
                <w:color w:val="auto"/>
              </w:rPr>
            </w:pPr>
          </w:p>
        </w:tc>
      </w:tr>
      <w:tr>
        <w:trPr>
          <w:trHeight w:val="229"/>
        </w:trPr>
        <w:tc>
          <w:tcPr>
            <w:tcW w:w="7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change in unrealized gains on foreign currency transactions</w:t>
            </w:r>
          </w:p>
        </w:tc>
        <w:tc>
          <w:tcPr>
            <w:tcW w:w="20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(578)</w:t>
            </w:r>
          </w:p>
        </w:tc>
        <w:tc>
          <w:tcPr>
            <w:tcW w:w="20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(5,420)</w:t>
            </w:r>
          </w:p>
        </w:tc>
      </w:tr>
      <w:tr>
        <w:trPr>
          <w:trHeight w:val="230"/>
        </w:trPr>
        <w:tc>
          <w:tcPr>
            <w:tcW w:w="7320" w:type="dxa"/>
            <w:vAlign w:val="bottom"/>
          </w:tcPr>
          <w:p>
            <w:pPr>
              <w:ind w:left="500"/>
              <w:spacing w:after="0"/>
              <w:rPr>
                <w:sz w:val="20"/>
                <w:szCs w:val="20"/>
                <w:color w:val="auto"/>
              </w:rPr>
            </w:pPr>
            <w:r>
              <w:rPr>
                <w:rFonts w:ascii="Arial" w:cs="Arial" w:eastAsia="Arial" w:hAnsi="Arial"/>
                <w:sz w:val="18"/>
                <w:szCs w:val="18"/>
                <w:color w:val="auto"/>
              </w:rPr>
              <w:t>Net change in unrealized (gains) losses on interest rate swaps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3,273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(9,698)</w:t>
            </w:r>
          </w:p>
        </w:tc>
      </w:tr>
      <w:tr>
        <w:trPr>
          <w:trHeight w:val="229"/>
        </w:trPr>
        <w:tc>
          <w:tcPr>
            <w:tcW w:w="7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realized (gains) losses on investments</w:t>
            </w:r>
          </w:p>
        </w:tc>
        <w:tc>
          <w:tcPr>
            <w:tcW w:w="20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(16,608)</w:t>
            </w:r>
          </w:p>
        </w:tc>
        <w:tc>
          <w:tcPr>
            <w:tcW w:w="2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3,561</w:t>
            </w:r>
          </w:p>
        </w:tc>
        <w:tc>
          <w:tcPr>
            <w:tcW w:w="120" w:type="dxa"/>
            <w:vAlign w:val="bottom"/>
            <w:shd w:val="clear" w:color="auto" w:fill="CFF0FC"/>
          </w:tcPr>
          <w:p>
            <w:pPr>
              <w:spacing w:after="0"/>
              <w:rPr>
                <w:sz w:val="19"/>
                <w:szCs w:val="19"/>
                <w:color w:val="auto"/>
              </w:rPr>
            </w:pPr>
          </w:p>
        </w:tc>
      </w:tr>
      <w:tr>
        <w:trPr>
          <w:trHeight w:val="229"/>
        </w:trPr>
        <w:tc>
          <w:tcPr>
            <w:tcW w:w="7320" w:type="dxa"/>
            <w:vAlign w:val="bottom"/>
          </w:tcPr>
          <w:p>
            <w:pPr>
              <w:ind w:left="500"/>
              <w:spacing w:after="0"/>
              <w:rPr>
                <w:sz w:val="20"/>
                <w:szCs w:val="20"/>
                <w:color w:val="auto"/>
              </w:rPr>
            </w:pPr>
            <w:r>
              <w:rPr>
                <w:rFonts w:ascii="Arial" w:cs="Arial" w:eastAsia="Arial" w:hAnsi="Arial"/>
                <w:sz w:val="18"/>
                <w:szCs w:val="18"/>
                <w:color w:val="auto"/>
              </w:rPr>
              <w:t>Net realized gains on extinguishment of debt</w:t>
            </w:r>
          </w:p>
        </w:tc>
        <w:tc>
          <w:tcPr>
            <w:tcW w:w="200" w:type="dxa"/>
            <w:vAlign w:val="bottom"/>
          </w:tcPr>
          <w:p>
            <w:pPr>
              <w:spacing w:after="0"/>
              <w:rPr>
                <w:sz w:val="19"/>
                <w:szCs w:val="19"/>
                <w:color w:val="auto"/>
              </w:rPr>
            </w:pP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(739)</w:t>
            </w:r>
          </w:p>
        </w:tc>
      </w:tr>
      <w:tr>
        <w:trPr>
          <w:trHeight w:val="230"/>
        </w:trPr>
        <w:tc>
          <w:tcPr>
            <w:tcW w:w="7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realized losses on foreign currency transactions</w:t>
            </w:r>
          </w:p>
        </w:tc>
        <w:tc>
          <w:tcPr>
            <w:tcW w:w="2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FF0FC"/>
          </w:tcPr>
          <w:p>
            <w:pPr>
              <w:spacing w:after="0"/>
              <w:rPr>
                <w:sz w:val="19"/>
                <w:szCs w:val="19"/>
                <w:color w:val="auto"/>
              </w:rPr>
            </w:pPr>
          </w:p>
        </w:tc>
      </w:tr>
      <w:tr>
        <w:trPr>
          <w:trHeight w:val="229"/>
        </w:trPr>
        <w:tc>
          <w:tcPr>
            <w:tcW w:w="7320" w:type="dxa"/>
            <w:vAlign w:val="bottom"/>
          </w:tcPr>
          <w:p>
            <w:pPr>
              <w:ind w:left="500"/>
              <w:spacing w:after="0"/>
              <w:rPr>
                <w:sz w:val="20"/>
                <w:szCs w:val="20"/>
                <w:color w:val="auto"/>
              </w:rPr>
            </w:pPr>
            <w:r>
              <w:rPr>
                <w:rFonts w:ascii="Arial" w:cs="Arial" w:eastAsia="Arial" w:hAnsi="Arial"/>
                <w:sz w:val="18"/>
                <w:szCs w:val="18"/>
                <w:color w:val="auto"/>
              </w:rPr>
              <w:t>Net amortization of discount on investments</w:t>
            </w:r>
          </w:p>
        </w:tc>
        <w:tc>
          <w:tcPr>
            <w:tcW w:w="200" w:type="dxa"/>
            <w:vAlign w:val="bottom"/>
          </w:tcPr>
          <w:p>
            <w:pPr>
              <w:spacing w:after="0"/>
              <w:rPr>
                <w:sz w:val="19"/>
                <w:szCs w:val="19"/>
                <w:color w:val="auto"/>
              </w:rPr>
            </w:pPr>
          </w:p>
        </w:tc>
        <w:tc>
          <w:tcPr>
            <w:tcW w:w="1820" w:type="dxa"/>
            <w:vAlign w:val="bottom"/>
            <w:gridSpan w:val="2"/>
          </w:tcPr>
          <w:p>
            <w:pPr>
              <w:jc w:val="right"/>
              <w:ind w:right="200"/>
              <w:spacing w:after="0"/>
              <w:rPr>
                <w:sz w:val="20"/>
                <w:szCs w:val="20"/>
                <w:color w:val="auto"/>
              </w:rPr>
            </w:pPr>
            <w:r>
              <w:rPr>
                <w:rFonts w:ascii="Arial" w:cs="Arial" w:eastAsia="Arial" w:hAnsi="Arial"/>
                <w:sz w:val="18"/>
                <w:szCs w:val="18"/>
                <w:color w:val="auto"/>
              </w:rPr>
              <w:t>(10,553)</w:t>
            </w:r>
          </w:p>
        </w:tc>
        <w:tc>
          <w:tcPr>
            <w:tcW w:w="200" w:type="dxa"/>
            <w:vAlign w:val="bottom"/>
          </w:tcPr>
          <w:p>
            <w:pPr>
              <w:spacing w:after="0"/>
              <w:rPr>
                <w:sz w:val="19"/>
                <w:szCs w:val="19"/>
                <w:color w:val="auto"/>
              </w:rPr>
            </w:pP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(13,078)</w:t>
            </w:r>
          </w:p>
        </w:tc>
      </w:tr>
      <w:tr>
        <w:trPr>
          <w:trHeight w:val="230"/>
        </w:trPr>
        <w:tc>
          <w:tcPr>
            <w:tcW w:w="7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of deferred financing costs</w:t>
            </w:r>
          </w:p>
        </w:tc>
        <w:tc>
          <w:tcPr>
            <w:tcW w:w="2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2,860</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2,539</w:t>
            </w:r>
          </w:p>
        </w:tc>
        <w:tc>
          <w:tcPr>
            <w:tcW w:w="120" w:type="dxa"/>
            <w:vAlign w:val="bottom"/>
            <w:shd w:val="clear" w:color="auto" w:fill="CFF0FC"/>
          </w:tcPr>
          <w:p>
            <w:pPr>
              <w:spacing w:after="0"/>
              <w:rPr>
                <w:sz w:val="19"/>
                <w:szCs w:val="19"/>
                <w:color w:val="auto"/>
              </w:rPr>
            </w:pPr>
          </w:p>
        </w:tc>
      </w:tr>
      <w:tr>
        <w:trPr>
          <w:trHeight w:val="229"/>
        </w:trPr>
        <w:tc>
          <w:tcPr>
            <w:tcW w:w="7320" w:type="dxa"/>
            <w:vAlign w:val="bottom"/>
          </w:tcPr>
          <w:p>
            <w:pPr>
              <w:ind w:left="500"/>
              <w:spacing w:after="0"/>
              <w:rPr>
                <w:sz w:val="20"/>
                <w:szCs w:val="20"/>
                <w:color w:val="auto"/>
              </w:rPr>
            </w:pPr>
            <w:r>
              <w:rPr>
                <w:rFonts w:ascii="Arial" w:cs="Arial" w:eastAsia="Arial" w:hAnsi="Arial"/>
                <w:sz w:val="18"/>
                <w:szCs w:val="18"/>
                <w:color w:val="auto"/>
              </w:rPr>
              <w:t>Amortization of discount on debt</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333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19"/>
                <w:szCs w:val="19"/>
                <w:color w:val="auto"/>
              </w:rPr>
            </w:pPr>
          </w:p>
        </w:tc>
      </w:tr>
      <w:tr>
        <w:trPr>
          <w:trHeight w:val="229"/>
        </w:trPr>
        <w:tc>
          <w:tcPr>
            <w:tcW w:w="7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Purchases and originations of investments, net</w:t>
            </w:r>
          </w:p>
        </w:tc>
        <w:tc>
          <w:tcPr>
            <w:tcW w:w="20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(439,203)</w:t>
            </w:r>
          </w:p>
        </w:tc>
        <w:tc>
          <w:tcPr>
            <w:tcW w:w="20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(211,013)</w:t>
            </w:r>
          </w:p>
        </w:tc>
      </w:tr>
      <w:tr>
        <w:trPr>
          <w:trHeight w:val="230"/>
        </w:trPr>
        <w:tc>
          <w:tcPr>
            <w:tcW w:w="7320" w:type="dxa"/>
            <w:vAlign w:val="bottom"/>
          </w:tcPr>
          <w:p>
            <w:pPr>
              <w:ind w:left="500"/>
              <w:spacing w:after="0"/>
              <w:rPr>
                <w:sz w:val="20"/>
                <w:szCs w:val="20"/>
                <w:color w:val="auto"/>
              </w:rPr>
            </w:pPr>
            <w:r>
              <w:rPr>
                <w:rFonts w:ascii="Arial" w:cs="Arial" w:eastAsia="Arial" w:hAnsi="Arial"/>
                <w:sz w:val="18"/>
                <w:szCs w:val="18"/>
                <w:color w:val="auto"/>
              </w:rPr>
              <w:t>Proceeds from investments, net</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42,385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1,014</w:t>
            </w:r>
          </w:p>
        </w:tc>
        <w:tc>
          <w:tcPr>
            <w:tcW w:w="120" w:type="dxa"/>
            <w:vAlign w:val="bottom"/>
          </w:tcPr>
          <w:p>
            <w:pPr>
              <w:spacing w:after="0"/>
              <w:rPr>
                <w:sz w:val="19"/>
                <w:szCs w:val="19"/>
                <w:color w:val="auto"/>
              </w:rPr>
            </w:pPr>
          </w:p>
        </w:tc>
      </w:tr>
      <w:tr>
        <w:trPr>
          <w:trHeight w:val="229"/>
        </w:trPr>
        <w:tc>
          <w:tcPr>
            <w:tcW w:w="7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Repayments on investments</w:t>
            </w:r>
          </w:p>
        </w:tc>
        <w:tc>
          <w:tcPr>
            <w:tcW w:w="2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198,432</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443,138</w:t>
            </w:r>
          </w:p>
        </w:tc>
        <w:tc>
          <w:tcPr>
            <w:tcW w:w="120" w:type="dxa"/>
            <w:vAlign w:val="bottom"/>
            <w:shd w:val="clear" w:color="auto" w:fill="CFF0FC"/>
          </w:tcPr>
          <w:p>
            <w:pPr>
              <w:spacing w:after="0"/>
              <w:rPr>
                <w:sz w:val="19"/>
                <w:szCs w:val="19"/>
                <w:color w:val="auto"/>
              </w:rPr>
            </w:pPr>
          </w:p>
        </w:tc>
      </w:tr>
      <w:tr>
        <w:trPr>
          <w:trHeight w:val="229"/>
        </w:trPr>
        <w:tc>
          <w:tcPr>
            <w:tcW w:w="7320" w:type="dxa"/>
            <w:vAlign w:val="bottom"/>
          </w:tcPr>
          <w:p>
            <w:pPr>
              <w:ind w:left="500"/>
              <w:spacing w:after="0"/>
              <w:rPr>
                <w:sz w:val="20"/>
                <w:szCs w:val="20"/>
                <w:color w:val="auto"/>
              </w:rPr>
            </w:pPr>
            <w:r>
              <w:rPr>
                <w:rFonts w:ascii="Arial" w:cs="Arial" w:eastAsia="Arial" w:hAnsi="Arial"/>
                <w:sz w:val="18"/>
                <w:szCs w:val="18"/>
                <w:color w:val="auto"/>
              </w:rPr>
              <w:t>Paid-in-kind interest</w:t>
            </w:r>
          </w:p>
        </w:tc>
        <w:tc>
          <w:tcPr>
            <w:tcW w:w="200" w:type="dxa"/>
            <w:vAlign w:val="bottom"/>
          </w:tcPr>
          <w:p>
            <w:pPr>
              <w:spacing w:after="0"/>
              <w:rPr>
                <w:sz w:val="19"/>
                <w:szCs w:val="19"/>
                <w:color w:val="auto"/>
              </w:rPr>
            </w:pPr>
          </w:p>
        </w:tc>
        <w:tc>
          <w:tcPr>
            <w:tcW w:w="1820" w:type="dxa"/>
            <w:vAlign w:val="bottom"/>
            <w:gridSpan w:val="2"/>
          </w:tcPr>
          <w:p>
            <w:pPr>
              <w:jc w:val="right"/>
              <w:ind w:right="200"/>
              <w:spacing w:after="0"/>
              <w:rPr>
                <w:sz w:val="20"/>
                <w:szCs w:val="20"/>
                <w:color w:val="auto"/>
              </w:rPr>
            </w:pPr>
            <w:r>
              <w:rPr>
                <w:rFonts w:ascii="Arial" w:cs="Arial" w:eastAsia="Arial" w:hAnsi="Arial"/>
                <w:sz w:val="18"/>
                <w:szCs w:val="18"/>
                <w:color w:val="auto"/>
              </w:rPr>
              <w:t>(4,183)</w:t>
            </w:r>
          </w:p>
        </w:tc>
        <w:tc>
          <w:tcPr>
            <w:tcW w:w="200" w:type="dxa"/>
            <w:vAlign w:val="bottom"/>
          </w:tcPr>
          <w:p>
            <w:pPr>
              <w:spacing w:after="0"/>
              <w:rPr>
                <w:sz w:val="19"/>
                <w:szCs w:val="19"/>
                <w:color w:val="auto"/>
              </w:rPr>
            </w:pP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(3,897)</w:t>
            </w:r>
          </w:p>
        </w:tc>
      </w:tr>
      <w:tr>
        <w:trPr>
          <w:trHeight w:val="230"/>
        </w:trPr>
        <w:tc>
          <w:tcPr>
            <w:tcW w:w="7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20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320" w:type="dxa"/>
            <w:vAlign w:val="bottom"/>
          </w:tcPr>
          <w:p>
            <w:pPr>
              <w:ind w:left="500"/>
              <w:spacing w:after="0"/>
              <w:rPr>
                <w:sz w:val="20"/>
                <w:szCs w:val="20"/>
                <w:color w:val="auto"/>
              </w:rPr>
            </w:pPr>
            <w:r>
              <w:rPr>
                <w:rFonts w:ascii="Arial" w:cs="Arial" w:eastAsia="Arial" w:hAnsi="Arial"/>
                <w:sz w:val="18"/>
                <w:szCs w:val="18"/>
                <w:color w:val="auto"/>
              </w:rPr>
              <w:t>Interest receivable</w:t>
            </w:r>
          </w:p>
        </w:tc>
        <w:tc>
          <w:tcPr>
            <w:tcW w:w="200" w:type="dxa"/>
            <w:vAlign w:val="bottom"/>
          </w:tcPr>
          <w:p>
            <w:pPr>
              <w:spacing w:after="0"/>
              <w:rPr>
                <w:sz w:val="19"/>
                <w:szCs w:val="19"/>
                <w:color w:val="auto"/>
              </w:rPr>
            </w:pPr>
          </w:p>
        </w:tc>
        <w:tc>
          <w:tcPr>
            <w:tcW w:w="1820" w:type="dxa"/>
            <w:vAlign w:val="bottom"/>
            <w:gridSpan w:val="2"/>
          </w:tcPr>
          <w:p>
            <w:pPr>
              <w:jc w:val="right"/>
              <w:ind w:right="200"/>
              <w:spacing w:after="0"/>
              <w:rPr>
                <w:sz w:val="20"/>
                <w:szCs w:val="20"/>
                <w:color w:val="auto"/>
              </w:rPr>
            </w:pPr>
            <w:r>
              <w:rPr>
                <w:rFonts w:ascii="Arial" w:cs="Arial" w:eastAsia="Arial" w:hAnsi="Arial"/>
                <w:sz w:val="18"/>
                <w:szCs w:val="18"/>
                <w:color w:val="auto"/>
              </w:rPr>
              <w:t>(5,469)</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3,339</w:t>
            </w:r>
          </w:p>
        </w:tc>
        <w:tc>
          <w:tcPr>
            <w:tcW w:w="120" w:type="dxa"/>
            <w:vAlign w:val="bottom"/>
          </w:tcPr>
          <w:p>
            <w:pPr>
              <w:spacing w:after="0"/>
              <w:rPr>
                <w:sz w:val="19"/>
                <w:szCs w:val="19"/>
                <w:color w:val="auto"/>
              </w:rPr>
            </w:pPr>
          </w:p>
        </w:tc>
      </w:tr>
      <w:tr>
        <w:trPr>
          <w:trHeight w:val="230"/>
        </w:trPr>
        <w:tc>
          <w:tcPr>
            <w:tcW w:w="7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Interest receivable paid-in-kind</w:t>
            </w:r>
          </w:p>
        </w:tc>
        <w:tc>
          <w:tcPr>
            <w:tcW w:w="2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(105)</w:t>
            </w:r>
          </w:p>
        </w:tc>
      </w:tr>
      <w:tr>
        <w:trPr>
          <w:trHeight w:val="230"/>
        </w:trPr>
        <w:tc>
          <w:tcPr>
            <w:tcW w:w="7320" w:type="dxa"/>
            <w:vAlign w:val="bottom"/>
          </w:tcPr>
          <w:p>
            <w:pPr>
              <w:ind w:left="500"/>
              <w:spacing w:after="0"/>
              <w:rPr>
                <w:sz w:val="20"/>
                <w:szCs w:val="20"/>
                <w:color w:val="auto"/>
              </w:rPr>
            </w:pPr>
            <w:r>
              <w:rPr>
                <w:rFonts w:ascii="Arial" w:cs="Arial" w:eastAsia="Arial" w:hAnsi="Arial"/>
                <w:sz w:val="18"/>
                <w:szCs w:val="18"/>
                <w:color w:val="auto"/>
              </w:rPr>
              <w:t>Prepaid expenses and other assets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12,164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(2,480)</w:t>
            </w:r>
          </w:p>
        </w:tc>
      </w:tr>
      <w:tr>
        <w:trPr>
          <w:trHeight w:val="230"/>
        </w:trPr>
        <w:tc>
          <w:tcPr>
            <w:tcW w:w="7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Management fees payable to affiliate</w:t>
            </w:r>
          </w:p>
        </w:tc>
        <w:tc>
          <w:tcPr>
            <w:tcW w:w="2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852</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(568)</w:t>
            </w:r>
          </w:p>
        </w:tc>
      </w:tr>
      <w:tr>
        <w:trPr>
          <w:trHeight w:val="229"/>
        </w:trPr>
        <w:tc>
          <w:tcPr>
            <w:tcW w:w="7320" w:type="dxa"/>
            <w:vAlign w:val="bottom"/>
          </w:tcPr>
          <w:p>
            <w:pPr>
              <w:ind w:left="500"/>
              <w:spacing w:after="0"/>
              <w:rPr>
                <w:sz w:val="20"/>
                <w:szCs w:val="20"/>
                <w:color w:val="auto"/>
              </w:rPr>
            </w:pPr>
            <w:r>
              <w:rPr>
                <w:rFonts w:ascii="Arial" w:cs="Arial" w:eastAsia="Arial" w:hAnsi="Arial"/>
                <w:sz w:val="18"/>
                <w:szCs w:val="18"/>
                <w:color w:val="auto"/>
              </w:rPr>
              <w:t>Incentive fees on net investment income payable to affiliate</w:t>
            </w:r>
          </w:p>
        </w:tc>
        <w:tc>
          <w:tcPr>
            <w:tcW w:w="200" w:type="dxa"/>
            <w:vAlign w:val="bottom"/>
          </w:tcPr>
          <w:p>
            <w:pPr>
              <w:spacing w:after="0"/>
              <w:rPr>
                <w:sz w:val="19"/>
                <w:szCs w:val="19"/>
                <w:color w:val="auto"/>
              </w:rPr>
            </w:pPr>
          </w:p>
        </w:tc>
        <w:tc>
          <w:tcPr>
            <w:tcW w:w="1820" w:type="dxa"/>
            <w:vAlign w:val="bottom"/>
            <w:gridSpan w:val="2"/>
          </w:tcPr>
          <w:p>
            <w:pPr>
              <w:jc w:val="right"/>
              <w:ind w:right="200"/>
              <w:spacing w:after="0"/>
              <w:rPr>
                <w:sz w:val="20"/>
                <w:szCs w:val="20"/>
                <w:color w:val="auto"/>
              </w:rPr>
            </w:pPr>
            <w:r>
              <w:rPr>
                <w:rFonts w:ascii="Arial" w:cs="Arial" w:eastAsia="Arial" w:hAnsi="Arial"/>
                <w:sz w:val="18"/>
                <w:szCs w:val="18"/>
                <w:color w:val="auto"/>
              </w:rPr>
              <w:t>(257)</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1,211</w:t>
            </w:r>
          </w:p>
        </w:tc>
        <w:tc>
          <w:tcPr>
            <w:tcW w:w="120" w:type="dxa"/>
            <w:vAlign w:val="bottom"/>
          </w:tcPr>
          <w:p>
            <w:pPr>
              <w:spacing w:after="0"/>
              <w:rPr>
                <w:sz w:val="19"/>
                <w:szCs w:val="19"/>
                <w:color w:val="auto"/>
              </w:rPr>
            </w:pPr>
          </w:p>
        </w:tc>
      </w:tr>
      <w:tr>
        <w:trPr>
          <w:trHeight w:val="230"/>
        </w:trPr>
        <w:tc>
          <w:tcPr>
            <w:tcW w:w="7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Incentive fees on net capital gains accrued to affiliate</w:t>
            </w:r>
          </w:p>
        </w:tc>
        <w:tc>
          <w:tcPr>
            <w:tcW w:w="2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10,104</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320" w:type="dxa"/>
            <w:vAlign w:val="bottom"/>
          </w:tcPr>
          <w:p>
            <w:pPr>
              <w:ind w:left="500"/>
              <w:spacing w:after="0"/>
              <w:rPr>
                <w:sz w:val="20"/>
                <w:szCs w:val="20"/>
                <w:color w:val="auto"/>
              </w:rPr>
            </w:pPr>
            <w:r>
              <w:rPr>
                <w:rFonts w:ascii="Arial" w:cs="Arial" w:eastAsia="Arial" w:hAnsi="Arial"/>
                <w:sz w:val="18"/>
                <w:szCs w:val="18"/>
                <w:color w:val="auto"/>
              </w:rPr>
              <w:t>Payable to affiliate</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640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1,175</w:t>
            </w:r>
          </w:p>
        </w:tc>
        <w:tc>
          <w:tcPr>
            <w:tcW w:w="120" w:type="dxa"/>
            <w:vAlign w:val="bottom"/>
          </w:tcPr>
          <w:p>
            <w:pPr>
              <w:spacing w:after="0"/>
              <w:rPr>
                <w:sz w:val="19"/>
                <w:szCs w:val="19"/>
                <w:color w:val="auto"/>
              </w:rPr>
            </w:pPr>
          </w:p>
        </w:tc>
      </w:tr>
      <w:tr>
        <w:trPr>
          <w:trHeight w:val="230"/>
        </w:trPr>
        <w:tc>
          <w:tcPr>
            <w:tcW w:w="7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liabilities</w:t>
            </w:r>
          </w:p>
        </w:tc>
        <w:tc>
          <w:tcPr>
            <w:tcW w:w="20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(16,351)</w:t>
            </w:r>
          </w:p>
        </w:tc>
        <w:tc>
          <w:tcPr>
            <w:tcW w:w="2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24,997</w:t>
            </w:r>
          </w:p>
        </w:tc>
        <w:tc>
          <w:tcPr>
            <w:tcW w:w="120" w:type="dxa"/>
            <w:vAlign w:val="bottom"/>
            <w:shd w:val="clear" w:color="auto" w:fill="CFF0FC"/>
          </w:tcPr>
          <w:p>
            <w:pPr>
              <w:spacing w:after="0"/>
              <w:rPr>
                <w:sz w:val="19"/>
                <w:szCs w:val="19"/>
                <w:color w:val="auto"/>
              </w:rPr>
            </w:pPr>
          </w:p>
        </w:tc>
      </w:tr>
      <w:tr>
        <w:trPr>
          <w:trHeight w:val="223"/>
        </w:trPr>
        <w:tc>
          <w:tcPr>
            <w:tcW w:w="732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20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(148,476)</w:t>
            </w:r>
          </w:p>
        </w:tc>
        <w:tc>
          <w:tcPr>
            <w:tcW w:w="26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319,621</w:t>
            </w:r>
          </w:p>
        </w:tc>
        <w:tc>
          <w:tcPr>
            <w:tcW w:w="120" w:type="dxa"/>
            <w:vAlign w:val="bottom"/>
            <w:tcBorders>
              <w:bottom w:val="single" w:sz="8" w:color="CFF0FC"/>
            </w:tcBorders>
          </w:tcPr>
          <w:p>
            <w:pPr>
              <w:spacing w:after="0"/>
              <w:rPr>
                <w:sz w:val="19"/>
                <w:szCs w:val="19"/>
                <w:color w:val="auto"/>
              </w:rPr>
            </w:pPr>
          </w:p>
        </w:tc>
      </w:tr>
      <w:tr>
        <w:trPr>
          <w:trHeight w:val="223"/>
        </w:trPr>
        <w:tc>
          <w:tcPr>
            <w:tcW w:w="7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Borrowings on debt</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827,256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322,481</w:t>
            </w:r>
          </w:p>
        </w:tc>
        <w:tc>
          <w:tcPr>
            <w:tcW w:w="120" w:type="dxa"/>
            <w:vAlign w:val="bottom"/>
          </w:tcPr>
          <w:p>
            <w:pPr>
              <w:spacing w:after="0"/>
              <w:rPr>
                <w:sz w:val="19"/>
                <w:szCs w:val="19"/>
                <w:color w:val="auto"/>
              </w:rPr>
            </w:pPr>
          </w:p>
        </w:tc>
      </w:tr>
      <w:tr>
        <w:trPr>
          <w:trHeight w:val="229"/>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Repayments on debt</w:t>
            </w:r>
          </w:p>
        </w:tc>
        <w:tc>
          <w:tcPr>
            <w:tcW w:w="20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(615,482)</w:t>
            </w:r>
          </w:p>
        </w:tc>
        <w:tc>
          <w:tcPr>
            <w:tcW w:w="20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(527,307)</w:t>
            </w: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Repurchases of debt</w:t>
            </w:r>
          </w:p>
        </w:tc>
        <w:tc>
          <w:tcPr>
            <w:tcW w:w="200" w:type="dxa"/>
            <w:vAlign w:val="bottom"/>
          </w:tcPr>
          <w:p>
            <w:pPr>
              <w:spacing w:after="0"/>
              <w:rPr>
                <w:sz w:val="19"/>
                <w:szCs w:val="19"/>
                <w:color w:val="auto"/>
              </w:rPr>
            </w:pP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(31,829)</w:t>
            </w:r>
          </w:p>
        </w:tc>
      </w:tr>
      <w:tr>
        <w:trPr>
          <w:trHeight w:val="230"/>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Deferred financing costs</w:t>
            </w:r>
          </w:p>
        </w:tc>
        <w:tc>
          <w:tcPr>
            <w:tcW w:w="20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(7,901)</w:t>
            </w:r>
          </w:p>
        </w:tc>
        <w:tc>
          <w:tcPr>
            <w:tcW w:w="20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(4,182)</w:t>
            </w: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Proceeds from issuance of common stock, net of offering and underwriting costs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85,904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Purchases of treasury stock</w:t>
            </w:r>
          </w:p>
        </w:tc>
        <w:tc>
          <w:tcPr>
            <w:tcW w:w="20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(2,932)</w:t>
            </w: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Dividends paid to stockholders</w:t>
            </w:r>
          </w:p>
        </w:tc>
        <w:tc>
          <w:tcPr>
            <w:tcW w:w="200" w:type="dxa"/>
            <w:vAlign w:val="bottom"/>
          </w:tcPr>
          <w:p>
            <w:pPr>
              <w:spacing w:after="0"/>
              <w:rPr>
                <w:sz w:val="19"/>
                <w:szCs w:val="19"/>
                <w:color w:val="auto"/>
              </w:rPr>
            </w:pPr>
          </w:p>
        </w:tc>
        <w:tc>
          <w:tcPr>
            <w:tcW w:w="1820" w:type="dxa"/>
            <w:vAlign w:val="bottom"/>
            <w:gridSpan w:val="2"/>
          </w:tcPr>
          <w:p>
            <w:pPr>
              <w:jc w:val="right"/>
              <w:ind w:right="200"/>
              <w:spacing w:after="0"/>
              <w:rPr>
                <w:sz w:val="20"/>
                <w:szCs w:val="20"/>
                <w:color w:val="auto"/>
              </w:rPr>
            </w:pPr>
            <w:r>
              <w:rPr>
                <w:rFonts w:ascii="Arial" w:cs="Arial" w:eastAsia="Arial" w:hAnsi="Arial"/>
                <w:sz w:val="18"/>
                <w:szCs w:val="18"/>
                <w:color w:val="auto"/>
              </w:rPr>
              <w:t>(136,081)</w:t>
            </w:r>
          </w:p>
        </w:tc>
        <w:tc>
          <w:tcPr>
            <w:tcW w:w="200" w:type="dxa"/>
            <w:vAlign w:val="bottom"/>
          </w:tcPr>
          <w:p>
            <w:pPr>
              <w:spacing w:after="0"/>
              <w:rPr>
                <w:sz w:val="19"/>
                <w:szCs w:val="19"/>
                <w:color w:val="auto"/>
              </w:rPr>
            </w:pP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(74,058)</w:t>
            </w:r>
          </w:p>
        </w:tc>
      </w:tr>
      <w:tr>
        <w:trPr>
          <w:trHeight w:val="223"/>
        </w:trPr>
        <w:tc>
          <w:tcPr>
            <w:tcW w:w="73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153,696</w:t>
            </w: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(317,827)</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320" w:type="dxa"/>
            <w:vAlign w:val="bottom"/>
          </w:tcPr>
          <w:p>
            <w:pPr>
              <w:ind w:left="500"/>
              <w:spacing w:after="0"/>
              <w:rPr>
                <w:sz w:val="20"/>
                <w:szCs w:val="20"/>
                <w:color w:val="auto"/>
              </w:rPr>
            </w:pPr>
            <w:r>
              <w:rPr>
                <w:rFonts w:ascii="Arial" w:cs="Arial" w:eastAsia="Arial" w:hAnsi="Arial"/>
                <w:sz w:val="18"/>
                <w:szCs w:val="18"/>
                <w:b w:val="1"/>
                <w:bCs w:val="1"/>
                <w:color w:val="auto"/>
              </w:rPr>
              <w:t>Net Increase (Decrease) in Cash, Cash Equivalents, and Restricted Cash</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5,220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1,794</w:t>
            </w:r>
          </w:p>
        </w:tc>
        <w:tc>
          <w:tcPr>
            <w:tcW w:w="120" w:type="dxa"/>
            <w:vAlign w:val="bottom"/>
          </w:tcPr>
          <w:p>
            <w:pPr>
              <w:spacing w:after="0"/>
              <w:rPr>
                <w:sz w:val="19"/>
                <w:szCs w:val="19"/>
                <w:color w:val="auto"/>
              </w:rPr>
            </w:pPr>
          </w:p>
        </w:tc>
      </w:tr>
      <w:tr>
        <w:trPr>
          <w:trHeight w:val="229"/>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20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13,274</w:t>
            </w:r>
          </w:p>
        </w:tc>
        <w:tc>
          <w:tcPr>
            <w:tcW w:w="2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14,143</w:t>
            </w:r>
          </w:p>
        </w:tc>
        <w:tc>
          <w:tcPr>
            <w:tcW w:w="120" w:type="dxa"/>
            <w:vAlign w:val="bottom"/>
            <w:shd w:val="clear" w:color="auto" w:fill="CFF0FC"/>
          </w:tcPr>
          <w:p>
            <w:pPr>
              <w:spacing w:after="0"/>
              <w:rPr>
                <w:sz w:val="19"/>
                <w:szCs w:val="19"/>
                <w:color w:val="auto"/>
              </w:rPr>
            </w:pPr>
          </w:p>
        </w:tc>
      </w:tr>
      <w:tr>
        <w:trPr>
          <w:trHeight w:val="263"/>
        </w:trPr>
        <w:tc>
          <w:tcPr>
            <w:tcW w:w="732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18,494</w:t>
            </w:r>
          </w:p>
        </w:tc>
        <w:tc>
          <w:tcPr>
            <w:tcW w:w="26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15,937</w:t>
            </w:r>
          </w:p>
        </w:tc>
        <w:tc>
          <w:tcPr>
            <w:tcW w:w="120" w:type="dxa"/>
            <w:vAlign w:val="bottom"/>
            <w:tcBorders>
              <w:bottom w:val="single" w:sz="8" w:color="CFF0FC"/>
            </w:tcBorders>
          </w:tcPr>
          <w:p>
            <w:pPr>
              <w:spacing w:after="0"/>
              <w:rPr>
                <w:sz w:val="22"/>
                <w:szCs w:val="22"/>
                <w:color w:val="auto"/>
              </w:rPr>
            </w:pPr>
          </w:p>
        </w:tc>
      </w:tr>
      <w:tr>
        <w:trPr>
          <w:trHeight w:val="210"/>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Supplemental Information:</w:t>
            </w: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320" w:type="dxa"/>
            <w:vAlign w:val="bottom"/>
          </w:tcPr>
          <w:p>
            <w:pPr>
              <w:ind w:left="500"/>
              <w:spacing w:after="0"/>
              <w:rPr>
                <w:sz w:val="20"/>
                <w:szCs w:val="20"/>
                <w:color w:val="auto"/>
              </w:rPr>
            </w:pPr>
            <w:r>
              <w:rPr>
                <w:rFonts w:ascii="Arial" w:cs="Arial" w:eastAsia="Arial" w:hAnsi="Arial"/>
                <w:sz w:val="18"/>
                <w:szCs w:val="18"/>
                <w:color w:val="auto"/>
              </w:rPr>
              <w:t>Interest paid during the period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12,779</w:t>
            </w:r>
          </w:p>
        </w:tc>
        <w:tc>
          <w:tcPr>
            <w:tcW w:w="26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20,078</w:t>
            </w:r>
          </w:p>
        </w:tc>
        <w:tc>
          <w:tcPr>
            <w:tcW w:w="120" w:type="dxa"/>
            <w:vAlign w:val="bottom"/>
          </w:tcPr>
          <w:p>
            <w:pPr>
              <w:spacing w:after="0"/>
              <w:rPr>
                <w:sz w:val="19"/>
                <w:szCs w:val="19"/>
                <w:color w:val="auto"/>
              </w:rPr>
            </w:pPr>
          </w:p>
        </w:tc>
      </w:tr>
      <w:tr>
        <w:trPr>
          <w:trHeight w:val="230"/>
        </w:trPr>
        <w:tc>
          <w:tcPr>
            <w:tcW w:w="7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Excise and other taxes paid during the period</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4,215</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3,900</w:t>
            </w:r>
          </w:p>
        </w:tc>
        <w:tc>
          <w:tcPr>
            <w:tcW w:w="120" w:type="dxa"/>
            <w:vAlign w:val="bottom"/>
            <w:shd w:val="clear" w:color="auto" w:fill="CFF0FC"/>
          </w:tcPr>
          <w:p>
            <w:pPr>
              <w:spacing w:after="0"/>
              <w:rPr>
                <w:sz w:val="19"/>
                <w:szCs w:val="19"/>
                <w:color w:val="auto"/>
              </w:rPr>
            </w:pPr>
          </w:p>
        </w:tc>
      </w:tr>
      <w:tr>
        <w:trPr>
          <w:trHeight w:val="229"/>
        </w:trPr>
        <w:tc>
          <w:tcPr>
            <w:tcW w:w="7320" w:type="dxa"/>
            <w:vAlign w:val="bottom"/>
          </w:tcPr>
          <w:p>
            <w:pPr>
              <w:ind w:left="500"/>
              <w:spacing w:after="0"/>
              <w:rPr>
                <w:sz w:val="20"/>
                <w:szCs w:val="20"/>
                <w:color w:val="auto"/>
              </w:rPr>
            </w:pPr>
            <w:r>
              <w:rPr>
                <w:rFonts w:ascii="Arial" w:cs="Arial" w:eastAsia="Arial" w:hAnsi="Arial"/>
                <w:sz w:val="18"/>
                <w:szCs w:val="18"/>
                <w:color w:val="auto"/>
              </w:rPr>
              <w:t>Dividends declared during the period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157,134</w:t>
            </w:r>
          </w:p>
        </w:tc>
        <w:tc>
          <w:tcPr>
            <w:tcW w:w="26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92,336</w:t>
            </w:r>
          </w:p>
        </w:tc>
        <w:tc>
          <w:tcPr>
            <w:tcW w:w="120" w:type="dxa"/>
            <w:vAlign w:val="bottom"/>
          </w:tcPr>
          <w:p>
            <w:pPr>
              <w:spacing w:after="0"/>
              <w:rPr>
                <w:sz w:val="19"/>
                <w:szCs w:val="19"/>
                <w:color w:val="auto"/>
              </w:rPr>
            </w:pPr>
          </w:p>
        </w:tc>
      </w:tr>
      <w:tr>
        <w:trPr>
          <w:trHeight w:val="230"/>
        </w:trPr>
        <w:tc>
          <w:tcPr>
            <w:tcW w:w="7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Reinvestment of dividends during the period</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19,007</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16,711</w:t>
            </w:r>
          </w:p>
        </w:tc>
        <w:tc>
          <w:tcPr>
            <w:tcW w:w="120" w:type="dxa"/>
            <w:vAlign w:val="bottom"/>
            <w:shd w:val="clear" w:color="auto" w:fill="CFF0FC"/>
          </w:tcPr>
          <w:p>
            <w:pPr>
              <w:spacing w:after="0"/>
              <w:rPr>
                <w:sz w:val="19"/>
                <w:szCs w:val="19"/>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t>Sixth Street Specialty Lending,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unless otherwise indicated)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117" w:lineRule="exact"/>
        <w:rPr>
          <w:sz w:val="20"/>
          <w:szCs w:val="20"/>
          <w:color w:val="auto"/>
        </w:rPr>
      </w:pPr>
    </w:p>
    <w:p>
      <w:pPr>
        <w:ind w:right="80" w:firstLine="255"/>
        <w:spacing w:after="0" w:line="290" w:lineRule="auto"/>
        <w:rPr>
          <w:sz w:val="20"/>
          <w:szCs w:val="20"/>
          <w:color w:val="auto"/>
        </w:rPr>
      </w:pPr>
      <w:r>
        <w:rPr>
          <w:rFonts w:ascii="Arial" w:cs="Arial" w:eastAsia="Arial" w:hAnsi="Arial"/>
          <w:sz w:val="16"/>
          <w:szCs w:val="16"/>
          <w:color w:val="auto"/>
        </w:rPr>
        <w:t>Sixth Street Specialty Lending, Inc. (the “Company”) is a Delaware corporation formed on July 21, 2010. The Company was formed primarily to lend to, and selectively invest in, middle-market companies in the United States. The Company has elected to be regulated as a business development company (“BDC”) under the 1940 Act. In addition, for tax purposes, the Company has elected to be treated as a regulated investment company (“RIC”) under Subchapter M of the Internal Revenue Code of 1986, as amended (the “Code”). The Company is managed by Sixth Street Specialty Lending Advisers, LLC (the “Adviser”). On June 1, 2011, the Company formed a wholly-owned subsidiary, TC Lending, LLC, a Delaware limited liability company. On March 22, 2012, the Company formed a wholly-owned subsidiary, Sixth Street SL SPV, LLC, a Delaware limited liability company. On May 19, 2014, the Company formed a wholly-owned subsidiary, Sixth Street SL Holding, LLC, a Delaware limited liability company. On December 9, 2020, the Company formed a wholly-owned subsidiary, Sixth Street Specialty Lending Sub, LLC, a Cayman Islands limited liability company.</w:t>
      </w:r>
    </w:p>
    <w:p>
      <w:pPr>
        <w:spacing w:after="0" w:line="165" w:lineRule="exact"/>
        <w:rPr>
          <w:sz w:val="20"/>
          <w:szCs w:val="20"/>
          <w:color w:val="auto"/>
        </w:rPr>
      </w:pPr>
    </w:p>
    <w:p>
      <w:pPr>
        <w:ind w:right="620" w:firstLine="255"/>
        <w:spacing w:after="0" w:line="277" w:lineRule="auto"/>
        <w:rPr>
          <w:sz w:val="20"/>
          <w:szCs w:val="20"/>
          <w:color w:val="auto"/>
        </w:rPr>
      </w:pPr>
      <w:r>
        <w:rPr>
          <w:rFonts w:ascii="Arial" w:cs="Arial" w:eastAsia="Arial" w:hAnsi="Arial"/>
          <w:sz w:val="18"/>
          <w:szCs w:val="18"/>
          <w:color w:val="auto"/>
        </w:rPr>
        <w:t>On March 21, 2014, the Company completed its initial public offering (“IPO”) and the Company’s shares began trading on the New York Stock Exchange (“NYSE”) under the symbol “TSLX.”</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right="200" w:firstLine="255"/>
        <w:spacing w:after="0" w:line="257" w:lineRule="auto"/>
        <w:rPr>
          <w:sz w:val="20"/>
          <w:szCs w:val="20"/>
          <w:color w:val="auto"/>
        </w:rPr>
      </w:pPr>
      <w:r>
        <w:rPr>
          <w:rFonts w:ascii="Arial" w:cs="Arial" w:eastAsia="Arial" w:hAnsi="Arial"/>
          <w:sz w:val="18"/>
          <w:szCs w:val="18"/>
          <w:color w:val="auto"/>
        </w:rPr>
        <w:t>The accompanying consolidated financial statements are prepared in accordance with accounting principles generally accepted in the United States of America (“U.S. GAAP”), and include the accounts of the Company and its subsidiaries. In the opinion of management, all adjustments considered necessary for the fair presentation of the consolidated financial statements for the periods presented have been included. The results of operations for interim periods are not indicative of results to be expected for the full year. All intercompany balances and transactions have been eliminated in consolidation.</w:t>
      </w:r>
    </w:p>
    <w:p>
      <w:pPr>
        <w:spacing w:after="0" w:line="188" w:lineRule="exact"/>
        <w:rPr>
          <w:sz w:val="20"/>
          <w:szCs w:val="20"/>
          <w:color w:val="auto"/>
        </w:rPr>
      </w:pPr>
    </w:p>
    <w:p>
      <w:pPr>
        <w:ind w:firstLine="255"/>
        <w:spacing w:after="0" w:line="257" w:lineRule="auto"/>
        <w:rPr>
          <w:sz w:val="20"/>
          <w:szCs w:val="20"/>
          <w:color w:val="auto"/>
        </w:rPr>
      </w:pPr>
      <w:r>
        <w:rPr>
          <w:rFonts w:ascii="Arial" w:cs="Arial" w:eastAsia="Arial" w:hAnsi="Arial"/>
          <w:sz w:val="18"/>
          <w:szCs w:val="18"/>
          <w:color w:val="auto"/>
        </w:rPr>
        <w:t>Certain financial information that is normally included in annual financial statements, including certain financial statement footnotes, prepared in accordance with U.S. GAAP, is not required for interim reporting purposes and has been condensed or omitted herein. These consolidated financial statements should be read in conjunction with the Company’s consolidated financial statements and notes related thereto included in the Company’s Annual Report on Form 10-K for the year ended December 31, 2020, which was filed with the Securities and Exchange Commission (“SEC”), on February 17, 2021.</w:t>
      </w:r>
    </w:p>
    <w:p>
      <w:pPr>
        <w:spacing w:after="0" w:line="188" w:lineRule="exact"/>
        <w:rPr>
          <w:sz w:val="20"/>
          <w:szCs w:val="20"/>
          <w:color w:val="auto"/>
        </w:rPr>
      </w:pPr>
    </w:p>
    <w:p>
      <w:pPr>
        <w:ind w:right="580" w:firstLine="255"/>
        <w:spacing w:after="0" w:line="277" w:lineRule="auto"/>
        <w:rPr>
          <w:sz w:val="20"/>
          <w:szCs w:val="20"/>
          <w:color w:val="auto"/>
        </w:rPr>
      </w:pPr>
      <w:r>
        <w:rPr>
          <w:rFonts w:ascii="Arial" w:cs="Arial" w:eastAsia="Arial" w:hAnsi="Arial"/>
          <w:sz w:val="18"/>
          <w:szCs w:val="18"/>
          <w:color w:val="auto"/>
        </w:rPr>
        <w:t>Certain prior period information has been reclassified to conform to the current period presentation. These reclassifications have no effect on the Company’s financial position or its results of operations as previously reported.</w:t>
      </w:r>
    </w:p>
    <w:p>
      <w:pPr>
        <w:spacing w:after="0" w:line="170" w:lineRule="exact"/>
        <w:rPr>
          <w:sz w:val="20"/>
          <w:szCs w:val="20"/>
          <w:color w:val="auto"/>
        </w:rPr>
      </w:pPr>
    </w:p>
    <w:p>
      <w:pPr>
        <w:ind w:right="920" w:firstLine="255"/>
        <w:spacing w:after="0" w:line="277" w:lineRule="auto"/>
        <w:rPr>
          <w:sz w:val="20"/>
          <w:szCs w:val="20"/>
          <w:color w:val="auto"/>
        </w:rPr>
      </w:pPr>
      <w:r>
        <w:rPr>
          <w:rFonts w:ascii="Arial" w:cs="Arial" w:eastAsia="Arial" w:hAnsi="Arial"/>
          <w:sz w:val="18"/>
          <w:szCs w:val="18"/>
          <w:color w:val="auto"/>
        </w:rPr>
        <w:t xml:space="preserve">The Company is an investment company and, therefore, applies the specialized accounting and reporting guidance in Accounting Standards Codification (“ASC”) Topic 946, </w:t>
      </w:r>
      <w:r>
        <w:rPr>
          <w:rFonts w:ascii="Arial" w:cs="Arial" w:eastAsia="Arial" w:hAnsi="Arial"/>
          <w:sz w:val="18"/>
          <w:szCs w:val="18"/>
          <w:i w:val="1"/>
          <w:iCs w:val="1"/>
          <w:color w:val="auto"/>
        </w:rPr>
        <w:t>Financial Services – Investment Companies.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End</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Company’s fiscal year ends on December 31.</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jc w:val="both"/>
        <w:ind w:right="20" w:firstLine="255"/>
        <w:spacing w:after="0" w:line="263"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Actual amounts could differ from those estimates and such differences could be material.</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ind w:right="80" w:firstLine="255"/>
        <w:spacing w:after="0" w:line="259" w:lineRule="auto"/>
        <w:rPr>
          <w:sz w:val="20"/>
          <w:szCs w:val="20"/>
          <w:color w:val="auto"/>
        </w:rPr>
      </w:pPr>
      <w:r>
        <w:rPr>
          <w:rFonts w:ascii="Arial" w:cs="Arial" w:eastAsia="Arial" w:hAnsi="Arial"/>
          <w:sz w:val="18"/>
          <w:szCs w:val="18"/>
          <w:color w:val="auto"/>
        </w:rPr>
        <w:t>Cash and cash equivalents may consist of demand deposits, highly liquid investments (e.g., money market funds, U.S. Treasury notes, and similar type instruments) with original maturities of three months or less, and restricted cash pledged as collateral. Cash and cash equivalents denominated in U.S. dollars are carried at cost, which approximates fair value. The Company deposits its cash and cash equivalents with highly-rated banking corporations and, at times, cash deposits may exceed the insured limits under applicable law.</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at Fair Value</w:t>
      </w:r>
    </w:p>
    <w:p>
      <w:pPr>
        <w:spacing w:after="0" w:line="117" w:lineRule="exact"/>
        <w:rPr>
          <w:sz w:val="20"/>
          <w:szCs w:val="20"/>
          <w:color w:val="auto"/>
        </w:rPr>
      </w:pPr>
    </w:p>
    <w:p>
      <w:pPr>
        <w:ind w:right="40" w:firstLine="255"/>
        <w:spacing w:after="0" w:line="296" w:lineRule="auto"/>
        <w:rPr>
          <w:sz w:val="20"/>
          <w:szCs w:val="20"/>
          <w:color w:val="auto"/>
        </w:rPr>
      </w:pPr>
      <w:r>
        <w:rPr>
          <w:rFonts w:ascii="Arial" w:cs="Arial" w:eastAsia="Arial" w:hAnsi="Arial"/>
          <w:sz w:val="16"/>
          <w:szCs w:val="16"/>
          <w:color w:val="auto"/>
        </w:rPr>
        <w:t>Loan originations are recorded on the date of the binding commitment, which is generally the funding date. Investment transactions purchased through the secondary markets are recorded on the trade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includes the reversal of previously recorded unrealized gains or losses with respect to investments realized during the period.</w:t>
      </w:r>
    </w:p>
    <w:p>
      <w:pPr>
        <w:spacing w:after="0" w:line="161" w:lineRule="exact"/>
        <w:rPr>
          <w:sz w:val="20"/>
          <w:szCs w:val="20"/>
          <w:color w:val="auto"/>
        </w:rPr>
      </w:pPr>
    </w:p>
    <w:p>
      <w:pPr>
        <w:ind w:right="320" w:firstLine="255"/>
        <w:spacing w:after="0" w:line="296" w:lineRule="auto"/>
        <w:rPr>
          <w:sz w:val="20"/>
          <w:szCs w:val="20"/>
          <w:color w:val="auto"/>
        </w:rPr>
      </w:pPr>
      <w:r>
        <w:rPr>
          <w:rFonts w:ascii="Arial" w:cs="Arial" w:eastAsia="Arial" w:hAnsi="Arial"/>
          <w:sz w:val="16"/>
          <w:szCs w:val="16"/>
          <w:color w:val="auto"/>
        </w:rPr>
        <w:t>Investments for which market quotations are readily available are typically valued at those market quotations. To validate market quotations, the Company utilizes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the Company’s Board of Directors (the “Board”), based on, among other things, the input of the Adviser, the Company’s Audit Committee and independent third-party valuation firms engaged at the direction of the Board.</w:t>
      </w:r>
    </w:p>
    <w:p>
      <w:pPr>
        <w:spacing w:after="0" w:line="161" w:lineRule="exact"/>
        <w:rPr>
          <w:sz w:val="20"/>
          <w:szCs w:val="20"/>
          <w:color w:val="auto"/>
        </w:rPr>
      </w:pPr>
    </w:p>
    <w:p>
      <w:pPr>
        <w:ind w:firstLine="255"/>
        <w:spacing w:after="0" w:line="254" w:lineRule="auto"/>
        <w:rPr>
          <w:sz w:val="20"/>
          <w:szCs w:val="20"/>
          <w:color w:val="auto"/>
        </w:rPr>
      </w:pPr>
      <w:r>
        <w:rPr>
          <w:rFonts w:ascii="Arial" w:cs="Arial" w:eastAsia="Arial" w:hAnsi="Arial"/>
          <w:sz w:val="18"/>
          <w:szCs w:val="18"/>
          <w:color w:val="auto"/>
        </w:rPr>
        <w:t>As part of the valuation process, the Board takes into account relevant factors in determining the fair value of its investments, including and in combination of: the estimated enterprise value of a portfolio company (that is, the total value of the portfolio company’s net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and overall changes in the interest rate environment and the credit markets that may affect the price at which similar investments may be made in the future. When an external event such as a purchase transaction, public offering or subsequent equity sale occurs, the Board considers whether the pricing indicated by the external event corroborates its valuation.</w:t>
      </w:r>
    </w:p>
    <w:p>
      <w:pPr>
        <w:spacing w:after="0" w:line="19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Board undertakes a multi-step valuation process, which includes, among other procedures, the following:</w:t>
      </w:r>
    </w:p>
    <w:p>
      <w:pPr>
        <w:spacing w:after="0" w:line="117" w:lineRule="exact"/>
        <w:rPr>
          <w:sz w:val="20"/>
          <w:szCs w:val="20"/>
          <w:color w:val="auto"/>
        </w:rPr>
      </w:pPr>
    </w:p>
    <w:p>
      <w:pPr>
        <w:ind w:left="500" w:right="100" w:hanging="249"/>
        <w:spacing w:after="0" w:line="277"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valuation process begins with each investment being initially valued by the investment professionals responsible for the portfolio investment in conjunction with the portfolio management team.</w:t>
      </w:r>
    </w:p>
    <w:p>
      <w:pPr>
        <w:spacing w:after="0" w:line="62" w:lineRule="exact"/>
        <w:rPr>
          <w:rFonts w:ascii="Arial" w:cs="Arial" w:eastAsia="Arial" w:hAnsi="Arial"/>
          <w:sz w:val="18"/>
          <w:szCs w:val="18"/>
          <w:color w:val="auto"/>
        </w:rPr>
      </w:pPr>
    </w:p>
    <w:p>
      <w:pPr>
        <w:ind w:left="500" w:right="440" w:hanging="249"/>
        <w:spacing w:after="0" w:line="277"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Adviser’s management reviews the preliminary valuations with the investment professionals. Agreed upon valuation recommendations are presented to the Audit Committee.</w:t>
      </w:r>
    </w:p>
    <w:p>
      <w:pPr>
        <w:spacing w:after="0" w:line="62" w:lineRule="exact"/>
        <w:rPr>
          <w:rFonts w:ascii="Arial" w:cs="Arial" w:eastAsia="Arial" w:hAnsi="Arial"/>
          <w:sz w:val="18"/>
          <w:szCs w:val="18"/>
          <w:color w:val="auto"/>
        </w:rPr>
      </w:pPr>
    </w:p>
    <w:p>
      <w:pPr>
        <w:ind w:left="500" w:hanging="249"/>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Audit Committee reviews the valuations presented and recommends values for each investment to the Board.</w:t>
      </w:r>
    </w:p>
    <w:p>
      <w:pPr>
        <w:spacing w:after="0" w:line="117" w:lineRule="exact"/>
        <w:rPr>
          <w:rFonts w:ascii="Arial" w:cs="Arial" w:eastAsia="Arial" w:hAnsi="Arial"/>
          <w:sz w:val="18"/>
          <w:szCs w:val="18"/>
          <w:color w:val="auto"/>
        </w:rPr>
      </w:pPr>
    </w:p>
    <w:p>
      <w:pPr>
        <w:ind w:left="500" w:right="120" w:hanging="249"/>
        <w:spacing w:after="0" w:line="263"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 including independent third-party valuation firms engaged at the direction of the Board.</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 conducts this valuation process on a quarterly basis.</w:t>
      </w:r>
    </w:p>
    <w:p>
      <w:pPr>
        <w:spacing w:after="0" w:line="225" w:lineRule="exact"/>
        <w:rPr>
          <w:sz w:val="20"/>
          <w:szCs w:val="20"/>
          <w:color w:val="auto"/>
        </w:rPr>
      </w:pPr>
    </w:p>
    <w:p>
      <w:pPr>
        <w:ind w:right="140" w:firstLine="255"/>
        <w:spacing w:after="0" w:line="279" w:lineRule="auto"/>
        <w:rPr>
          <w:sz w:val="20"/>
          <w:szCs w:val="20"/>
          <w:color w:val="auto"/>
        </w:rPr>
      </w:pPr>
      <w:r>
        <w:rPr>
          <w:rFonts w:ascii="Arial" w:cs="Arial" w:eastAsia="Arial" w:hAnsi="Arial"/>
          <w:sz w:val="17"/>
          <w:szCs w:val="17"/>
          <w:color w:val="auto"/>
        </w:rPr>
        <w:t>The Board has engaged independent third-party valuation firms to perform certain limited procedures that the Board has identified and requested them to perform in connection with the valuation process. At June 30, 2021, the independent third-party valuation firms performed their procedures over substantially all of the Company’s investments. Upon completion of such limited procedures, the third-party valuation firms concluded that the fair value, as determined by the Board, of those investments subjected to their limited procedures, appeared reasonable.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5" w:name="page26"/>
    <w:bookmarkEnd w:id="25"/>
    <w:p>
      <w:pPr>
        <w:ind w:right="40" w:firstLine="255"/>
        <w:spacing w:after="0" w:line="254" w:lineRule="auto"/>
        <w:rPr>
          <w:sz w:val="20"/>
          <w:szCs w:val="20"/>
          <w:color w:val="auto"/>
        </w:rPr>
      </w:pPr>
      <w:r>
        <w:rPr>
          <w:rFonts w:ascii="Arial" w:cs="Arial" w:eastAsia="Arial" w:hAnsi="Arial"/>
          <w:sz w:val="18"/>
          <w:szCs w:val="18"/>
          <w:color w:val="auto"/>
        </w:rPr>
        <w:t xml:space="preserve">The Company applies Financial Accounting Standards Board Accounting Standards Codification Topic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(“ASC Topic 820”), as amended, which establishes a framework for measuring fair value in accordance with U.S. GAAP and required disclosures of fair value measurements. ASC Topic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Topic 820, the Company considers its principal market to be the market that has the greatest volume and level of activity. ASC Topic 820 specifies a fair value hierarchy that prioritizes and ranks the level of observability of inputs used in determination of fair value. In accordance with ASC Topic 820, these levels are summarized below:</w:t>
      </w:r>
    </w:p>
    <w:p>
      <w:pPr>
        <w:spacing w:after="0" w:line="84" w:lineRule="exact"/>
        <w:rPr>
          <w:sz w:val="20"/>
          <w:szCs w:val="20"/>
          <w:color w:val="auto"/>
        </w:rPr>
      </w:pPr>
    </w:p>
    <w:p>
      <w:pPr>
        <w:ind w:left="500" w:hanging="249"/>
        <w:spacing w:after="0"/>
        <w:tabs>
          <w:tab w:leader="none" w:pos="5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Level 1—Valuations based on quoted prices in active markets for identical assets or liabilities that the Company has the ability to access.</w:t>
      </w:r>
    </w:p>
    <w:p>
      <w:pPr>
        <w:spacing w:after="0" w:line="128" w:lineRule="exact"/>
        <w:rPr>
          <w:rFonts w:ascii="Arial" w:cs="Arial" w:eastAsia="Arial" w:hAnsi="Arial"/>
          <w:sz w:val="17"/>
          <w:szCs w:val="17"/>
          <w:color w:val="auto"/>
        </w:rPr>
      </w:pPr>
    </w:p>
    <w:p>
      <w:pPr>
        <w:ind w:left="500" w:right="600" w:hanging="249"/>
        <w:spacing w:after="0" w:line="277"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Level 2—Valuations based on quoted prices in markets that are not active or for which all significant inputs are observable, either directly or indirectly.</w:t>
      </w:r>
    </w:p>
    <w:p>
      <w:pPr>
        <w:spacing w:after="0" w:line="62" w:lineRule="exact"/>
        <w:rPr>
          <w:rFonts w:ascii="Arial" w:cs="Arial" w:eastAsia="Arial" w:hAnsi="Arial"/>
          <w:sz w:val="18"/>
          <w:szCs w:val="18"/>
          <w:color w:val="auto"/>
        </w:rPr>
      </w:pPr>
    </w:p>
    <w:p>
      <w:pPr>
        <w:ind w:left="500" w:hanging="249"/>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225" w:lineRule="exact"/>
        <w:rPr>
          <w:sz w:val="20"/>
          <w:szCs w:val="20"/>
          <w:color w:val="auto"/>
        </w:rPr>
      </w:pPr>
    </w:p>
    <w:p>
      <w:pPr>
        <w:ind w:right="120" w:firstLine="255"/>
        <w:spacing w:after="0" w:line="253" w:lineRule="auto"/>
        <w:rPr>
          <w:sz w:val="20"/>
          <w:szCs w:val="20"/>
          <w:color w:val="auto"/>
        </w:rPr>
      </w:pPr>
      <w:r>
        <w:rPr>
          <w:rFonts w:ascii="Arial" w:cs="Arial" w:eastAsia="Arial" w:hAnsi="Arial"/>
          <w:sz w:val="18"/>
          <w:szCs w:val="18"/>
          <w:color w:val="auto"/>
        </w:rPr>
        <w:t>Transfers between levels, if any, are recognized at the beginning of the quarter in which the transfers occur. In addition to using the above inputs in investment valuations, the Company applies the valuation policy approved by its Board that is consistent with ASC Topic 820. Consistent with the valuation policy, the Company evaluates the source of inputs, including any markets in which its investments are trading (or any markets in which securities with similar attributes are trading), in determining fair value. When a security is valued based on prices provided by reputable dealers or pricing services (that is, broker quotes), the Company subjects those prices to various additional criteria in making the determination as to whether a particular investment would qualify for treatment as a Level 2 or Level 3 investment. For example, the Company reviews pricing provided by dealers or pricing services in order to determine if observable market information is being used, versus unobservable inputs. Some additional factors considered include the number of prices obtained as well as an assessment as to their quality, such as the depth of the relevant market relative to the size of the Company’s position.</w:t>
      </w:r>
    </w:p>
    <w:p>
      <w:pPr>
        <w:spacing w:after="0" w:line="196" w:lineRule="exact"/>
        <w:rPr>
          <w:sz w:val="20"/>
          <w:szCs w:val="20"/>
          <w:color w:val="auto"/>
        </w:rPr>
      </w:pPr>
    </w:p>
    <w:p>
      <w:pPr>
        <w:ind w:right="80" w:firstLine="255"/>
        <w:spacing w:after="0" w:line="255" w:lineRule="auto"/>
        <w:rPr>
          <w:sz w:val="20"/>
          <w:szCs w:val="20"/>
          <w:color w:val="auto"/>
        </w:rPr>
      </w:pPr>
      <w:r>
        <w:rPr>
          <w:rFonts w:ascii="Arial" w:cs="Arial" w:eastAsia="Arial" w:hAnsi="Arial"/>
          <w:sz w:val="18"/>
          <w:szCs w:val="18"/>
          <w:color w:val="auto"/>
        </w:rPr>
        <w:t>Due to the inherent uncertainty of determining the fair value of investments that do not have a readily available market value, the fair value of the Company’s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w:t>
      </w:r>
    </w:p>
    <w:p>
      <w:pPr>
        <w:spacing w:after="0" w:line="192" w:lineRule="exact"/>
        <w:rPr>
          <w:sz w:val="20"/>
          <w:szCs w:val="20"/>
          <w:color w:val="auto"/>
        </w:rPr>
      </w:pPr>
    </w:p>
    <w:p>
      <w:pPr>
        <w:ind w:firstLine="255"/>
        <w:spacing w:after="0" w:line="263" w:lineRule="auto"/>
        <w:rPr>
          <w:sz w:val="20"/>
          <w:szCs w:val="20"/>
          <w:color w:val="auto"/>
        </w:rPr>
      </w:pPr>
      <w:r>
        <w:rPr>
          <w:rFonts w:ascii="Arial" w:cs="Arial" w:eastAsia="Arial" w:hAnsi="Arial"/>
          <w:sz w:val="18"/>
          <w:szCs w:val="18"/>
          <w:color w:val="auto"/>
        </w:rPr>
        <w:t>In addition, changes in the market environment, including the impact of changes in broader market indices and credit spreads, and other events that may occur over the life of the investments may cause the gains or losses ultimately realized on these investments to be different than the unrealized gains or losses reflected herein.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and Derivative Instruments</w:t>
      </w:r>
    </w:p>
    <w:p>
      <w:pPr>
        <w:spacing w:after="0" w:line="117" w:lineRule="exact"/>
        <w:rPr>
          <w:sz w:val="20"/>
          <w:szCs w:val="20"/>
          <w:color w:val="auto"/>
        </w:rPr>
      </w:pPr>
    </w:p>
    <w:p>
      <w:pPr>
        <w:ind w:firstLine="255"/>
        <w:spacing w:after="0" w:line="271" w:lineRule="auto"/>
        <w:rPr>
          <w:sz w:val="20"/>
          <w:szCs w:val="20"/>
          <w:color w:val="auto"/>
        </w:rPr>
      </w:pPr>
      <w:r>
        <w:rPr>
          <w:rFonts w:ascii="Arial" w:cs="Arial" w:eastAsia="Arial" w:hAnsi="Arial"/>
          <w:sz w:val="17"/>
          <w:szCs w:val="17"/>
          <w:color w:val="auto"/>
        </w:rPr>
        <w:t xml:space="preserve">The Company recognizes all derivative instruments as assets or liabilities at fair value in its consolidated financial statements, pursuant to ASC Topic 815 </w:t>
      </w:r>
      <w:r>
        <w:rPr>
          <w:rFonts w:ascii="Arial" w:cs="Arial" w:eastAsia="Arial" w:hAnsi="Arial"/>
          <w:sz w:val="17"/>
          <w:szCs w:val="17"/>
          <w:i w:val="1"/>
          <w:iCs w:val="1"/>
          <w:color w:val="auto"/>
        </w:rPr>
        <w:t>Derivatives and Hedgin</w:t>
      </w:r>
      <w:r>
        <w:rPr>
          <w:rFonts w:ascii="Arial" w:cs="Arial" w:eastAsia="Arial" w:hAnsi="Arial"/>
          <w:sz w:val="17"/>
          <w:szCs w:val="17"/>
          <w:color w:val="auto"/>
        </w:rPr>
        <w:t xml:space="preserve">g, further clarified by the FASB’s issuance of the Accounting Standards Update (“ASU”) No. 2017-12, </w:t>
      </w:r>
      <w:r>
        <w:rPr>
          <w:rFonts w:ascii="Arial" w:cs="Arial" w:eastAsia="Arial" w:hAnsi="Arial"/>
          <w:sz w:val="17"/>
          <w:szCs w:val="17"/>
          <w:i w:val="1"/>
          <w:iCs w:val="1"/>
          <w:color w:val="auto"/>
        </w:rPr>
        <w:t>Derivatives and</w:t>
      </w:r>
      <w:r>
        <w:rPr>
          <w:rFonts w:ascii="Arial" w:cs="Arial" w:eastAsia="Arial" w:hAnsi="Arial"/>
          <w:sz w:val="17"/>
          <w:szCs w:val="17"/>
          <w:color w:val="auto"/>
        </w:rPr>
        <w:t xml:space="preserve"> </w:t>
      </w:r>
      <w:r>
        <w:rPr>
          <w:rFonts w:ascii="Arial" w:cs="Arial" w:eastAsia="Arial" w:hAnsi="Arial"/>
          <w:sz w:val="17"/>
          <w:szCs w:val="17"/>
          <w:i w:val="1"/>
          <w:iCs w:val="1"/>
          <w:color w:val="auto"/>
        </w:rPr>
        <w:t>Hedging</w:t>
      </w:r>
      <w:r>
        <w:rPr>
          <w:rFonts w:ascii="Arial" w:cs="Arial" w:eastAsia="Arial" w:hAnsi="Arial"/>
          <w:sz w:val="17"/>
          <w:szCs w:val="17"/>
          <w:color w:val="auto"/>
        </w:rPr>
        <w:t>, which was adopted in 2019 by the Company. For all derivative instruments designated in a hedge accounting relationship, the entire change in the</w:t>
      </w:r>
      <w:r>
        <w:rPr>
          <w:rFonts w:ascii="Arial" w:cs="Arial" w:eastAsia="Arial" w:hAnsi="Arial"/>
          <w:sz w:val="17"/>
          <w:szCs w:val="17"/>
          <w:i w:val="1"/>
          <w:iCs w:val="1"/>
          <w:color w:val="auto"/>
        </w:rPr>
        <w:t xml:space="preserve"> </w:t>
      </w:r>
      <w:r>
        <w:rPr>
          <w:rFonts w:ascii="Arial" w:cs="Arial" w:eastAsia="Arial" w:hAnsi="Arial"/>
          <w:sz w:val="17"/>
          <w:szCs w:val="17"/>
          <w:color w:val="auto"/>
        </w:rPr>
        <w:t>fair value of the hedging instrument shall be recorded in the same line item of the consolidated statements of operations as the hedged item. The Company uses certain interest rate swaps as derivative instruments to hedge the Company’s fixed rate debt, and therefore both the periodic payment and the change in fair value for the effective hedge, if applicable, will be recognized as components of interest expense in the consolidated statements of operations. For derivative contracts entered into by the Company that are not designated in a hedge accounting relationship the Company presents changes in the fair value through current period earnings.</w:t>
      </w:r>
    </w:p>
    <w:p>
      <w:pPr>
        <w:spacing w:after="0" w:line="178" w:lineRule="exact"/>
        <w:rPr>
          <w:sz w:val="20"/>
          <w:szCs w:val="20"/>
          <w:color w:val="auto"/>
        </w:rPr>
      </w:pPr>
    </w:p>
    <w:p>
      <w:pPr>
        <w:ind w:right="200" w:firstLine="255"/>
        <w:spacing w:after="0" w:line="255" w:lineRule="auto"/>
        <w:rPr>
          <w:sz w:val="20"/>
          <w:szCs w:val="20"/>
          <w:color w:val="auto"/>
        </w:rPr>
      </w:pPr>
      <w:r>
        <w:rPr>
          <w:rFonts w:ascii="Arial" w:cs="Arial" w:eastAsia="Arial" w:hAnsi="Arial"/>
          <w:sz w:val="18"/>
          <w:szCs w:val="18"/>
          <w:color w:val="auto"/>
        </w:rPr>
        <w:t>In the normal course of business, the Company has commitments and risks resulting from its investment transactions, which may include those involving derivative instruments. Derivative instruments are measured in terms of the notional contract amount and derive their value based upon one or more underlying instruments. While the notional amount gives some indication of the Company’s derivative activity, it generally is not exchanged, but is only used as the basis on which interest and other payments are exchanged. Derivative instruments are subject to various risks similar to non-derivative instruments including market, credit, liquidity, and operational risks. The Company manages these risks on an aggregate basis as part of its risk management process.</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7"/>
          <w:szCs w:val="17"/>
          <w:color w:val="auto"/>
        </w:rPr>
        <w:t>Derivatives, including the Company’s interest rate swaps, for which broker quotes are available are typically valued at those broker quotes.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auto"/>
        </w:rPr>
        <w:t>Offsetting Assets and Liabilities</w:t>
      </w:r>
    </w:p>
    <w:p>
      <w:pPr>
        <w:spacing w:after="0" w:line="117" w:lineRule="exact"/>
        <w:rPr>
          <w:sz w:val="20"/>
          <w:szCs w:val="20"/>
          <w:color w:val="auto"/>
        </w:rPr>
      </w:pPr>
    </w:p>
    <w:p>
      <w:pPr>
        <w:ind w:right="40" w:firstLine="255"/>
        <w:spacing w:after="0" w:line="259" w:lineRule="auto"/>
        <w:rPr>
          <w:sz w:val="20"/>
          <w:szCs w:val="20"/>
          <w:color w:val="auto"/>
        </w:rPr>
      </w:pPr>
      <w:r>
        <w:rPr>
          <w:rFonts w:ascii="Arial" w:cs="Arial" w:eastAsia="Arial" w:hAnsi="Arial"/>
          <w:sz w:val="18"/>
          <w:szCs w:val="18"/>
          <w:color w:val="auto"/>
        </w:rPr>
        <w:t>Foreign currency forward contract and interest rate swap receivables or payables pending settlement are offset, and the net amount is included with receivable or payable for foreign currency forward contracts or interest rate swaps in the consolidated balance sheets when, and only when, they are with the same counterparty, the Company has the legal right to offset the recognized amounts, and it intends to either settle on a net basis or realize the asset and settle the liability simultaneously.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Foreign currency amounts are translated into U.S. dollars on the following basis:</w:t>
      </w:r>
    </w:p>
    <w:p>
      <w:pPr>
        <w:spacing w:after="0" w:line="117" w:lineRule="exact"/>
        <w:rPr>
          <w:sz w:val="20"/>
          <w:szCs w:val="20"/>
          <w:color w:val="auto"/>
        </w:rPr>
      </w:pPr>
    </w:p>
    <w:p>
      <w:pPr>
        <w:ind w:left="500" w:right="600" w:hanging="249"/>
        <w:spacing w:after="0" w:line="277"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cash and cash equivalents, market value of investments, outstanding debt on revolving credit facilities, other assets and liabilities: at the spot exchange rate on the last business day of the period; and</w:t>
      </w:r>
    </w:p>
    <w:p>
      <w:pPr>
        <w:spacing w:after="0" w:line="62" w:lineRule="exact"/>
        <w:rPr>
          <w:rFonts w:ascii="Arial" w:cs="Arial" w:eastAsia="Arial" w:hAnsi="Arial"/>
          <w:sz w:val="18"/>
          <w:szCs w:val="18"/>
          <w:color w:val="auto"/>
        </w:rPr>
      </w:pPr>
    </w:p>
    <w:p>
      <w:pPr>
        <w:ind w:left="500" w:right="20" w:hanging="249"/>
        <w:spacing w:after="0" w:line="277"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purchases and sales of investments, borrowings and repayments of such borrowings, income and expenses: at the rates of exchange prevailing on the respective dates of such transactions.</w:t>
      </w:r>
    </w:p>
    <w:p>
      <w:pPr>
        <w:spacing w:after="0" w:line="170" w:lineRule="exact"/>
        <w:rPr>
          <w:sz w:val="20"/>
          <w:szCs w:val="20"/>
          <w:color w:val="auto"/>
        </w:rPr>
      </w:pPr>
    </w:p>
    <w:p>
      <w:pPr>
        <w:ind w:right="100" w:firstLine="255"/>
        <w:spacing w:after="0" w:line="254" w:lineRule="auto"/>
        <w:rPr>
          <w:sz w:val="20"/>
          <w:szCs w:val="20"/>
          <w:color w:val="auto"/>
        </w:rPr>
      </w:pPr>
      <w:r>
        <w:rPr>
          <w:rFonts w:ascii="Arial" w:cs="Arial" w:eastAsia="Arial" w:hAnsi="Arial"/>
          <w:sz w:val="18"/>
          <w:szCs w:val="18"/>
          <w:color w:val="auto"/>
        </w:rPr>
        <w:t>Although net assets and fair values are presented based on the applicable foreign exchange rates described above, the Company does not isolate that portion of the results of operations resulting from changes in foreign exchange rates on investments from the fluctuations arising from changes in fair values of investments held. Such fluctuations are included with the net realized and unrealized gain or loss from investments. The Company’s current approach to hedging the foreign currency exposure in its non-U.S. dollar denominated investments is primarily to borrow the par amount in local currency under the Company’s Revolving Credit Facility to fund these investments. Fluctuations arising from the translation of foreign currency borrowings are included with the net change in unrealized gains (losses) on translation of assets and liabilities in foreign currencies on the consolidated statements of operations.</w:t>
      </w:r>
    </w:p>
    <w:p>
      <w:pPr>
        <w:spacing w:after="0" w:line="195" w:lineRule="exact"/>
        <w:rPr>
          <w:sz w:val="20"/>
          <w:szCs w:val="20"/>
          <w:color w:val="auto"/>
        </w:rPr>
      </w:pPr>
    </w:p>
    <w:p>
      <w:pPr>
        <w:ind w:right="140" w:firstLine="255"/>
        <w:spacing w:after="0" w:line="308" w:lineRule="auto"/>
        <w:rPr>
          <w:sz w:val="20"/>
          <w:szCs w:val="20"/>
          <w:color w:val="auto"/>
        </w:rPr>
      </w:pPr>
      <w:r>
        <w:rPr>
          <w:rFonts w:ascii="Arial" w:cs="Arial" w:eastAsia="Arial" w:hAnsi="Arial"/>
          <w:sz w:val="17"/>
          <w:szCs w:val="17"/>
          <w:color w:val="auto"/>
        </w:rPr>
        <w:t>Investments denominated in foreign currencies and foreign currency transactions may involve certain considerations and risks not typically associated with those of domestic origin, including unanticipated movements in the value of the foreign currency relative to the U.S. dollar.</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Offering Expenses</w:t>
      </w:r>
    </w:p>
    <w:p>
      <w:pPr>
        <w:spacing w:after="0" w:line="117" w:lineRule="exact"/>
        <w:rPr>
          <w:sz w:val="20"/>
          <w:szCs w:val="20"/>
          <w:color w:val="auto"/>
        </w:rPr>
      </w:pPr>
    </w:p>
    <w:p>
      <w:pPr>
        <w:ind w:right="260" w:firstLine="255"/>
        <w:spacing w:after="0" w:line="277" w:lineRule="auto"/>
        <w:rPr>
          <w:sz w:val="20"/>
          <w:szCs w:val="20"/>
          <w:color w:val="auto"/>
        </w:rPr>
      </w:pPr>
      <w:r>
        <w:rPr>
          <w:rFonts w:ascii="Arial" w:cs="Arial" w:eastAsia="Arial" w:hAnsi="Arial"/>
          <w:sz w:val="18"/>
          <w:szCs w:val="18"/>
          <w:color w:val="auto"/>
        </w:rPr>
        <w:t>The Company records expenses related to equity offerings as a reduction of capital upon completion of an offering of registered securities. The costs associated with renewals of the Company’s shelf registration statement are expensed as incurred.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 Costs</w:t>
      </w:r>
    </w:p>
    <w:p>
      <w:pPr>
        <w:spacing w:after="0" w:line="117" w:lineRule="exact"/>
        <w:rPr>
          <w:sz w:val="20"/>
          <w:szCs w:val="20"/>
          <w:color w:val="auto"/>
        </w:rPr>
      </w:pPr>
    </w:p>
    <w:p>
      <w:pPr>
        <w:ind w:right="220" w:firstLine="255"/>
        <w:spacing w:after="0" w:line="263" w:lineRule="auto"/>
        <w:rPr>
          <w:sz w:val="20"/>
          <w:szCs w:val="20"/>
          <w:color w:val="auto"/>
        </w:rPr>
      </w:pPr>
      <w:r>
        <w:rPr>
          <w:rFonts w:ascii="Arial" w:cs="Arial" w:eastAsia="Arial" w:hAnsi="Arial"/>
          <w:sz w:val="18"/>
          <w:szCs w:val="18"/>
          <w:color w:val="auto"/>
        </w:rPr>
        <w:t>The Company records origination and other expenses related to its debt obligations as deferred financing costs, which are presented as a direct deduction from the carrying value of the related debt liability. These expenses are deferred and amortized using the effective interest method, or straight-line method, over the stated maturity of the debt obligation.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Dividend Income Recognition</w:t>
      </w:r>
    </w:p>
    <w:p>
      <w:pPr>
        <w:spacing w:after="0" w:line="117" w:lineRule="exact"/>
        <w:rPr>
          <w:sz w:val="20"/>
          <w:szCs w:val="20"/>
          <w:color w:val="auto"/>
        </w:rPr>
      </w:pPr>
    </w:p>
    <w:p>
      <w:pPr>
        <w:ind w:right="100" w:firstLine="255"/>
        <w:spacing w:after="0" w:line="286" w:lineRule="auto"/>
        <w:rPr>
          <w:sz w:val="20"/>
          <w:szCs w:val="20"/>
          <w:color w:val="auto"/>
        </w:rPr>
      </w:pPr>
      <w:r>
        <w:rPr>
          <w:rFonts w:ascii="Arial" w:cs="Arial" w:eastAsia="Arial" w:hAnsi="Arial"/>
          <w:sz w:val="17"/>
          <w:szCs w:val="17"/>
          <w:color w:val="auto"/>
        </w:rPr>
        <w:t>Interest income is recorded on an accrual basis and includes the amortization of discounts and premiums. Discounts and premiums to par value on securities purchased or originated are amortized into interest income over the contractual life of the respective security using the effective interest method. The amortized cost of investments represents the original cost adjusted for the amortization of discounts and premiums, if any.</w:t>
      </w:r>
    </w:p>
    <w:p>
      <w:pPr>
        <w:spacing w:after="0" w:line="165" w:lineRule="exact"/>
        <w:rPr>
          <w:sz w:val="20"/>
          <w:szCs w:val="20"/>
          <w:color w:val="auto"/>
        </w:rPr>
      </w:pPr>
    </w:p>
    <w:p>
      <w:pPr>
        <w:ind w:right="180" w:firstLine="255"/>
        <w:spacing w:after="0" w:line="277" w:lineRule="auto"/>
        <w:rPr>
          <w:sz w:val="20"/>
          <w:szCs w:val="20"/>
          <w:color w:val="auto"/>
        </w:rPr>
      </w:pPr>
      <w:r>
        <w:rPr>
          <w:rFonts w:ascii="Arial" w:cs="Arial" w:eastAsia="Arial" w:hAnsi="Arial"/>
          <w:sz w:val="18"/>
          <w:szCs w:val="18"/>
          <w:color w:val="auto"/>
        </w:rPr>
        <w:t>Unless providing services in connection with an investment, such as syndication, structuring or diligence, all or a portion of any loan fees received by the Company will be deferred and amortized over the investment’s life using the effective interest method.</w:t>
      </w:r>
    </w:p>
    <w:p>
      <w:pPr>
        <w:spacing w:after="0" w:line="170" w:lineRule="exact"/>
        <w:rPr>
          <w:sz w:val="20"/>
          <w:szCs w:val="20"/>
          <w:color w:val="auto"/>
        </w:rPr>
      </w:pPr>
    </w:p>
    <w:p>
      <w:pPr>
        <w:ind w:right="20" w:firstLine="255"/>
        <w:spacing w:after="0" w:line="273" w:lineRule="auto"/>
        <w:rPr>
          <w:sz w:val="20"/>
          <w:szCs w:val="20"/>
          <w:color w:val="auto"/>
        </w:rPr>
      </w:pPr>
      <w:r>
        <w:rPr>
          <w:rFonts w:ascii="Arial" w:cs="Arial" w:eastAsia="Arial" w:hAnsi="Arial"/>
          <w:sz w:val="17"/>
          <w:szCs w:val="17"/>
          <w:color w:val="auto"/>
        </w:rPr>
        <w:t>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w:t>
      </w:r>
    </w:p>
    <w:p>
      <w:pPr>
        <w:spacing w:after="0" w:line="178" w:lineRule="exact"/>
        <w:rPr>
          <w:sz w:val="20"/>
          <w:szCs w:val="20"/>
          <w:color w:val="auto"/>
        </w:rPr>
      </w:pPr>
    </w:p>
    <w:p>
      <w:pPr>
        <w:ind w:firstLine="255"/>
        <w:spacing w:after="0" w:line="263" w:lineRule="auto"/>
        <w:rPr>
          <w:sz w:val="20"/>
          <w:szCs w:val="20"/>
          <w:color w:val="auto"/>
        </w:rPr>
      </w:pPr>
      <w:r>
        <w:rPr>
          <w:rFonts w:ascii="Arial" w:cs="Arial" w:eastAsia="Arial" w:hAnsi="Arial"/>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publicly-traded portfolio companies.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auto"/>
        </w:rPr>
        <w:t>Other Income</w:t>
      </w:r>
    </w:p>
    <w:p>
      <w:pPr>
        <w:spacing w:after="0" w:line="117" w:lineRule="exact"/>
        <w:rPr>
          <w:sz w:val="20"/>
          <w:szCs w:val="20"/>
          <w:color w:val="auto"/>
        </w:rPr>
      </w:pPr>
    </w:p>
    <w:p>
      <w:pPr>
        <w:ind w:firstLine="255"/>
        <w:spacing w:after="0" w:line="263" w:lineRule="auto"/>
        <w:rPr>
          <w:sz w:val="20"/>
          <w:szCs w:val="20"/>
          <w:color w:val="auto"/>
        </w:rPr>
      </w:pPr>
      <w:r>
        <w:rPr>
          <w:rFonts w:ascii="Arial" w:cs="Arial" w:eastAsia="Arial" w:hAnsi="Arial"/>
          <w:sz w:val="18"/>
          <w:szCs w:val="18"/>
          <w:color w:val="auto"/>
        </w:rPr>
        <w:t>From time to time, the Company may receive fees for services provided to portfolio companies by the Adviser. The services that the Adviser provides vary by investment, but may include syndication, structuring, diligence fees, or other service-based fees, and fees for providing managerial assistance to our portfolio companies and are recognized as revenue when earned.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per share</w:t>
      </w:r>
    </w:p>
    <w:p>
      <w:pPr>
        <w:spacing w:after="0" w:line="225" w:lineRule="exact"/>
        <w:rPr>
          <w:sz w:val="20"/>
          <w:szCs w:val="20"/>
          <w:color w:val="auto"/>
        </w:rPr>
      </w:pPr>
    </w:p>
    <w:p>
      <w:pPr>
        <w:ind w:right="80" w:firstLine="255"/>
        <w:spacing w:after="0" w:line="255" w:lineRule="auto"/>
        <w:rPr>
          <w:sz w:val="20"/>
          <w:szCs w:val="20"/>
          <w:color w:val="auto"/>
        </w:rPr>
      </w:pPr>
      <w:r>
        <w:rPr>
          <w:rFonts w:ascii="Arial" w:cs="Arial" w:eastAsia="Arial" w:hAnsi="Arial"/>
          <w:sz w:val="18"/>
          <w:szCs w:val="18"/>
          <w:color w:val="auto"/>
        </w:rPr>
        <w:t>The Company's earnings per share ("EPS") amounts have been computed based on the weighted-average number of shares of common stock outstanding for the period. Basic EPS is computed by dividing net increase (decrease) in net assets resulting from operations by the weighted average number of shares of common stock outstanding during the period. Diluted EPS is computed by dividing net increase (decrease) in net assets resulting from operations by the weighted average number of shares of common stock assuming all potential shares had been issued and the additional shares of common stock were dilutive. Diluted EPS reflects the potential dilution, using the if-converted method for convertible debt, which could occur if all potentially dilutive securities were exercised.</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Reimbursement of Transaction-Related Expenses</w:t>
      </w:r>
    </w:p>
    <w:p>
      <w:pPr>
        <w:spacing w:after="0" w:line="117" w:lineRule="exact"/>
        <w:rPr>
          <w:sz w:val="20"/>
          <w:szCs w:val="20"/>
          <w:color w:val="auto"/>
        </w:rPr>
      </w:pPr>
    </w:p>
    <w:p>
      <w:pPr>
        <w:ind w:right="80" w:firstLine="255"/>
        <w:spacing w:after="0" w:line="259" w:lineRule="auto"/>
        <w:rPr>
          <w:sz w:val="20"/>
          <w:szCs w:val="20"/>
          <w:color w:val="auto"/>
        </w:rPr>
      </w:pPr>
      <w:r>
        <w:rPr>
          <w:rFonts w:ascii="Arial" w:cs="Arial" w:eastAsia="Arial" w:hAnsi="Arial"/>
          <w:sz w:val="18"/>
          <w:szCs w:val="18"/>
          <w:color w:val="auto"/>
        </w:rPr>
        <w:t>The Company may receive reimbursement for certain transaction-related expenses in pursuing investments. Transaction-related expenses, which are expected to be reimbursed by third parties, are typically deferred until the transaction is consummated and are recorded in Prepaid expenses and other assets on the date incurred. The transaction-related costs of pursuing investments not otherwise reimbursed are borne by the Company and for successfully completed investments included as a component of the investment’s cost basis.</w:t>
      </w:r>
    </w:p>
    <w:p>
      <w:pPr>
        <w:spacing w:after="0" w:line="187" w:lineRule="exact"/>
        <w:rPr>
          <w:sz w:val="20"/>
          <w:szCs w:val="20"/>
          <w:color w:val="auto"/>
        </w:rPr>
      </w:pPr>
    </w:p>
    <w:p>
      <w:pPr>
        <w:ind w:right="600" w:firstLine="255"/>
        <w:spacing w:after="0" w:line="277" w:lineRule="auto"/>
        <w:rPr>
          <w:sz w:val="20"/>
          <w:szCs w:val="20"/>
          <w:color w:val="auto"/>
        </w:rPr>
      </w:pPr>
      <w:r>
        <w:rPr>
          <w:rFonts w:ascii="Arial" w:cs="Arial" w:eastAsia="Arial" w:hAnsi="Arial"/>
          <w:sz w:val="18"/>
          <w:szCs w:val="18"/>
          <w:color w:val="auto"/>
        </w:rPr>
        <w:t>Cash advances received in respect of transaction-related expenses are recorded as Cash and cash equivalents with an offset to Other liabilities or Payables to affiliates. Other liabilities or Payables to affiliates are relieved as reimbursable expenses are incurred.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 Including Excise Taxes</w:t>
      </w:r>
    </w:p>
    <w:p>
      <w:pPr>
        <w:spacing w:after="0" w:line="117" w:lineRule="exact"/>
        <w:rPr>
          <w:sz w:val="20"/>
          <w:szCs w:val="20"/>
          <w:color w:val="auto"/>
        </w:rPr>
      </w:pPr>
    </w:p>
    <w:p>
      <w:pPr>
        <w:ind w:right="100" w:firstLine="255"/>
        <w:spacing w:after="0" w:line="257" w:lineRule="auto"/>
        <w:rPr>
          <w:sz w:val="20"/>
          <w:szCs w:val="20"/>
          <w:color w:val="auto"/>
        </w:rPr>
      </w:pPr>
      <w:r>
        <w:rPr>
          <w:rFonts w:ascii="Arial" w:cs="Arial" w:eastAsia="Arial" w:hAnsi="Arial"/>
          <w:sz w:val="18"/>
          <w:szCs w:val="18"/>
          <w:color w:val="auto"/>
        </w:rPr>
        <w:t>The Company has elected to be treated as a RIC under Subchapter M of the Code, and the Company intends to operate in a manner so as to continue to qualify for the tax treatment applicable to RICs. To qualify as a RIC, the Company must, among other things, distribute to its stockholders in each taxable year generally at least 90% of its investment company taxable income, as defined by the Code, and net tax-exempt income for that taxable year. To maintain its RIC status, the Company, among other things, has made and intends to continue to make the requisite distributions to its stockholders, which generally relieves the Company from corporate-level U.S. federal income taxes.</w:t>
      </w:r>
    </w:p>
    <w:p>
      <w:pPr>
        <w:spacing w:after="0" w:line="188" w:lineRule="exact"/>
        <w:rPr>
          <w:sz w:val="20"/>
          <w:szCs w:val="20"/>
          <w:color w:val="auto"/>
        </w:rPr>
      </w:pPr>
    </w:p>
    <w:p>
      <w:pPr>
        <w:ind w:right="80" w:firstLine="255"/>
        <w:spacing w:after="0" w:line="257" w:lineRule="auto"/>
        <w:rPr>
          <w:sz w:val="20"/>
          <w:szCs w:val="20"/>
          <w:color w:val="auto"/>
        </w:rPr>
      </w:pPr>
      <w:r>
        <w:rPr>
          <w:rFonts w:ascii="Arial" w:cs="Arial" w:eastAsia="Arial" w:hAnsi="Arial"/>
          <w:sz w:val="18"/>
          <w:szCs w:val="18"/>
          <w:color w:val="auto"/>
        </w:rPr>
        <w:t>The Company evaluates tax positions taken or expected to be taken in the course of preparing its financial statements to determine whether the tax positions are “more-likely-than-not” to be sustained by the applicable tax authority. Tax positions not deemed to meet the “more-likely-than-not” threshold are reserved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w:t>
      </w:r>
    </w:p>
    <w:p>
      <w:pPr>
        <w:spacing w:after="0" w:line="188" w:lineRule="exact"/>
        <w:rPr>
          <w:sz w:val="20"/>
          <w:szCs w:val="20"/>
          <w:color w:val="auto"/>
        </w:rPr>
      </w:pPr>
    </w:p>
    <w:p>
      <w:pPr>
        <w:ind w:right="100" w:firstLine="255"/>
        <w:spacing w:after="0" w:line="301" w:lineRule="auto"/>
        <w:rPr>
          <w:sz w:val="20"/>
          <w:szCs w:val="20"/>
          <w:color w:val="auto"/>
        </w:rPr>
      </w:pPr>
      <w:r>
        <w:rPr>
          <w:rFonts w:ascii="Arial" w:cs="Arial" w:eastAsia="Arial" w:hAnsi="Arial"/>
          <w:sz w:val="16"/>
          <w:szCs w:val="16"/>
          <w:color w:val="auto"/>
        </w:rPr>
        <w:t>Depending on the level of taxable income earned in a tax year, the Company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the Company determines that the estimated current year annual taxable income will be in excess of estimated current year dividend distributions from such income, the Company accrues excise tax on estimated excess taxable income.</w:t>
      </w:r>
    </w:p>
    <w:p>
      <w:pPr>
        <w:spacing w:after="0" w:line="157" w:lineRule="exact"/>
        <w:rPr>
          <w:sz w:val="20"/>
          <w:szCs w:val="20"/>
          <w:color w:val="auto"/>
        </w:rPr>
      </w:pPr>
    </w:p>
    <w:p>
      <w:pPr>
        <w:ind w:right="200" w:firstLine="255"/>
        <w:spacing w:after="0" w:line="263" w:lineRule="auto"/>
        <w:rPr>
          <w:sz w:val="20"/>
          <w:szCs w:val="20"/>
          <w:color w:val="auto"/>
        </w:rPr>
      </w:pPr>
      <w:r>
        <w:rPr>
          <w:rFonts w:ascii="Arial" w:cs="Arial" w:eastAsia="Arial" w:hAnsi="Arial"/>
          <w:sz w:val="18"/>
          <w:szCs w:val="18"/>
          <w:color w:val="auto"/>
        </w:rPr>
        <w:t>For the three and six months ended June 30, 2021 we recorded a net expense of $0.2 million and $0.6 million, respectively, for U.S. federal excise tax and other taxes. For the three and six months ended June 30, 2020, we recorded a net expense of $1.0 million and $2.0 million, respectively, for U.S. federal excise tax and other taxes.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 to Common Stockholders</w:t>
      </w:r>
    </w:p>
    <w:p>
      <w:pPr>
        <w:spacing w:after="0" w:line="117" w:lineRule="exact"/>
        <w:rPr>
          <w:sz w:val="20"/>
          <w:szCs w:val="20"/>
          <w:color w:val="auto"/>
        </w:rPr>
      </w:pPr>
    </w:p>
    <w:p>
      <w:pPr>
        <w:ind w:right="260" w:firstLine="255"/>
        <w:spacing w:after="0" w:line="263" w:lineRule="auto"/>
        <w:rPr>
          <w:sz w:val="20"/>
          <w:szCs w:val="20"/>
          <w:color w:val="auto"/>
        </w:rPr>
      </w:pPr>
      <w:r>
        <w:rPr>
          <w:rFonts w:ascii="Arial" w:cs="Arial" w:eastAsia="Arial" w:hAnsi="Arial"/>
          <w:sz w:val="18"/>
          <w:szCs w:val="18"/>
          <w:color w:val="auto"/>
        </w:rPr>
        <w:t>Dividends to common stockholders are recorded on the record date. The amount to be paid out as a dividend is determined by the Board and is generally based upon the earnings estimated by the Adviser. Net realized long-term capital gains, if any, would generally be distributed at least annually, although the Company may decide to retain such capital gains.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8" w:name="page29"/>
    <w:bookmarkEnd w:id="28"/>
    <w:p>
      <w:pPr>
        <w:ind w:right="80" w:firstLine="255"/>
        <w:spacing w:after="0" w:line="301" w:lineRule="auto"/>
        <w:rPr>
          <w:sz w:val="20"/>
          <w:szCs w:val="20"/>
          <w:color w:val="auto"/>
        </w:rPr>
      </w:pPr>
      <w:r>
        <w:rPr>
          <w:rFonts w:ascii="Arial" w:cs="Arial" w:eastAsia="Arial" w:hAnsi="Arial"/>
          <w:sz w:val="16"/>
          <w:szCs w:val="16"/>
          <w:color w:val="auto"/>
        </w:rPr>
        <w:t>The Company has adopted a dividend reinvestment plan that provides for reinvestment of any dividends declared in cash on behalf of stockholders, unless a stockholder elects to receive cash. As a result, if the Board authorizes, and it declares, a cash dividend, then the stockholders who have not “opted out” of the dividend reinvestment plan will have their cash dividends automatically reinvested in additional shares of the Company’s common stock, rather than receiving the cash dividend. The Company expects to use newly issued shares to satisfy the dividend reinvestment plan.</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Adopted in 2021</w:t>
      </w:r>
    </w:p>
    <w:p>
      <w:pPr>
        <w:spacing w:after="0" w:line="225" w:lineRule="exact"/>
        <w:rPr>
          <w:sz w:val="20"/>
          <w:szCs w:val="20"/>
          <w:color w:val="auto"/>
        </w:rPr>
      </w:pPr>
    </w:p>
    <w:p>
      <w:pPr>
        <w:ind w:firstLine="255"/>
        <w:spacing w:after="0" w:line="288" w:lineRule="auto"/>
        <w:rPr>
          <w:sz w:val="20"/>
          <w:szCs w:val="20"/>
          <w:color w:val="auto"/>
        </w:rPr>
      </w:pPr>
      <w:r>
        <w:rPr>
          <w:rFonts w:ascii="Arial" w:cs="Arial" w:eastAsia="Arial" w:hAnsi="Arial"/>
          <w:sz w:val="16"/>
          <w:szCs w:val="16"/>
          <w:color w:val="auto"/>
        </w:rPr>
        <w:t>In August 2020, the Financial Accounting Standards Board issued Accounting Standards Update 2020-06 (“ASU 2020-06”) “Debt – Debt with Conversion and Other Options (Subtopic 470-20) and Derivatives and Hedging—Contracts in Entity’s Own Equity (Subtopic 815-40): Accounting for Convertible Instruments and Contracts in an Entity’s Own Equity.” This guidance reduces the number of accounting models for convertible instruments and makes targeted improvements to the disclosures for convertible instruments and earnings per share guidance. ASU 2020-06 is effective for public business entities for annual and interim periods in fiscal years beginning after December 15, 2021 with early adoption permitted. The Company early adopted ASU 2020-06 under the modified retrospective basis during the period ended March 31, 2021. The impact of the Company’s adoption under the modified retrospective basis required a cumulative effect adjustment to opening net assets for the remaining unamortized discount on the 2022 Convertible Notes, and a requirement for the Company to calculate diluted earnings per share using the if-converted method which assumes full share settlement for the aggregate value of the 2022 Convertible Notes. The Company’s adoption of this guidance did not have a material impact on the Company’s financial position, results of operations, cash flows or notes to the consolidated financial statements.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225" w:lineRule="exact"/>
        <w:rPr>
          <w:sz w:val="20"/>
          <w:szCs w:val="20"/>
          <w:color w:val="auto"/>
        </w:rPr>
      </w:pPr>
    </w:p>
    <w:p>
      <w:pPr>
        <w:ind w:right="60" w:firstLine="255"/>
        <w:spacing w:after="0" w:line="254" w:lineRule="auto"/>
        <w:rPr>
          <w:sz w:val="20"/>
          <w:szCs w:val="20"/>
          <w:color w:val="auto"/>
        </w:rPr>
      </w:pPr>
      <w:r>
        <w:rPr>
          <w:rFonts w:ascii="Arial" w:cs="Arial" w:eastAsia="Arial" w:hAnsi="Arial"/>
          <w:sz w:val="18"/>
          <w:szCs w:val="18"/>
          <w:color w:val="auto"/>
        </w:rPr>
        <w:t>In March 2020, the Financial Accounting Standards Board issued Accounting Standards Update 2020-04 (“ASU 2020-04”) “Reference Rate Reform (Topic 848): Facilitation of the Effects of Reference Rate Reform on Financial Reporting,” and in January 2021, the Financial Accounting Standards Board issued Accounting Standards Update 2021-01 (“ASU 2021-01”) “Reference Rate Reform (Topic 848): Scope.” This guidance provides optional expedients and exceptions for applying generally accepted accounting principles to contract modifications and hedging relationships, subject to meeting certain criteria, that reference LIBOR or another reference rate expected to be discontinued. ASU 2020-04 and ASU 2021-01 are effective for all entities as of March 12, 2020 through December 31, 2022. The Company expects that the adoption of this guidance will not have a material impact on the Company’s financial position, result of operations or cash flows.</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 and Related 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Administration Agreement</w:t>
      </w:r>
    </w:p>
    <w:p>
      <w:pPr>
        <w:spacing w:after="0" w:line="117" w:lineRule="exact"/>
        <w:rPr>
          <w:sz w:val="20"/>
          <w:szCs w:val="20"/>
          <w:color w:val="auto"/>
        </w:rPr>
      </w:pPr>
    </w:p>
    <w:p>
      <w:pPr>
        <w:ind w:right="20" w:firstLine="255"/>
        <w:spacing w:after="0" w:line="293" w:lineRule="auto"/>
        <w:rPr>
          <w:sz w:val="20"/>
          <w:szCs w:val="20"/>
          <w:color w:val="auto"/>
        </w:rPr>
      </w:pPr>
      <w:r>
        <w:rPr>
          <w:rFonts w:ascii="Arial" w:cs="Arial" w:eastAsia="Arial" w:hAnsi="Arial"/>
          <w:sz w:val="16"/>
          <w:szCs w:val="16"/>
          <w:color w:val="auto"/>
        </w:rPr>
        <w:t>On March 15, 2011, the Company entered into the Administration Agreement with the Adviser. Under the terms of the Administration Agreement, the Adviser provides administrative services to the Company.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 In addition, the Adviser is permitted to delegate its duties under the Administration Agreement to affiliates or third parties and the Company pays or reimburses the Adviser for certain expenses incurred by any such affiliates or third parties for work done on its behalf.</w:t>
      </w:r>
    </w:p>
    <w:p>
      <w:pPr>
        <w:spacing w:after="0" w:line="164" w:lineRule="exact"/>
        <w:rPr>
          <w:sz w:val="20"/>
          <w:szCs w:val="20"/>
          <w:color w:val="auto"/>
        </w:rPr>
      </w:pPr>
    </w:p>
    <w:p>
      <w:pPr>
        <w:ind w:right="200" w:firstLine="255"/>
        <w:spacing w:after="0" w:line="263" w:lineRule="auto"/>
        <w:rPr>
          <w:sz w:val="20"/>
          <w:szCs w:val="20"/>
          <w:color w:val="auto"/>
        </w:rPr>
      </w:pPr>
      <w:r>
        <w:rPr>
          <w:rFonts w:ascii="Arial" w:cs="Arial" w:eastAsia="Arial" w:hAnsi="Arial"/>
          <w:sz w:val="18"/>
          <w:szCs w:val="18"/>
          <w:color w:val="auto"/>
        </w:rPr>
        <w:t>In February 2017, the Board of Directors of the Company and the Adviser entered into an amended and restated administration agreement (the “Administration Agreement”) reflecting certain clarifications to the agreement to provide greater detail regarding the scope of the reimbursable costs and expenses of the Administrator’s services.</w:t>
      </w:r>
    </w:p>
    <w:p>
      <w:pPr>
        <w:spacing w:after="0" w:line="184" w:lineRule="exact"/>
        <w:rPr>
          <w:sz w:val="20"/>
          <w:szCs w:val="20"/>
          <w:color w:val="auto"/>
        </w:rPr>
      </w:pPr>
    </w:p>
    <w:p>
      <w:pPr>
        <w:ind w:right="20" w:firstLine="255"/>
        <w:spacing w:after="0" w:line="263" w:lineRule="auto"/>
        <w:rPr>
          <w:sz w:val="20"/>
          <w:szCs w:val="20"/>
          <w:color w:val="auto"/>
        </w:rPr>
      </w:pPr>
      <w:r>
        <w:rPr>
          <w:rFonts w:ascii="Arial" w:cs="Arial" w:eastAsia="Arial" w:hAnsi="Arial"/>
          <w:sz w:val="18"/>
          <w:szCs w:val="18"/>
          <w:color w:val="auto"/>
        </w:rPr>
        <w:t>In November 2020, the Board renewed the Administration Agreement. Unless earlier terminated as described below, the Administration Agreement will remain in effect until November 2021, and may be extended subject to required approvals. The Administration Agreement may be terminated by either party without penalty on 60 days’ written notice to the other party.</w:t>
      </w:r>
    </w:p>
    <w:p>
      <w:pPr>
        <w:spacing w:after="0" w:line="184" w:lineRule="exact"/>
        <w:rPr>
          <w:sz w:val="20"/>
          <w:szCs w:val="20"/>
          <w:color w:val="auto"/>
        </w:rPr>
      </w:pPr>
    </w:p>
    <w:p>
      <w:pPr>
        <w:ind w:right="20" w:firstLine="255"/>
        <w:spacing w:after="0" w:line="255" w:lineRule="auto"/>
        <w:rPr>
          <w:sz w:val="20"/>
          <w:szCs w:val="20"/>
          <w:color w:val="auto"/>
        </w:rPr>
      </w:pPr>
      <w:r>
        <w:rPr>
          <w:rFonts w:ascii="Arial" w:cs="Arial" w:eastAsia="Arial" w:hAnsi="Arial"/>
          <w:sz w:val="18"/>
          <w:szCs w:val="18"/>
          <w:color w:val="auto"/>
        </w:rPr>
        <w:t>No person who is an officer, director or employee of the Adviser or its affiliates and who serves as a director of the Company receives any compensation from the Company for his or her services as a director. However, the Company reimburses the Adviser (or its affiliates) for the allocable portion of the costs of compensation, benefits, and related administrative expenses of our officers who provide operational and administrative services to us pursuant to the Administration Agreement, their respective staffs and other professionals who provide services to us (including, in each case, employees of the Adviser or an affiliate). Such reimbursable amounts include the allocable portion of the compensation paid by the Adviser or its affiliates to the Company’s Chief Financial</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9" w:name="page30"/>
    <w:bookmarkEnd w:id="29"/>
    <w:p>
      <w:pPr>
        <w:ind w:right="120"/>
        <w:spacing w:after="0" w:line="254" w:lineRule="auto"/>
        <w:rPr>
          <w:sz w:val="20"/>
          <w:szCs w:val="20"/>
          <w:color w:val="auto"/>
        </w:rPr>
      </w:pPr>
      <w:r>
        <w:rPr>
          <w:rFonts w:ascii="Arial" w:cs="Arial" w:eastAsia="Arial" w:hAnsi="Arial"/>
          <w:sz w:val="18"/>
          <w:szCs w:val="18"/>
          <w:color w:val="auto"/>
        </w:rPr>
        <w:t>Officer, Chief Compliance Officer, and other professionals who provide operational and administrative services to us pursuant to the Administration Agreement, including individuals who provide “back office” or “middle office” financial, operational, legal and/or compliance services to us. The Company reimburses the Adviser (or its affiliates) for the allocable portion of the compensation paid by the Adviser (or its affiliates) to such individuals based on the percentage of time those individuals devote, on an estimated basis, to the business and affairs of the Company and in acting on behalf of the Company. The Company may also reimburse the Adviser or its affiliates for the allocable portion of overhead expenses (including rent, office equipment and utilities) attributable thereto. Directors who are not affiliated with the Adviser receive compensation for their services and reimbursement of expenses incurred to attend meetings.</w:t>
      </w:r>
    </w:p>
    <w:p>
      <w:pPr>
        <w:spacing w:after="0" w:line="195" w:lineRule="exact"/>
        <w:rPr>
          <w:sz w:val="20"/>
          <w:szCs w:val="20"/>
          <w:color w:val="auto"/>
        </w:rPr>
      </w:pPr>
    </w:p>
    <w:p>
      <w:pPr>
        <w:ind w:right="40" w:firstLine="255"/>
        <w:spacing w:after="0" w:line="259" w:lineRule="auto"/>
        <w:rPr>
          <w:sz w:val="20"/>
          <w:szCs w:val="20"/>
          <w:color w:val="auto"/>
        </w:rPr>
      </w:pPr>
      <w:r>
        <w:rPr>
          <w:rFonts w:ascii="Arial" w:cs="Arial" w:eastAsia="Arial" w:hAnsi="Arial"/>
          <w:sz w:val="18"/>
          <w:szCs w:val="18"/>
          <w:color w:val="auto"/>
        </w:rPr>
        <w:t>For the three and six months ended June 30, 2021, the Company incurred expenses of $0.8 million and $2.5 million, respectively, for administrative services payable to the Adviser under the terms of the Administration Agreement. For the three and six months ended June 30, 2020 the Company incurred expenses of $1.3 million and $2.3 million, respectively, for administrative services payable to the Adviser under the terms of the Administration Agreement.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Advisory Agreement</w:t>
      </w:r>
    </w:p>
    <w:p>
      <w:pPr>
        <w:spacing w:after="0" w:line="117" w:lineRule="exact"/>
        <w:rPr>
          <w:sz w:val="20"/>
          <w:szCs w:val="20"/>
          <w:color w:val="auto"/>
        </w:rPr>
      </w:pPr>
    </w:p>
    <w:p>
      <w:pPr>
        <w:ind w:right="80" w:firstLine="255"/>
        <w:spacing w:after="0" w:line="257" w:lineRule="auto"/>
        <w:rPr>
          <w:sz w:val="20"/>
          <w:szCs w:val="20"/>
          <w:color w:val="auto"/>
        </w:rPr>
      </w:pPr>
      <w:r>
        <w:rPr>
          <w:rFonts w:ascii="Arial" w:cs="Arial" w:eastAsia="Arial" w:hAnsi="Arial"/>
          <w:sz w:val="18"/>
          <w:szCs w:val="18"/>
          <w:color w:val="auto"/>
        </w:rPr>
        <w:t>On April 15, 2011, the Company entered into the Investment Advisory Agreement with the Adviser. The Investment Advisory Agreement was subsequently amended on December 12, 2011. Under the terms of the Investment Advisory Agreement, the Adviser provides investment advisory services to the Company. The Adviser’s services under the Investment Advisory Agreement are not exclusive, and the Adviser is free to furnish similar or other services to others so long as its services to the Company are not impaired. Under the terms of the Investment Advisory Agreement, the Company will pay the Adviser the Management Fee and may also pay certain Incentive Fees.</w:t>
      </w:r>
    </w:p>
    <w:p>
      <w:pPr>
        <w:spacing w:after="0" w:line="188" w:lineRule="exact"/>
        <w:rPr>
          <w:sz w:val="20"/>
          <w:szCs w:val="20"/>
          <w:color w:val="auto"/>
        </w:rPr>
      </w:pPr>
    </w:p>
    <w:p>
      <w:pPr>
        <w:ind w:firstLine="255"/>
        <w:spacing w:after="0" w:line="263" w:lineRule="auto"/>
        <w:rPr>
          <w:sz w:val="20"/>
          <w:szCs w:val="20"/>
          <w:color w:val="auto"/>
        </w:rPr>
      </w:pPr>
      <w:r>
        <w:rPr>
          <w:rFonts w:ascii="Arial" w:cs="Arial" w:eastAsia="Arial" w:hAnsi="Arial"/>
          <w:sz w:val="18"/>
          <w:szCs w:val="18"/>
          <w:color w:val="auto"/>
        </w:rPr>
        <w:t>The Management Fee is calculated at an annual rate of 1.5% based on the average value of the Company’s gross assets calculated using the values at the end of the two most recently completed calendar quarters, adjusted for any share issuances or repurchases during the period. The Management Fee is payable quarterly in arrears.</w:t>
      </w:r>
    </w:p>
    <w:p>
      <w:pPr>
        <w:spacing w:after="0" w:line="184" w:lineRule="exact"/>
        <w:rPr>
          <w:sz w:val="20"/>
          <w:szCs w:val="20"/>
          <w:color w:val="auto"/>
        </w:rPr>
      </w:pPr>
    </w:p>
    <w:p>
      <w:pPr>
        <w:ind w:right="40" w:firstLine="255"/>
        <w:spacing w:after="0" w:line="308" w:lineRule="auto"/>
        <w:rPr>
          <w:sz w:val="20"/>
          <w:szCs w:val="20"/>
          <w:color w:val="auto"/>
        </w:rPr>
      </w:pPr>
      <w:r>
        <w:rPr>
          <w:rFonts w:ascii="Arial" w:cs="Arial" w:eastAsia="Arial" w:hAnsi="Arial"/>
          <w:sz w:val="17"/>
          <w:szCs w:val="17"/>
          <w:color w:val="auto"/>
        </w:rPr>
        <w:t>For the three and six months ended June 30, 2021, Management Fees (gross of waivers) were $9.4 million and $18.2 million, respectively. For the three and six months ended June 30, 2020, Management Fees (gross of waivers) were $7.7 million and $15.8 million, respectively.</w:t>
      </w:r>
    </w:p>
    <w:p>
      <w:pPr>
        <w:spacing w:after="0" w:line="146" w:lineRule="exact"/>
        <w:rPr>
          <w:sz w:val="20"/>
          <w:szCs w:val="20"/>
          <w:color w:val="auto"/>
        </w:rPr>
      </w:pPr>
    </w:p>
    <w:p>
      <w:pPr>
        <w:ind w:firstLine="255"/>
        <w:spacing w:after="0" w:line="291" w:lineRule="auto"/>
        <w:rPr>
          <w:sz w:val="20"/>
          <w:szCs w:val="20"/>
          <w:color w:val="auto"/>
        </w:rPr>
      </w:pPr>
      <w:r>
        <w:rPr>
          <w:rFonts w:ascii="Arial" w:cs="Arial" w:eastAsia="Arial" w:hAnsi="Arial"/>
          <w:sz w:val="16"/>
          <w:szCs w:val="16"/>
          <w:color w:val="auto"/>
        </w:rPr>
        <w:t>The Adviser intends to waive a portion of the Management Fee payable under the Investment Advisory Agreement by reducing the Management Fee on assets financed using leverage over 200% asset coverage (in other words, over 1.0x debt to equity) (the “Leverage Waiver”). Pursuant to the Leverage Waiver, the Adviser intends to waive the portion of the Management Fee in excess of an annual rate of 1.0% on the average value of the Company’s gross assets as of the end of the two most recently completed calendar quarters that exceeds the product of (i) 200% and (ii) the average value of our net asset value at the end of the two most recently completed calendar quarters. Any waived Management Fees are not subject to recoupment by the Adviser. For the three and six months ended June 30, 2021, Management Fees of $0.1 million have been waived pursuant to the Leverage Waiver. The Adviser did not waive any management fees for the three and six months ended June 30, 2020 pursuant to the Leverage Waiver.</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Incentive Fee consists of two parts, as follows:</w:t>
      </w:r>
    </w:p>
    <w:p>
      <w:pPr>
        <w:spacing w:after="0" w:line="117" w:lineRule="exact"/>
        <w:rPr>
          <w:sz w:val="20"/>
          <w:szCs w:val="20"/>
          <w:color w:val="auto"/>
        </w:rPr>
      </w:pPr>
    </w:p>
    <w:p>
      <w:pPr>
        <w:ind w:left="500" w:right="140" w:hanging="249"/>
        <w:spacing w:after="0" w:line="291" w:lineRule="auto"/>
        <w:tabs>
          <w:tab w:leader="none" w:pos="5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first component, payable at the end of each quarter in arrears, equals 100% of the pre-Incentive Fee net investment income in excess of a 1.5% quarterly “hurdle rate,” the calculation of which is further explained below, until the Adviser has received 17.5% of the total pre-Incentive Fee net investment income for that quarter and, for pre-Incentive Fee net investment income in excess of 1.82% quarterly, 17.5% of all remaining pre-Incentive Fee net investment income for that quarter. The 100% “catch-up” provision for pre-Incentive Fee net investment income in excess of the 1.5% “hurdle rate”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w:t>
      </w:r>
    </w:p>
    <w:p>
      <w:pPr>
        <w:spacing w:after="0" w:line="58" w:lineRule="exact"/>
        <w:rPr>
          <w:sz w:val="20"/>
          <w:szCs w:val="20"/>
          <w:color w:val="auto"/>
        </w:rPr>
      </w:pPr>
    </w:p>
    <w:p>
      <w:pPr>
        <w:ind w:left="520" w:right="120"/>
        <w:spacing w:after="0" w:line="293" w:lineRule="auto"/>
        <w:rPr>
          <w:sz w:val="20"/>
          <w:szCs w:val="20"/>
          <w:color w:val="auto"/>
        </w:rPr>
      </w:pPr>
      <w:r>
        <w:rPr>
          <w:rFonts w:ascii="Arial" w:cs="Arial" w:eastAsia="Arial" w:hAnsi="Arial"/>
          <w:sz w:val="16"/>
          <w:szCs w:val="16"/>
          <w:color w:val="auto"/>
        </w:rPr>
        <w:t>Pre-Incentive Fee net investment income means dividends, interest and fee income accrued by the Company during the calendar quarter, minus the Company’s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the Company may not have received in cash. Pre-Incentive Fee net investment income does not include any realized capital gains, realized capital losses or unrealized capital gains or losses.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0" w:name="page31"/>
    <w:bookmarkEnd w:id="30"/>
    <w:p>
      <w:pPr>
        <w:ind w:left="500" w:hanging="249"/>
        <w:spacing w:after="0" w:line="289" w:lineRule="auto"/>
        <w:tabs>
          <w:tab w:leader="none" w:pos="5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second component, payable at the end of each fiscal year in arrears, equaled 15% through March 31, 2014 and, beginning April 1, 2014, equals a weighted percentage of cumulative realized capital gains from the Company’s inception to the end of that fiscal year, less cumulative realized capital losses and unrealized capital losses. This component of the Incentive Fee is referred to as the Capital Gains Fee. Each year, the fee paid for this component of the Incentive Fee is net of the aggregate amount of any previously paid Capital Gains Fee for prior periods. For capital gains that accrue following March 31, 2014, the Incentive Fee rate is 17.5%. The Company accrues, but does not pay, a capital gains Incentive Fee with respect to unrealized capital gains because a capital gains Incentive Fee would be owed to the Adviser if the Company were to sell the relevant investment and realize a capital gain. The weighted percentage was intended to ensure that for each fiscal year following the completion of the IPO, the portion of the Company’s realized capital gains that accrued prior to March 31, 2014, was subject to an Incentive Fee rate of 15% and the portion of the Company’s realized capital gains that accrued beginning April 1, 2014 is subject to an Incentive Fee rate of 17.5%.</w:t>
      </w:r>
    </w:p>
    <w:p>
      <w:pPr>
        <w:spacing w:after="0" w:line="166" w:lineRule="exact"/>
        <w:rPr>
          <w:sz w:val="20"/>
          <w:szCs w:val="20"/>
          <w:color w:val="auto"/>
        </w:rPr>
      </w:pPr>
    </w:p>
    <w:p>
      <w:pPr>
        <w:ind w:right="440" w:firstLine="255"/>
        <w:spacing w:after="0" w:line="308" w:lineRule="auto"/>
        <w:rPr>
          <w:sz w:val="20"/>
          <w:szCs w:val="20"/>
          <w:color w:val="auto"/>
        </w:rPr>
      </w:pPr>
      <w:r>
        <w:rPr>
          <w:rFonts w:ascii="Arial" w:cs="Arial" w:eastAsia="Arial" w:hAnsi="Arial"/>
          <w:sz w:val="17"/>
          <w:szCs w:val="17"/>
          <w:color w:val="auto"/>
        </w:rPr>
        <w:t>For purposes of determining whether pre-Incentive Fee net investment income exceeds the hurdle rate, pre-Incentive Fee net investment income is expressed as a rate of return on the value of the Company’s net assets at the end of the immediately preceding calendar quarter.</w:t>
      </w:r>
    </w:p>
    <w:p>
      <w:pPr>
        <w:spacing w:after="0" w:line="146" w:lineRule="exact"/>
        <w:rPr>
          <w:sz w:val="20"/>
          <w:szCs w:val="20"/>
          <w:color w:val="auto"/>
        </w:rPr>
      </w:pPr>
    </w:p>
    <w:p>
      <w:pPr>
        <w:ind w:right="200" w:firstLine="255"/>
        <w:spacing w:after="0" w:line="308" w:lineRule="auto"/>
        <w:rPr>
          <w:sz w:val="20"/>
          <w:szCs w:val="20"/>
          <w:color w:val="auto"/>
        </w:rPr>
      </w:pPr>
      <w:r>
        <w:rPr>
          <w:rFonts w:ascii="Arial" w:cs="Arial" w:eastAsia="Arial" w:hAnsi="Arial"/>
          <w:sz w:val="17"/>
          <w:szCs w:val="17"/>
          <w:color w:val="auto"/>
        </w:rPr>
        <w:t>Section 205(b)(3) of the Investment Advisers Act of 1940, as amended, or the Advisers Act, prohibits the Adviser from receiving the payment of fees on unrealized gains until those gains are realized, if ever. There can be no assurance that such unrealized gains will be realized in the future.</w:t>
      </w:r>
    </w:p>
    <w:p>
      <w:pPr>
        <w:spacing w:after="0" w:line="146" w:lineRule="exact"/>
        <w:rPr>
          <w:sz w:val="20"/>
          <w:szCs w:val="20"/>
          <w:color w:val="auto"/>
        </w:rPr>
      </w:pPr>
    </w:p>
    <w:p>
      <w:pPr>
        <w:ind w:left="260"/>
        <w:spacing w:after="0"/>
        <w:rPr>
          <w:sz w:val="20"/>
          <w:szCs w:val="20"/>
          <w:color w:val="auto"/>
        </w:rPr>
      </w:pPr>
      <w:r>
        <w:rPr>
          <w:rFonts w:ascii="Arial" w:cs="Arial" w:eastAsia="Arial" w:hAnsi="Arial"/>
          <w:sz w:val="16"/>
          <w:szCs w:val="16"/>
          <w:color w:val="auto"/>
        </w:rPr>
        <w:t>For the three and six months ended June 30, 2021, Incentive Fees were $12.6 million and $24.9 million, respectively, of which $7.0 million and $14.8</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million, respectively, were realized and payable to the Adviser. For the three and six months ended June 30, 2020, Incentive Fees were $8.4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$15.5 million, respectively, all of which were realized and payable to the Adviser. For the three and six months ended June 30, 2021, $5.6 million and $10.1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respectively of Incentive Fees was accrued related to cumulative unrealized capital gains in excess of cumulative net realized capital gains less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cumulative unrealized losses and capital gains incentive fees paid inception to date. For the three and six months ended June 30, 2020, no Incentive Fees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were accrued related to capital gains.</w:t>
      </w:r>
    </w:p>
    <w:p>
      <w:pPr>
        <w:spacing w:after="0" w:line="211" w:lineRule="exact"/>
        <w:rPr>
          <w:sz w:val="20"/>
          <w:szCs w:val="20"/>
          <w:color w:val="auto"/>
        </w:rPr>
      </w:pPr>
    </w:p>
    <w:p>
      <w:pPr>
        <w:ind w:right="100" w:firstLine="255"/>
        <w:spacing w:after="0" w:line="263" w:lineRule="auto"/>
        <w:rPr>
          <w:sz w:val="20"/>
          <w:szCs w:val="20"/>
          <w:color w:val="auto"/>
        </w:rPr>
      </w:pPr>
      <w:r>
        <w:rPr>
          <w:rFonts w:ascii="Arial" w:cs="Arial" w:eastAsia="Arial" w:hAnsi="Arial"/>
          <w:sz w:val="18"/>
          <w:szCs w:val="18"/>
          <w:color w:val="auto"/>
        </w:rPr>
        <w:t>Since the Company’s IPO, with the exception of its waiver of Management Fees and certain Incentive Fees attributable to the Company’s ownership of certain investments and the Leverage Waiver, the Adviser has not waived its right to receive any Management Fees or Incentive Fees payable pursuant to the Investment Advisory Agreement.</w:t>
      </w:r>
    </w:p>
    <w:p>
      <w:pPr>
        <w:spacing w:after="0" w:line="184" w:lineRule="exact"/>
        <w:rPr>
          <w:sz w:val="20"/>
          <w:szCs w:val="20"/>
          <w:color w:val="auto"/>
        </w:rPr>
      </w:pPr>
    </w:p>
    <w:p>
      <w:pPr>
        <w:ind w:right="20" w:firstLine="255"/>
        <w:spacing w:after="0" w:line="311" w:lineRule="auto"/>
        <w:rPr>
          <w:sz w:val="20"/>
          <w:szCs w:val="20"/>
          <w:color w:val="auto"/>
        </w:rPr>
      </w:pPr>
      <w:r>
        <w:rPr>
          <w:rFonts w:ascii="Arial" w:cs="Arial" w:eastAsia="Arial" w:hAnsi="Arial"/>
          <w:sz w:val="16"/>
          <w:szCs w:val="16"/>
          <w:color w:val="auto"/>
        </w:rPr>
        <w:t>In November 2020, the Board renewed the Investment Advisory Agreement. Unless earlier terminated as described below, the Investment Advisory Agreement will remain in effect until November 2021, and may be extended subject to required approvals. The Investment Advisory Agreement will automatically terminate in the event of an assignment and may be terminated by either party without penalty upon 60 days’ written notice to the other party.</w:t>
      </w:r>
    </w:p>
    <w:p>
      <w:pPr>
        <w:spacing w:after="0" w:line="149" w:lineRule="exact"/>
        <w:rPr>
          <w:sz w:val="20"/>
          <w:szCs w:val="20"/>
          <w:color w:val="auto"/>
        </w:rPr>
      </w:pPr>
    </w:p>
    <w:p>
      <w:pPr>
        <w:ind w:right="100" w:firstLine="255"/>
        <w:spacing w:after="0" w:line="263" w:lineRule="auto"/>
        <w:rPr>
          <w:sz w:val="20"/>
          <w:szCs w:val="20"/>
          <w:color w:val="auto"/>
        </w:rPr>
      </w:pPr>
      <w:r>
        <w:rPr>
          <w:rFonts w:ascii="Arial" w:cs="Arial" w:eastAsia="Arial" w:hAnsi="Arial"/>
          <w:sz w:val="18"/>
          <w:szCs w:val="18"/>
          <w:color w:val="auto"/>
        </w:rPr>
        <w:t>From time to time, the Adviser may pay amounts owed by the Company to third-party providers of goods or services, including the Board, and the Company will subsequently reimburse the Adviser for such amounts paid on its behalf. Amounts payable to the Adviser are settled in the normal course of business without formal payment terms.</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at Fair Value</w:t>
      </w:r>
    </w:p>
    <w:p>
      <w:pPr>
        <w:spacing w:after="0" w:line="121" w:lineRule="exact"/>
        <w:rPr>
          <w:sz w:val="20"/>
          <w:szCs w:val="20"/>
          <w:color w:val="auto"/>
        </w:rPr>
      </w:pPr>
    </w:p>
    <w:p>
      <w:pPr>
        <w:ind w:right="180" w:firstLine="255"/>
        <w:spacing w:after="0" w:line="291" w:lineRule="auto"/>
        <w:rPr>
          <w:sz w:val="20"/>
          <w:szCs w:val="20"/>
          <w:color w:val="auto"/>
        </w:rPr>
      </w:pPr>
      <w:r>
        <w:rPr>
          <w:rFonts w:ascii="Arial" w:cs="Arial" w:eastAsia="Arial" w:hAnsi="Arial"/>
          <w:sz w:val="16"/>
          <w:szCs w:val="16"/>
          <w:color w:val="auto"/>
        </w:rPr>
        <w:t>Under the 1940 Act, the Company is required to separately identify non-controlled investments where it owns 5% or more of a portfolio company’s outstanding voting securities as investments in “affiliated” companies. In addition, under the 1940 Act, the Company is required to separately identify investments where it owns more than 25% of a portfolio company’s outstanding voting securities and/or had the power to exercise control over the management or policies of such portfolio company as investments in “controlled” companies. Detailed information with respect to the Company’s non-controlled, non-affiliated; non-controlled, affiliated; and controlled, affiliated investments is contained in the accompanying consolidated financial statements, including the consolidated schedules of investments. The information in the tables below is presented on an aggregate portfolio basis, without regard to whether they are non-controlled, non-affiliated; non-controlled, affiliated; or controlled, affiliated investments.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1" w:name="page32"/>
    <w:bookmarkEnd w:id="31"/>
    <w:p>
      <w:pPr>
        <w:ind w:left="260"/>
        <w:spacing w:after="0"/>
        <w:rPr>
          <w:sz w:val="20"/>
          <w:szCs w:val="20"/>
          <w:color w:val="auto"/>
        </w:rPr>
      </w:pPr>
      <w:r>
        <w:rPr>
          <w:rFonts w:ascii="Arial" w:cs="Arial" w:eastAsia="Arial" w:hAnsi="Arial"/>
          <w:sz w:val="18"/>
          <w:szCs w:val="18"/>
          <w:color w:val="auto"/>
        </w:rPr>
        <w:t>Investments at fair value consisted of the following at June 30, 2021 and December 31, 2020:</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right"/>
              <w:ind w:right="93"/>
              <w:spacing w:after="0"/>
              <w:rPr>
                <w:sz w:val="20"/>
                <w:szCs w:val="20"/>
                <w:color w:val="auto"/>
              </w:rPr>
            </w:pPr>
            <w:r>
              <w:rPr>
                <w:rFonts w:ascii="Arial" w:cs="Arial" w:eastAsia="Arial" w:hAnsi="Arial"/>
                <w:sz w:val="14"/>
                <w:szCs w:val="14"/>
                <w:b w:val="1"/>
                <w:bCs w:val="1"/>
                <w:color w:val="auto"/>
                <w:w w:val="94"/>
              </w:rPr>
              <w:t>June 30, 2021</w:t>
            </w: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5"/>
              </w:rPr>
              <w:t xml:space="preserve">Amortized Cost </w:t>
            </w:r>
            <w:r>
              <w:rPr>
                <w:rFonts w:ascii="Arial" w:cs="Arial" w:eastAsia="Arial" w:hAnsi="Arial"/>
                <w:sz w:val="12"/>
                <w:szCs w:val="12"/>
                <w:b w:val="1"/>
                <w:bCs w:val="1"/>
                <w:color w:val="auto"/>
                <w:w w:val="95"/>
              </w:rPr>
              <w:t>(1)</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1"/>
                <w:szCs w:val="11"/>
                <w:color w:val="auto"/>
              </w:rPr>
            </w:pPr>
          </w:p>
        </w:tc>
        <w:tc>
          <w:tcPr>
            <w:tcW w:w="106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4"/>
              </w:rPr>
              <w:t>Net Unrealized</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2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Gain (Loss)</w:t>
            </w: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2,365,265</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2,405,014</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39,749</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5,351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6,285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934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Mezzanine debt investments</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7,108</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16,758</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9,650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Equity and other investments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111,030</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141,935</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30,905</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Investments</w:t>
            </w:r>
          </w:p>
        </w:tc>
        <w:tc>
          <w:tcPr>
            <w:tcW w:w="2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2,488,754</w:t>
            </w: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2,569,992</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81,238</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December 31, 2020</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2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5"/>
              </w:rPr>
              <w:t xml:space="preserve">Amortized Cost </w:t>
            </w:r>
            <w:r>
              <w:rPr>
                <w:rFonts w:ascii="Arial" w:cs="Arial" w:eastAsia="Arial" w:hAnsi="Arial"/>
                <w:sz w:val="12"/>
                <w:szCs w:val="12"/>
                <w:b w:val="1"/>
                <w:bCs w:val="1"/>
                <w:color w:val="auto"/>
                <w:w w:val="95"/>
              </w:rPr>
              <w:t>(1)</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1"/>
                <w:szCs w:val="11"/>
                <w:color w:val="auto"/>
              </w:rPr>
            </w:pPr>
          </w:p>
        </w:tc>
        <w:tc>
          <w:tcPr>
            <w:tcW w:w="106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4"/>
              </w:rPr>
              <w:t>Net Unrealized</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2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Gain (Loss)</w:t>
            </w: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2,165,100</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2,196,910</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31,810</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4,991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5,037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Mezzanine debt investments</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8,223</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10,982</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Equity and other investments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80,714</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85,941</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5,227</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Investments</w:t>
            </w:r>
          </w:p>
        </w:tc>
        <w:tc>
          <w:tcPr>
            <w:tcW w:w="2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2,259,028</w:t>
            </w: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2,298,870</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39,842</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00" w:right="140" w:hanging="492"/>
        <w:spacing w:after="0" w:line="277"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or premiums, as applicable, on debt investments using the effective interest method.</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industry composition of investments at fair value at June 30, 2021 and December 31, 2020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10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June 30, 2021</w:t>
            </w:r>
          </w:p>
        </w:tc>
        <w:tc>
          <w:tcPr>
            <w:tcW w:w="300" w:type="dxa"/>
            <w:vAlign w:val="bottom"/>
            <w:vMerge w:val="restart"/>
          </w:tcPr>
          <w:p>
            <w:pPr>
              <w:spacing w:after="0"/>
              <w:rPr>
                <w:sz w:val="14"/>
                <w:szCs w:val="14"/>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December 31,</w:t>
            </w: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3120" w:type="dxa"/>
            <w:vAlign w:val="bottom"/>
            <w:tcBorders>
              <w:bottom w:val="single" w:sz="8" w:color="CFF0FC"/>
            </w:tcBorders>
          </w:tcPr>
          <w:p>
            <w:pPr>
              <w:spacing w:after="0"/>
              <w:rPr>
                <w:sz w:val="14"/>
                <w:szCs w:val="14"/>
                <w:color w:val="auto"/>
              </w:rPr>
            </w:pPr>
          </w:p>
        </w:tc>
        <w:tc>
          <w:tcPr>
            <w:tcW w:w="2040" w:type="dxa"/>
            <w:vAlign w:val="bottom"/>
            <w:tcBorders>
              <w:bottom w:val="single" w:sz="8" w:color="CFF0FC"/>
            </w:tcBorders>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FF0FC"/>
            </w:tcBorders>
            <w:vMerge w:val="continue"/>
          </w:tcPr>
          <w:p>
            <w:pPr>
              <w:spacing w:after="0"/>
              <w:rPr>
                <w:sz w:val="14"/>
                <w:szCs w:val="14"/>
                <w:color w:val="auto"/>
              </w:rPr>
            </w:pPr>
          </w:p>
        </w:tc>
        <w:tc>
          <w:tcPr>
            <w:tcW w:w="11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Business services</w:t>
            </w:r>
          </w:p>
        </w:tc>
        <w:tc>
          <w:tcPr>
            <w:tcW w:w="20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21.2%</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22.2%</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Communications</w:t>
            </w:r>
          </w:p>
        </w:tc>
        <w:tc>
          <w:tcPr>
            <w:tcW w:w="3440" w:type="dxa"/>
            <w:vAlign w:val="bottom"/>
            <w:gridSpan w:val="3"/>
          </w:tcPr>
          <w:p>
            <w:pPr>
              <w:jc w:val="right"/>
              <w:ind w:right="160"/>
              <w:spacing w:after="0"/>
              <w:rPr>
                <w:sz w:val="20"/>
                <w:szCs w:val="20"/>
                <w:color w:val="auto"/>
              </w:rPr>
            </w:pPr>
            <w:r>
              <w:rPr>
                <w:rFonts w:ascii="Arial" w:cs="Arial" w:eastAsia="Arial" w:hAnsi="Arial"/>
                <w:sz w:val="18"/>
                <w:szCs w:val="18"/>
                <w:color w:val="auto"/>
              </w:rPr>
              <w:t>2.1%</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Education</w:t>
            </w:r>
          </w:p>
        </w:tc>
        <w:tc>
          <w:tcPr>
            <w:tcW w:w="344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11.9%</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11.2%</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Financial services</w:t>
            </w:r>
          </w:p>
        </w:tc>
        <w:tc>
          <w:tcPr>
            <w:tcW w:w="3440" w:type="dxa"/>
            <w:vAlign w:val="bottom"/>
            <w:gridSpan w:val="3"/>
          </w:tcPr>
          <w:p>
            <w:pPr>
              <w:jc w:val="right"/>
              <w:ind w:right="160"/>
              <w:spacing w:after="0"/>
              <w:rPr>
                <w:sz w:val="20"/>
                <w:szCs w:val="20"/>
                <w:color w:val="auto"/>
              </w:rPr>
            </w:pPr>
            <w:r>
              <w:rPr>
                <w:rFonts w:ascii="Arial" w:cs="Arial" w:eastAsia="Arial" w:hAnsi="Arial"/>
                <w:sz w:val="18"/>
                <w:szCs w:val="18"/>
                <w:color w:val="auto"/>
              </w:rPr>
              <w:t>15.0%</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15.7%</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Healthcare</w:t>
            </w:r>
          </w:p>
        </w:tc>
        <w:tc>
          <w:tcPr>
            <w:tcW w:w="344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7.4%</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8.3%</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Hotel, gaming and leisure</w:t>
            </w:r>
          </w:p>
        </w:tc>
        <w:tc>
          <w:tcPr>
            <w:tcW w:w="3440" w:type="dxa"/>
            <w:vAlign w:val="bottom"/>
            <w:gridSpan w:val="3"/>
          </w:tcPr>
          <w:p>
            <w:pPr>
              <w:jc w:val="right"/>
              <w:ind w:right="160"/>
              <w:spacing w:after="0"/>
              <w:rPr>
                <w:sz w:val="20"/>
                <w:szCs w:val="20"/>
                <w:color w:val="auto"/>
              </w:rPr>
            </w:pPr>
            <w:r>
              <w:rPr>
                <w:rFonts w:ascii="Arial" w:cs="Arial" w:eastAsia="Arial" w:hAnsi="Arial"/>
                <w:sz w:val="18"/>
                <w:szCs w:val="18"/>
                <w:color w:val="auto"/>
              </w:rPr>
              <w:t>3.0%</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Human resource support services</w:t>
            </w:r>
          </w:p>
        </w:tc>
        <w:tc>
          <w:tcPr>
            <w:tcW w:w="344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10.5%</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9.9%</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Insurance</w:t>
            </w:r>
          </w:p>
        </w:tc>
        <w:tc>
          <w:tcPr>
            <w:tcW w:w="3440" w:type="dxa"/>
            <w:vAlign w:val="bottom"/>
            <w:gridSpan w:val="3"/>
          </w:tcPr>
          <w:p>
            <w:pPr>
              <w:jc w:val="right"/>
              <w:ind w:right="160"/>
              <w:spacing w:after="0"/>
              <w:rPr>
                <w:sz w:val="20"/>
                <w:szCs w:val="20"/>
                <w:color w:val="auto"/>
              </w:rPr>
            </w:pPr>
            <w:r>
              <w:rPr>
                <w:rFonts w:ascii="Arial" w:cs="Arial" w:eastAsia="Arial" w:hAnsi="Arial"/>
                <w:sz w:val="18"/>
                <w:szCs w:val="18"/>
                <w:color w:val="auto"/>
              </w:rPr>
              <w:t>2.1%</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Internet services</w:t>
            </w:r>
          </w:p>
        </w:tc>
        <w:tc>
          <w:tcPr>
            <w:tcW w:w="344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6.2%</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5.2%</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Marketing services</w:t>
            </w:r>
          </w:p>
        </w:tc>
        <w:tc>
          <w:tcPr>
            <w:tcW w:w="3440" w:type="dxa"/>
            <w:vAlign w:val="bottom"/>
            <w:gridSpan w:val="3"/>
          </w:tcPr>
          <w:p>
            <w:pPr>
              <w:jc w:val="right"/>
              <w:ind w:right="160"/>
              <w:spacing w:after="0"/>
              <w:rPr>
                <w:sz w:val="20"/>
                <w:szCs w:val="20"/>
                <w:color w:val="auto"/>
              </w:rPr>
            </w:pPr>
            <w:r>
              <w:rPr>
                <w:rFonts w:ascii="Arial" w:cs="Arial" w:eastAsia="Arial" w:hAnsi="Arial"/>
                <w:sz w:val="18"/>
                <w:szCs w:val="18"/>
                <w:color w:val="auto"/>
              </w:rPr>
              <w:t>1.8%</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Office products</w:t>
            </w:r>
          </w:p>
        </w:tc>
        <w:tc>
          <w:tcPr>
            <w:tcW w:w="344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0.3%</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0.3%</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Oil, gas and consumable fuels</w:t>
            </w:r>
          </w:p>
        </w:tc>
        <w:tc>
          <w:tcPr>
            <w:tcW w:w="3440" w:type="dxa"/>
            <w:vAlign w:val="bottom"/>
            <w:gridSpan w:val="3"/>
          </w:tcPr>
          <w:p>
            <w:pPr>
              <w:jc w:val="right"/>
              <w:ind w:right="160"/>
              <w:spacing w:after="0"/>
              <w:rPr>
                <w:sz w:val="20"/>
                <w:szCs w:val="20"/>
                <w:color w:val="auto"/>
              </w:rPr>
            </w:pPr>
            <w:r>
              <w:rPr>
                <w:rFonts w:ascii="Arial" w:cs="Arial" w:eastAsia="Arial" w:hAnsi="Arial"/>
                <w:sz w:val="18"/>
                <w:szCs w:val="18"/>
                <w:color w:val="auto"/>
              </w:rPr>
              <w:t>1.7%</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344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2.4%</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Pharmaceuticals</w:t>
            </w:r>
          </w:p>
        </w:tc>
        <w:tc>
          <w:tcPr>
            <w:tcW w:w="3440" w:type="dxa"/>
            <w:vAlign w:val="bottom"/>
            <w:gridSpan w:val="3"/>
          </w:tcPr>
          <w:p>
            <w:pPr>
              <w:jc w:val="right"/>
              <w:ind w:right="160"/>
              <w:spacing w:after="0"/>
              <w:rPr>
                <w:sz w:val="20"/>
                <w:szCs w:val="20"/>
                <w:color w:val="auto"/>
              </w:rPr>
            </w:pPr>
            <w:r>
              <w:rPr>
                <w:rFonts w:ascii="Arial" w:cs="Arial" w:eastAsia="Arial" w:hAnsi="Arial"/>
                <w:sz w:val="18"/>
                <w:szCs w:val="18"/>
                <w:color w:val="auto"/>
              </w:rPr>
              <w:t>2.3%</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Real Estate</w:t>
            </w:r>
          </w:p>
        </w:tc>
        <w:tc>
          <w:tcPr>
            <w:tcW w:w="344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1.9%</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Retail and consumer products</w:t>
            </w:r>
          </w:p>
        </w:tc>
        <w:tc>
          <w:tcPr>
            <w:tcW w:w="204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10.2%</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11.8%</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120" w:type="dxa"/>
            <w:vAlign w:val="bottom"/>
            <w:vMerge w:val="restart"/>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2040" w:type="dxa"/>
            <w:vAlign w:val="bottom"/>
            <w:vMerge w:val="restart"/>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700" w:type="dxa"/>
            <w:vAlign w:val="bottom"/>
          </w:tcPr>
          <w:p>
            <w:pPr>
              <w:spacing w:after="0"/>
              <w:rPr>
                <w:sz w:val="19"/>
                <w:szCs w:val="19"/>
                <w:color w:val="auto"/>
              </w:rPr>
            </w:pPr>
          </w:p>
        </w:tc>
        <w:tc>
          <w:tcPr>
            <w:tcW w:w="3120" w:type="dxa"/>
            <w:vAlign w:val="bottom"/>
            <w:vMerge w:val="continue"/>
            <w:shd w:val="clear" w:color="auto" w:fill="CFF0FC"/>
          </w:tcPr>
          <w:p>
            <w:pPr>
              <w:spacing w:after="0"/>
              <w:rPr>
                <w:sz w:val="19"/>
                <w:szCs w:val="19"/>
                <w:color w:val="auto"/>
              </w:rPr>
            </w:pPr>
          </w:p>
        </w:tc>
        <w:tc>
          <w:tcPr>
            <w:tcW w:w="2040" w:type="dxa"/>
            <w:vAlign w:val="bottom"/>
            <w:vMerge w:val="continue"/>
            <w:shd w:val="clear" w:color="auto" w:fill="CFF0FC"/>
          </w:tcPr>
          <w:p>
            <w:pPr>
              <w:spacing w:after="0"/>
              <w:rPr>
                <w:sz w:val="19"/>
                <w:szCs w:val="19"/>
                <w:color w:val="auto"/>
              </w:rPr>
            </w:pP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100.0%</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120" w:type="dxa"/>
            <w:vAlign w:val="bottom"/>
            <w:tcBorders>
              <w:top w:val="single" w:sz="8" w:color="CFF0FC"/>
            </w:tcBorders>
          </w:tcPr>
          <w:p>
            <w:pPr>
              <w:spacing w:after="0" w:line="20" w:lineRule="exact"/>
              <w:rPr>
                <w:sz w:val="1"/>
                <w:szCs w:val="1"/>
                <w:color w:val="auto"/>
              </w:rPr>
            </w:pPr>
          </w:p>
        </w:tc>
        <w:tc>
          <w:tcPr>
            <w:tcW w:w="2040" w:type="dxa"/>
            <w:vAlign w:val="bottom"/>
            <w:tcBorders>
              <w:top w:val="single" w:sz="8" w:color="CFF0FC"/>
              <w:bottom w:val="single" w:sz="8" w:color="CFF0FC"/>
            </w:tcBorders>
            <w:vMerge w:val="restart"/>
          </w:tcPr>
          <w:p>
            <w:pPr>
              <w:jc w:val="right"/>
              <w:ind w:right="1050"/>
              <w:spacing w:after="0"/>
              <w:rPr>
                <w:sz w:val="20"/>
                <w:szCs w:val="20"/>
                <w:color w:val="auto"/>
              </w:rPr>
            </w:pPr>
            <w:r>
              <w:rPr>
                <w:rFonts w:ascii="Arial" w:cs="Arial" w:eastAsia="Arial" w:hAnsi="Arial"/>
                <w:sz w:val="18"/>
                <w:szCs w:val="18"/>
                <w:color w:val="auto"/>
              </w:rPr>
              <w:t>32</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04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120" w:type="dxa"/>
            <w:vAlign w:val="bottom"/>
            <w:tcBorders>
              <w:bottom w:val="single" w:sz="8" w:color="9A9A9A"/>
            </w:tcBorders>
          </w:tcPr>
          <w:p>
            <w:pPr>
              <w:spacing w:after="0"/>
              <w:rPr>
                <w:sz w:val="10"/>
                <w:szCs w:val="10"/>
                <w:color w:val="auto"/>
              </w:rPr>
            </w:pPr>
          </w:p>
        </w:tc>
        <w:tc>
          <w:tcPr>
            <w:tcW w:w="20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57" w:right="319" w:bottom="1440" w:gutter="0" w:footer="0" w:header="0"/>
        </w:sectPr>
      </w:pPr>
    </w:p>
    <w:bookmarkStart w:id="32" w:name="page33"/>
    <w:bookmarkEnd w:id="32"/>
    <w:p>
      <w:pPr>
        <w:ind w:left="260"/>
        <w:spacing w:after="0"/>
        <w:rPr>
          <w:sz w:val="20"/>
          <w:szCs w:val="20"/>
          <w:color w:val="auto"/>
        </w:rPr>
      </w:pPr>
      <w:r>
        <w:rPr>
          <w:rFonts w:ascii="Arial" w:cs="Arial" w:eastAsia="Arial" w:hAnsi="Arial"/>
          <w:sz w:val="18"/>
          <w:szCs w:val="18"/>
          <w:color w:val="auto"/>
        </w:rPr>
        <w:t>The geographic composition of investments at fair value at June 30, 2021 and December 31, 2020 is as follows:</w:t>
      </w:r>
    </w:p>
    <w:p>
      <w:pPr>
        <w:spacing w:after="0" w:line="21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4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June 30, 2021</w:t>
            </w: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516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120" w:type="dxa"/>
            <w:vAlign w:val="bottom"/>
          </w:tcPr>
          <w:p>
            <w:pPr>
              <w:jc w:val="right"/>
              <w:ind w:right="334"/>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1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40"/>
              <w:spacing w:after="0"/>
              <w:rPr>
                <w:sz w:val="20"/>
                <w:szCs w:val="20"/>
                <w:color w:val="auto"/>
              </w:rPr>
            </w:pPr>
            <w:r>
              <w:rPr>
                <w:rFonts w:ascii="Arial" w:cs="Arial" w:eastAsia="Arial" w:hAnsi="Arial"/>
                <w:sz w:val="18"/>
                <w:szCs w:val="18"/>
                <w:color w:val="auto"/>
              </w:rPr>
              <w:t>Midwest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16.3%</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29"/>
        </w:trPr>
        <w:tc>
          <w:tcPr>
            <w:tcW w:w="5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Northeast</w:t>
            </w: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18.1%</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30"/>
        </w:trPr>
        <w:tc>
          <w:tcPr>
            <w:tcW w:w="5160" w:type="dxa"/>
            <w:vAlign w:val="bottom"/>
          </w:tcPr>
          <w:p>
            <w:pPr>
              <w:ind w:left="240"/>
              <w:spacing w:after="0"/>
              <w:rPr>
                <w:sz w:val="20"/>
                <w:szCs w:val="20"/>
                <w:color w:val="auto"/>
              </w:rPr>
            </w:pPr>
            <w:r>
              <w:rPr>
                <w:rFonts w:ascii="Arial" w:cs="Arial" w:eastAsia="Arial" w:hAnsi="Arial"/>
                <w:sz w:val="18"/>
                <w:szCs w:val="18"/>
                <w:color w:val="auto"/>
              </w:rPr>
              <w:t>South</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24.4%</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29"/>
        </w:trPr>
        <w:tc>
          <w:tcPr>
            <w:tcW w:w="5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West</w:t>
            </w: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34.5%</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29"/>
        </w:trPr>
        <w:tc>
          <w:tcPr>
            <w:tcW w:w="5160" w:type="dxa"/>
            <w:vAlign w:val="bottom"/>
          </w:tcPr>
          <w:p>
            <w:pPr>
              <w:spacing w:after="0"/>
              <w:rPr>
                <w:sz w:val="20"/>
                <w:szCs w:val="20"/>
                <w:color w:val="auto"/>
              </w:rPr>
            </w:pPr>
            <w:r>
              <w:rPr>
                <w:rFonts w:ascii="Arial" w:cs="Arial" w:eastAsia="Arial" w:hAnsi="Arial"/>
                <w:sz w:val="18"/>
                <w:szCs w:val="18"/>
                <w:color w:val="auto"/>
              </w:rPr>
              <w:t>Australia</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Bermuda</w:t>
            </w: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1.5%</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5160" w:type="dxa"/>
            <w:vAlign w:val="bottom"/>
          </w:tcPr>
          <w:p>
            <w:pPr>
              <w:spacing w:after="0"/>
              <w:rPr>
                <w:sz w:val="20"/>
                <w:szCs w:val="20"/>
                <w:color w:val="auto"/>
              </w:rPr>
            </w:pPr>
            <w:r>
              <w:rPr>
                <w:rFonts w:ascii="Arial" w:cs="Arial" w:eastAsia="Arial" w:hAnsi="Arial"/>
                <w:sz w:val="18"/>
                <w:szCs w:val="18"/>
                <w:color w:val="auto"/>
              </w:rPr>
              <w:t>Canada</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3.7%</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5160" w:type="dxa"/>
            <w:vAlign w:val="bottom"/>
            <w:vMerge w:val="restart"/>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11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60" w:type="dxa"/>
            <w:vAlign w:val="bottom"/>
            <w:vMerge w:val="continue"/>
            <w:shd w:val="clear" w:color="auto" w:fill="CFF0FC"/>
          </w:tcPr>
          <w:p>
            <w:pPr>
              <w:spacing w:after="0"/>
              <w:rPr>
                <w:sz w:val="19"/>
                <w:szCs w:val="19"/>
                <w:color w:val="auto"/>
              </w:rPr>
            </w:pP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100.0%</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516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Swaps</w:t>
      </w:r>
    </w:p>
    <w:p>
      <w:pPr>
        <w:spacing w:after="0" w:line="117" w:lineRule="exact"/>
        <w:rPr>
          <w:sz w:val="20"/>
          <w:szCs w:val="20"/>
          <w:color w:val="auto"/>
        </w:rPr>
      </w:pPr>
    </w:p>
    <w:p>
      <w:pPr>
        <w:ind w:right="320" w:firstLine="255"/>
        <w:spacing w:after="0" w:line="286" w:lineRule="auto"/>
        <w:rPr>
          <w:sz w:val="20"/>
          <w:szCs w:val="20"/>
          <w:color w:val="auto"/>
        </w:rPr>
      </w:pPr>
      <w:r>
        <w:rPr>
          <w:rFonts w:ascii="Arial" w:cs="Arial" w:eastAsia="Arial" w:hAnsi="Arial"/>
          <w:sz w:val="17"/>
          <w:szCs w:val="17"/>
          <w:color w:val="auto"/>
        </w:rPr>
        <w:t>In February 2017, in connection with the issuance of the 2022 Convertible Notes, the Company entered into an interest rate swap transaction with a $115.0 million notional amount. The Company receives fixed rate interest at 4.50% and pays variable rate interest based on three-month LIBOR plus 2.37%. The swap transaction matures on August 1, 2022, matching the maturity date of the 2022 Convertible Notes.</w:t>
      </w:r>
    </w:p>
    <w:p>
      <w:pPr>
        <w:spacing w:after="0" w:line="165" w:lineRule="exact"/>
        <w:rPr>
          <w:sz w:val="20"/>
          <w:szCs w:val="20"/>
          <w:color w:val="auto"/>
        </w:rPr>
      </w:pPr>
    </w:p>
    <w:p>
      <w:pPr>
        <w:jc w:val="both"/>
        <w:ind w:right="200" w:firstLine="255"/>
        <w:spacing w:after="0" w:line="263" w:lineRule="auto"/>
        <w:rPr>
          <w:sz w:val="20"/>
          <w:szCs w:val="20"/>
          <w:color w:val="auto"/>
        </w:rPr>
      </w:pPr>
      <w:r>
        <w:rPr>
          <w:rFonts w:ascii="Arial" w:cs="Arial" w:eastAsia="Arial" w:hAnsi="Arial"/>
          <w:sz w:val="18"/>
          <w:szCs w:val="18"/>
          <w:color w:val="auto"/>
        </w:rPr>
        <w:t>In January 2018, in connection with the issuance of the 2023 Notes, the Company entered into an interest rate swap transaction with a $150.0 million notional amount. The Company receives fixed rate interest at 4.50% and pays variable rate interest based on three-month LIBOR plus 1.99%. The swap transaction matures on January 22, 2023, matching the maturity date of the 2023 Notes.</w:t>
      </w:r>
    </w:p>
    <w:p>
      <w:pPr>
        <w:spacing w:after="0" w:line="184" w:lineRule="exact"/>
        <w:rPr>
          <w:sz w:val="20"/>
          <w:szCs w:val="20"/>
          <w:color w:val="auto"/>
        </w:rPr>
      </w:pPr>
    </w:p>
    <w:p>
      <w:pPr>
        <w:ind w:right="140" w:firstLine="255"/>
        <w:spacing w:after="0" w:line="259" w:lineRule="auto"/>
        <w:rPr>
          <w:sz w:val="20"/>
          <w:szCs w:val="20"/>
          <w:color w:val="auto"/>
        </w:rPr>
      </w:pPr>
      <w:r>
        <w:rPr>
          <w:rFonts w:ascii="Arial" w:cs="Arial" w:eastAsia="Arial" w:hAnsi="Arial"/>
          <w:sz w:val="18"/>
          <w:szCs w:val="18"/>
          <w:color w:val="auto"/>
        </w:rPr>
        <w:t>In June 2018, in connection with the reopening and issuance of additional 2022 Convertible Notes, the Company entered into two interest rate swap transactions with notional amounts of $50.0 million and $7.5 million, respectively. The Company receives fixed rate interest on each swap at 4.50%, and pays variable rate interest based on three-month LIBOR plus 1.59%, and 1.60%, respectively. The swap transactions mature on August 1, 2022, matching the maturity date of the 2022 Convertible Notes.</w:t>
      </w:r>
    </w:p>
    <w:p>
      <w:pPr>
        <w:spacing w:after="0" w:line="187" w:lineRule="exact"/>
        <w:rPr>
          <w:sz w:val="20"/>
          <w:szCs w:val="20"/>
          <w:color w:val="auto"/>
        </w:rPr>
      </w:pPr>
    </w:p>
    <w:p>
      <w:pPr>
        <w:jc w:val="both"/>
        <w:ind w:right="460" w:firstLine="255"/>
        <w:spacing w:after="0" w:line="286" w:lineRule="auto"/>
        <w:rPr>
          <w:sz w:val="20"/>
          <w:szCs w:val="20"/>
          <w:color w:val="auto"/>
        </w:rPr>
      </w:pPr>
      <w:r>
        <w:rPr>
          <w:rFonts w:ascii="Arial" w:cs="Arial" w:eastAsia="Arial" w:hAnsi="Arial"/>
          <w:sz w:val="17"/>
          <w:szCs w:val="17"/>
          <w:color w:val="auto"/>
        </w:rPr>
        <w:t>In June 2019, upon maturity of the original swap transaction on an existing fixed rate investment, the Company entered into an interest rate swap transaction with a $91.5 million notional amount. The Company received three-month LIBOR and paid fixed rate interest at 1.97%. In April 2020, in connection with the repayment of the underlying investment, the Company terminated this interest rate swap.</w:t>
      </w:r>
    </w:p>
    <w:p>
      <w:pPr>
        <w:spacing w:after="0" w:line="165" w:lineRule="exact"/>
        <w:rPr>
          <w:sz w:val="20"/>
          <w:szCs w:val="20"/>
          <w:color w:val="auto"/>
        </w:rPr>
      </w:pPr>
    </w:p>
    <w:p>
      <w:pPr>
        <w:ind w:firstLine="255"/>
        <w:spacing w:after="0" w:line="257" w:lineRule="auto"/>
        <w:rPr>
          <w:sz w:val="20"/>
          <w:szCs w:val="20"/>
          <w:color w:val="auto"/>
        </w:rPr>
      </w:pPr>
      <w:r>
        <w:rPr>
          <w:rFonts w:ascii="Arial" w:cs="Arial" w:eastAsia="Arial" w:hAnsi="Arial"/>
          <w:sz w:val="18"/>
          <w:szCs w:val="18"/>
          <w:color w:val="auto"/>
        </w:rPr>
        <w:t>In August 2019, in connection with two fixed rate investments, the Company entered into two interest rate swap transactions with notional amounts of $11.7 million and $3.2 million, respectively. The Company receives three-month LIBOR and pays fixed rate interest at 1.47% and 1.36%, respectively. The $11.7 million notional swap transaction matures on July 30, 2021, matching the current expected repayment date of the investment. In December 2020, in connection with the repayment of the underlying investment, the Company terminated the $3.2 million notional interest rate swap resulting in a realized loss of less than $0.1 million.</w:t>
      </w:r>
    </w:p>
    <w:p>
      <w:pPr>
        <w:spacing w:after="0" w:line="188" w:lineRule="exact"/>
        <w:rPr>
          <w:sz w:val="20"/>
          <w:szCs w:val="20"/>
          <w:color w:val="auto"/>
        </w:rPr>
      </w:pPr>
    </w:p>
    <w:p>
      <w:pPr>
        <w:ind w:firstLine="255"/>
        <w:spacing w:after="0" w:line="259" w:lineRule="auto"/>
        <w:rPr>
          <w:sz w:val="20"/>
          <w:szCs w:val="20"/>
          <w:color w:val="auto"/>
        </w:rPr>
      </w:pPr>
      <w:r>
        <w:rPr>
          <w:rFonts w:ascii="Arial" w:cs="Arial" w:eastAsia="Arial" w:hAnsi="Arial"/>
          <w:sz w:val="18"/>
          <w:szCs w:val="18"/>
          <w:color w:val="auto"/>
        </w:rPr>
        <w:t>In November 2019, in connection with the issuance of the 2024 Notes, the Company entered into an interest rate swap transaction with a $300.0 million notional amount. The Company receives fixed rate interest at 3.875% and pays variable rate interest based on three-month LIBOR plus 2.25%. The swap transaction matures on November 1, 2024, matching the maturity date of the 2024 Notes. The Company designated this interest rate swap as the hedging instrument in a hedge accounting relationship with the 2024 Notes.</w:t>
      </w:r>
    </w:p>
    <w:p>
      <w:pPr>
        <w:spacing w:after="0" w:line="187" w:lineRule="exact"/>
        <w:rPr>
          <w:sz w:val="20"/>
          <w:szCs w:val="20"/>
          <w:color w:val="auto"/>
        </w:rPr>
      </w:pPr>
    </w:p>
    <w:p>
      <w:pPr>
        <w:ind w:right="140" w:firstLine="255"/>
        <w:spacing w:after="0" w:line="279" w:lineRule="auto"/>
        <w:rPr>
          <w:sz w:val="20"/>
          <w:szCs w:val="20"/>
          <w:color w:val="auto"/>
        </w:rPr>
      </w:pPr>
      <w:r>
        <w:rPr>
          <w:rFonts w:ascii="Arial" w:cs="Arial" w:eastAsia="Arial" w:hAnsi="Arial"/>
          <w:sz w:val="17"/>
          <w:szCs w:val="17"/>
          <w:color w:val="auto"/>
        </w:rPr>
        <w:t>In February 2020, in connection with the reopening and issuance of additional 2024 Notes, the Company entered into an interest rate swap transaction with a $50.0 million notional amount. The Company receives fixed rate interest at 3.875% and pays variable rate interest based on three-month LIBOR plus 2.46%. The swap transaction matures on November 1, 2024, matching the maturity date of the additional 2024 Notes. The Company designated this interest rate swap as the hedging instrument in a hedge accounting relationship with the additional 2024 Notes.</w:t>
      </w:r>
    </w:p>
    <w:p>
      <w:pPr>
        <w:spacing w:after="0" w:line="171" w:lineRule="exact"/>
        <w:rPr>
          <w:sz w:val="20"/>
          <w:szCs w:val="20"/>
          <w:color w:val="auto"/>
        </w:rPr>
      </w:pPr>
    </w:p>
    <w:p>
      <w:pPr>
        <w:ind w:right="140" w:firstLine="255"/>
        <w:spacing w:after="0" w:line="311" w:lineRule="auto"/>
        <w:rPr>
          <w:sz w:val="20"/>
          <w:szCs w:val="20"/>
          <w:color w:val="auto"/>
        </w:rPr>
      </w:pPr>
      <w:r>
        <w:rPr>
          <w:rFonts w:ascii="Arial" w:cs="Arial" w:eastAsia="Arial" w:hAnsi="Arial"/>
          <w:sz w:val="16"/>
          <w:szCs w:val="16"/>
          <w:color w:val="auto"/>
        </w:rPr>
        <w:t>In May 2020, in connection with the repurchase of $29.7 million of the 2022 Convertible Notes, the Company entered into two interest rate swap transactions with $27.5 million and $2.2 million notional amounts. The Company pays fixed rate interest at 4.5% and receives variable rate interest based on three-month LIBOR plus 2.11%. The swap transactions mature on August 1, 2022, matching the maturity date of the 2022 Convertible Notes.</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98" w:right="379" w:bottom="1440" w:gutter="0" w:footer="0" w:header="0"/>
        </w:sectPr>
      </w:pPr>
    </w:p>
    <w:bookmarkStart w:id="33" w:name="page34"/>
    <w:bookmarkEnd w:id="33"/>
    <w:p>
      <w:pPr>
        <w:ind w:right="40" w:firstLine="255"/>
        <w:spacing w:after="0" w:line="257" w:lineRule="auto"/>
        <w:rPr>
          <w:sz w:val="20"/>
          <w:szCs w:val="20"/>
          <w:color w:val="auto"/>
        </w:rPr>
      </w:pPr>
      <w:r>
        <w:rPr>
          <w:rFonts w:ascii="Arial" w:cs="Arial" w:eastAsia="Arial" w:hAnsi="Arial"/>
          <w:sz w:val="18"/>
          <w:szCs w:val="18"/>
          <w:color w:val="auto"/>
        </w:rPr>
        <w:t>In May 2020, in connection with the repurchase of $2.5 million of the 2024 Notes, the Company entered into an interest rate swap transaction with $2.5 million notional amount. The Company pays fixed rate interest at 3.875% and receives variable rate interest based on three-month LIBOR plus 2.28%. The swap transaction matures on November 1, 2024, matching the maturity date of the 2024 Notes. At the same time, the Company de-designated $2.5 million notional amount of the existing interest rate swaps related to the 2024 Notes as hedging instruments in a hedge accounting relationship with the 2024 Notes.</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6"/>
          <w:szCs w:val="16"/>
          <w:color w:val="auto"/>
        </w:rPr>
        <w:t>In June 2020, in connection with two fixed rate investments, the Company entered into two interest rate swap transactions with notional amounts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$5.0 million and $2.2 million. The Company receives three-month LIBOR and pays fixed rate interest at 0.33% and 0.26%, respectively. The $5.0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notional swap transaction matures on June 9, 2023, matching the expected repayment date of the investment. In December 2020, in connection with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repayment of the underlying investment, the Company terminated the $2.2 million notional interest rate swap resulting in a realized loss of less than $0.1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million.</w:t>
      </w:r>
    </w:p>
    <w:p>
      <w:pPr>
        <w:spacing w:after="0" w:line="211" w:lineRule="exact"/>
        <w:rPr>
          <w:sz w:val="20"/>
          <w:szCs w:val="20"/>
          <w:color w:val="auto"/>
        </w:rPr>
      </w:pPr>
    </w:p>
    <w:p>
      <w:pPr>
        <w:ind w:right="140" w:firstLine="255"/>
        <w:spacing w:after="0" w:line="259" w:lineRule="auto"/>
        <w:rPr>
          <w:sz w:val="20"/>
          <w:szCs w:val="20"/>
          <w:color w:val="auto"/>
        </w:rPr>
      </w:pPr>
      <w:r>
        <w:rPr>
          <w:rFonts w:ascii="Arial" w:cs="Arial" w:eastAsia="Arial" w:hAnsi="Arial"/>
          <w:sz w:val="18"/>
          <w:szCs w:val="18"/>
          <w:color w:val="auto"/>
        </w:rPr>
        <w:t>In February 2021, in connection with the issuance of the 2026 Notes, the Company entered into an interest rate swap transaction with a $300.0 million notional amount. The Company receives fixed rate interest at 2.50% and pays variable rate interest based on three-month LIBOR plus 1.91%. The swap transaction matures on August 1, 2026, matching the maturity date of the 2026 Notes. The Company designated this interest rate swap as the hedging instrument in a hedge accounting relationship with the 2026 Notes.</w:t>
      </w:r>
    </w:p>
    <w:p>
      <w:pPr>
        <w:spacing w:after="0" w:line="187" w:lineRule="exact"/>
        <w:rPr>
          <w:sz w:val="20"/>
          <w:szCs w:val="20"/>
          <w:color w:val="auto"/>
        </w:rPr>
      </w:pPr>
    </w:p>
    <w:p>
      <w:pPr>
        <w:ind w:right="140" w:firstLine="255"/>
        <w:spacing w:after="0" w:line="277" w:lineRule="auto"/>
        <w:rPr>
          <w:sz w:val="20"/>
          <w:szCs w:val="20"/>
          <w:color w:val="auto"/>
        </w:rPr>
      </w:pPr>
      <w:r>
        <w:rPr>
          <w:rFonts w:ascii="Arial" w:cs="Arial" w:eastAsia="Arial" w:hAnsi="Arial"/>
          <w:sz w:val="18"/>
          <w:szCs w:val="18"/>
          <w:color w:val="auto"/>
        </w:rPr>
        <w:t>The following tables present the amounts paid and received on the Company’s interest rate swap transactions, excluding upfront fees, for the three and six months ended June 30, 2021 and 2020:</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Maturity Date</w:t>
            </w:r>
          </w:p>
        </w:tc>
        <w:tc>
          <w:tcPr>
            <w:tcW w:w="100" w:type="dxa"/>
            <w:vAlign w:val="bottom"/>
          </w:tcPr>
          <w:p>
            <w:pPr>
              <w:spacing w:after="0"/>
              <w:rPr>
                <w:sz w:val="14"/>
                <w:szCs w:val="14"/>
                <w:color w:val="auto"/>
              </w:rPr>
            </w:pPr>
          </w:p>
        </w:tc>
        <w:tc>
          <w:tcPr>
            <w:tcW w:w="13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Notional Amount</w:t>
            </w:r>
          </w:p>
        </w:tc>
        <w:tc>
          <w:tcPr>
            <w:tcW w:w="160" w:type="dxa"/>
            <w:vAlign w:val="bottom"/>
          </w:tcPr>
          <w:p>
            <w:pPr>
              <w:spacing w:after="0"/>
              <w:rPr>
                <w:sz w:val="14"/>
                <w:szCs w:val="14"/>
                <w:color w:val="auto"/>
              </w:rPr>
            </w:pPr>
          </w:p>
        </w:tc>
        <w:tc>
          <w:tcPr>
            <w:tcW w:w="3180" w:type="dxa"/>
            <w:vAlign w:val="bottom"/>
            <w:gridSpan w:val="8"/>
          </w:tcPr>
          <w:p>
            <w:pPr>
              <w:ind w:left="60"/>
              <w:spacing w:after="0"/>
              <w:rPr>
                <w:sz w:val="20"/>
                <w:szCs w:val="20"/>
                <w:color w:val="auto"/>
              </w:rPr>
            </w:pPr>
            <w:r>
              <w:rPr>
                <w:rFonts w:ascii="Arial" w:cs="Arial" w:eastAsia="Arial" w:hAnsi="Arial"/>
                <w:sz w:val="14"/>
                <w:szCs w:val="14"/>
                <w:b w:val="1"/>
                <w:bCs w:val="1"/>
                <w:color w:val="auto"/>
              </w:rPr>
              <w:t>For the Three Months Ended June 30, 2021</w:t>
            </w:r>
          </w:p>
        </w:tc>
        <w:tc>
          <w:tcPr>
            <w:tcW w:w="220" w:type="dxa"/>
            <w:vAlign w:val="bottom"/>
          </w:tcPr>
          <w:p>
            <w:pPr>
              <w:spacing w:after="0"/>
              <w:rPr>
                <w:sz w:val="14"/>
                <w:szCs w:val="14"/>
                <w:color w:val="auto"/>
              </w:rPr>
            </w:pPr>
          </w:p>
        </w:tc>
        <w:tc>
          <w:tcPr>
            <w:tcW w:w="3240" w:type="dxa"/>
            <w:vAlign w:val="bottom"/>
            <w:gridSpan w:val="8"/>
          </w:tcPr>
          <w:p>
            <w:pPr>
              <w:jc w:val="center"/>
              <w:ind w:right="340"/>
              <w:spacing w:after="0"/>
              <w:rPr>
                <w:sz w:val="20"/>
                <w:szCs w:val="20"/>
                <w:color w:val="auto"/>
              </w:rPr>
            </w:pPr>
            <w:r>
              <w:rPr>
                <w:rFonts w:ascii="Arial" w:cs="Arial" w:eastAsia="Arial" w:hAnsi="Arial"/>
                <w:sz w:val="14"/>
                <w:szCs w:val="14"/>
                <w:b w:val="1"/>
                <w:bCs w:val="1"/>
                <w:color w:val="auto"/>
                <w:w w:val="93"/>
              </w:rPr>
              <w:t>For the Six Months Ended June 30, 2021</w:t>
            </w:r>
          </w:p>
        </w:tc>
        <w:tc>
          <w:tcPr>
            <w:tcW w:w="0" w:type="dxa"/>
            <w:vAlign w:val="bottom"/>
          </w:tcPr>
          <w:p>
            <w:pPr>
              <w:spacing w:after="0"/>
              <w:rPr>
                <w:sz w:val="1"/>
                <w:szCs w:val="1"/>
                <w:color w:val="auto"/>
              </w:rPr>
            </w:pPr>
          </w:p>
        </w:tc>
      </w:tr>
      <w:tr>
        <w:trPr>
          <w:trHeight w:val="156"/>
        </w:trPr>
        <w:tc>
          <w:tcPr>
            <w:tcW w:w="210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3"/>
            <w:vMerge w:val="continue"/>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gridSpan w:val="2"/>
          </w:tcPr>
          <w:p>
            <w:pPr>
              <w:ind w:left="80"/>
              <w:spacing w:after="0" w:line="155" w:lineRule="exact"/>
              <w:rPr>
                <w:sz w:val="20"/>
                <w:szCs w:val="20"/>
                <w:color w:val="auto"/>
              </w:rPr>
            </w:pPr>
            <w:r>
              <w:rPr>
                <w:rFonts w:ascii="Arial" w:cs="Arial" w:eastAsia="Arial" w:hAnsi="Arial"/>
                <w:sz w:val="14"/>
                <w:szCs w:val="14"/>
                <w:b w:val="1"/>
                <w:bCs w:val="1"/>
                <w:color w:val="auto"/>
              </w:rPr>
              <w:t>Paid</w:t>
            </w:r>
          </w:p>
        </w:tc>
        <w:tc>
          <w:tcPr>
            <w:tcW w:w="1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135"/>
              <w:spacing w:after="0" w:line="155" w:lineRule="exact"/>
              <w:rPr>
                <w:sz w:val="20"/>
                <w:szCs w:val="20"/>
                <w:color w:val="auto"/>
              </w:rPr>
            </w:pPr>
            <w:r>
              <w:rPr>
                <w:rFonts w:ascii="Arial" w:cs="Arial" w:eastAsia="Arial" w:hAnsi="Arial"/>
                <w:sz w:val="14"/>
                <w:szCs w:val="14"/>
                <w:b w:val="1"/>
                <w:bCs w:val="1"/>
                <w:color w:val="auto"/>
                <w:w w:val="94"/>
              </w:rPr>
              <w:t>Received</w:t>
            </w:r>
          </w:p>
        </w:tc>
        <w:tc>
          <w:tcPr>
            <w:tcW w:w="2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Net</w:t>
            </w:r>
          </w:p>
        </w:tc>
        <w:tc>
          <w:tcPr>
            <w:tcW w:w="2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jc w:val="right"/>
              <w:ind w:right="560"/>
              <w:spacing w:after="0" w:line="155" w:lineRule="exact"/>
              <w:rPr>
                <w:sz w:val="20"/>
                <w:szCs w:val="20"/>
                <w:color w:val="auto"/>
              </w:rPr>
            </w:pPr>
            <w:r>
              <w:rPr>
                <w:rFonts w:ascii="Arial" w:cs="Arial" w:eastAsia="Arial" w:hAnsi="Arial"/>
                <w:sz w:val="14"/>
                <w:szCs w:val="14"/>
                <w:b w:val="1"/>
                <w:bCs w:val="1"/>
                <w:color w:val="auto"/>
              </w:rPr>
              <w:t>Paid</w:t>
            </w:r>
          </w:p>
        </w:tc>
        <w:tc>
          <w:tcPr>
            <w:tcW w:w="1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center"/>
              <w:ind w:right="75"/>
              <w:spacing w:after="0" w:line="155" w:lineRule="exact"/>
              <w:rPr>
                <w:sz w:val="20"/>
                <w:szCs w:val="20"/>
                <w:color w:val="auto"/>
              </w:rPr>
            </w:pPr>
            <w:r>
              <w:rPr>
                <w:rFonts w:ascii="Arial" w:cs="Arial" w:eastAsia="Arial" w:hAnsi="Arial"/>
                <w:sz w:val="14"/>
                <w:szCs w:val="14"/>
                <w:b w:val="1"/>
                <w:bCs w:val="1"/>
                <w:color w:val="auto"/>
                <w:w w:val="91"/>
              </w:rPr>
              <w:t>Received</w:t>
            </w:r>
          </w:p>
        </w:tc>
        <w:tc>
          <w:tcPr>
            <w:tcW w:w="2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 xml:space="preserve">Interest rate swap </w:t>
            </w:r>
            <w:r>
              <w:rPr>
                <w:rFonts w:ascii="Arial" w:cs="Arial" w:eastAsia="Arial" w:hAnsi="Arial"/>
                <w:sz w:val="14"/>
                <w:szCs w:val="14"/>
                <w:color w:val="auto"/>
              </w:rPr>
              <w:t>(1)</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7/30/2021</w:t>
            </w:r>
          </w:p>
        </w:tc>
        <w:tc>
          <w:tcPr>
            <w:tcW w:w="1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11,700</w:t>
            </w: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(44)</w:t>
            </w: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w:t>
            </w:r>
          </w:p>
        </w:tc>
        <w:tc>
          <w:tcPr>
            <w:tcW w:w="2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55"/>
              <w:spacing w:after="0"/>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(38)</w:t>
            </w:r>
          </w:p>
        </w:tc>
        <w:tc>
          <w:tcPr>
            <w:tcW w:w="2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(85)</w:t>
            </w: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w:t>
            </w:r>
          </w:p>
        </w:tc>
        <w:tc>
          <w:tcPr>
            <w:tcW w:w="2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55"/>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(72)</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7"/>
                <w:szCs w:val="17"/>
                <w:color w:val="auto"/>
              </w:rPr>
              <w:t>Interest rate swap</w:t>
            </w:r>
          </w:p>
        </w:tc>
        <w:tc>
          <w:tcPr>
            <w:tcW w:w="920" w:type="dxa"/>
            <w:vAlign w:val="bottom"/>
          </w:tcPr>
          <w:p>
            <w:pPr>
              <w:jc w:val="right"/>
              <w:spacing w:after="0"/>
              <w:rPr>
                <w:sz w:val="20"/>
                <w:szCs w:val="20"/>
                <w:color w:val="auto"/>
              </w:rPr>
            </w:pPr>
            <w:r>
              <w:rPr>
                <w:rFonts w:ascii="Arial" w:cs="Arial" w:eastAsia="Arial" w:hAnsi="Arial"/>
                <w:sz w:val="17"/>
                <w:szCs w:val="17"/>
                <w:color w:val="auto"/>
              </w:rPr>
              <w:t>8/1/2022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115,000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(754)</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1,294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540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(1,508)</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2,588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1,080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shd w:val="clear" w:color="auto" w:fill="CFF0FC"/>
          </w:tcPr>
          <w:p>
            <w:pPr>
              <w:spacing w:after="0"/>
              <w:rPr>
                <w:sz w:val="20"/>
                <w:szCs w:val="20"/>
                <w:color w:val="auto"/>
              </w:rPr>
            </w:pPr>
            <w:r>
              <w:rPr>
                <w:rFonts w:ascii="Arial" w:cs="Arial" w:eastAsia="Arial" w:hAnsi="Arial"/>
                <w:sz w:val="17"/>
                <w:szCs w:val="17"/>
                <w:color w:val="auto"/>
              </w:rPr>
              <w:t>Interest rate swap</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8/1/2022</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50,000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(228)</w:t>
            </w: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562</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334</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(459)</w:t>
            </w: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1,125</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666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7"/>
                <w:szCs w:val="17"/>
                <w:color w:val="auto"/>
              </w:rPr>
              <w:t>Interest rate swap</w:t>
            </w:r>
          </w:p>
        </w:tc>
        <w:tc>
          <w:tcPr>
            <w:tcW w:w="920" w:type="dxa"/>
            <w:vAlign w:val="bottom"/>
          </w:tcPr>
          <w:p>
            <w:pPr>
              <w:jc w:val="right"/>
              <w:spacing w:after="0"/>
              <w:rPr>
                <w:sz w:val="20"/>
                <w:szCs w:val="20"/>
                <w:color w:val="auto"/>
              </w:rPr>
            </w:pPr>
            <w:r>
              <w:rPr>
                <w:rFonts w:ascii="Arial" w:cs="Arial" w:eastAsia="Arial" w:hAnsi="Arial"/>
                <w:sz w:val="17"/>
                <w:szCs w:val="17"/>
                <w:color w:val="auto"/>
              </w:rPr>
              <w:t>8/1/2022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7,500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(34)</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84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(69)</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169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shd w:val="clear" w:color="auto" w:fill="CFF0FC"/>
          </w:tcPr>
          <w:p>
            <w:pPr>
              <w:spacing w:after="0"/>
              <w:rPr>
                <w:sz w:val="20"/>
                <w:szCs w:val="20"/>
                <w:color w:val="auto"/>
              </w:rPr>
            </w:pPr>
            <w:r>
              <w:rPr>
                <w:rFonts w:ascii="Arial" w:cs="Arial" w:eastAsia="Arial" w:hAnsi="Arial"/>
                <w:sz w:val="17"/>
                <w:szCs w:val="17"/>
                <w:color w:val="auto"/>
              </w:rPr>
              <w:t>Interest rate swap</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8/1/2022</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27,531</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(306)</w:t>
            </w: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160</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(146)</w:t>
            </w:r>
          </w:p>
        </w:tc>
        <w:tc>
          <w:tcPr>
            <w:tcW w:w="2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(616)</w:t>
            </w: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323</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(293)</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7"/>
                <w:szCs w:val="17"/>
                <w:color w:val="auto"/>
              </w:rPr>
              <w:t>Interest rate swap</w:t>
            </w:r>
          </w:p>
        </w:tc>
        <w:tc>
          <w:tcPr>
            <w:tcW w:w="920" w:type="dxa"/>
            <w:vAlign w:val="bottom"/>
          </w:tcPr>
          <w:p>
            <w:pPr>
              <w:jc w:val="right"/>
              <w:spacing w:after="0"/>
              <w:rPr>
                <w:sz w:val="20"/>
                <w:szCs w:val="20"/>
                <w:color w:val="auto"/>
              </w:rPr>
            </w:pPr>
            <w:r>
              <w:rPr>
                <w:rFonts w:ascii="Arial" w:cs="Arial" w:eastAsia="Arial" w:hAnsi="Arial"/>
                <w:sz w:val="17"/>
                <w:szCs w:val="17"/>
                <w:color w:val="auto"/>
              </w:rPr>
              <w:t>8/1/2022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2,160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(24)</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(11)</w:t>
            </w:r>
          </w:p>
        </w:tc>
        <w:tc>
          <w:tcPr>
            <w:tcW w:w="2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(48)</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16"/>
        </w:trPr>
        <w:tc>
          <w:tcPr>
            <w:tcW w:w="2100" w:type="dxa"/>
            <w:vAlign w:val="bottom"/>
            <w:shd w:val="clear" w:color="auto" w:fill="CFF0FC"/>
          </w:tcPr>
          <w:p>
            <w:pPr>
              <w:spacing w:after="0"/>
              <w:rPr>
                <w:sz w:val="20"/>
                <w:szCs w:val="20"/>
                <w:color w:val="auto"/>
              </w:rPr>
            </w:pPr>
            <w:r>
              <w:rPr>
                <w:rFonts w:ascii="Arial" w:cs="Arial" w:eastAsia="Arial" w:hAnsi="Arial"/>
                <w:sz w:val="17"/>
                <w:szCs w:val="17"/>
                <w:color w:val="auto"/>
              </w:rPr>
              <w:t>Interest rate swap</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1/22/2023</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150,000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(839)</w:t>
            </w: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1,688</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849</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(1,680)</w:t>
            </w: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3,375</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1,695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7"/>
                <w:szCs w:val="17"/>
                <w:color w:val="auto"/>
              </w:rPr>
              <w:t xml:space="preserve">Interest rate swap </w:t>
            </w:r>
            <w:r>
              <w:rPr>
                <w:rFonts w:ascii="Arial" w:cs="Arial" w:eastAsia="Arial" w:hAnsi="Arial"/>
                <w:sz w:val="14"/>
                <w:szCs w:val="14"/>
                <w:color w:val="auto"/>
              </w:rPr>
              <w:t>(1)</w:t>
            </w:r>
          </w:p>
        </w:tc>
        <w:tc>
          <w:tcPr>
            <w:tcW w:w="920" w:type="dxa"/>
            <w:vAlign w:val="bottom"/>
          </w:tcPr>
          <w:p>
            <w:pPr>
              <w:jc w:val="right"/>
              <w:spacing w:after="0"/>
              <w:rPr>
                <w:sz w:val="20"/>
                <w:szCs w:val="20"/>
                <w:color w:val="auto"/>
              </w:rPr>
            </w:pPr>
            <w:r>
              <w:rPr>
                <w:rFonts w:ascii="Arial" w:cs="Arial" w:eastAsia="Arial" w:hAnsi="Arial"/>
                <w:sz w:val="17"/>
                <w:szCs w:val="17"/>
                <w:color w:val="auto"/>
              </w:rPr>
              <w:t>6/9/2023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5,000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(4)</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2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(8)</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16"/>
        </w:trPr>
        <w:tc>
          <w:tcPr>
            <w:tcW w:w="2100" w:type="dxa"/>
            <w:vAlign w:val="bottom"/>
            <w:shd w:val="clear" w:color="auto" w:fill="CFF0FC"/>
          </w:tcPr>
          <w:p>
            <w:pPr>
              <w:spacing w:after="0"/>
              <w:rPr>
                <w:sz w:val="20"/>
                <w:szCs w:val="20"/>
                <w:color w:val="auto"/>
              </w:rPr>
            </w:pPr>
            <w:r>
              <w:rPr>
                <w:rFonts w:ascii="Arial" w:cs="Arial" w:eastAsia="Arial" w:hAnsi="Arial"/>
                <w:sz w:val="17"/>
                <w:szCs w:val="17"/>
                <w:color w:val="auto"/>
              </w:rPr>
              <w:t>Interest rate swap</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11/1/2024</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300,000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(1,881)</w:t>
            </w: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2,906</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1,025</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(3,696)</w:t>
            </w: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5,812</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7"/>
                <w:szCs w:val="17"/>
                <w:color w:val="auto"/>
              </w:rPr>
              <w:t>Interest rate swap</w:t>
            </w:r>
          </w:p>
        </w:tc>
        <w:tc>
          <w:tcPr>
            <w:tcW w:w="920" w:type="dxa"/>
            <w:vAlign w:val="bottom"/>
          </w:tcPr>
          <w:p>
            <w:pPr>
              <w:jc w:val="right"/>
              <w:spacing w:after="0"/>
              <w:rPr>
                <w:sz w:val="20"/>
                <w:szCs w:val="20"/>
                <w:color w:val="auto"/>
              </w:rPr>
            </w:pPr>
            <w:r>
              <w:rPr>
                <w:rFonts w:ascii="Arial" w:cs="Arial" w:eastAsia="Arial" w:hAnsi="Arial"/>
                <w:sz w:val="17"/>
                <w:szCs w:val="17"/>
                <w:color w:val="auto"/>
              </w:rPr>
              <w:t>11/1/2024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50,000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(340)</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484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144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(664)</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969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shd w:val="clear" w:color="auto" w:fill="CFF0FC"/>
          </w:tcPr>
          <w:p>
            <w:pPr>
              <w:spacing w:after="0"/>
              <w:rPr>
                <w:sz w:val="20"/>
                <w:szCs w:val="20"/>
                <w:color w:val="auto"/>
              </w:rPr>
            </w:pPr>
            <w:r>
              <w:rPr>
                <w:rFonts w:ascii="Arial" w:cs="Arial" w:eastAsia="Arial" w:hAnsi="Arial"/>
                <w:sz w:val="17"/>
                <w:szCs w:val="17"/>
                <w:color w:val="auto"/>
              </w:rPr>
              <w:t>Interest rate swap</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11/1/2024</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2,500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(24)</w:t>
            </w: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(8)</w:t>
            </w:r>
          </w:p>
        </w:tc>
        <w:tc>
          <w:tcPr>
            <w:tcW w:w="2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(47)</w:t>
            </w: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7"/>
                <w:szCs w:val="17"/>
                <w:color w:val="auto"/>
              </w:rPr>
              <w:t>Interest rate swap</w:t>
            </w:r>
          </w:p>
        </w:tc>
        <w:tc>
          <w:tcPr>
            <w:tcW w:w="920" w:type="dxa"/>
            <w:vAlign w:val="bottom"/>
          </w:tcPr>
          <w:p>
            <w:pPr>
              <w:jc w:val="right"/>
              <w:spacing w:after="0"/>
              <w:rPr>
                <w:sz w:val="20"/>
                <w:szCs w:val="20"/>
                <w:color w:val="auto"/>
              </w:rPr>
            </w:pPr>
            <w:r>
              <w:rPr>
                <w:rFonts w:ascii="Arial" w:cs="Arial" w:eastAsia="Arial" w:hAnsi="Arial"/>
                <w:sz w:val="17"/>
                <w:szCs w:val="17"/>
                <w:color w:val="auto"/>
              </w:rPr>
              <w:t>8/1/2026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300,000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(1,618)</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1,875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257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(2,472)</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2,958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7"/>
                <w:szCs w:val="17"/>
                <w:b w:val="1"/>
                <w:bCs w:val="1"/>
                <w:color w:val="auto"/>
              </w:rPr>
              <w:t>Total</w:t>
            </w:r>
          </w:p>
        </w:tc>
        <w:tc>
          <w:tcPr>
            <w:tcW w:w="9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1,021,391</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(6,096</w:t>
            </w:r>
          </w:p>
        </w:tc>
        <w:tc>
          <w:tcPr>
            <w:tcW w:w="220" w:type="dxa"/>
            <w:vAlign w:val="bottom"/>
            <w:tcBorders>
              <w:top w:val="single" w:sz="8" w:color="CFF0FC"/>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9,091</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55"/>
              <w:spacing w:after="0"/>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2,995</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(11,352)</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17,393</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55"/>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6,041</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100" w:type="dxa"/>
            <w:vAlign w:val="bottom"/>
          </w:tcPr>
          <w:p>
            <w:pPr>
              <w:spacing w:after="0"/>
              <w:rPr>
                <w:sz w:val="24"/>
                <w:szCs w:val="24"/>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Maturity Date</w:t>
            </w:r>
          </w:p>
        </w:tc>
        <w:tc>
          <w:tcPr>
            <w:tcW w:w="100" w:type="dxa"/>
            <w:vAlign w:val="bottom"/>
          </w:tcPr>
          <w:p>
            <w:pPr>
              <w:spacing w:after="0"/>
              <w:rPr>
                <w:sz w:val="24"/>
                <w:szCs w:val="24"/>
                <w:color w:val="auto"/>
              </w:rPr>
            </w:pPr>
          </w:p>
        </w:tc>
        <w:tc>
          <w:tcPr>
            <w:tcW w:w="13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Notional Amount</w:t>
            </w:r>
          </w:p>
        </w:tc>
        <w:tc>
          <w:tcPr>
            <w:tcW w:w="160" w:type="dxa"/>
            <w:vAlign w:val="bottom"/>
          </w:tcPr>
          <w:p>
            <w:pPr>
              <w:spacing w:after="0"/>
              <w:rPr>
                <w:sz w:val="24"/>
                <w:szCs w:val="24"/>
                <w:color w:val="auto"/>
              </w:rPr>
            </w:pPr>
          </w:p>
        </w:tc>
        <w:tc>
          <w:tcPr>
            <w:tcW w:w="3180" w:type="dxa"/>
            <w:vAlign w:val="bottom"/>
            <w:gridSpan w:val="8"/>
          </w:tcPr>
          <w:p>
            <w:pPr>
              <w:ind w:left="60"/>
              <w:spacing w:after="0"/>
              <w:rPr>
                <w:sz w:val="20"/>
                <w:szCs w:val="20"/>
                <w:color w:val="auto"/>
              </w:rPr>
            </w:pPr>
            <w:r>
              <w:rPr>
                <w:rFonts w:ascii="Arial" w:cs="Arial" w:eastAsia="Arial" w:hAnsi="Arial"/>
                <w:sz w:val="14"/>
                <w:szCs w:val="14"/>
                <w:b w:val="1"/>
                <w:bCs w:val="1"/>
                <w:color w:val="auto"/>
              </w:rPr>
              <w:t>For the Three Months Ended June 30, 2020</w:t>
            </w:r>
          </w:p>
        </w:tc>
        <w:tc>
          <w:tcPr>
            <w:tcW w:w="220" w:type="dxa"/>
            <w:vAlign w:val="bottom"/>
          </w:tcPr>
          <w:p>
            <w:pPr>
              <w:spacing w:after="0"/>
              <w:rPr>
                <w:sz w:val="24"/>
                <w:szCs w:val="24"/>
                <w:color w:val="auto"/>
              </w:rPr>
            </w:pPr>
          </w:p>
        </w:tc>
        <w:tc>
          <w:tcPr>
            <w:tcW w:w="3240" w:type="dxa"/>
            <w:vAlign w:val="bottom"/>
            <w:gridSpan w:val="8"/>
          </w:tcPr>
          <w:p>
            <w:pPr>
              <w:jc w:val="center"/>
              <w:ind w:right="340"/>
              <w:spacing w:after="0"/>
              <w:rPr>
                <w:sz w:val="20"/>
                <w:szCs w:val="20"/>
                <w:color w:val="auto"/>
              </w:rPr>
            </w:pPr>
            <w:r>
              <w:rPr>
                <w:rFonts w:ascii="Arial" w:cs="Arial" w:eastAsia="Arial" w:hAnsi="Arial"/>
                <w:sz w:val="14"/>
                <w:szCs w:val="14"/>
                <w:b w:val="1"/>
                <w:bCs w:val="1"/>
                <w:color w:val="auto"/>
                <w:w w:val="93"/>
              </w:rPr>
              <w:t>For the Six Months Ended June 30, 2020</w:t>
            </w:r>
          </w:p>
        </w:tc>
        <w:tc>
          <w:tcPr>
            <w:tcW w:w="0" w:type="dxa"/>
            <w:vAlign w:val="bottom"/>
          </w:tcPr>
          <w:p>
            <w:pPr>
              <w:spacing w:after="0"/>
              <w:rPr>
                <w:sz w:val="1"/>
                <w:szCs w:val="1"/>
                <w:color w:val="auto"/>
              </w:rPr>
            </w:pPr>
          </w:p>
        </w:tc>
      </w:tr>
      <w:tr>
        <w:trPr>
          <w:trHeight w:val="155"/>
        </w:trPr>
        <w:tc>
          <w:tcPr>
            <w:tcW w:w="210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3"/>
            <w:vMerge w:val="continue"/>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gridSpan w:val="2"/>
          </w:tcPr>
          <w:p>
            <w:pPr>
              <w:ind w:left="80"/>
              <w:spacing w:after="0" w:line="155" w:lineRule="exact"/>
              <w:rPr>
                <w:sz w:val="20"/>
                <w:szCs w:val="20"/>
                <w:color w:val="auto"/>
              </w:rPr>
            </w:pPr>
            <w:r>
              <w:rPr>
                <w:rFonts w:ascii="Arial" w:cs="Arial" w:eastAsia="Arial" w:hAnsi="Arial"/>
                <w:sz w:val="14"/>
                <w:szCs w:val="14"/>
                <w:b w:val="1"/>
                <w:bCs w:val="1"/>
                <w:color w:val="auto"/>
              </w:rPr>
              <w:t>Paid</w:t>
            </w:r>
          </w:p>
        </w:tc>
        <w:tc>
          <w:tcPr>
            <w:tcW w:w="1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135"/>
              <w:spacing w:after="0" w:line="155" w:lineRule="exact"/>
              <w:rPr>
                <w:sz w:val="20"/>
                <w:szCs w:val="20"/>
                <w:color w:val="auto"/>
              </w:rPr>
            </w:pPr>
            <w:r>
              <w:rPr>
                <w:rFonts w:ascii="Arial" w:cs="Arial" w:eastAsia="Arial" w:hAnsi="Arial"/>
                <w:sz w:val="14"/>
                <w:szCs w:val="14"/>
                <w:b w:val="1"/>
                <w:bCs w:val="1"/>
                <w:color w:val="auto"/>
                <w:w w:val="94"/>
              </w:rPr>
              <w:t>Received</w:t>
            </w:r>
          </w:p>
        </w:tc>
        <w:tc>
          <w:tcPr>
            <w:tcW w:w="2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Net</w:t>
            </w:r>
          </w:p>
        </w:tc>
        <w:tc>
          <w:tcPr>
            <w:tcW w:w="2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jc w:val="right"/>
              <w:ind w:right="560"/>
              <w:spacing w:after="0" w:line="155" w:lineRule="exact"/>
              <w:rPr>
                <w:sz w:val="20"/>
                <w:szCs w:val="20"/>
                <w:color w:val="auto"/>
              </w:rPr>
            </w:pPr>
            <w:r>
              <w:rPr>
                <w:rFonts w:ascii="Arial" w:cs="Arial" w:eastAsia="Arial" w:hAnsi="Arial"/>
                <w:sz w:val="14"/>
                <w:szCs w:val="14"/>
                <w:b w:val="1"/>
                <w:bCs w:val="1"/>
                <w:color w:val="auto"/>
              </w:rPr>
              <w:t>Paid</w:t>
            </w:r>
          </w:p>
        </w:tc>
        <w:tc>
          <w:tcPr>
            <w:tcW w:w="1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center"/>
              <w:ind w:right="75"/>
              <w:spacing w:after="0" w:line="155" w:lineRule="exact"/>
              <w:rPr>
                <w:sz w:val="20"/>
                <w:szCs w:val="20"/>
                <w:color w:val="auto"/>
              </w:rPr>
            </w:pPr>
            <w:r>
              <w:rPr>
                <w:rFonts w:ascii="Arial" w:cs="Arial" w:eastAsia="Arial" w:hAnsi="Arial"/>
                <w:sz w:val="14"/>
                <w:szCs w:val="14"/>
                <w:b w:val="1"/>
                <w:bCs w:val="1"/>
                <w:color w:val="auto"/>
                <w:w w:val="91"/>
              </w:rPr>
              <w:t>Received</w:t>
            </w:r>
          </w:p>
        </w:tc>
        <w:tc>
          <w:tcPr>
            <w:tcW w:w="2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 xml:space="preserve">Interest rate swap </w:t>
            </w:r>
            <w:r>
              <w:rPr>
                <w:rFonts w:ascii="Arial" w:cs="Arial" w:eastAsia="Arial" w:hAnsi="Arial"/>
                <w:sz w:val="14"/>
                <w:szCs w:val="14"/>
                <w:color w:val="auto"/>
              </w:rPr>
              <w:t>(1)(2)</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6/25/2020</w:t>
            </w:r>
          </w:p>
        </w:tc>
        <w:tc>
          <w:tcPr>
            <w:tcW w:w="1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91,500</w:t>
            </w: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55"/>
              <w:spacing w:after="0"/>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(456)</w:t>
            </w: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440</w:t>
            </w:r>
          </w:p>
        </w:tc>
        <w:tc>
          <w:tcPr>
            <w:tcW w:w="2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55"/>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(16)</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7"/>
                <w:szCs w:val="17"/>
                <w:color w:val="auto"/>
              </w:rPr>
              <w:t xml:space="preserve">Interest rate swap </w:t>
            </w:r>
            <w:r>
              <w:rPr>
                <w:rFonts w:ascii="Arial" w:cs="Arial" w:eastAsia="Arial" w:hAnsi="Arial"/>
                <w:sz w:val="14"/>
                <w:szCs w:val="14"/>
                <w:color w:val="auto"/>
              </w:rPr>
              <w:t>(1)</w:t>
            </w:r>
          </w:p>
        </w:tc>
        <w:tc>
          <w:tcPr>
            <w:tcW w:w="920" w:type="dxa"/>
            <w:vAlign w:val="bottom"/>
          </w:tcPr>
          <w:p>
            <w:pPr>
              <w:jc w:val="right"/>
              <w:spacing w:after="0"/>
              <w:rPr>
                <w:sz w:val="20"/>
                <w:szCs w:val="20"/>
                <w:color w:val="auto"/>
              </w:rPr>
            </w:pPr>
            <w:r>
              <w:rPr>
                <w:rFonts w:ascii="Arial" w:cs="Arial" w:eastAsia="Arial" w:hAnsi="Arial"/>
                <w:sz w:val="17"/>
                <w:szCs w:val="17"/>
                <w:color w:val="auto"/>
              </w:rPr>
              <w:t>7/30/2021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11,700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(44)</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(8)</w:t>
            </w:r>
          </w:p>
        </w:tc>
        <w:tc>
          <w:tcPr>
            <w:tcW w:w="2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(87)</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93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shd w:val="clear" w:color="auto" w:fill="CFF0FC"/>
          </w:tcPr>
          <w:p>
            <w:pPr>
              <w:spacing w:after="0"/>
              <w:rPr>
                <w:sz w:val="20"/>
                <w:szCs w:val="20"/>
                <w:color w:val="auto"/>
              </w:rPr>
            </w:pPr>
            <w:r>
              <w:rPr>
                <w:rFonts w:ascii="Arial" w:cs="Arial" w:eastAsia="Arial" w:hAnsi="Arial"/>
                <w:sz w:val="17"/>
                <w:szCs w:val="17"/>
                <w:color w:val="auto"/>
              </w:rPr>
              <w:t xml:space="preserve">Interest rate swap </w:t>
            </w:r>
            <w:r>
              <w:rPr>
                <w:rFonts w:ascii="Arial" w:cs="Arial" w:eastAsia="Arial" w:hAnsi="Arial"/>
                <w:sz w:val="14"/>
                <w:szCs w:val="14"/>
                <w:color w:val="auto"/>
              </w:rPr>
              <w:t>(1)</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7/29/2022</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3,200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(11)</w:t>
            </w: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(22)</w:t>
            </w: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7"/>
                <w:szCs w:val="17"/>
                <w:color w:val="auto"/>
              </w:rPr>
              <w:t xml:space="preserve">Interest rate swap </w:t>
            </w:r>
            <w:r>
              <w:rPr>
                <w:rFonts w:ascii="Arial" w:cs="Arial" w:eastAsia="Arial" w:hAnsi="Arial"/>
                <w:sz w:val="14"/>
                <w:szCs w:val="14"/>
                <w:color w:val="auto"/>
              </w:rPr>
              <w:t>(1)</w:t>
            </w:r>
          </w:p>
        </w:tc>
        <w:tc>
          <w:tcPr>
            <w:tcW w:w="920" w:type="dxa"/>
            <w:vAlign w:val="bottom"/>
          </w:tcPr>
          <w:p>
            <w:pPr>
              <w:jc w:val="right"/>
              <w:spacing w:after="0"/>
              <w:rPr>
                <w:sz w:val="20"/>
                <w:szCs w:val="20"/>
                <w:color w:val="auto"/>
              </w:rPr>
            </w:pPr>
            <w:r>
              <w:rPr>
                <w:rFonts w:ascii="Arial" w:cs="Arial" w:eastAsia="Arial" w:hAnsi="Arial"/>
                <w:sz w:val="17"/>
                <w:szCs w:val="17"/>
                <w:color w:val="auto"/>
              </w:rPr>
              <w:t>7/29/2022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2,150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(0)</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(0)</w:t>
            </w:r>
          </w:p>
        </w:tc>
        <w:tc>
          <w:tcPr>
            <w:tcW w:w="2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(0)</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16"/>
        </w:trPr>
        <w:tc>
          <w:tcPr>
            <w:tcW w:w="2100" w:type="dxa"/>
            <w:vAlign w:val="bottom"/>
            <w:shd w:val="clear" w:color="auto" w:fill="CFF0FC"/>
          </w:tcPr>
          <w:p>
            <w:pPr>
              <w:spacing w:after="0"/>
              <w:rPr>
                <w:sz w:val="20"/>
                <w:szCs w:val="20"/>
                <w:color w:val="auto"/>
              </w:rPr>
            </w:pPr>
            <w:r>
              <w:rPr>
                <w:rFonts w:ascii="Arial" w:cs="Arial" w:eastAsia="Arial" w:hAnsi="Arial"/>
                <w:sz w:val="17"/>
                <w:szCs w:val="17"/>
                <w:color w:val="auto"/>
              </w:rPr>
              <w:t>Interest rate swap</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8/1/2022</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115,000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(1,089)</w:t>
            </w: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1,294</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205</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(2,348)</w:t>
            </w: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2,588</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7"/>
                <w:szCs w:val="17"/>
                <w:color w:val="auto"/>
              </w:rPr>
              <w:t>Interest rate swap</w:t>
            </w:r>
          </w:p>
        </w:tc>
        <w:tc>
          <w:tcPr>
            <w:tcW w:w="920" w:type="dxa"/>
            <w:vAlign w:val="bottom"/>
          </w:tcPr>
          <w:p>
            <w:pPr>
              <w:jc w:val="right"/>
              <w:spacing w:after="0"/>
              <w:rPr>
                <w:sz w:val="20"/>
                <w:szCs w:val="20"/>
                <w:color w:val="auto"/>
              </w:rPr>
            </w:pPr>
            <w:r>
              <w:rPr>
                <w:rFonts w:ascii="Arial" w:cs="Arial" w:eastAsia="Arial" w:hAnsi="Arial"/>
                <w:sz w:val="17"/>
                <w:szCs w:val="17"/>
                <w:color w:val="auto"/>
              </w:rPr>
              <w:t>8/1/2022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50,000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(375)</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563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188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(824)</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1,125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shd w:val="clear" w:color="auto" w:fill="CFF0FC"/>
          </w:tcPr>
          <w:p>
            <w:pPr>
              <w:spacing w:after="0"/>
              <w:rPr>
                <w:sz w:val="20"/>
                <w:szCs w:val="20"/>
                <w:color w:val="auto"/>
              </w:rPr>
            </w:pPr>
            <w:r>
              <w:rPr>
                <w:rFonts w:ascii="Arial" w:cs="Arial" w:eastAsia="Arial" w:hAnsi="Arial"/>
                <w:sz w:val="17"/>
                <w:szCs w:val="17"/>
                <w:color w:val="auto"/>
              </w:rPr>
              <w:t>Interest rate swap</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8/1/2022</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7,500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(56)</w:t>
            </w: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84</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(124)</w:t>
            </w: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169</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7"/>
                <w:szCs w:val="17"/>
                <w:color w:val="auto"/>
              </w:rPr>
              <w:t>Interest rate swap</w:t>
            </w:r>
          </w:p>
        </w:tc>
        <w:tc>
          <w:tcPr>
            <w:tcW w:w="920" w:type="dxa"/>
            <w:vAlign w:val="bottom"/>
          </w:tcPr>
          <w:p>
            <w:pPr>
              <w:jc w:val="right"/>
              <w:spacing w:after="0"/>
              <w:rPr>
                <w:sz w:val="20"/>
                <w:szCs w:val="20"/>
                <w:color w:val="auto"/>
              </w:rPr>
            </w:pPr>
            <w:r>
              <w:rPr>
                <w:rFonts w:ascii="Arial" w:cs="Arial" w:eastAsia="Arial" w:hAnsi="Arial"/>
                <w:sz w:val="17"/>
                <w:szCs w:val="17"/>
                <w:color w:val="auto"/>
              </w:rPr>
              <w:t>8/1/2022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27,531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(317)</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243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(74)</w:t>
            </w:r>
          </w:p>
        </w:tc>
        <w:tc>
          <w:tcPr>
            <w:tcW w:w="2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(317)</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243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(74)</w:t>
            </w:r>
          </w:p>
        </w:tc>
        <w:tc>
          <w:tcPr>
            <w:tcW w:w="0" w:type="dxa"/>
            <w:vAlign w:val="bottom"/>
          </w:tcPr>
          <w:p>
            <w:pPr>
              <w:spacing w:after="0"/>
              <w:rPr>
                <w:sz w:val="1"/>
                <w:szCs w:val="1"/>
                <w:color w:val="auto"/>
              </w:rPr>
            </w:pPr>
          </w:p>
        </w:tc>
      </w:tr>
      <w:tr>
        <w:trPr>
          <w:trHeight w:val="216"/>
        </w:trPr>
        <w:tc>
          <w:tcPr>
            <w:tcW w:w="2100" w:type="dxa"/>
            <w:vAlign w:val="bottom"/>
            <w:shd w:val="clear" w:color="auto" w:fill="CFF0FC"/>
          </w:tcPr>
          <w:p>
            <w:pPr>
              <w:spacing w:after="0"/>
              <w:rPr>
                <w:sz w:val="20"/>
                <w:szCs w:val="20"/>
                <w:color w:val="auto"/>
              </w:rPr>
            </w:pPr>
            <w:r>
              <w:rPr>
                <w:rFonts w:ascii="Arial" w:cs="Arial" w:eastAsia="Arial" w:hAnsi="Arial"/>
                <w:sz w:val="17"/>
                <w:szCs w:val="17"/>
                <w:color w:val="auto"/>
              </w:rPr>
              <w:t>Interest rate swap</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8/1/2022</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2,160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(25)</w:t>
            </w: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(6)</w:t>
            </w:r>
          </w:p>
        </w:tc>
        <w:tc>
          <w:tcPr>
            <w:tcW w:w="2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(25)</w:t>
            </w: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7"/>
                <w:szCs w:val="17"/>
                <w:color w:val="auto"/>
              </w:rPr>
              <w:t>Interest rate swap</w:t>
            </w:r>
          </w:p>
        </w:tc>
        <w:tc>
          <w:tcPr>
            <w:tcW w:w="920" w:type="dxa"/>
            <w:vAlign w:val="bottom"/>
          </w:tcPr>
          <w:p>
            <w:pPr>
              <w:jc w:val="right"/>
              <w:spacing w:after="0"/>
              <w:rPr>
                <w:sz w:val="20"/>
                <w:szCs w:val="20"/>
                <w:color w:val="auto"/>
              </w:rPr>
            </w:pPr>
            <w:r>
              <w:rPr>
                <w:rFonts w:ascii="Arial" w:cs="Arial" w:eastAsia="Arial" w:hAnsi="Arial"/>
                <w:sz w:val="17"/>
                <w:szCs w:val="17"/>
                <w:color w:val="auto"/>
              </w:rPr>
              <w:t>1/22/2023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150,000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(1,277)</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1,688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411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(2,777)</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3,375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shd w:val="clear" w:color="auto" w:fill="CFF0FC"/>
          </w:tcPr>
          <w:p>
            <w:pPr>
              <w:spacing w:after="0"/>
              <w:rPr>
                <w:sz w:val="20"/>
                <w:szCs w:val="20"/>
                <w:color w:val="auto"/>
              </w:rPr>
            </w:pPr>
            <w:r>
              <w:rPr>
                <w:rFonts w:ascii="Arial" w:cs="Arial" w:eastAsia="Arial" w:hAnsi="Arial"/>
                <w:sz w:val="17"/>
                <w:szCs w:val="17"/>
                <w:color w:val="auto"/>
              </w:rPr>
              <w:t xml:space="preserve">Interest rate swap </w:t>
            </w:r>
            <w:r>
              <w:rPr>
                <w:rFonts w:ascii="Arial" w:cs="Arial" w:eastAsia="Arial" w:hAnsi="Arial"/>
                <w:sz w:val="14"/>
                <w:szCs w:val="14"/>
                <w:color w:val="auto"/>
              </w:rPr>
              <w:t>(1)</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6/9/2023</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5,000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w:t>
            </w: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(1)</w:t>
            </w:r>
          </w:p>
        </w:tc>
        <w:tc>
          <w:tcPr>
            <w:tcW w:w="2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(1)</w:t>
            </w: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7"/>
                <w:szCs w:val="17"/>
                <w:color w:val="auto"/>
              </w:rPr>
              <w:t>Interest rate swap</w:t>
            </w:r>
          </w:p>
        </w:tc>
        <w:tc>
          <w:tcPr>
            <w:tcW w:w="920" w:type="dxa"/>
            <w:vAlign w:val="bottom"/>
          </w:tcPr>
          <w:p>
            <w:pPr>
              <w:jc w:val="right"/>
              <w:spacing w:after="0"/>
              <w:rPr>
                <w:sz w:val="20"/>
                <w:szCs w:val="20"/>
                <w:color w:val="auto"/>
              </w:rPr>
            </w:pPr>
            <w:r>
              <w:rPr>
                <w:rFonts w:ascii="Arial" w:cs="Arial" w:eastAsia="Arial" w:hAnsi="Arial"/>
                <w:sz w:val="17"/>
                <w:szCs w:val="17"/>
                <w:color w:val="auto"/>
              </w:rPr>
              <w:t>11/1/2024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300,000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(2,659)</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2,906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247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(5,808)</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5,813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shd w:val="clear" w:color="auto" w:fill="CFF0FC"/>
          </w:tcPr>
          <w:p>
            <w:pPr>
              <w:spacing w:after="0"/>
              <w:rPr>
                <w:sz w:val="20"/>
                <w:szCs w:val="20"/>
                <w:color w:val="auto"/>
              </w:rPr>
            </w:pPr>
            <w:r>
              <w:rPr>
                <w:rFonts w:ascii="Arial" w:cs="Arial" w:eastAsia="Arial" w:hAnsi="Arial"/>
                <w:sz w:val="17"/>
                <w:szCs w:val="17"/>
                <w:color w:val="auto"/>
              </w:rPr>
              <w:t>Interest rate swap</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11/1/2024</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50,000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(470)</w:t>
            </w: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485</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(753)</w:t>
            </w: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753</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7"/>
                <w:szCs w:val="17"/>
                <w:color w:val="auto"/>
              </w:rPr>
              <w:t>Interest rate swap</w:t>
            </w:r>
          </w:p>
        </w:tc>
        <w:tc>
          <w:tcPr>
            <w:tcW w:w="920" w:type="dxa"/>
            <w:vAlign w:val="bottom"/>
          </w:tcPr>
          <w:p>
            <w:pPr>
              <w:jc w:val="right"/>
              <w:spacing w:after="0"/>
              <w:rPr>
                <w:sz w:val="20"/>
                <w:szCs w:val="20"/>
                <w:color w:val="auto"/>
              </w:rPr>
            </w:pPr>
            <w:r>
              <w:rPr>
                <w:rFonts w:ascii="Arial" w:cs="Arial" w:eastAsia="Arial" w:hAnsi="Arial"/>
                <w:sz w:val="17"/>
                <w:szCs w:val="17"/>
                <w:color w:val="auto"/>
              </w:rPr>
              <w:t>11/1/2024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2,500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(24)</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(2)</w:t>
            </w:r>
          </w:p>
        </w:tc>
        <w:tc>
          <w:tcPr>
            <w:tcW w:w="2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(24)</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10"/>
        </w:trPr>
        <w:tc>
          <w:tcPr>
            <w:tcW w:w="21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7"/>
                <w:szCs w:val="17"/>
                <w:b w:val="1"/>
                <w:bCs w:val="1"/>
                <w:color w:val="auto"/>
              </w:rPr>
              <w:t>Total</w:t>
            </w:r>
          </w:p>
        </w:tc>
        <w:tc>
          <w:tcPr>
            <w:tcW w:w="9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818,241</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(6,348</w:t>
            </w:r>
          </w:p>
        </w:tc>
        <w:tc>
          <w:tcPr>
            <w:tcW w:w="220" w:type="dxa"/>
            <w:vAlign w:val="bottom"/>
            <w:tcBorders>
              <w:top w:val="single" w:sz="8" w:color="CFF0FC"/>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7,351</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55"/>
              <w:spacing w:after="0"/>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1,003</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(13,566)</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14,667</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55"/>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1,101</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500" w:right="180" w:hanging="492"/>
        <w:spacing w:after="0" w:line="273" w:lineRule="auto"/>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notional amount of certain interest rate swaps may be more or less than the Company’s investment in individual portfolio companies as a result of arrangements with other lenders in the syndicate, amortization, or interest income paid-in-kind.</w:t>
      </w:r>
    </w:p>
    <w:p>
      <w:pPr>
        <w:spacing w:after="0" w:line="1" w:lineRule="exact"/>
        <w:rPr>
          <w:rFonts w:ascii="Arial" w:cs="Arial" w:eastAsia="Arial" w:hAnsi="Arial"/>
          <w:sz w:val="18"/>
          <w:szCs w:val="18"/>
          <w:color w:val="auto"/>
        </w:rPr>
      </w:pPr>
    </w:p>
    <w:p>
      <w:pPr>
        <w:ind w:left="500" w:hanging="492"/>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As of June 30, 2020 the notional amount of this interest rate swap was zero.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4" w:name="page35"/>
    <w:bookmarkEnd w:id="34"/>
    <w:p>
      <w:pPr>
        <w:ind w:firstLine="255"/>
        <w:spacing w:after="0" w:line="254" w:lineRule="auto"/>
        <w:rPr>
          <w:sz w:val="20"/>
          <w:szCs w:val="20"/>
          <w:color w:val="auto"/>
        </w:rPr>
      </w:pPr>
      <w:r>
        <w:rPr>
          <w:rFonts w:ascii="Arial" w:cs="Arial" w:eastAsia="Arial" w:hAnsi="Arial"/>
          <w:sz w:val="18"/>
          <w:szCs w:val="18"/>
          <w:color w:val="auto"/>
        </w:rPr>
        <w:t>For the three and six months ended June 30, 2021, the Company recognized $1.5 million and $3.3 million, respectively in net change in unrealized losses, on interest rate swaps not designated as hedging instruments in the consolidated statement of operations related to the swap transactions. For the three and six months ended June 30, 2021, the Company recognized $2.3 million in net change in unrealized gains and $12.3 million in net change in unrealized losses, respectively, on interest rate swaps designated as hedging instruments as a component of interest expense in the consolidated statement of operations. For the three and six months ended June 30, 2021, this amount is offset by a decrease of $0.5 million and $6.1 million, respectively, for a change in the carrying value of the 2024 Notes and an increase of $2.8 million and a decrease of $6.2 million, respectively, for a change in carrying value of the 2026 Notes.</w:t>
      </w:r>
    </w:p>
    <w:p>
      <w:pPr>
        <w:spacing w:after="0" w:line="195" w:lineRule="exact"/>
        <w:rPr>
          <w:sz w:val="20"/>
          <w:szCs w:val="20"/>
          <w:color w:val="auto"/>
        </w:rPr>
      </w:pPr>
    </w:p>
    <w:p>
      <w:pPr>
        <w:ind w:right="20" w:firstLine="255"/>
        <w:spacing w:after="0" w:line="275" w:lineRule="auto"/>
        <w:rPr>
          <w:sz w:val="20"/>
          <w:szCs w:val="20"/>
          <w:color w:val="auto"/>
        </w:rPr>
      </w:pPr>
      <w:r>
        <w:rPr>
          <w:rFonts w:ascii="Arial" w:cs="Arial" w:eastAsia="Arial" w:hAnsi="Arial"/>
          <w:sz w:val="17"/>
          <w:szCs w:val="17"/>
          <w:color w:val="auto"/>
        </w:rPr>
        <w:t>For the three and six months ended June 30, 2020, the Company recognized $0.5 million and $9.7 million, respectively, in net change in unrealized gains on interest rate swaps not designated as hedging instruments in the consolidated statement of operations related to the swap transactions. For the three and six months ended June 30, 2020, the Company recognized $2.3 million and $21.1 million, respectively, in net change in unrealized gains on interest rate swaps designated as hedging instruments as a component of interest expense in the consolidated statement of operations. This amount is offset by $2.3 million and $21.1 million, respectively, for a change in the carrying value of the 2024 Notes.</w:t>
      </w:r>
    </w:p>
    <w:p>
      <w:pPr>
        <w:spacing w:after="0" w:line="176" w:lineRule="exact"/>
        <w:rPr>
          <w:sz w:val="20"/>
          <w:szCs w:val="20"/>
          <w:color w:val="auto"/>
        </w:rPr>
      </w:pPr>
    </w:p>
    <w:p>
      <w:pPr>
        <w:ind w:right="120" w:firstLine="255"/>
        <w:spacing w:after="0" w:line="263" w:lineRule="auto"/>
        <w:rPr>
          <w:sz w:val="20"/>
          <w:szCs w:val="20"/>
          <w:color w:val="auto"/>
        </w:rPr>
      </w:pPr>
      <w:r>
        <w:rPr>
          <w:rFonts w:ascii="Arial" w:cs="Arial" w:eastAsia="Arial" w:hAnsi="Arial"/>
          <w:sz w:val="18"/>
          <w:szCs w:val="18"/>
          <w:color w:val="auto"/>
        </w:rPr>
        <w:t>As of June 30, 2021, the swap transactions had a fair value of $13.1 million which is netted against cash collateral received on the Company’s consolidated balance sheet. As of December 31, 2020, the swap transactions had a fair value of $28.6 million which is netted against cash collateral on the Company’s consolidated balance sheet.</w:t>
      </w:r>
    </w:p>
    <w:p>
      <w:pPr>
        <w:spacing w:after="0" w:line="184" w:lineRule="exact"/>
        <w:rPr>
          <w:sz w:val="20"/>
          <w:szCs w:val="20"/>
          <w:color w:val="auto"/>
        </w:rPr>
      </w:pPr>
    </w:p>
    <w:p>
      <w:pPr>
        <w:ind w:right="80" w:firstLine="255"/>
        <w:spacing w:after="0" w:line="327" w:lineRule="auto"/>
        <w:rPr>
          <w:sz w:val="20"/>
          <w:szCs w:val="20"/>
          <w:color w:val="auto"/>
        </w:rPr>
      </w:pPr>
      <w:r>
        <w:rPr>
          <w:rFonts w:ascii="Arial" w:cs="Arial" w:eastAsia="Arial" w:hAnsi="Arial"/>
          <w:sz w:val="15"/>
          <w:szCs w:val="15"/>
          <w:color w:val="auto"/>
        </w:rPr>
        <w:t>The Company is required under the terms of its derivatives agreements to pledge assets as collateral to secure its obligations under the derivatives. The amount of collateral required varies over time based on the mark-to-market value, notional amount and remaining term of the derivatives, and may exceed the amount owed by the Company on a mark-to-market basis. Any failure by the Company to fulfill any collateral requirement (e.g., a so-called “margin call”) may result in a default. In the event of a default by a counterparty, the Company would be an unsecured creditor to the extent of any such overcollateralization.</w:t>
      </w:r>
    </w:p>
    <w:p>
      <w:pPr>
        <w:spacing w:after="0" w:line="140" w:lineRule="exact"/>
        <w:rPr>
          <w:sz w:val="20"/>
          <w:szCs w:val="20"/>
          <w:color w:val="auto"/>
        </w:rPr>
      </w:pPr>
    </w:p>
    <w:p>
      <w:pPr>
        <w:ind w:right="40" w:firstLine="255"/>
        <w:spacing w:after="0" w:line="259" w:lineRule="auto"/>
        <w:rPr>
          <w:sz w:val="20"/>
          <w:szCs w:val="20"/>
          <w:color w:val="auto"/>
        </w:rPr>
      </w:pPr>
      <w:r>
        <w:rPr>
          <w:rFonts w:ascii="Arial" w:cs="Arial" w:eastAsia="Arial" w:hAnsi="Arial"/>
          <w:sz w:val="18"/>
          <w:szCs w:val="18"/>
          <w:color w:val="auto"/>
        </w:rPr>
        <w:t>As of June 30, 2021, $15.3 million of cash is pledged as collateral under the Company’s derivative instruments and is included in restricted cash as a component of cash and cash equivalents on the Company’s consolidated balance sheet. As of December 31, 2020, $10.8 million of cash is pledged as collateral under the Company’s derivative instruments and is included in restricted cash as a component of cash and cash equivalents on the Company’s consolidated balance sheet.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of Financial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tables present fair value measurements of investments as of June 30, 2021 and December 31, 2020:</w:t>
      </w:r>
    </w:p>
    <w:p>
      <w:pPr>
        <w:spacing w:after="0" w:line="257"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5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20" w:type="dxa"/>
            <w:vAlign w:val="bottom"/>
            <w:gridSpan w:val="7"/>
          </w:tcPr>
          <w:p>
            <w:pPr>
              <w:jc w:val="center"/>
              <w:spacing w:after="0"/>
              <w:rPr>
                <w:sz w:val="20"/>
                <w:szCs w:val="20"/>
                <w:color w:val="auto"/>
              </w:rPr>
            </w:pPr>
            <w:r>
              <w:rPr>
                <w:rFonts w:ascii="Arial" w:cs="Arial" w:eastAsia="Arial" w:hAnsi="Arial"/>
                <w:sz w:val="14"/>
                <w:szCs w:val="14"/>
                <w:b w:val="1"/>
                <w:bCs w:val="1"/>
                <w:color w:val="auto"/>
                <w:w w:val="94"/>
              </w:rPr>
              <w:t>Fair Value Hierarchy at June 30, 2021</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5"/>
        </w:trPr>
        <w:tc>
          <w:tcPr>
            <w:tcW w:w="5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r>
      <w:tr>
        <w:trPr>
          <w:trHeight w:val="155"/>
        </w:trPr>
        <w:tc>
          <w:tcPr>
            <w:tcW w:w="5220" w:type="dxa"/>
            <w:vAlign w:val="bottom"/>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Level 2</w:t>
            </w:r>
          </w:p>
        </w:tc>
        <w:tc>
          <w:tcPr>
            <w:tcW w:w="2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tcPr>
          <w:p>
            <w:pPr>
              <w:ind w:left="100"/>
              <w:spacing w:after="0" w:line="155" w:lineRule="exact"/>
              <w:rPr>
                <w:sz w:val="20"/>
                <w:szCs w:val="20"/>
                <w:color w:val="auto"/>
              </w:rPr>
            </w:pPr>
            <w:r>
              <w:rPr>
                <w:rFonts w:ascii="Arial" w:cs="Arial" w:eastAsia="Arial" w:hAnsi="Arial"/>
                <w:sz w:val="14"/>
                <w:szCs w:val="14"/>
                <w:b w:val="1"/>
                <w:bCs w:val="1"/>
                <w:color w:val="auto"/>
              </w:rPr>
              <w:t>Level 3</w:t>
            </w:r>
          </w:p>
        </w:tc>
        <w:tc>
          <w:tcPr>
            <w:tcW w:w="2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223"/>
        </w:trPr>
        <w:tc>
          <w:tcPr>
            <w:tcW w:w="5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780" w:type="dxa"/>
            <w:vAlign w:val="bottom"/>
            <w:tcBorders>
              <w:top w:val="single" w:sz="8" w:color="auto"/>
            </w:tcBorders>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6,747</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2,398,267</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2,405,014</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7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6,285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6,285</w:t>
            </w:r>
          </w:p>
        </w:tc>
        <w:tc>
          <w:tcPr>
            <w:tcW w:w="100" w:type="dxa"/>
            <w:vAlign w:val="bottom"/>
          </w:tcPr>
          <w:p>
            <w:pPr>
              <w:spacing w:after="0"/>
              <w:rPr>
                <w:sz w:val="19"/>
                <w:szCs w:val="19"/>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Mezzanine debt investments</w:t>
            </w: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16,758</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16,758</w:t>
            </w:r>
          </w:p>
        </w:tc>
        <w:tc>
          <w:tcPr>
            <w:tcW w:w="100" w:type="dxa"/>
            <w:vAlign w:val="bottom"/>
            <w:shd w:val="clear" w:color="auto" w:fill="CFF0FC"/>
          </w:tcPr>
          <w:p>
            <w:pPr>
              <w:spacing w:after="0"/>
              <w:rPr>
                <w:sz w:val="19"/>
                <w:szCs w:val="19"/>
                <w:color w:val="auto"/>
              </w:rPr>
            </w:pPr>
          </w:p>
        </w:tc>
      </w:tr>
      <w:tr>
        <w:trPr>
          <w:trHeight w:val="230"/>
        </w:trPr>
        <w:tc>
          <w:tcPr>
            <w:tcW w:w="5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Equity and other investments</w:t>
            </w:r>
          </w:p>
        </w:tc>
        <w:tc>
          <w:tcPr>
            <w:tcW w:w="7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36,854</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105,073</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141,935</w:t>
            </w:r>
          </w:p>
        </w:tc>
        <w:tc>
          <w:tcPr>
            <w:tcW w:w="100" w:type="dxa"/>
            <w:vAlign w:val="bottom"/>
            <w:tcBorders>
              <w:bottom w:val="single" w:sz="8" w:color="CFF0FC"/>
            </w:tcBorders>
          </w:tcPr>
          <w:p>
            <w:pPr>
              <w:spacing w:after="0"/>
              <w:rPr>
                <w:sz w:val="19"/>
                <w:szCs w:val="19"/>
                <w:color w:val="auto"/>
              </w:rPr>
            </w:pPr>
          </w:p>
        </w:tc>
      </w:tr>
      <w:tr>
        <w:trPr>
          <w:trHeight w:val="223"/>
        </w:trPr>
        <w:tc>
          <w:tcPr>
            <w:tcW w:w="5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investments at fair value</w:t>
            </w:r>
          </w:p>
        </w:tc>
        <w:tc>
          <w:tcPr>
            <w:tcW w:w="780" w:type="dxa"/>
            <w:vAlign w:val="bottom"/>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43,601</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2,526,383</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2,569,992</w:t>
            </w:r>
          </w:p>
        </w:tc>
        <w:tc>
          <w:tcPr>
            <w:tcW w:w="100" w:type="dxa"/>
            <w:vAlign w:val="bottom"/>
            <w:shd w:val="clear" w:color="auto" w:fill="CFF0FC"/>
          </w:tcPr>
          <w:p>
            <w:pPr>
              <w:spacing w:after="0"/>
              <w:rPr>
                <w:sz w:val="19"/>
                <w:szCs w:val="19"/>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Interest rate swaps</w:t>
            </w:r>
          </w:p>
        </w:tc>
        <w:tc>
          <w:tcPr>
            <w:tcW w:w="7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13,065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13,065</w:t>
            </w:r>
          </w:p>
        </w:tc>
        <w:tc>
          <w:tcPr>
            <w:tcW w:w="100" w:type="dxa"/>
            <w:vAlign w:val="bottom"/>
          </w:tcPr>
          <w:p>
            <w:pPr>
              <w:spacing w:after="0"/>
              <w:rPr>
                <w:sz w:val="19"/>
                <w:szCs w:val="19"/>
                <w:color w:val="auto"/>
              </w:rPr>
            </w:pPr>
          </w:p>
        </w:tc>
      </w:tr>
      <w:tr>
        <w:trPr>
          <w:trHeight w:val="223"/>
        </w:trPr>
        <w:tc>
          <w:tcPr>
            <w:tcW w:w="52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780" w:type="dxa"/>
            <w:vAlign w:val="bottom"/>
            <w:tcBorders>
              <w:top w:val="single" w:sz="8" w:color="auto"/>
              <w:bottom w:val="single" w:sz="8" w:color="auto"/>
            </w:tcBorders>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56,666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2,526,383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2,583,057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0"/>
        </w:trPr>
        <w:tc>
          <w:tcPr>
            <w:tcW w:w="5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20" w:type="dxa"/>
            <w:vAlign w:val="bottom"/>
            <w:gridSpan w:val="7"/>
          </w:tcPr>
          <w:p>
            <w:pPr>
              <w:jc w:val="center"/>
              <w:spacing w:after="0"/>
              <w:rPr>
                <w:sz w:val="20"/>
                <w:szCs w:val="20"/>
                <w:color w:val="auto"/>
              </w:rPr>
            </w:pPr>
            <w:r>
              <w:rPr>
                <w:rFonts w:ascii="Arial" w:cs="Arial" w:eastAsia="Arial" w:hAnsi="Arial"/>
                <w:sz w:val="14"/>
                <w:szCs w:val="14"/>
                <w:b w:val="1"/>
                <w:bCs w:val="1"/>
                <w:color w:val="auto"/>
                <w:w w:val="94"/>
              </w:rPr>
              <w:t>Fair Value Hierarchy at December 31, 2020</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
        </w:trPr>
        <w:tc>
          <w:tcPr>
            <w:tcW w:w="5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r>
      <w:tr>
        <w:trPr>
          <w:trHeight w:val="155"/>
        </w:trPr>
        <w:tc>
          <w:tcPr>
            <w:tcW w:w="5220" w:type="dxa"/>
            <w:vAlign w:val="bottom"/>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Level 2</w:t>
            </w:r>
          </w:p>
        </w:tc>
        <w:tc>
          <w:tcPr>
            <w:tcW w:w="2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tcPr>
          <w:p>
            <w:pPr>
              <w:ind w:left="100"/>
              <w:spacing w:after="0" w:line="155" w:lineRule="exact"/>
              <w:rPr>
                <w:sz w:val="20"/>
                <w:szCs w:val="20"/>
                <w:color w:val="auto"/>
              </w:rPr>
            </w:pPr>
            <w:r>
              <w:rPr>
                <w:rFonts w:ascii="Arial" w:cs="Arial" w:eastAsia="Arial" w:hAnsi="Arial"/>
                <w:sz w:val="14"/>
                <w:szCs w:val="14"/>
                <w:b w:val="1"/>
                <w:bCs w:val="1"/>
                <w:color w:val="auto"/>
              </w:rPr>
              <w:t>Level 3</w:t>
            </w:r>
          </w:p>
        </w:tc>
        <w:tc>
          <w:tcPr>
            <w:tcW w:w="2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223"/>
        </w:trPr>
        <w:tc>
          <w:tcPr>
            <w:tcW w:w="5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780" w:type="dxa"/>
            <w:vAlign w:val="bottom"/>
            <w:tcBorders>
              <w:top w:val="single" w:sz="8" w:color="auto"/>
            </w:tcBorders>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38,359</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2,158,551</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2,196,910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7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5,037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5,037</w:t>
            </w:r>
          </w:p>
        </w:tc>
        <w:tc>
          <w:tcPr>
            <w:tcW w:w="100" w:type="dxa"/>
            <w:vAlign w:val="bottom"/>
          </w:tcPr>
          <w:p>
            <w:pPr>
              <w:spacing w:after="0"/>
              <w:rPr>
                <w:sz w:val="19"/>
                <w:szCs w:val="19"/>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Mezzanine debt investments</w:t>
            </w: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10,982</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10,982</w:t>
            </w:r>
          </w:p>
        </w:tc>
        <w:tc>
          <w:tcPr>
            <w:tcW w:w="100" w:type="dxa"/>
            <w:vAlign w:val="bottom"/>
            <w:shd w:val="clear" w:color="auto" w:fill="CFF0FC"/>
          </w:tcPr>
          <w:p>
            <w:pPr>
              <w:spacing w:after="0"/>
              <w:rPr>
                <w:sz w:val="19"/>
                <w:szCs w:val="19"/>
                <w:color w:val="auto"/>
              </w:rPr>
            </w:pPr>
          </w:p>
        </w:tc>
      </w:tr>
      <w:tr>
        <w:trPr>
          <w:trHeight w:val="230"/>
        </w:trPr>
        <w:tc>
          <w:tcPr>
            <w:tcW w:w="5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Equity and other investments</w:t>
            </w:r>
          </w:p>
        </w:tc>
        <w:tc>
          <w:tcPr>
            <w:tcW w:w="7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10,788</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75,150</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85,941</w:t>
            </w:r>
          </w:p>
        </w:tc>
        <w:tc>
          <w:tcPr>
            <w:tcW w:w="100" w:type="dxa"/>
            <w:vAlign w:val="bottom"/>
            <w:tcBorders>
              <w:bottom w:val="single" w:sz="8" w:color="CFF0FC"/>
            </w:tcBorders>
          </w:tcPr>
          <w:p>
            <w:pPr>
              <w:spacing w:after="0"/>
              <w:rPr>
                <w:sz w:val="19"/>
                <w:szCs w:val="19"/>
                <w:color w:val="auto"/>
              </w:rPr>
            </w:pPr>
          </w:p>
        </w:tc>
      </w:tr>
      <w:tr>
        <w:trPr>
          <w:trHeight w:val="223"/>
        </w:trPr>
        <w:tc>
          <w:tcPr>
            <w:tcW w:w="5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investments at fair value</w:t>
            </w:r>
          </w:p>
        </w:tc>
        <w:tc>
          <w:tcPr>
            <w:tcW w:w="780" w:type="dxa"/>
            <w:vAlign w:val="bottom"/>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49,147</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2,249,720</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2,298,870</w:t>
            </w:r>
          </w:p>
        </w:tc>
        <w:tc>
          <w:tcPr>
            <w:tcW w:w="100" w:type="dxa"/>
            <w:vAlign w:val="bottom"/>
            <w:shd w:val="clear" w:color="auto" w:fill="CFF0FC"/>
          </w:tcPr>
          <w:p>
            <w:pPr>
              <w:spacing w:after="0"/>
              <w:rPr>
                <w:sz w:val="19"/>
                <w:szCs w:val="19"/>
                <w:color w:val="auto"/>
              </w:rPr>
            </w:pPr>
          </w:p>
        </w:tc>
      </w:tr>
      <w:tr>
        <w:trPr>
          <w:trHeight w:val="229"/>
        </w:trPr>
        <w:tc>
          <w:tcPr>
            <w:tcW w:w="5220" w:type="dxa"/>
            <w:vAlign w:val="bottom"/>
          </w:tcPr>
          <w:p>
            <w:pPr>
              <w:spacing w:after="0"/>
              <w:rPr>
                <w:sz w:val="20"/>
                <w:szCs w:val="20"/>
                <w:color w:val="auto"/>
              </w:rPr>
            </w:pPr>
            <w:r>
              <w:rPr>
                <w:rFonts w:ascii="Arial" w:cs="Arial" w:eastAsia="Arial" w:hAnsi="Arial"/>
                <w:sz w:val="18"/>
                <w:szCs w:val="18"/>
                <w:color w:val="auto"/>
              </w:rPr>
              <w:t>Interest rate swaps</w:t>
            </w:r>
          </w:p>
        </w:tc>
        <w:tc>
          <w:tcPr>
            <w:tcW w:w="7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28,638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28,638</w:t>
            </w:r>
          </w:p>
        </w:tc>
        <w:tc>
          <w:tcPr>
            <w:tcW w:w="100" w:type="dxa"/>
            <w:vAlign w:val="bottom"/>
          </w:tcPr>
          <w:p>
            <w:pPr>
              <w:spacing w:after="0"/>
              <w:rPr>
                <w:sz w:val="19"/>
                <w:szCs w:val="19"/>
                <w:color w:val="auto"/>
              </w:rPr>
            </w:pPr>
          </w:p>
        </w:tc>
      </w:tr>
      <w:tr>
        <w:trPr>
          <w:trHeight w:val="223"/>
        </w:trPr>
        <w:tc>
          <w:tcPr>
            <w:tcW w:w="52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780" w:type="dxa"/>
            <w:vAlign w:val="bottom"/>
            <w:tcBorders>
              <w:top w:val="single" w:sz="8" w:color="auto"/>
              <w:bottom w:val="single" w:sz="8" w:color="auto"/>
            </w:tcBorders>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77,785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2,249,720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2,327,508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Transfers between levels, if any, are recognized at the beginning of the quarter in which the transfers occur.</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35" w:name="page36"/>
    <w:bookmarkEnd w:id="35"/>
    <w:p>
      <w:pPr>
        <w:ind w:right="40" w:firstLine="255"/>
        <w:spacing w:after="0" w:line="277" w:lineRule="auto"/>
        <w:rPr>
          <w:sz w:val="20"/>
          <w:szCs w:val="20"/>
          <w:color w:val="auto"/>
        </w:rPr>
      </w:pPr>
      <w:r>
        <w:rPr>
          <w:rFonts w:ascii="Arial" w:cs="Arial" w:eastAsia="Arial" w:hAnsi="Arial"/>
          <w:sz w:val="18"/>
          <w:szCs w:val="18"/>
          <w:color w:val="auto"/>
        </w:rPr>
        <w:t>The following tables present the changes in the fair value of investments for which Level 3 inputs were used to determine the fair value as of and for the three and six months ended June 30, 2021:</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0" w:type="dxa"/>
            <w:vAlign w:val="bottom"/>
            <w:gridSpan w:val="9"/>
          </w:tcPr>
          <w:p>
            <w:pPr>
              <w:jc w:val="center"/>
              <w:ind w:right="340"/>
              <w:spacing w:after="0"/>
              <w:rPr>
                <w:sz w:val="20"/>
                <w:szCs w:val="20"/>
                <w:color w:val="auto"/>
              </w:rPr>
            </w:pPr>
            <w:r>
              <w:rPr>
                <w:rFonts w:ascii="Arial" w:cs="Arial" w:eastAsia="Arial" w:hAnsi="Arial"/>
                <w:sz w:val="14"/>
                <w:szCs w:val="14"/>
                <w:b w:val="1"/>
                <w:bCs w:val="1"/>
                <w:color w:val="auto"/>
                <w:w w:val="93"/>
              </w:rPr>
              <w:t>As of and for the Three Months Ended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0"/>
              </w:rPr>
              <w:t>June 30, 2021</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8"/>
              </w:rPr>
              <w:t>First-lien</w:t>
            </w:r>
          </w:p>
        </w:tc>
        <w:tc>
          <w:tcPr>
            <w:tcW w:w="120" w:type="dxa"/>
            <w:vAlign w:val="bottom"/>
          </w:tcPr>
          <w:p>
            <w:pPr>
              <w:spacing w:after="0"/>
              <w:rPr>
                <w:sz w:val="11"/>
                <w:szCs w:val="11"/>
                <w:color w:val="auto"/>
              </w:rPr>
            </w:pPr>
          </w:p>
        </w:tc>
        <w:tc>
          <w:tcPr>
            <w:tcW w:w="880" w:type="dxa"/>
            <w:vAlign w:val="bottom"/>
          </w:tcPr>
          <w:p>
            <w:pPr>
              <w:jc w:val="center"/>
              <w:ind w:right="35"/>
              <w:spacing w:after="0" w:line="133" w:lineRule="exact"/>
              <w:rPr>
                <w:sz w:val="20"/>
                <w:szCs w:val="20"/>
                <w:color w:val="auto"/>
              </w:rPr>
            </w:pPr>
            <w:r>
              <w:rPr>
                <w:rFonts w:ascii="Arial" w:cs="Arial" w:eastAsia="Arial" w:hAnsi="Arial"/>
                <w:sz w:val="14"/>
                <w:szCs w:val="14"/>
                <w:b w:val="1"/>
                <w:bCs w:val="1"/>
                <w:color w:val="auto"/>
                <w:w w:val="90"/>
              </w:rPr>
              <w:t>Second-lien</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4"/>
              </w:rPr>
              <w:t>Mezzanine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98"/>
              </w:rPr>
              <w:t>Equity</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debt</w:t>
            </w:r>
          </w:p>
        </w:tc>
        <w:tc>
          <w:tcPr>
            <w:tcW w:w="120" w:type="dxa"/>
            <w:vAlign w:val="bottom"/>
          </w:tcPr>
          <w:p>
            <w:pPr>
              <w:spacing w:after="0"/>
              <w:rPr>
                <w:sz w:val="12"/>
                <w:szCs w:val="12"/>
                <w:color w:val="auto"/>
              </w:rPr>
            </w:pPr>
          </w:p>
        </w:tc>
        <w:tc>
          <w:tcPr>
            <w:tcW w:w="88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4"/>
              </w:rPr>
              <w:t>debt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debt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and other</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investments</w:t>
            </w:r>
          </w:p>
        </w:tc>
        <w:tc>
          <w:tcPr>
            <w:tcW w:w="120" w:type="dxa"/>
            <w:vAlign w:val="bottom"/>
          </w:tcPr>
          <w:p>
            <w:pPr>
              <w:spacing w:after="0"/>
              <w:rPr>
                <w:sz w:val="14"/>
                <w:szCs w:val="14"/>
                <w:color w:val="auto"/>
              </w:rPr>
            </w:pPr>
          </w:p>
        </w:tc>
        <w:tc>
          <w:tcPr>
            <w:tcW w:w="880" w:type="dxa"/>
            <w:vAlign w:val="bottom"/>
          </w:tcPr>
          <w:p>
            <w:pPr>
              <w:jc w:val="center"/>
              <w:ind w:right="35"/>
              <w:spacing w:after="0"/>
              <w:rPr>
                <w:sz w:val="20"/>
                <w:szCs w:val="20"/>
                <w:color w:val="auto"/>
              </w:rPr>
            </w:pPr>
            <w:r>
              <w:rPr>
                <w:rFonts w:ascii="Arial" w:cs="Arial" w:eastAsia="Arial" w:hAnsi="Arial"/>
                <w:sz w:val="14"/>
                <w:szCs w:val="14"/>
                <w:b w:val="1"/>
                <w:bCs w:val="1"/>
                <w:color w:val="auto"/>
                <w:w w:val="88"/>
              </w:rPr>
              <w:t>investments</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investments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investments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2,253,180</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5,506</w:t>
            </w: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14,171</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68,040</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2,340,897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Purchases or originations</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246,741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3,960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18,072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268,773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Repayments / redemptions</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(110,026)</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(299)</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(110,325)</w:t>
            </w: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Paid-in-kind interest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1,662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167</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Net change in unrealized gains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596</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17,145</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spacing w:after="0"/>
              <w:rPr>
                <w:sz w:val="20"/>
                <w:szCs w:val="20"/>
                <w:color w:val="auto"/>
              </w:rPr>
            </w:pPr>
            <w:r>
              <w:rPr>
                <w:rFonts w:ascii="Arial" w:cs="Arial" w:eastAsia="Arial" w:hAnsi="Arial"/>
                <w:sz w:val="18"/>
                <w:szCs w:val="18"/>
                <w:color w:val="auto"/>
              </w:rPr>
              <w:t>Net realized gains (losses)</w:t>
            </w: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299</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Net amortization of discount on securities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3,403</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spacing w:after="0"/>
              <w:rPr>
                <w:sz w:val="20"/>
                <w:szCs w:val="20"/>
                <w:color w:val="auto"/>
              </w:rPr>
            </w:pPr>
            <w:r>
              <w:rPr>
                <w:rFonts w:ascii="Arial" w:cs="Arial" w:eastAsia="Arial" w:hAnsi="Arial"/>
                <w:sz w:val="18"/>
                <w:szCs w:val="18"/>
                <w:color w:val="auto"/>
              </w:rPr>
              <w:t>Transfers within Level 3</w:t>
            </w:r>
          </w:p>
        </w:tc>
        <w:tc>
          <w:tcPr>
            <w:tcW w:w="10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(1,816)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1,816</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Transfers into (out of) Level 3</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(4,180)</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(4,180)</w:t>
            </w:r>
          </w:p>
        </w:tc>
        <w:tc>
          <w:tcPr>
            <w:tcW w:w="0" w:type="dxa"/>
            <w:vAlign w:val="bottom"/>
          </w:tcPr>
          <w:p>
            <w:pPr>
              <w:spacing w:after="0"/>
              <w:rPr>
                <w:sz w:val="1"/>
                <w:szCs w:val="1"/>
                <w:color w:val="auto"/>
              </w:rPr>
            </w:pPr>
          </w:p>
        </w:tc>
      </w:tr>
      <w:tr>
        <w:trPr>
          <w:trHeight w:val="223"/>
        </w:trPr>
        <w:tc>
          <w:tcPr>
            <w:tcW w:w="5180" w:type="dxa"/>
            <w:vAlign w:val="bottom"/>
          </w:tcPr>
          <w:p>
            <w:pPr>
              <w:ind w:left="260"/>
              <w:spacing w:after="0"/>
              <w:rPr>
                <w:sz w:val="20"/>
                <w:szCs w:val="20"/>
                <w:color w:val="auto"/>
              </w:rPr>
            </w:pPr>
            <w:r>
              <w:rPr>
                <w:rFonts w:ascii="Arial" w:cs="Arial" w:eastAsia="Arial" w:hAnsi="Arial"/>
                <w:sz w:val="18"/>
                <w:szCs w:val="18"/>
                <w:b w:val="1"/>
                <w:bCs w:val="1"/>
                <w:color w:val="auto"/>
              </w:rPr>
              <w:t>Balance,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2,398,267</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6,285</w:t>
            </w: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16,758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105,073</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2,526,383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5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0" w:type="dxa"/>
            <w:vAlign w:val="bottom"/>
            <w:gridSpan w:val="9"/>
          </w:tcPr>
          <w:p>
            <w:pPr>
              <w:jc w:val="center"/>
              <w:ind w:right="360"/>
              <w:spacing w:after="0"/>
              <w:rPr>
                <w:sz w:val="20"/>
                <w:szCs w:val="20"/>
                <w:color w:val="auto"/>
              </w:rPr>
            </w:pPr>
            <w:r>
              <w:rPr>
                <w:rFonts w:ascii="Arial" w:cs="Arial" w:eastAsia="Arial" w:hAnsi="Arial"/>
                <w:sz w:val="14"/>
                <w:szCs w:val="14"/>
                <w:b w:val="1"/>
                <w:bCs w:val="1"/>
                <w:color w:val="auto"/>
                <w:w w:val="93"/>
              </w:rPr>
              <w:t>As of and for the Six Months Ended</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0"/>
              </w:rPr>
              <w:t>June 30, 2021</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8"/>
              </w:rPr>
              <w:t>First-lien</w:t>
            </w:r>
          </w:p>
        </w:tc>
        <w:tc>
          <w:tcPr>
            <w:tcW w:w="120" w:type="dxa"/>
            <w:vAlign w:val="bottom"/>
          </w:tcPr>
          <w:p>
            <w:pPr>
              <w:spacing w:after="0"/>
              <w:rPr>
                <w:sz w:val="11"/>
                <w:szCs w:val="11"/>
                <w:color w:val="auto"/>
              </w:rPr>
            </w:pPr>
          </w:p>
        </w:tc>
        <w:tc>
          <w:tcPr>
            <w:tcW w:w="880" w:type="dxa"/>
            <w:vAlign w:val="bottom"/>
          </w:tcPr>
          <w:p>
            <w:pPr>
              <w:jc w:val="center"/>
              <w:ind w:right="35"/>
              <w:spacing w:after="0" w:line="133" w:lineRule="exact"/>
              <w:rPr>
                <w:sz w:val="20"/>
                <w:szCs w:val="20"/>
                <w:color w:val="auto"/>
              </w:rPr>
            </w:pPr>
            <w:r>
              <w:rPr>
                <w:rFonts w:ascii="Arial" w:cs="Arial" w:eastAsia="Arial" w:hAnsi="Arial"/>
                <w:sz w:val="14"/>
                <w:szCs w:val="14"/>
                <w:b w:val="1"/>
                <w:bCs w:val="1"/>
                <w:color w:val="auto"/>
                <w:w w:val="90"/>
              </w:rPr>
              <w:t>Second-lien</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4"/>
              </w:rPr>
              <w:t>Mezzanine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98"/>
              </w:rPr>
              <w:t>Equity</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debt</w:t>
            </w:r>
          </w:p>
        </w:tc>
        <w:tc>
          <w:tcPr>
            <w:tcW w:w="120" w:type="dxa"/>
            <w:vAlign w:val="bottom"/>
          </w:tcPr>
          <w:p>
            <w:pPr>
              <w:spacing w:after="0"/>
              <w:rPr>
                <w:sz w:val="12"/>
                <w:szCs w:val="12"/>
                <w:color w:val="auto"/>
              </w:rPr>
            </w:pPr>
          </w:p>
        </w:tc>
        <w:tc>
          <w:tcPr>
            <w:tcW w:w="88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4"/>
              </w:rPr>
              <w:t>debt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debt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and other</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investments</w:t>
            </w:r>
          </w:p>
        </w:tc>
        <w:tc>
          <w:tcPr>
            <w:tcW w:w="120" w:type="dxa"/>
            <w:vAlign w:val="bottom"/>
          </w:tcPr>
          <w:p>
            <w:pPr>
              <w:spacing w:after="0"/>
              <w:rPr>
                <w:sz w:val="14"/>
                <w:szCs w:val="14"/>
                <w:color w:val="auto"/>
              </w:rPr>
            </w:pPr>
          </w:p>
        </w:tc>
        <w:tc>
          <w:tcPr>
            <w:tcW w:w="880" w:type="dxa"/>
            <w:vAlign w:val="bottom"/>
          </w:tcPr>
          <w:p>
            <w:pPr>
              <w:jc w:val="center"/>
              <w:ind w:right="35"/>
              <w:spacing w:after="0"/>
              <w:rPr>
                <w:sz w:val="20"/>
                <w:szCs w:val="20"/>
                <w:color w:val="auto"/>
              </w:rPr>
            </w:pPr>
            <w:r>
              <w:rPr>
                <w:rFonts w:ascii="Arial" w:cs="Arial" w:eastAsia="Arial" w:hAnsi="Arial"/>
                <w:sz w:val="14"/>
                <w:szCs w:val="14"/>
                <w:b w:val="1"/>
                <w:bCs w:val="1"/>
                <w:color w:val="auto"/>
                <w:w w:val="88"/>
              </w:rPr>
              <w:t>investments</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investments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investments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2,158,551</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5,037</w:t>
            </w: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10,982</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75,150</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2,249,720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spacing w:after="0"/>
              <w:rPr>
                <w:sz w:val="20"/>
                <w:szCs w:val="20"/>
                <w:color w:val="auto"/>
              </w:rPr>
            </w:pPr>
            <w:r>
              <w:rPr>
                <w:rFonts w:ascii="Arial" w:cs="Arial" w:eastAsia="Arial" w:hAnsi="Arial"/>
                <w:sz w:val="18"/>
                <w:szCs w:val="18"/>
                <w:color w:val="auto"/>
              </w:rPr>
              <w:t>Purchases or originations</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399,448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4,505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18,725</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422,678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Repayments / redemptions</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(184,067)</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(12,126)</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(196,193)</w:t>
            </w: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Paid-in-kind interest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3,528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328</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Net change in unrealized gains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14,137</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889</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6,891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17,133</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Net realized gains</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10,988</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Net amortization of discount on securities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6,643</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Transfers within Level 3</w:t>
            </w:r>
          </w:p>
        </w:tc>
        <w:tc>
          <w:tcPr>
            <w:tcW w:w="10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(1,816)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1,816</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Transfers into (out of) Level 3</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(4,180)</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(6,613)</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(10,793)</w:t>
            </w:r>
          </w:p>
        </w:tc>
        <w:tc>
          <w:tcPr>
            <w:tcW w:w="0" w:type="dxa"/>
            <w:vAlign w:val="bottom"/>
          </w:tcPr>
          <w:p>
            <w:pPr>
              <w:spacing w:after="0"/>
              <w:rPr>
                <w:sz w:val="1"/>
                <w:szCs w:val="1"/>
                <w:color w:val="auto"/>
              </w:rPr>
            </w:pPr>
          </w:p>
        </w:tc>
      </w:tr>
      <w:tr>
        <w:trPr>
          <w:trHeight w:val="223"/>
        </w:trPr>
        <w:tc>
          <w:tcPr>
            <w:tcW w:w="5180" w:type="dxa"/>
            <w:vAlign w:val="bottom"/>
          </w:tcPr>
          <w:p>
            <w:pPr>
              <w:ind w:left="260"/>
              <w:spacing w:after="0"/>
              <w:rPr>
                <w:sz w:val="20"/>
                <w:szCs w:val="20"/>
                <w:color w:val="auto"/>
              </w:rPr>
            </w:pPr>
            <w:r>
              <w:rPr>
                <w:rFonts w:ascii="Arial" w:cs="Arial" w:eastAsia="Arial" w:hAnsi="Arial"/>
                <w:sz w:val="18"/>
                <w:szCs w:val="18"/>
                <w:b w:val="1"/>
                <w:bCs w:val="1"/>
                <w:color w:val="auto"/>
              </w:rPr>
              <w:t>Balance,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2,398,267</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6,285</w:t>
            </w: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16,758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105,073</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2,526,383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following tables present the changes in the fair value of investments for which Level 3 inputs were used to determine the fair value as of and for the three and six months ended June 30, 2020: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360" w:type="dxa"/>
            <w:vAlign w:val="bottom"/>
            <w:gridSpan w:val="7"/>
          </w:tcPr>
          <w:p>
            <w:pPr>
              <w:jc w:val="center"/>
              <w:ind w:right="14"/>
              <w:spacing w:after="0"/>
              <w:rPr>
                <w:sz w:val="20"/>
                <w:szCs w:val="20"/>
                <w:color w:val="auto"/>
              </w:rPr>
            </w:pPr>
            <w:r>
              <w:rPr>
                <w:rFonts w:ascii="Arial" w:cs="Arial" w:eastAsia="Arial" w:hAnsi="Arial"/>
                <w:sz w:val="14"/>
                <w:szCs w:val="14"/>
                <w:b w:val="1"/>
                <w:bCs w:val="1"/>
                <w:color w:val="auto"/>
                <w:w w:val="93"/>
              </w:rPr>
              <w:t>As of and for the Three Months Ended</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June 30, 2020</w:t>
            </w: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8"/>
              </w:rPr>
              <w:t>First-lien</w:t>
            </w:r>
          </w:p>
        </w:tc>
        <w:tc>
          <w:tcPr>
            <w:tcW w:w="120" w:type="dxa"/>
            <w:vAlign w:val="bottom"/>
          </w:tcPr>
          <w:p>
            <w:pPr>
              <w:spacing w:after="0"/>
              <w:rPr>
                <w:sz w:val="11"/>
                <w:szCs w:val="11"/>
                <w:color w:val="auto"/>
              </w:rPr>
            </w:pPr>
          </w:p>
        </w:tc>
        <w:tc>
          <w:tcPr>
            <w:tcW w:w="880" w:type="dxa"/>
            <w:vAlign w:val="bottom"/>
          </w:tcPr>
          <w:p>
            <w:pPr>
              <w:jc w:val="center"/>
              <w:ind w:right="35"/>
              <w:spacing w:after="0" w:line="133" w:lineRule="exact"/>
              <w:rPr>
                <w:sz w:val="20"/>
                <w:szCs w:val="20"/>
                <w:color w:val="auto"/>
              </w:rPr>
            </w:pPr>
            <w:r>
              <w:rPr>
                <w:rFonts w:ascii="Arial" w:cs="Arial" w:eastAsia="Arial" w:hAnsi="Arial"/>
                <w:sz w:val="14"/>
                <w:szCs w:val="14"/>
                <w:b w:val="1"/>
                <w:bCs w:val="1"/>
                <w:color w:val="auto"/>
                <w:w w:val="90"/>
              </w:rPr>
              <w:t>Second-lien</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center"/>
              <w:ind w:right="15"/>
              <w:spacing w:after="0" w:line="133" w:lineRule="exact"/>
              <w:rPr>
                <w:sz w:val="20"/>
                <w:szCs w:val="20"/>
                <w:color w:val="auto"/>
              </w:rPr>
            </w:pPr>
            <w:r>
              <w:rPr>
                <w:rFonts w:ascii="Arial" w:cs="Arial" w:eastAsia="Arial" w:hAnsi="Arial"/>
                <w:sz w:val="14"/>
                <w:szCs w:val="14"/>
                <w:b w:val="1"/>
                <w:bCs w:val="1"/>
                <w:color w:val="auto"/>
                <w:w w:val="94"/>
              </w:rPr>
              <w:t>Mezzanine</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center"/>
              <w:ind w:right="54"/>
              <w:spacing w:after="0" w:line="133" w:lineRule="exact"/>
              <w:rPr>
                <w:sz w:val="20"/>
                <w:szCs w:val="20"/>
                <w:color w:val="auto"/>
              </w:rPr>
            </w:pPr>
            <w:r>
              <w:rPr>
                <w:rFonts w:ascii="Arial" w:cs="Arial" w:eastAsia="Arial" w:hAnsi="Arial"/>
                <w:sz w:val="14"/>
                <w:szCs w:val="14"/>
                <w:b w:val="1"/>
                <w:bCs w:val="1"/>
                <w:color w:val="auto"/>
                <w:w w:val="98"/>
              </w:rPr>
              <w:t>Equity</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debt</w:t>
            </w:r>
          </w:p>
        </w:tc>
        <w:tc>
          <w:tcPr>
            <w:tcW w:w="120" w:type="dxa"/>
            <w:vAlign w:val="bottom"/>
          </w:tcPr>
          <w:p>
            <w:pPr>
              <w:spacing w:after="0"/>
              <w:rPr>
                <w:sz w:val="12"/>
                <w:szCs w:val="12"/>
                <w:color w:val="auto"/>
              </w:rPr>
            </w:pPr>
          </w:p>
        </w:tc>
        <w:tc>
          <w:tcPr>
            <w:tcW w:w="88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4"/>
              </w:rPr>
              <w:t>debt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debt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34"/>
              <w:spacing w:after="0" w:line="149" w:lineRule="exact"/>
              <w:rPr>
                <w:sz w:val="20"/>
                <w:szCs w:val="20"/>
                <w:color w:val="auto"/>
              </w:rPr>
            </w:pPr>
            <w:r>
              <w:rPr>
                <w:rFonts w:ascii="Arial" w:cs="Arial" w:eastAsia="Arial" w:hAnsi="Arial"/>
                <w:sz w:val="14"/>
                <w:szCs w:val="14"/>
                <w:b w:val="1"/>
                <w:bCs w:val="1"/>
                <w:color w:val="auto"/>
                <w:w w:val="93"/>
              </w:rPr>
              <w:t>and other</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investments</w:t>
            </w:r>
          </w:p>
        </w:tc>
        <w:tc>
          <w:tcPr>
            <w:tcW w:w="120" w:type="dxa"/>
            <w:vAlign w:val="bottom"/>
          </w:tcPr>
          <w:p>
            <w:pPr>
              <w:spacing w:after="0"/>
              <w:rPr>
                <w:sz w:val="14"/>
                <w:szCs w:val="14"/>
                <w:color w:val="auto"/>
              </w:rPr>
            </w:pPr>
          </w:p>
        </w:tc>
        <w:tc>
          <w:tcPr>
            <w:tcW w:w="880" w:type="dxa"/>
            <w:vAlign w:val="bottom"/>
          </w:tcPr>
          <w:p>
            <w:pPr>
              <w:jc w:val="center"/>
              <w:ind w:right="35"/>
              <w:spacing w:after="0"/>
              <w:rPr>
                <w:sz w:val="20"/>
                <w:szCs w:val="20"/>
                <w:color w:val="auto"/>
              </w:rPr>
            </w:pPr>
            <w:r>
              <w:rPr>
                <w:rFonts w:ascii="Arial" w:cs="Arial" w:eastAsia="Arial" w:hAnsi="Arial"/>
                <w:sz w:val="14"/>
                <w:szCs w:val="14"/>
                <w:b w:val="1"/>
                <w:bCs w:val="1"/>
                <w:color w:val="auto"/>
                <w:w w:val="88"/>
              </w:rPr>
              <w:t>investments</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8"/>
              </w:rPr>
              <w:t>investments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34"/>
              <w:spacing w:after="0"/>
              <w:rPr>
                <w:sz w:val="20"/>
                <w:szCs w:val="20"/>
                <w:color w:val="auto"/>
              </w:rPr>
            </w:pPr>
            <w:r>
              <w:rPr>
                <w:rFonts w:ascii="Arial" w:cs="Arial" w:eastAsia="Arial" w:hAnsi="Arial"/>
                <w:sz w:val="14"/>
                <w:szCs w:val="14"/>
                <w:b w:val="1"/>
                <w:bCs w:val="1"/>
                <w:color w:val="auto"/>
                <w:w w:val="88"/>
              </w:rPr>
              <w:t>investments</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1,976,913</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4,030</w:t>
            </w: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2,855</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52,484</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2,036,282</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Purchases or originations</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63,452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4,565</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3,534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1,705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73,256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Repayments / redemptions</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(225,032)</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(225,032)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Paid-in-kind interest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2,006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2,103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Net change in unrealized gains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48,894</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981</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11,810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61,980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Net realized losses</w:t>
            </w: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(1,269)</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(1,269)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Net amortization of discount on securities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5,552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Transfers within Level 3</w:t>
            </w: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Transfers into (out of) Level 3</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Pr>
          <w:p>
            <w:pPr>
              <w:ind w:left="260"/>
              <w:spacing w:after="0"/>
              <w:rPr>
                <w:sz w:val="20"/>
                <w:szCs w:val="20"/>
                <w:color w:val="auto"/>
              </w:rPr>
            </w:pPr>
            <w:r>
              <w:rPr>
                <w:rFonts w:ascii="Arial" w:cs="Arial" w:eastAsia="Arial" w:hAnsi="Arial"/>
                <w:sz w:val="18"/>
                <w:szCs w:val="18"/>
                <w:b w:val="1"/>
                <w:bCs w:val="1"/>
                <w:color w:val="auto"/>
              </w:rPr>
              <w:t>Balance,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1,870,445</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8,939</w:t>
            </w: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7,485</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66,003</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1,952,872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5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ind w:right="374"/>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57" w:right="31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62"/>
        </w:trPr>
        <w:tc>
          <w:tcPr>
            <w:tcW w:w="5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0" w:type="dxa"/>
            <w:vAlign w:val="bottom"/>
            <w:gridSpan w:val="9"/>
          </w:tcPr>
          <w:p>
            <w:pPr>
              <w:jc w:val="center"/>
              <w:ind w:right="360"/>
              <w:spacing w:after="0"/>
              <w:rPr>
                <w:sz w:val="20"/>
                <w:szCs w:val="20"/>
                <w:color w:val="auto"/>
              </w:rPr>
            </w:pPr>
            <w:r>
              <w:rPr>
                <w:rFonts w:ascii="Arial" w:cs="Arial" w:eastAsia="Arial" w:hAnsi="Arial"/>
                <w:sz w:val="14"/>
                <w:szCs w:val="14"/>
                <w:b w:val="1"/>
                <w:bCs w:val="1"/>
                <w:color w:val="auto"/>
                <w:w w:val="93"/>
              </w:rPr>
              <w:t>As of and for the Six Months Ended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June 30, 2020</w:t>
            </w: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8"/>
              </w:rPr>
              <w:t>First-lien</w:t>
            </w:r>
          </w:p>
        </w:tc>
        <w:tc>
          <w:tcPr>
            <w:tcW w:w="120" w:type="dxa"/>
            <w:vAlign w:val="bottom"/>
          </w:tcPr>
          <w:p>
            <w:pPr>
              <w:spacing w:after="0"/>
              <w:rPr>
                <w:sz w:val="11"/>
                <w:szCs w:val="11"/>
                <w:color w:val="auto"/>
              </w:rPr>
            </w:pPr>
          </w:p>
        </w:tc>
        <w:tc>
          <w:tcPr>
            <w:tcW w:w="104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0"/>
              </w:rPr>
              <w:t>Second-lien</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center"/>
              <w:ind w:right="15"/>
              <w:spacing w:after="0" w:line="133" w:lineRule="exact"/>
              <w:rPr>
                <w:sz w:val="20"/>
                <w:szCs w:val="20"/>
                <w:color w:val="auto"/>
              </w:rPr>
            </w:pPr>
            <w:r>
              <w:rPr>
                <w:rFonts w:ascii="Arial" w:cs="Arial" w:eastAsia="Arial" w:hAnsi="Arial"/>
                <w:sz w:val="14"/>
                <w:szCs w:val="14"/>
                <w:b w:val="1"/>
                <w:bCs w:val="1"/>
                <w:color w:val="auto"/>
                <w:w w:val="94"/>
              </w:rPr>
              <w:t>Mezzanine</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98"/>
              </w:rPr>
              <w:t>Equity</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debt</w:t>
            </w:r>
          </w:p>
        </w:tc>
        <w:tc>
          <w:tcPr>
            <w:tcW w:w="12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debt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debt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and other</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investments</w:t>
            </w:r>
          </w:p>
        </w:tc>
        <w:tc>
          <w:tcPr>
            <w:tcW w:w="12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investments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8"/>
              </w:rPr>
              <w:t>investments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investments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2,158,927</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4,147</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2,550</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63,107</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2,228,731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Purchases or originations</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178,746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4,774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3,839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2,182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189,541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Repayments / redemptions</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(443,051)</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(443,051)</w:t>
            </w:r>
          </w:p>
        </w:tc>
        <w:tc>
          <w:tcPr>
            <w:tcW w:w="0" w:type="dxa"/>
            <w:vAlign w:val="bottom"/>
          </w:tcPr>
          <w:p>
            <w:pPr>
              <w:spacing w:after="0"/>
              <w:rPr>
                <w:sz w:val="1"/>
                <w:szCs w:val="1"/>
                <w:color w:val="auto"/>
              </w:rPr>
            </w:pPr>
          </w:p>
        </w:tc>
      </w:tr>
      <w:tr>
        <w:trPr>
          <w:trHeight w:val="229"/>
        </w:trPr>
        <w:tc>
          <w:tcPr>
            <w:tcW w:w="5180" w:type="dxa"/>
            <w:vAlign w:val="bottom"/>
          </w:tcPr>
          <w:p>
            <w:pPr>
              <w:spacing w:after="0"/>
              <w:rPr>
                <w:sz w:val="20"/>
                <w:szCs w:val="20"/>
                <w:color w:val="auto"/>
              </w:rPr>
            </w:pPr>
            <w:r>
              <w:rPr>
                <w:rFonts w:ascii="Arial" w:cs="Arial" w:eastAsia="Arial" w:hAnsi="Arial"/>
                <w:sz w:val="18"/>
                <w:szCs w:val="18"/>
                <w:color w:val="auto"/>
              </w:rPr>
              <w:t>Paid-in-kind interest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3,750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Net change in unrealized gains (losses)</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(36,776)</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(31)</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928</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687</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(35,192)</w:t>
            </w:r>
          </w:p>
        </w:tc>
        <w:tc>
          <w:tcPr>
            <w:tcW w:w="0" w:type="dxa"/>
            <w:vAlign w:val="bottom"/>
          </w:tcPr>
          <w:p>
            <w:pPr>
              <w:spacing w:after="0"/>
              <w:rPr>
                <w:sz w:val="1"/>
                <w:szCs w:val="1"/>
                <w:color w:val="auto"/>
              </w:rPr>
            </w:pPr>
          </w:p>
        </w:tc>
      </w:tr>
      <w:tr>
        <w:trPr>
          <w:trHeight w:val="229"/>
        </w:trPr>
        <w:tc>
          <w:tcPr>
            <w:tcW w:w="5180" w:type="dxa"/>
            <w:vAlign w:val="bottom"/>
          </w:tcPr>
          <w:p>
            <w:pPr>
              <w:spacing w:after="0"/>
              <w:rPr>
                <w:sz w:val="20"/>
                <w:szCs w:val="20"/>
                <w:color w:val="auto"/>
              </w:rPr>
            </w:pPr>
            <w:r>
              <w:rPr>
                <w:rFonts w:ascii="Arial" w:cs="Arial" w:eastAsia="Arial" w:hAnsi="Arial"/>
                <w:sz w:val="18"/>
                <w:szCs w:val="18"/>
                <w:color w:val="auto"/>
              </w:rPr>
              <w:t>Net realized losses</w:t>
            </w: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(3,432)</w:t>
            </w: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(3,432)</w:t>
            </w: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Net amortization of discount on securities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12,308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spacing w:after="0"/>
              <w:rPr>
                <w:sz w:val="20"/>
                <w:szCs w:val="20"/>
                <w:color w:val="auto"/>
              </w:rPr>
            </w:pPr>
            <w:r>
              <w:rPr>
                <w:rFonts w:ascii="Arial" w:cs="Arial" w:eastAsia="Arial" w:hAnsi="Arial"/>
                <w:sz w:val="18"/>
                <w:szCs w:val="18"/>
                <w:color w:val="auto"/>
              </w:rPr>
              <w:t>Transfers within Level 3</w:t>
            </w: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Transfers into (out of) Level 3</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80" w:type="dxa"/>
            <w:vAlign w:val="bottom"/>
          </w:tcPr>
          <w:p>
            <w:pPr>
              <w:ind w:left="260"/>
              <w:spacing w:after="0"/>
              <w:rPr>
                <w:sz w:val="20"/>
                <w:szCs w:val="20"/>
                <w:color w:val="auto"/>
              </w:rPr>
            </w:pPr>
            <w:r>
              <w:rPr>
                <w:rFonts w:ascii="Arial" w:cs="Arial" w:eastAsia="Arial" w:hAnsi="Arial"/>
                <w:sz w:val="18"/>
                <w:szCs w:val="18"/>
                <w:b w:val="1"/>
                <w:bCs w:val="1"/>
                <w:color w:val="auto"/>
              </w:rPr>
              <w:t>Balance,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1,870,445</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8,939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7,485</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66,003</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1,952,872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60" w:firstLine="255"/>
        <w:spacing w:after="0" w:line="277" w:lineRule="auto"/>
        <w:rPr>
          <w:sz w:val="20"/>
          <w:szCs w:val="20"/>
          <w:color w:val="auto"/>
        </w:rPr>
      </w:pPr>
      <w:r>
        <w:rPr>
          <w:rFonts w:ascii="Arial" w:cs="Arial" w:eastAsia="Arial" w:hAnsi="Arial"/>
          <w:sz w:val="18"/>
          <w:szCs w:val="18"/>
          <w:color w:val="auto"/>
        </w:rPr>
        <w:t>The following tables present information with respect to the net change in unrealized gains or losses on investments for which Level 3 inputs were used in determining fair value that are still held by the Company at June 30, 2021 and 2020:</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56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94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3"/>
              </w:rPr>
              <w:t>Net Change in Unrealized</w:t>
            </w:r>
          </w:p>
        </w:tc>
        <w:tc>
          <w:tcPr>
            <w:tcW w:w="2420" w:type="dxa"/>
            <w:vAlign w:val="bottom"/>
            <w:gridSpan w:val="7"/>
          </w:tcPr>
          <w:p>
            <w:pPr>
              <w:jc w:val="center"/>
              <w:ind w:right="640"/>
              <w:spacing w:after="0"/>
              <w:rPr>
                <w:sz w:val="20"/>
                <w:szCs w:val="20"/>
                <w:color w:val="auto"/>
              </w:rPr>
            </w:pPr>
            <w:r>
              <w:rPr>
                <w:rFonts w:ascii="Arial" w:cs="Arial" w:eastAsia="Arial" w:hAnsi="Arial"/>
                <w:sz w:val="14"/>
                <w:szCs w:val="14"/>
                <w:b w:val="1"/>
                <w:bCs w:val="1"/>
                <w:color w:val="auto"/>
                <w:w w:val="93"/>
              </w:rPr>
              <w:t>Net Change in Unrealized</w:t>
            </w:r>
          </w:p>
        </w:tc>
      </w:tr>
      <w:tr>
        <w:trPr>
          <w:trHeight w:val="162"/>
        </w:trPr>
        <w:tc>
          <w:tcPr>
            <w:tcW w:w="56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Gains or (Losses)</w:t>
            </w:r>
          </w:p>
        </w:tc>
        <w:tc>
          <w:tcPr>
            <w:tcW w:w="180" w:type="dxa"/>
            <w:vAlign w:val="bottom"/>
          </w:tcPr>
          <w:p>
            <w:pPr>
              <w:spacing w:after="0"/>
              <w:rPr>
                <w:sz w:val="14"/>
                <w:szCs w:val="14"/>
                <w:color w:val="auto"/>
              </w:rPr>
            </w:pPr>
          </w:p>
        </w:tc>
        <w:tc>
          <w:tcPr>
            <w:tcW w:w="2240" w:type="dxa"/>
            <w:vAlign w:val="bottom"/>
            <w:gridSpan w:val="6"/>
          </w:tcPr>
          <w:p>
            <w:pPr>
              <w:jc w:val="center"/>
              <w:ind w:right="820"/>
              <w:spacing w:after="0"/>
              <w:rPr>
                <w:sz w:val="20"/>
                <w:szCs w:val="20"/>
                <w:color w:val="auto"/>
              </w:rPr>
            </w:pPr>
            <w:r>
              <w:rPr>
                <w:rFonts w:ascii="Arial" w:cs="Arial" w:eastAsia="Arial" w:hAnsi="Arial"/>
                <w:sz w:val="14"/>
                <w:szCs w:val="14"/>
                <w:b w:val="1"/>
                <w:bCs w:val="1"/>
                <w:color w:val="auto"/>
                <w:w w:val="89"/>
              </w:rPr>
              <w:t>Gains or (Losses)</w:t>
            </w:r>
          </w:p>
        </w:tc>
      </w:tr>
      <w:tr>
        <w:trPr>
          <w:trHeight w:val="162"/>
        </w:trPr>
        <w:tc>
          <w:tcPr>
            <w:tcW w:w="56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94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4"/>
              </w:rPr>
              <w:t>for the Three Months Ended</w:t>
            </w:r>
          </w:p>
        </w:tc>
        <w:tc>
          <w:tcPr>
            <w:tcW w:w="2420" w:type="dxa"/>
            <w:vAlign w:val="bottom"/>
            <w:gridSpan w:val="7"/>
          </w:tcPr>
          <w:p>
            <w:pPr>
              <w:jc w:val="center"/>
              <w:ind w:right="640"/>
              <w:spacing w:after="0"/>
              <w:rPr>
                <w:sz w:val="20"/>
                <w:szCs w:val="20"/>
                <w:color w:val="auto"/>
              </w:rPr>
            </w:pPr>
            <w:r>
              <w:rPr>
                <w:rFonts w:ascii="Arial" w:cs="Arial" w:eastAsia="Arial" w:hAnsi="Arial"/>
                <w:sz w:val="14"/>
                <w:szCs w:val="14"/>
                <w:b w:val="1"/>
                <w:bCs w:val="1"/>
                <w:color w:val="auto"/>
                <w:w w:val="93"/>
              </w:rPr>
              <w:t>for the Three Months Ended</w:t>
            </w:r>
          </w:p>
        </w:tc>
      </w:tr>
      <w:tr>
        <w:trPr>
          <w:trHeight w:val="162"/>
        </w:trPr>
        <w:tc>
          <w:tcPr>
            <w:tcW w:w="56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June 30, 2021 on</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60" w:type="dxa"/>
            <w:vAlign w:val="bottom"/>
            <w:gridSpan w:val="5"/>
          </w:tcPr>
          <w:p>
            <w:pPr>
              <w:jc w:val="center"/>
              <w:ind w:right="1000"/>
              <w:spacing w:after="0"/>
              <w:rPr>
                <w:sz w:val="20"/>
                <w:szCs w:val="20"/>
                <w:color w:val="auto"/>
              </w:rPr>
            </w:pPr>
            <w:r>
              <w:rPr>
                <w:rFonts w:ascii="Arial" w:cs="Arial" w:eastAsia="Arial" w:hAnsi="Arial"/>
                <w:sz w:val="14"/>
                <w:szCs w:val="14"/>
                <w:b w:val="1"/>
                <w:bCs w:val="1"/>
                <w:color w:val="auto"/>
                <w:w w:val="90"/>
              </w:rPr>
              <w:t>June 30, 2020 on</w:t>
            </w:r>
          </w:p>
        </w:tc>
      </w:tr>
      <w:tr>
        <w:trPr>
          <w:trHeight w:val="162"/>
        </w:trPr>
        <w:tc>
          <w:tcPr>
            <w:tcW w:w="56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Investments Held at</w:t>
            </w:r>
          </w:p>
        </w:tc>
        <w:tc>
          <w:tcPr>
            <w:tcW w:w="180" w:type="dxa"/>
            <w:vAlign w:val="bottom"/>
          </w:tcPr>
          <w:p>
            <w:pPr>
              <w:spacing w:after="0"/>
              <w:rPr>
                <w:sz w:val="14"/>
                <w:szCs w:val="14"/>
                <w:color w:val="auto"/>
              </w:rPr>
            </w:pPr>
          </w:p>
        </w:tc>
        <w:tc>
          <w:tcPr>
            <w:tcW w:w="2240" w:type="dxa"/>
            <w:vAlign w:val="bottom"/>
            <w:gridSpan w:val="6"/>
          </w:tcPr>
          <w:p>
            <w:pPr>
              <w:jc w:val="center"/>
              <w:ind w:right="820"/>
              <w:spacing w:after="0"/>
              <w:rPr>
                <w:sz w:val="20"/>
                <w:szCs w:val="20"/>
                <w:color w:val="auto"/>
              </w:rPr>
            </w:pPr>
            <w:r>
              <w:rPr>
                <w:rFonts w:ascii="Arial" w:cs="Arial" w:eastAsia="Arial" w:hAnsi="Arial"/>
                <w:sz w:val="14"/>
                <w:szCs w:val="14"/>
                <w:b w:val="1"/>
                <w:bCs w:val="1"/>
                <w:color w:val="auto"/>
                <w:w w:val="92"/>
              </w:rPr>
              <w:t>Investments Held at</w:t>
            </w:r>
          </w:p>
        </w:tc>
      </w:tr>
      <w:tr>
        <w:trPr>
          <w:trHeight w:val="171"/>
        </w:trPr>
        <w:tc>
          <w:tcPr>
            <w:tcW w:w="56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June 30, 2021</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4"/>
          </w:tcPr>
          <w:p>
            <w:pPr>
              <w:jc w:val="center"/>
              <w:ind w:right="1120"/>
              <w:spacing w:after="0"/>
              <w:rPr>
                <w:sz w:val="20"/>
                <w:szCs w:val="20"/>
                <w:color w:val="auto"/>
              </w:rPr>
            </w:pPr>
            <w:r>
              <w:rPr>
                <w:rFonts w:ascii="Arial" w:cs="Arial" w:eastAsia="Arial" w:hAnsi="Arial"/>
                <w:sz w:val="14"/>
                <w:szCs w:val="14"/>
                <w:b w:val="1"/>
                <w:bCs w:val="1"/>
                <w:color w:val="auto"/>
                <w:w w:val="92"/>
              </w:rPr>
              <w:t>June 30, 2020</w:t>
            </w:r>
          </w:p>
        </w:tc>
      </w:tr>
      <w:tr>
        <w:trPr>
          <w:trHeight w:val="223"/>
        </w:trPr>
        <w:tc>
          <w:tcPr>
            <w:tcW w:w="560" w:type="dxa"/>
            <w:vAlign w:val="bottom"/>
          </w:tcPr>
          <w:p>
            <w:pPr>
              <w:spacing w:after="0"/>
              <w:rPr>
                <w:sz w:val="19"/>
                <w:szCs w:val="19"/>
                <w:color w:val="auto"/>
              </w:rPr>
            </w:pPr>
          </w:p>
        </w:tc>
        <w:tc>
          <w:tcPr>
            <w:tcW w:w="4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FF0FC"/>
          </w:tcPr>
          <w:p>
            <w:pPr>
              <w:spacing w:after="0"/>
              <w:rPr>
                <w:sz w:val="19"/>
                <w:szCs w:val="19"/>
                <w:color w:val="auto"/>
              </w:rPr>
            </w:pP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5,881</w:t>
            </w:r>
          </w:p>
        </w:tc>
        <w:tc>
          <w:tcPr>
            <w:tcW w:w="1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58,786</w:t>
            </w:r>
          </w:p>
        </w:tc>
        <w:tc>
          <w:tcPr>
            <w:tcW w:w="80" w:type="dxa"/>
            <w:vAlign w:val="bottom"/>
            <w:tcBorders>
              <w:top w:val="single" w:sz="8" w:color="CFF0FC"/>
            </w:tcBorders>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6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595</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295</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60" w:type="dxa"/>
            <w:vAlign w:val="bottom"/>
          </w:tcPr>
          <w:p>
            <w:pPr>
              <w:spacing w:after="0"/>
              <w:rPr>
                <w:sz w:val="19"/>
                <w:szCs w:val="19"/>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Mezzanine debt investments</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5,942</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981</w:t>
            </w:r>
          </w:p>
        </w:tc>
        <w:tc>
          <w:tcPr>
            <w:tcW w:w="80" w:type="dxa"/>
            <w:vAlign w:val="bottom"/>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60" w:type="dxa"/>
            <w:vAlign w:val="bottom"/>
          </w:tcPr>
          <w:p>
            <w:pPr>
              <w:spacing w:after="0"/>
              <w:rPr>
                <w:sz w:val="19"/>
                <w:szCs w:val="19"/>
                <w:color w:val="auto"/>
              </w:rPr>
            </w:pPr>
          </w:p>
        </w:tc>
        <w:tc>
          <w:tcPr>
            <w:tcW w:w="4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Equity and other investments</w:t>
            </w: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17,145</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11,810</w:t>
            </w:r>
          </w:p>
        </w:tc>
        <w:tc>
          <w:tcPr>
            <w:tcW w:w="80" w:type="dxa"/>
            <w:vAlign w:val="bottom"/>
            <w:tcBorders>
              <w:bottom w:val="single" w:sz="8" w:color="CFF0FC"/>
            </w:tcBorders>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60" w:type="dxa"/>
            <w:vAlign w:val="bottom"/>
          </w:tcPr>
          <w:p>
            <w:pPr>
              <w:spacing w:after="0"/>
              <w:rPr>
                <w:sz w:val="19"/>
                <w:szCs w:val="19"/>
                <w:color w:val="auto"/>
              </w:rPr>
            </w:pPr>
          </w:p>
        </w:tc>
        <w:tc>
          <w:tcPr>
            <w:tcW w:w="40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29,563</w:t>
            </w: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71,872</w:t>
            </w:r>
          </w:p>
        </w:tc>
        <w:tc>
          <w:tcPr>
            <w:tcW w:w="80" w:type="dxa"/>
            <w:vAlign w:val="bottom"/>
            <w:tcBorders>
              <w:bottom w:val="single" w:sz="8" w:color="CFF0FC"/>
            </w:tcBorders>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5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7"/>
        </w:trPr>
        <w:tc>
          <w:tcPr>
            <w:tcW w:w="5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Net Change in Unrealized</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3"/>
              </w:rPr>
              <w:t>Net Change in Unrealized</w:t>
            </w:r>
          </w:p>
        </w:tc>
      </w:tr>
      <w:tr>
        <w:trPr>
          <w:trHeight w:val="162"/>
        </w:trPr>
        <w:tc>
          <w:tcPr>
            <w:tcW w:w="56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Gains or (Losses)</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9"/>
              </w:rPr>
              <w:t>Gains or (Losses)</w:t>
            </w:r>
          </w:p>
        </w:tc>
      </w:tr>
      <w:tr>
        <w:trPr>
          <w:trHeight w:val="162"/>
        </w:trPr>
        <w:tc>
          <w:tcPr>
            <w:tcW w:w="56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for the Six Months Ended</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3"/>
              </w:rPr>
              <w:t>for the Six Months Ended</w:t>
            </w:r>
          </w:p>
        </w:tc>
      </w:tr>
      <w:tr>
        <w:trPr>
          <w:trHeight w:val="162"/>
        </w:trPr>
        <w:tc>
          <w:tcPr>
            <w:tcW w:w="56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June 30, 2021 on</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0"/>
              </w:rPr>
              <w:t>June 30, 2020 on</w:t>
            </w:r>
          </w:p>
        </w:tc>
      </w:tr>
      <w:tr>
        <w:trPr>
          <w:trHeight w:val="162"/>
        </w:trPr>
        <w:tc>
          <w:tcPr>
            <w:tcW w:w="56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Investments Held at</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2"/>
              </w:rPr>
              <w:t>Investments Held at</w:t>
            </w:r>
          </w:p>
        </w:tc>
      </w:tr>
      <w:tr>
        <w:trPr>
          <w:trHeight w:val="171"/>
        </w:trPr>
        <w:tc>
          <w:tcPr>
            <w:tcW w:w="56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June 30, 2021</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2"/>
              </w:rPr>
              <w:t>June 30, 2020</w:t>
            </w:r>
          </w:p>
        </w:tc>
      </w:tr>
      <w:tr>
        <w:trPr>
          <w:trHeight w:val="223"/>
        </w:trPr>
        <w:tc>
          <w:tcPr>
            <w:tcW w:w="46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86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17,445</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(22,017)</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620" w:type="dxa"/>
            <w:vAlign w:val="bottom"/>
            <w:gridSpan w:val="2"/>
          </w:tcPr>
          <w:p>
            <w:pPr>
              <w:spacing w:after="0"/>
              <w:rPr>
                <w:sz w:val="20"/>
                <w:szCs w:val="20"/>
                <w:color w:val="auto"/>
              </w:rPr>
            </w:pPr>
            <w:r>
              <w:rPr>
                <w:rFonts w:ascii="Arial" w:cs="Arial" w:eastAsia="Arial" w:hAnsi="Arial"/>
                <w:sz w:val="18"/>
                <w:szCs w:val="18"/>
                <w:color w:val="auto"/>
              </w:rPr>
              <w:t>Second-lien debt investments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gridSpan w:val="3"/>
          </w:tcPr>
          <w:p>
            <w:pPr>
              <w:jc w:val="right"/>
              <w:spacing w:after="0"/>
              <w:rPr>
                <w:sz w:val="20"/>
                <w:szCs w:val="20"/>
                <w:color w:val="auto"/>
              </w:rPr>
            </w:pPr>
            <w:r>
              <w:rPr>
                <w:rFonts w:ascii="Arial" w:cs="Arial" w:eastAsia="Arial" w:hAnsi="Arial"/>
                <w:sz w:val="18"/>
                <w:szCs w:val="18"/>
                <w:color w:val="auto"/>
              </w:rPr>
              <w:t>888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gridSpan w:val="4"/>
          </w:tcPr>
          <w:p>
            <w:pPr>
              <w:jc w:val="right"/>
              <w:ind w:right="40"/>
              <w:spacing w:after="0"/>
              <w:rPr>
                <w:sz w:val="20"/>
                <w:szCs w:val="20"/>
                <w:color w:val="auto"/>
              </w:rPr>
            </w:pPr>
            <w:r>
              <w:rPr>
                <w:rFonts w:ascii="Arial" w:cs="Arial" w:eastAsia="Arial" w:hAnsi="Arial"/>
                <w:sz w:val="18"/>
                <w:szCs w:val="18"/>
                <w:color w:val="auto"/>
              </w:rPr>
              <w:t>(31)</w:t>
            </w:r>
          </w:p>
        </w:tc>
      </w:tr>
      <w:tr>
        <w:trPr>
          <w:trHeight w:val="230"/>
        </w:trPr>
        <w:tc>
          <w:tcPr>
            <w:tcW w:w="4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Mezzanine debt investments</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7,406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928</w:t>
            </w:r>
          </w:p>
        </w:tc>
        <w:tc>
          <w:tcPr>
            <w:tcW w:w="100" w:type="dxa"/>
            <w:vAlign w:val="bottom"/>
            <w:shd w:val="clear" w:color="auto" w:fill="CFF0FC"/>
          </w:tcPr>
          <w:p>
            <w:pPr>
              <w:spacing w:after="0"/>
              <w:rPr>
                <w:sz w:val="19"/>
                <w:szCs w:val="19"/>
                <w:color w:val="auto"/>
              </w:rPr>
            </w:pPr>
          </w:p>
        </w:tc>
      </w:tr>
      <w:tr>
        <w:trPr>
          <w:trHeight w:val="229"/>
        </w:trPr>
        <w:tc>
          <w:tcPr>
            <w:tcW w:w="46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Equity and other investments</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24,967</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687</w:t>
            </w:r>
          </w:p>
        </w:tc>
        <w:tc>
          <w:tcPr>
            <w:tcW w:w="100" w:type="dxa"/>
            <w:vAlign w:val="bottom"/>
            <w:tcBorders>
              <w:bottom w:val="single" w:sz="8" w:color="CFF0FC"/>
            </w:tcBorders>
          </w:tcPr>
          <w:p>
            <w:pPr>
              <w:spacing w:after="0"/>
              <w:rPr>
                <w:sz w:val="19"/>
                <w:szCs w:val="19"/>
                <w:color w:val="auto"/>
              </w:rPr>
            </w:pPr>
          </w:p>
        </w:tc>
      </w:tr>
      <w:tr>
        <w:trPr>
          <w:trHeight w:val="223"/>
        </w:trPr>
        <w:tc>
          <w:tcPr>
            <w:tcW w:w="462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86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50,706</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(20,433)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following tables present the fair value of Level 3 Investments at fair value and the significant unobservable inputs used in the valuations as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June 30, 2021 and December 31, 2020. The tables are not intended to be all-inclusive, but instead capture the significant unobservable inputs relevant to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Company’s determination of fair values.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2"/>
          </w:tcPr>
          <w:p>
            <w:pPr>
              <w:ind w:left="920"/>
              <w:spacing w:after="0"/>
              <w:rPr>
                <w:sz w:val="20"/>
                <w:szCs w:val="20"/>
                <w:color w:val="auto"/>
              </w:rPr>
            </w:pPr>
            <w:r>
              <w:rPr>
                <w:rFonts w:ascii="Arial" w:cs="Arial" w:eastAsia="Arial" w:hAnsi="Arial"/>
                <w:sz w:val="14"/>
                <w:szCs w:val="14"/>
                <w:b w:val="1"/>
                <w:bCs w:val="1"/>
                <w:color w:val="auto"/>
                <w:w w:val="92"/>
              </w:rPr>
              <w:t>June 30, 2021</w:t>
            </w:r>
          </w:p>
        </w:tc>
        <w:tc>
          <w:tcPr>
            <w:tcW w:w="20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Valuation</w:t>
            </w:r>
          </w:p>
        </w:tc>
        <w:tc>
          <w:tcPr>
            <w:tcW w:w="178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Unobservable</w:t>
            </w:r>
          </w:p>
        </w:tc>
        <w:tc>
          <w:tcPr>
            <w:tcW w:w="2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Range (Weighted</w:t>
            </w:r>
          </w:p>
        </w:tc>
        <w:tc>
          <w:tcPr>
            <w:tcW w:w="120" w:type="dxa"/>
            <w:vAlign w:val="bottom"/>
          </w:tcPr>
          <w:p>
            <w:pPr>
              <w:spacing w:after="0"/>
              <w:rPr>
                <w:sz w:val="11"/>
                <w:szCs w:val="11"/>
                <w:color w:val="auto"/>
              </w:rPr>
            </w:pPr>
          </w:p>
        </w:tc>
        <w:tc>
          <w:tcPr>
            <w:tcW w:w="16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Impact to Valuation</w:t>
            </w:r>
          </w:p>
        </w:tc>
        <w:tc>
          <w:tcPr>
            <w:tcW w:w="0" w:type="dxa"/>
            <w:vAlign w:val="bottom"/>
          </w:tcPr>
          <w:p>
            <w:pPr>
              <w:spacing w:after="0"/>
              <w:rPr>
                <w:sz w:val="1"/>
                <w:szCs w:val="1"/>
                <w:color w:val="auto"/>
              </w:rPr>
            </w:pPr>
          </w:p>
        </w:tc>
      </w:tr>
      <w:tr>
        <w:trPr>
          <w:trHeight w:val="162"/>
        </w:trPr>
        <w:tc>
          <w:tcPr>
            <w:tcW w:w="2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2"/>
            <w:vMerge w:val="continue"/>
          </w:tcPr>
          <w:p>
            <w:pPr>
              <w:spacing w:after="0"/>
              <w:rPr>
                <w:sz w:val="14"/>
                <w:szCs w:val="14"/>
                <w:color w:val="auto"/>
              </w:rPr>
            </w:pPr>
          </w:p>
        </w:tc>
        <w:tc>
          <w:tcPr>
            <w:tcW w:w="1780" w:type="dxa"/>
            <w:vAlign w:val="bottom"/>
            <w:gridSpan w:val="2"/>
            <w:vMerge w:val="continue"/>
          </w:tcPr>
          <w:p>
            <w:pPr>
              <w:spacing w:after="0"/>
              <w:rPr>
                <w:sz w:val="14"/>
                <w:szCs w:val="14"/>
                <w:color w:val="auto"/>
              </w:rPr>
            </w:pPr>
          </w:p>
        </w:tc>
        <w:tc>
          <w:tcPr>
            <w:tcW w:w="20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7"/>
              </w:rPr>
              <w:t>from an</w:t>
            </w:r>
          </w:p>
        </w:tc>
        <w:tc>
          <w:tcPr>
            <w:tcW w:w="0" w:type="dxa"/>
            <w:vAlign w:val="bottom"/>
          </w:tcPr>
          <w:p>
            <w:pPr>
              <w:spacing w:after="0"/>
              <w:rPr>
                <w:sz w:val="1"/>
                <w:szCs w:val="1"/>
                <w:color w:val="auto"/>
              </w:rPr>
            </w:pPr>
          </w:p>
        </w:tc>
      </w:tr>
      <w:tr>
        <w:trPr>
          <w:trHeight w:val="171"/>
        </w:trPr>
        <w:tc>
          <w:tcPr>
            <w:tcW w:w="27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w w:val="95"/>
              </w:rPr>
              <w:t>Fair Value</w:t>
            </w:r>
          </w:p>
        </w:tc>
        <w:tc>
          <w:tcPr>
            <w:tcW w:w="200" w:type="dxa"/>
            <w:vAlign w:val="bottom"/>
            <w:tcBorders>
              <w:bottom w:val="single" w:sz="8" w:color="CFF0FC"/>
            </w:tcBorders>
          </w:tcPr>
          <w:p>
            <w:pPr>
              <w:spacing w:after="0"/>
              <w:rPr>
                <w:sz w:val="14"/>
                <w:szCs w:val="14"/>
                <w:color w:val="auto"/>
              </w:rPr>
            </w:pPr>
          </w:p>
        </w:tc>
        <w:tc>
          <w:tcPr>
            <w:tcW w:w="168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Technique</w:t>
            </w:r>
          </w:p>
        </w:tc>
        <w:tc>
          <w:tcPr>
            <w:tcW w:w="120" w:type="dxa"/>
            <w:vAlign w:val="bottom"/>
            <w:tcBorders>
              <w:bottom w:val="single" w:sz="8" w:color="CFF0FC"/>
            </w:tcBorders>
          </w:tcPr>
          <w:p>
            <w:pPr>
              <w:spacing w:after="0"/>
              <w:rPr>
                <w:sz w:val="14"/>
                <w:szCs w:val="14"/>
                <w:color w:val="auto"/>
              </w:rPr>
            </w:pPr>
          </w:p>
        </w:tc>
        <w:tc>
          <w:tcPr>
            <w:tcW w:w="166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Input</w:t>
            </w:r>
          </w:p>
        </w:tc>
        <w:tc>
          <w:tcPr>
            <w:tcW w:w="120" w:type="dxa"/>
            <w:vAlign w:val="bottom"/>
            <w:tcBorders>
              <w:bottom w:val="single" w:sz="8" w:color="CFF0FC"/>
            </w:tcBorders>
          </w:tcPr>
          <w:p>
            <w:pPr>
              <w:spacing w:after="0"/>
              <w:rPr>
                <w:sz w:val="14"/>
                <w:szCs w:val="14"/>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120" w:type="dxa"/>
            <w:vAlign w:val="bottom"/>
            <w:tcBorders>
              <w:bottom w:val="single" w:sz="8" w:color="CFF0FC"/>
            </w:tcBorders>
          </w:tcPr>
          <w:p>
            <w:pPr>
              <w:spacing w:after="0"/>
              <w:rPr>
                <w:sz w:val="14"/>
                <w:szCs w:val="14"/>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Increase to Input</w:t>
            </w:r>
          </w:p>
        </w:tc>
        <w:tc>
          <w:tcPr>
            <w:tcW w:w="0" w:type="dxa"/>
            <w:vAlign w:val="bottom"/>
          </w:tcPr>
          <w:p>
            <w:pPr>
              <w:spacing w:after="0"/>
              <w:rPr>
                <w:sz w:val="1"/>
                <w:szCs w:val="1"/>
                <w:color w:val="auto"/>
              </w:rPr>
            </w:pPr>
          </w:p>
        </w:tc>
      </w:tr>
      <w:tr>
        <w:trPr>
          <w:trHeight w:val="210"/>
        </w:trPr>
        <w:tc>
          <w:tcPr>
            <w:tcW w:w="2760" w:type="dxa"/>
            <w:vAlign w:val="bottom"/>
            <w:shd w:val="clear" w:color="auto" w:fill="CFF0FC"/>
          </w:tcPr>
          <w:p>
            <w:pPr>
              <w:spacing w:after="0"/>
              <w:rPr>
                <w:sz w:val="20"/>
                <w:szCs w:val="20"/>
                <w:color w:val="auto"/>
              </w:rPr>
            </w:pPr>
            <w:r>
              <w:rPr>
                <w:rFonts w:ascii="Arial" w:cs="Arial" w:eastAsia="Arial" w:hAnsi="Arial"/>
                <w:sz w:val="16"/>
                <w:szCs w:val="16"/>
                <w:color w:val="auto"/>
              </w:rPr>
              <w:t>First-lien debt investments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2,398,267</w:t>
            </w:r>
          </w:p>
        </w:tc>
        <w:tc>
          <w:tcPr>
            <w:tcW w:w="20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Income approach</w:t>
            </w:r>
          </w:p>
        </w:tc>
        <w:tc>
          <w:tcPr>
            <w:tcW w:w="17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Discount rate</w:t>
            </w:r>
          </w:p>
        </w:tc>
        <w:tc>
          <w:tcPr>
            <w:tcW w:w="20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4"/>
              </w:rPr>
              <w:t>6.0% — 17.6% (9.0%)</w:t>
            </w:r>
          </w:p>
        </w:tc>
        <w:tc>
          <w:tcPr>
            <w:tcW w:w="180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Decrease</w:t>
            </w:r>
          </w:p>
        </w:tc>
        <w:tc>
          <w:tcPr>
            <w:tcW w:w="0" w:type="dxa"/>
            <w:vAlign w:val="bottom"/>
          </w:tcPr>
          <w:p>
            <w:pPr>
              <w:spacing w:after="0"/>
              <w:rPr>
                <w:sz w:val="1"/>
                <w:szCs w:val="1"/>
                <w:color w:val="auto"/>
              </w:rPr>
            </w:pPr>
          </w:p>
        </w:tc>
      </w:tr>
      <w:tr>
        <w:trPr>
          <w:trHeight w:val="213"/>
        </w:trPr>
        <w:tc>
          <w:tcPr>
            <w:tcW w:w="2760" w:type="dxa"/>
            <w:vAlign w:val="bottom"/>
          </w:tcPr>
          <w:p>
            <w:pPr>
              <w:spacing w:after="0"/>
              <w:rPr>
                <w:sz w:val="20"/>
                <w:szCs w:val="20"/>
                <w:color w:val="auto"/>
              </w:rPr>
            </w:pPr>
            <w:r>
              <w:rPr>
                <w:rFonts w:ascii="Arial" w:cs="Arial" w:eastAsia="Arial" w:hAnsi="Arial"/>
                <w:sz w:val="16"/>
                <w:szCs w:val="16"/>
                <w:color w:val="auto"/>
              </w:rPr>
              <w:t>Second-lien debt investments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6,285</w:t>
            </w:r>
          </w:p>
        </w:tc>
        <w:tc>
          <w:tcPr>
            <w:tcW w:w="200" w:type="dxa"/>
            <w:vAlign w:val="bottom"/>
          </w:tcPr>
          <w:p>
            <w:pPr>
              <w:spacing w:after="0"/>
              <w:rPr>
                <w:sz w:val="18"/>
                <w:szCs w:val="18"/>
                <w:color w:val="auto"/>
              </w:rPr>
            </w:pPr>
          </w:p>
        </w:tc>
        <w:tc>
          <w:tcPr>
            <w:tcW w:w="1800" w:type="dxa"/>
            <w:vAlign w:val="bottom"/>
            <w:gridSpan w:val="2"/>
          </w:tcPr>
          <w:p>
            <w:pPr>
              <w:spacing w:after="0"/>
              <w:rPr>
                <w:sz w:val="20"/>
                <w:szCs w:val="20"/>
                <w:color w:val="auto"/>
              </w:rPr>
            </w:pPr>
            <w:r>
              <w:rPr>
                <w:rFonts w:ascii="Arial" w:cs="Arial" w:eastAsia="Arial" w:hAnsi="Arial"/>
                <w:sz w:val="16"/>
                <w:szCs w:val="16"/>
                <w:color w:val="auto"/>
              </w:rPr>
              <w:t>Income approach</w:t>
            </w:r>
          </w:p>
        </w:tc>
        <w:tc>
          <w:tcPr>
            <w:tcW w:w="1780" w:type="dxa"/>
            <w:vAlign w:val="bottom"/>
            <w:gridSpan w:val="2"/>
          </w:tcPr>
          <w:p>
            <w:pPr>
              <w:spacing w:after="0"/>
              <w:rPr>
                <w:sz w:val="20"/>
                <w:szCs w:val="20"/>
                <w:color w:val="auto"/>
              </w:rPr>
            </w:pPr>
            <w:r>
              <w:rPr>
                <w:rFonts w:ascii="Arial" w:cs="Arial" w:eastAsia="Arial" w:hAnsi="Arial"/>
                <w:sz w:val="16"/>
                <w:szCs w:val="16"/>
                <w:color w:val="auto"/>
              </w:rPr>
              <w:t>Discount rate</w:t>
            </w:r>
          </w:p>
        </w:tc>
        <w:tc>
          <w:tcPr>
            <w:tcW w:w="2000" w:type="dxa"/>
            <w:vAlign w:val="bottom"/>
          </w:tcPr>
          <w:p>
            <w:pPr>
              <w:jc w:val="center"/>
              <w:spacing w:after="0"/>
              <w:rPr>
                <w:sz w:val="20"/>
                <w:szCs w:val="20"/>
                <w:color w:val="auto"/>
              </w:rPr>
            </w:pPr>
            <w:r>
              <w:rPr>
                <w:rFonts w:ascii="Arial" w:cs="Arial" w:eastAsia="Arial" w:hAnsi="Arial"/>
                <w:sz w:val="16"/>
                <w:szCs w:val="16"/>
                <w:color w:val="auto"/>
                <w:w w:val="93"/>
              </w:rPr>
              <w:t>9.7% — 9.7% (9.7%)</w:t>
            </w:r>
          </w:p>
        </w:tc>
        <w:tc>
          <w:tcPr>
            <w:tcW w:w="1800" w:type="dxa"/>
            <w:vAlign w:val="bottom"/>
            <w:gridSpan w:val="2"/>
          </w:tcPr>
          <w:p>
            <w:pPr>
              <w:ind w:left="120"/>
              <w:spacing w:after="0"/>
              <w:rPr>
                <w:sz w:val="20"/>
                <w:szCs w:val="20"/>
                <w:color w:val="auto"/>
              </w:rPr>
            </w:pPr>
            <w:r>
              <w:rPr>
                <w:rFonts w:ascii="Arial" w:cs="Arial" w:eastAsia="Arial" w:hAnsi="Arial"/>
                <w:sz w:val="16"/>
                <w:szCs w:val="16"/>
                <w:color w:val="auto"/>
              </w:rPr>
              <w:t>Decrease</w:t>
            </w:r>
          </w:p>
        </w:tc>
        <w:tc>
          <w:tcPr>
            <w:tcW w:w="0" w:type="dxa"/>
            <w:vAlign w:val="bottom"/>
          </w:tcPr>
          <w:p>
            <w:pPr>
              <w:spacing w:after="0"/>
              <w:rPr>
                <w:sz w:val="1"/>
                <w:szCs w:val="1"/>
                <w:color w:val="auto"/>
              </w:rPr>
            </w:pPr>
          </w:p>
        </w:tc>
      </w:tr>
      <w:tr>
        <w:trPr>
          <w:trHeight w:val="219"/>
        </w:trPr>
        <w:tc>
          <w:tcPr>
            <w:tcW w:w="2760" w:type="dxa"/>
            <w:vAlign w:val="bottom"/>
            <w:shd w:val="clear" w:color="auto" w:fill="CFF0FC"/>
          </w:tcPr>
          <w:p>
            <w:pPr>
              <w:spacing w:after="0"/>
              <w:rPr>
                <w:sz w:val="20"/>
                <w:szCs w:val="20"/>
                <w:color w:val="auto"/>
              </w:rPr>
            </w:pPr>
            <w:r>
              <w:rPr>
                <w:rFonts w:ascii="Arial" w:cs="Arial" w:eastAsia="Arial" w:hAnsi="Arial"/>
                <w:sz w:val="16"/>
                <w:szCs w:val="16"/>
                <w:color w:val="auto"/>
              </w:rPr>
              <w:t>Mezzanine debt investments</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16,758</w:t>
            </w:r>
          </w:p>
        </w:tc>
        <w:tc>
          <w:tcPr>
            <w:tcW w:w="20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spacing w:after="0" w:line="218" w:lineRule="exact"/>
              <w:rPr>
                <w:sz w:val="20"/>
                <w:szCs w:val="20"/>
                <w:color w:val="auto"/>
              </w:rPr>
            </w:pPr>
            <w:r>
              <w:rPr>
                <w:rFonts w:ascii="Arial" w:cs="Arial" w:eastAsia="Arial" w:hAnsi="Arial"/>
                <w:sz w:val="15"/>
                <w:szCs w:val="15"/>
                <w:color w:val="auto"/>
              </w:rPr>
              <w:t xml:space="preserve">Income approach </w:t>
            </w:r>
            <w:r>
              <w:rPr>
                <w:rFonts w:ascii="Arial" w:cs="Arial" w:eastAsia="Arial" w:hAnsi="Arial"/>
                <w:sz w:val="25"/>
                <w:szCs w:val="25"/>
                <w:color w:val="auto"/>
                <w:vertAlign w:val="superscript"/>
              </w:rPr>
              <w:t>(1)</w:t>
            </w:r>
          </w:p>
        </w:tc>
        <w:tc>
          <w:tcPr>
            <w:tcW w:w="17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Discount rate</w:t>
            </w:r>
          </w:p>
        </w:tc>
        <w:tc>
          <w:tcPr>
            <w:tcW w:w="20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3"/>
              </w:rPr>
              <w:t>6.3% — 8.8% (8.2%)</w:t>
            </w:r>
          </w:p>
        </w:tc>
        <w:tc>
          <w:tcPr>
            <w:tcW w:w="180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Decrease</w:t>
            </w: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6"/>
                <w:szCs w:val="16"/>
                <w:color w:val="auto"/>
              </w:rPr>
              <w:t>Equity and other investments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105,073</w:t>
            </w:r>
          </w:p>
        </w:tc>
        <w:tc>
          <w:tcPr>
            <w:tcW w:w="200" w:type="dxa"/>
            <w:vAlign w:val="bottom"/>
          </w:tcPr>
          <w:p>
            <w:pPr>
              <w:spacing w:after="0"/>
              <w:rPr>
                <w:sz w:val="18"/>
                <w:szCs w:val="18"/>
                <w:color w:val="auto"/>
              </w:rPr>
            </w:pPr>
          </w:p>
        </w:tc>
        <w:tc>
          <w:tcPr>
            <w:tcW w:w="1800" w:type="dxa"/>
            <w:vAlign w:val="bottom"/>
            <w:gridSpan w:val="2"/>
          </w:tcPr>
          <w:p>
            <w:pPr>
              <w:spacing w:after="0" w:line="216" w:lineRule="exact"/>
              <w:rPr>
                <w:sz w:val="20"/>
                <w:szCs w:val="20"/>
                <w:color w:val="auto"/>
              </w:rPr>
            </w:pPr>
            <w:r>
              <w:rPr>
                <w:rFonts w:ascii="Arial" w:cs="Arial" w:eastAsia="Arial" w:hAnsi="Arial"/>
                <w:sz w:val="15"/>
                <w:szCs w:val="15"/>
                <w:color w:val="auto"/>
              </w:rPr>
              <w:t xml:space="preserve">Market Multiple </w:t>
            </w:r>
            <w:r>
              <w:rPr>
                <w:rFonts w:ascii="Arial" w:cs="Arial" w:eastAsia="Arial" w:hAnsi="Arial"/>
                <w:sz w:val="25"/>
                <w:szCs w:val="25"/>
                <w:color w:val="auto"/>
                <w:vertAlign w:val="superscript"/>
              </w:rPr>
              <w:t>(2)</w:t>
            </w:r>
          </w:p>
        </w:tc>
        <w:tc>
          <w:tcPr>
            <w:tcW w:w="1780" w:type="dxa"/>
            <w:vAlign w:val="bottom"/>
            <w:gridSpan w:val="2"/>
          </w:tcPr>
          <w:p>
            <w:pPr>
              <w:spacing w:after="0"/>
              <w:rPr>
                <w:sz w:val="20"/>
                <w:szCs w:val="20"/>
                <w:color w:val="auto"/>
              </w:rPr>
            </w:pPr>
            <w:r>
              <w:rPr>
                <w:rFonts w:ascii="Arial" w:cs="Arial" w:eastAsia="Arial" w:hAnsi="Arial"/>
                <w:sz w:val="16"/>
                <w:szCs w:val="16"/>
                <w:color w:val="auto"/>
              </w:rPr>
              <w:t>Comparable multiple</w:t>
            </w:r>
          </w:p>
        </w:tc>
        <w:tc>
          <w:tcPr>
            <w:tcW w:w="2000" w:type="dxa"/>
            <w:vAlign w:val="bottom"/>
          </w:tcPr>
          <w:p>
            <w:pPr>
              <w:jc w:val="center"/>
              <w:spacing w:after="0"/>
              <w:rPr>
                <w:sz w:val="20"/>
                <w:szCs w:val="20"/>
                <w:color w:val="auto"/>
              </w:rPr>
            </w:pPr>
            <w:r>
              <w:rPr>
                <w:rFonts w:ascii="Arial" w:cs="Arial" w:eastAsia="Arial" w:hAnsi="Arial"/>
                <w:sz w:val="16"/>
                <w:szCs w:val="16"/>
                <w:color w:val="auto"/>
                <w:w w:val="94"/>
              </w:rPr>
              <w:t>4.0x — 17.5x (8.6x)</w:t>
            </w:r>
          </w:p>
        </w:tc>
        <w:tc>
          <w:tcPr>
            <w:tcW w:w="1800" w:type="dxa"/>
            <w:vAlign w:val="bottom"/>
            <w:gridSpan w:val="2"/>
          </w:tcPr>
          <w:p>
            <w:pPr>
              <w:ind w:left="120"/>
              <w:spacing w:after="0"/>
              <w:rPr>
                <w:sz w:val="20"/>
                <w:szCs w:val="20"/>
                <w:color w:val="auto"/>
              </w:rPr>
            </w:pPr>
            <w:r>
              <w:rPr>
                <w:rFonts w:ascii="Arial" w:cs="Arial" w:eastAsia="Arial" w:hAnsi="Arial"/>
                <w:sz w:val="16"/>
                <w:szCs w:val="16"/>
                <w:color w:val="auto"/>
              </w:rPr>
              <w:t>Increase</w:t>
            </w:r>
          </w:p>
        </w:tc>
        <w:tc>
          <w:tcPr>
            <w:tcW w:w="0" w:type="dxa"/>
            <w:vAlign w:val="bottom"/>
          </w:tcPr>
          <w:p>
            <w:pPr>
              <w:spacing w:after="0"/>
              <w:rPr>
                <w:sz w:val="1"/>
                <w:szCs w:val="1"/>
                <w:color w:val="auto"/>
              </w:rPr>
            </w:pPr>
          </w:p>
        </w:tc>
      </w:tr>
      <w:tr>
        <w:trPr>
          <w:trHeight w:val="206"/>
        </w:trPr>
        <w:tc>
          <w:tcPr>
            <w:tcW w:w="27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2,526,383</w:t>
            </w: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1680" w:type="dxa"/>
            <w:vAlign w:val="bottom"/>
            <w:tcBorders>
              <w:top w:val="single" w:sz="8" w:color="auto"/>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1660" w:type="dxa"/>
            <w:vAlign w:val="bottom"/>
            <w:tcBorders>
              <w:top w:val="single" w:sz="8" w:color="auto"/>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2000" w:type="dxa"/>
            <w:vAlign w:val="bottom"/>
            <w:tcBorders>
              <w:top w:val="single" w:sz="8" w:color="auto"/>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1680" w:type="dxa"/>
            <w:vAlign w:val="bottom"/>
            <w:tcBorders>
              <w:top w:val="single" w:sz="8" w:color="auto"/>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540" w:right="3860" w:hanging="5532"/>
        <w:spacing w:after="0" w:line="527" w:lineRule="auto"/>
        <w:tabs>
          <w:tab w:leader="none" w:pos="513"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$0.5 million of debt investments which were valued using an asset valuation waterfall.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748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24" w:right="339" w:bottom="1440" w:gutter="0" w:footer="0" w:header="0"/>
        </w:sectPr>
      </w:pPr>
    </w:p>
    <w:bookmarkStart w:id="37" w:name="page38"/>
    <w:bookmarkEnd w:id="37"/>
    <w:p>
      <w:pPr>
        <w:ind w:left="500" w:right="220" w:hanging="492"/>
        <w:spacing w:after="0" w:line="286" w:lineRule="auto"/>
        <w:tabs>
          <w:tab w:leader="none" w:pos="5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Includes $13.4 million of equity investments which were valued using an asset valuation waterfall, $12.1 million of equity investments using a Black-Scholes model, $17.3 million of equity investments using a discounted cash flow approach, and $18.2 million of equity investments which, due to the proximity of the transactions relative to the measurement date, were valued using the cost of the investments.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w w:val="91"/>
              </w:rPr>
              <w:t>December 31, 2020</w:t>
            </w:r>
          </w:p>
        </w:tc>
        <w:tc>
          <w:tcPr>
            <w:tcW w:w="4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Valuation</w:t>
            </w:r>
          </w:p>
        </w:tc>
        <w:tc>
          <w:tcPr>
            <w:tcW w:w="1940" w:type="dxa"/>
            <w:vAlign w:val="bottom"/>
            <w:gridSpan w:val="3"/>
            <w:vMerge w:val="restart"/>
          </w:tcPr>
          <w:p>
            <w:pPr>
              <w:ind w:left="400"/>
              <w:spacing w:after="0"/>
              <w:rPr>
                <w:sz w:val="20"/>
                <w:szCs w:val="20"/>
                <w:color w:val="auto"/>
              </w:rPr>
            </w:pPr>
            <w:r>
              <w:rPr>
                <w:rFonts w:ascii="Arial" w:cs="Arial" w:eastAsia="Arial" w:hAnsi="Arial"/>
                <w:sz w:val="14"/>
                <w:szCs w:val="14"/>
                <w:b w:val="1"/>
                <w:bCs w:val="1"/>
                <w:color w:val="auto"/>
              </w:rPr>
              <w:t>Unobservable</w:t>
            </w:r>
          </w:p>
        </w:tc>
        <w:tc>
          <w:tcPr>
            <w:tcW w:w="1840" w:type="dxa"/>
            <w:vAlign w:val="bottom"/>
            <w:gridSpan w:val="2"/>
            <w:vMerge w:val="restart"/>
          </w:tcPr>
          <w:p>
            <w:pPr>
              <w:jc w:val="center"/>
              <w:ind w:right="101"/>
              <w:spacing w:after="0"/>
              <w:rPr>
                <w:sz w:val="20"/>
                <w:szCs w:val="20"/>
                <w:color w:val="auto"/>
              </w:rPr>
            </w:pPr>
            <w:r>
              <w:rPr>
                <w:rFonts w:ascii="Arial" w:cs="Arial" w:eastAsia="Arial" w:hAnsi="Arial"/>
                <w:sz w:val="14"/>
                <w:szCs w:val="14"/>
                <w:b w:val="1"/>
                <w:bCs w:val="1"/>
                <w:color w:val="auto"/>
                <w:w w:val="92"/>
              </w:rPr>
              <w:t>Range (Weighted</w:t>
            </w:r>
          </w:p>
        </w:tc>
        <w:tc>
          <w:tcPr>
            <w:tcW w:w="120" w:type="dxa"/>
            <w:vAlign w:val="bottom"/>
          </w:tcPr>
          <w:p>
            <w:pPr>
              <w:spacing w:after="0"/>
              <w:rPr>
                <w:sz w:val="11"/>
                <w:szCs w:val="11"/>
                <w:color w:val="auto"/>
              </w:rPr>
            </w:pPr>
          </w:p>
        </w:tc>
        <w:tc>
          <w:tcPr>
            <w:tcW w:w="16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Impact to Valuation</w:t>
            </w:r>
          </w:p>
        </w:tc>
        <w:tc>
          <w:tcPr>
            <w:tcW w:w="0" w:type="dxa"/>
            <w:vAlign w:val="bottom"/>
          </w:tcPr>
          <w:p>
            <w:pPr>
              <w:spacing w:after="0"/>
              <w:rPr>
                <w:sz w:val="1"/>
                <w:szCs w:val="1"/>
                <w:color w:val="auto"/>
              </w:rPr>
            </w:pPr>
          </w:p>
        </w:tc>
      </w:tr>
      <w:tr>
        <w:trPr>
          <w:trHeight w:val="162"/>
        </w:trPr>
        <w:tc>
          <w:tcPr>
            <w:tcW w:w="2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2"/>
            <w:vMerge w:val="continue"/>
          </w:tcPr>
          <w:p>
            <w:pPr>
              <w:spacing w:after="0"/>
              <w:rPr>
                <w:sz w:val="14"/>
                <w:szCs w:val="14"/>
                <w:color w:val="auto"/>
              </w:rPr>
            </w:pPr>
          </w:p>
        </w:tc>
        <w:tc>
          <w:tcPr>
            <w:tcW w:w="1940" w:type="dxa"/>
            <w:vAlign w:val="bottom"/>
            <w:gridSpan w:val="3"/>
            <w:vMerge w:val="continue"/>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7"/>
              </w:rPr>
              <w:t>from an</w:t>
            </w:r>
          </w:p>
        </w:tc>
        <w:tc>
          <w:tcPr>
            <w:tcW w:w="0" w:type="dxa"/>
            <w:vAlign w:val="bottom"/>
          </w:tcPr>
          <w:p>
            <w:pPr>
              <w:spacing w:after="0"/>
              <w:rPr>
                <w:sz w:val="1"/>
                <w:szCs w:val="1"/>
                <w:color w:val="auto"/>
              </w:rPr>
            </w:pPr>
          </w:p>
        </w:tc>
      </w:tr>
      <w:tr>
        <w:trPr>
          <w:trHeight w:val="171"/>
        </w:trPr>
        <w:tc>
          <w:tcPr>
            <w:tcW w:w="27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w w:val="95"/>
              </w:rPr>
              <w:t>Fair Value</w:t>
            </w:r>
          </w:p>
        </w:tc>
        <w:tc>
          <w:tcPr>
            <w:tcW w:w="200" w:type="dxa"/>
            <w:vAlign w:val="bottom"/>
            <w:tcBorders>
              <w:bottom w:val="single" w:sz="8" w:color="CFF0FC"/>
            </w:tcBorders>
          </w:tcPr>
          <w:p>
            <w:pPr>
              <w:spacing w:after="0"/>
              <w:rPr>
                <w:sz w:val="14"/>
                <w:szCs w:val="14"/>
                <w:color w:val="auto"/>
              </w:rPr>
            </w:pPr>
          </w:p>
        </w:tc>
        <w:tc>
          <w:tcPr>
            <w:tcW w:w="168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Technique</w:t>
            </w:r>
          </w:p>
        </w:tc>
        <w:tc>
          <w:tcPr>
            <w:tcW w:w="120" w:type="dxa"/>
            <w:vAlign w:val="bottom"/>
            <w:tcBorders>
              <w:bottom w:val="single" w:sz="8" w:color="CFF0FC"/>
            </w:tcBorders>
          </w:tcPr>
          <w:p>
            <w:pPr>
              <w:spacing w:after="0"/>
              <w:rPr>
                <w:sz w:val="14"/>
                <w:szCs w:val="14"/>
                <w:color w:val="auto"/>
              </w:rPr>
            </w:pPr>
          </w:p>
        </w:tc>
        <w:tc>
          <w:tcPr>
            <w:tcW w:w="166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Input</w:t>
            </w:r>
          </w:p>
        </w:tc>
        <w:tc>
          <w:tcPr>
            <w:tcW w:w="1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center"/>
              <w:ind w:right="541"/>
              <w:spacing w:after="0"/>
              <w:rPr>
                <w:sz w:val="20"/>
                <w:szCs w:val="20"/>
                <w:color w:val="auto"/>
              </w:rPr>
            </w:pPr>
            <w:r>
              <w:rPr>
                <w:rFonts w:ascii="Arial" w:cs="Arial" w:eastAsia="Arial" w:hAnsi="Arial"/>
                <w:sz w:val="14"/>
                <w:szCs w:val="14"/>
                <w:b w:val="1"/>
                <w:bCs w:val="1"/>
                <w:color w:val="auto"/>
                <w:w w:val="90"/>
              </w:rPr>
              <w:t>Average)</w:t>
            </w:r>
          </w:p>
        </w:tc>
        <w:tc>
          <w:tcPr>
            <w:tcW w:w="120" w:type="dxa"/>
            <w:vAlign w:val="bottom"/>
            <w:tcBorders>
              <w:bottom w:val="single" w:sz="8" w:color="CFF0FC"/>
            </w:tcBorders>
          </w:tcPr>
          <w:p>
            <w:pPr>
              <w:spacing w:after="0"/>
              <w:rPr>
                <w:sz w:val="14"/>
                <w:szCs w:val="14"/>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Increase to Input</w:t>
            </w:r>
          </w:p>
        </w:tc>
        <w:tc>
          <w:tcPr>
            <w:tcW w:w="0" w:type="dxa"/>
            <w:vAlign w:val="bottom"/>
          </w:tcPr>
          <w:p>
            <w:pPr>
              <w:spacing w:after="0"/>
              <w:rPr>
                <w:sz w:val="1"/>
                <w:szCs w:val="1"/>
                <w:color w:val="auto"/>
              </w:rPr>
            </w:pPr>
          </w:p>
        </w:tc>
      </w:tr>
      <w:tr>
        <w:trPr>
          <w:trHeight w:val="209"/>
        </w:trPr>
        <w:tc>
          <w:tcPr>
            <w:tcW w:w="2760" w:type="dxa"/>
            <w:vAlign w:val="bottom"/>
            <w:shd w:val="clear" w:color="auto" w:fill="CFF0FC"/>
          </w:tcPr>
          <w:p>
            <w:pPr>
              <w:spacing w:after="0"/>
              <w:rPr>
                <w:sz w:val="20"/>
                <w:szCs w:val="20"/>
                <w:color w:val="auto"/>
              </w:rPr>
            </w:pPr>
            <w:r>
              <w:rPr>
                <w:rFonts w:ascii="Arial" w:cs="Arial" w:eastAsia="Arial" w:hAnsi="Arial"/>
                <w:sz w:val="16"/>
                <w:szCs w:val="16"/>
                <w:color w:val="auto"/>
              </w:rPr>
              <w:t>First-lien debt investments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2,158,551</w:t>
            </w:r>
          </w:p>
        </w:tc>
        <w:tc>
          <w:tcPr>
            <w:tcW w:w="20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spacing w:after="0" w:line="210" w:lineRule="exact"/>
              <w:rPr>
                <w:sz w:val="20"/>
                <w:szCs w:val="20"/>
                <w:color w:val="auto"/>
              </w:rPr>
            </w:pPr>
            <w:r>
              <w:rPr>
                <w:rFonts w:ascii="Arial" w:cs="Arial" w:eastAsia="Arial" w:hAnsi="Arial"/>
                <w:sz w:val="15"/>
                <w:szCs w:val="15"/>
                <w:color w:val="auto"/>
              </w:rPr>
              <w:t xml:space="preserve">Income approach </w:t>
            </w:r>
            <w:r>
              <w:rPr>
                <w:rFonts w:ascii="Arial" w:cs="Arial" w:eastAsia="Arial" w:hAnsi="Arial"/>
                <w:sz w:val="24"/>
                <w:szCs w:val="24"/>
                <w:color w:val="auto"/>
                <w:vertAlign w:val="superscript"/>
              </w:rPr>
              <w:t>(1)</w:t>
            </w:r>
          </w:p>
        </w:tc>
        <w:tc>
          <w:tcPr>
            <w:tcW w:w="194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Discount rate</w:t>
            </w: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w:t>
            </w:r>
          </w:p>
        </w:tc>
        <w:tc>
          <w:tcPr>
            <w:tcW w:w="1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 35.2% (9.4%)</w:t>
            </w:r>
          </w:p>
        </w:tc>
        <w:tc>
          <w:tcPr>
            <w:tcW w:w="180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Decrease</w:t>
            </w:r>
          </w:p>
        </w:tc>
        <w:tc>
          <w:tcPr>
            <w:tcW w:w="0" w:type="dxa"/>
            <w:vAlign w:val="bottom"/>
          </w:tcPr>
          <w:p>
            <w:pPr>
              <w:spacing w:after="0"/>
              <w:rPr>
                <w:sz w:val="1"/>
                <w:szCs w:val="1"/>
                <w:color w:val="auto"/>
              </w:rPr>
            </w:pPr>
          </w:p>
        </w:tc>
      </w:tr>
      <w:tr>
        <w:trPr>
          <w:trHeight w:val="213"/>
        </w:trPr>
        <w:tc>
          <w:tcPr>
            <w:tcW w:w="2760" w:type="dxa"/>
            <w:vAlign w:val="bottom"/>
          </w:tcPr>
          <w:p>
            <w:pPr>
              <w:spacing w:after="0"/>
              <w:rPr>
                <w:sz w:val="20"/>
                <w:szCs w:val="20"/>
                <w:color w:val="auto"/>
              </w:rPr>
            </w:pPr>
            <w:r>
              <w:rPr>
                <w:rFonts w:ascii="Arial" w:cs="Arial" w:eastAsia="Arial" w:hAnsi="Arial"/>
                <w:sz w:val="16"/>
                <w:szCs w:val="16"/>
                <w:color w:val="auto"/>
              </w:rPr>
              <w:t>Second-lien debt investments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5,037</w:t>
            </w:r>
          </w:p>
        </w:tc>
        <w:tc>
          <w:tcPr>
            <w:tcW w:w="200" w:type="dxa"/>
            <w:vAlign w:val="bottom"/>
          </w:tcPr>
          <w:p>
            <w:pPr>
              <w:spacing w:after="0"/>
              <w:rPr>
                <w:sz w:val="18"/>
                <w:szCs w:val="18"/>
                <w:color w:val="auto"/>
              </w:rPr>
            </w:pPr>
          </w:p>
        </w:tc>
        <w:tc>
          <w:tcPr>
            <w:tcW w:w="1800" w:type="dxa"/>
            <w:vAlign w:val="bottom"/>
            <w:gridSpan w:val="2"/>
          </w:tcPr>
          <w:p>
            <w:pPr>
              <w:spacing w:after="0"/>
              <w:rPr>
                <w:sz w:val="20"/>
                <w:szCs w:val="20"/>
                <w:color w:val="auto"/>
              </w:rPr>
            </w:pPr>
            <w:r>
              <w:rPr>
                <w:rFonts w:ascii="Arial" w:cs="Arial" w:eastAsia="Arial" w:hAnsi="Arial"/>
                <w:sz w:val="16"/>
                <w:szCs w:val="16"/>
                <w:color w:val="auto"/>
              </w:rPr>
              <w:t>Income approach</w:t>
            </w:r>
          </w:p>
        </w:tc>
        <w:tc>
          <w:tcPr>
            <w:tcW w:w="1940" w:type="dxa"/>
            <w:vAlign w:val="bottom"/>
            <w:gridSpan w:val="3"/>
          </w:tcPr>
          <w:p>
            <w:pPr>
              <w:spacing w:after="0"/>
              <w:rPr>
                <w:sz w:val="20"/>
                <w:szCs w:val="20"/>
                <w:color w:val="auto"/>
              </w:rPr>
            </w:pPr>
            <w:r>
              <w:rPr>
                <w:rFonts w:ascii="Arial" w:cs="Arial" w:eastAsia="Arial" w:hAnsi="Arial"/>
                <w:sz w:val="16"/>
                <w:szCs w:val="16"/>
                <w:color w:val="auto"/>
              </w:rPr>
              <w:t>Discount rate</w:t>
            </w:r>
          </w:p>
        </w:tc>
        <w:tc>
          <w:tcPr>
            <w:tcW w:w="440" w:type="dxa"/>
            <w:vAlign w:val="bottom"/>
          </w:tcPr>
          <w:p>
            <w:pPr>
              <w:jc w:val="right"/>
              <w:spacing w:after="0"/>
              <w:rPr>
                <w:sz w:val="20"/>
                <w:szCs w:val="20"/>
                <w:color w:val="auto"/>
              </w:rPr>
            </w:pPr>
            <w:r>
              <w:rPr>
                <w:rFonts w:ascii="Arial" w:cs="Arial" w:eastAsia="Arial" w:hAnsi="Arial"/>
                <w:sz w:val="16"/>
                <w:szCs w:val="16"/>
                <w:color w:val="auto"/>
                <w:w w:val="92"/>
              </w:rPr>
              <w:t>11.8%</w:t>
            </w:r>
          </w:p>
        </w:tc>
        <w:tc>
          <w:tcPr>
            <w:tcW w:w="1400" w:type="dxa"/>
            <w:vAlign w:val="bottom"/>
          </w:tcPr>
          <w:p>
            <w:pPr>
              <w:ind w:left="40"/>
              <w:spacing w:after="0"/>
              <w:rPr>
                <w:sz w:val="20"/>
                <w:szCs w:val="20"/>
                <w:color w:val="auto"/>
              </w:rPr>
            </w:pPr>
            <w:r>
              <w:rPr>
                <w:rFonts w:ascii="Arial" w:cs="Arial" w:eastAsia="Arial" w:hAnsi="Arial"/>
                <w:sz w:val="16"/>
                <w:szCs w:val="16"/>
                <w:color w:val="auto"/>
              </w:rPr>
              <w:t>— 11.8% (11.8%)</w:t>
            </w:r>
          </w:p>
        </w:tc>
        <w:tc>
          <w:tcPr>
            <w:tcW w:w="1800" w:type="dxa"/>
            <w:vAlign w:val="bottom"/>
            <w:gridSpan w:val="2"/>
          </w:tcPr>
          <w:p>
            <w:pPr>
              <w:ind w:left="120"/>
              <w:spacing w:after="0"/>
              <w:rPr>
                <w:sz w:val="20"/>
                <w:szCs w:val="20"/>
                <w:color w:val="auto"/>
              </w:rPr>
            </w:pPr>
            <w:r>
              <w:rPr>
                <w:rFonts w:ascii="Arial" w:cs="Arial" w:eastAsia="Arial" w:hAnsi="Arial"/>
                <w:sz w:val="16"/>
                <w:szCs w:val="16"/>
                <w:color w:val="auto"/>
              </w:rPr>
              <w:t>Decrease</w:t>
            </w:r>
          </w:p>
        </w:tc>
        <w:tc>
          <w:tcPr>
            <w:tcW w:w="0" w:type="dxa"/>
            <w:vAlign w:val="bottom"/>
          </w:tcPr>
          <w:p>
            <w:pPr>
              <w:spacing w:after="0"/>
              <w:rPr>
                <w:sz w:val="1"/>
                <w:szCs w:val="1"/>
                <w:color w:val="auto"/>
              </w:rPr>
            </w:pPr>
          </w:p>
        </w:tc>
      </w:tr>
      <w:tr>
        <w:trPr>
          <w:trHeight w:val="219"/>
        </w:trPr>
        <w:tc>
          <w:tcPr>
            <w:tcW w:w="2760" w:type="dxa"/>
            <w:vAlign w:val="bottom"/>
            <w:shd w:val="clear" w:color="auto" w:fill="CFF0FC"/>
          </w:tcPr>
          <w:p>
            <w:pPr>
              <w:spacing w:after="0"/>
              <w:rPr>
                <w:sz w:val="20"/>
                <w:szCs w:val="20"/>
                <w:color w:val="auto"/>
              </w:rPr>
            </w:pPr>
            <w:r>
              <w:rPr>
                <w:rFonts w:ascii="Arial" w:cs="Arial" w:eastAsia="Arial" w:hAnsi="Arial"/>
                <w:sz w:val="16"/>
                <w:szCs w:val="16"/>
                <w:color w:val="auto"/>
              </w:rPr>
              <w:t>Mezzanine debt investments</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10,982</w:t>
            </w:r>
          </w:p>
        </w:tc>
        <w:tc>
          <w:tcPr>
            <w:tcW w:w="20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spacing w:after="0" w:line="218" w:lineRule="exact"/>
              <w:rPr>
                <w:sz w:val="20"/>
                <w:szCs w:val="20"/>
                <w:color w:val="auto"/>
              </w:rPr>
            </w:pPr>
            <w:r>
              <w:rPr>
                <w:rFonts w:ascii="Arial" w:cs="Arial" w:eastAsia="Arial" w:hAnsi="Arial"/>
                <w:sz w:val="15"/>
                <w:szCs w:val="15"/>
                <w:color w:val="auto"/>
              </w:rPr>
              <w:t xml:space="preserve">Income approach </w:t>
            </w:r>
            <w:r>
              <w:rPr>
                <w:rFonts w:ascii="Arial" w:cs="Arial" w:eastAsia="Arial" w:hAnsi="Arial"/>
                <w:sz w:val="25"/>
                <w:szCs w:val="25"/>
                <w:color w:val="auto"/>
                <w:vertAlign w:val="superscript"/>
              </w:rPr>
              <w:t>(2)</w:t>
            </w:r>
          </w:p>
        </w:tc>
        <w:tc>
          <w:tcPr>
            <w:tcW w:w="194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Discount rate</w:t>
            </w: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2"/>
              </w:rPr>
              <w:t>10.1%</w:t>
            </w:r>
          </w:p>
        </w:tc>
        <w:tc>
          <w:tcPr>
            <w:tcW w:w="1400" w:type="dxa"/>
            <w:vAlign w:val="bottom"/>
            <w:shd w:val="clear" w:color="auto" w:fill="CFF0FC"/>
          </w:tcPr>
          <w:p>
            <w:pPr>
              <w:ind w:left="40"/>
              <w:spacing w:after="0"/>
              <w:rPr>
                <w:sz w:val="20"/>
                <w:szCs w:val="20"/>
                <w:color w:val="auto"/>
              </w:rPr>
            </w:pPr>
            <w:r>
              <w:rPr>
                <w:rFonts w:ascii="Arial" w:cs="Arial" w:eastAsia="Arial" w:hAnsi="Arial"/>
                <w:sz w:val="16"/>
                <w:szCs w:val="16"/>
                <w:color w:val="auto"/>
              </w:rPr>
              <w:t>— 11.9% (10.5%)</w:t>
            </w:r>
          </w:p>
        </w:tc>
        <w:tc>
          <w:tcPr>
            <w:tcW w:w="180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Decrease</w:t>
            </w: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6"/>
                <w:szCs w:val="16"/>
                <w:color w:val="auto"/>
              </w:rPr>
              <w:t>Equity and other investments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75,150</w:t>
            </w:r>
          </w:p>
        </w:tc>
        <w:tc>
          <w:tcPr>
            <w:tcW w:w="200" w:type="dxa"/>
            <w:vAlign w:val="bottom"/>
          </w:tcPr>
          <w:p>
            <w:pPr>
              <w:spacing w:after="0"/>
              <w:rPr>
                <w:sz w:val="18"/>
                <w:szCs w:val="18"/>
                <w:color w:val="auto"/>
              </w:rPr>
            </w:pPr>
          </w:p>
        </w:tc>
        <w:tc>
          <w:tcPr>
            <w:tcW w:w="1800" w:type="dxa"/>
            <w:vAlign w:val="bottom"/>
            <w:gridSpan w:val="2"/>
          </w:tcPr>
          <w:p>
            <w:pPr>
              <w:spacing w:after="0" w:line="216" w:lineRule="exact"/>
              <w:rPr>
                <w:sz w:val="20"/>
                <w:szCs w:val="20"/>
                <w:color w:val="auto"/>
              </w:rPr>
            </w:pPr>
            <w:r>
              <w:rPr>
                <w:rFonts w:ascii="Arial" w:cs="Arial" w:eastAsia="Arial" w:hAnsi="Arial"/>
                <w:sz w:val="15"/>
                <w:szCs w:val="15"/>
                <w:color w:val="auto"/>
              </w:rPr>
              <w:t xml:space="preserve">Market Multiple </w:t>
            </w:r>
            <w:r>
              <w:rPr>
                <w:rFonts w:ascii="Arial" w:cs="Arial" w:eastAsia="Arial" w:hAnsi="Arial"/>
                <w:sz w:val="25"/>
                <w:szCs w:val="25"/>
                <w:color w:val="auto"/>
                <w:vertAlign w:val="superscript"/>
              </w:rPr>
              <w:t>(3)</w:t>
            </w:r>
          </w:p>
        </w:tc>
        <w:tc>
          <w:tcPr>
            <w:tcW w:w="1940" w:type="dxa"/>
            <w:vAlign w:val="bottom"/>
            <w:gridSpan w:val="3"/>
          </w:tcPr>
          <w:p>
            <w:pPr>
              <w:spacing w:after="0"/>
              <w:rPr>
                <w:sz w:val="20"/>
                <w:szCs w:val="20"/>
                <w:color w:val="auto"/>
              </w:rPr>
            </w:pPr>
            <w:r>
              <w:rPr>
                <w:rFonts w:ascii="Arial" w:cs="Arial" w:eastAsia="Arial" w:hAnsi="Arial"/>
                <w:sz w:val="16"/>
                <w:szCs w:val="16"/>
                <w:color w:val="auto"/>
              </w:rPr>
              <w:t>Comparable multiple</w:t>
            </w:r>
          </w:p>
        </w:tc>
        <w:tc>
          <w:tcPr>
            <w:tcW w:w="1840" w:type="dxa"/>
            <w:vAlign w:val="bottom"/>
            <w:gridSpan w:val="2"/>
          </w:tcPr>
          <w:p>
            <w:pPr>
              <w:jc w:val="center"/>
              <w:ind w:right="81"/>
              <w:spacing w:after="0"/>
              <w:rPr>
                <w:sz w:val="20"/>
                <w:szCs w:val="20"/>
                <w:color w:val="auto"/>
              </w:rPr>
            </w:pPr>
            <w:r>
              <w:rPr>
                <w:rFonts w:ascii="Arial" w:cs="Arial" w:eastAsia="Arial" w:hAnsi="Arial"/>
                <w:sz w:val="16"/>
                <w:szCs w:val="16"/>
                <w:color w:val="auto"/>
                <w:w w:val="94"/>
              </w:rPr>
              <w:t>3.5x — 16.0x (8.7x)</w:t>
            </w:r>
          </w:p>
        </w:tc>
        <w:tc>
          <w:tcPr>
            <w:tcW w:w="1800" w:type="dxa"/>
            <w:vAlign w:val="bottom"/>
            <w:gridSpan w:val="2"/>
          </w:tcPr>
          <w:p>
            <w:pPr>
              <w:ind w:left="120"/>
              <w:spacing w:after="0"/>
              <w:rPr>
                <w:sz w:val="20"/>
                <w:szCs w:val="20"/>
                <w:color w:val="auto"/>
              </w:rPr>
            </w:pPr>
            <w:r>
              <w:rPr>
                <w:rFonts w:ascii="Arial" w:cs="Arial" w:eastAsia="Arial" w:hAnsi="Arial"/>
                <w:sz w:val="16"/>
                <w:szCs w:val="16"/>
                <w:color w:val="auto"/>
              </w:rPr>
              <w:t>Increase</w:t>
            </w:r>
          </w:p>
        </w:tc>
        <w:tc>
          <w:tcPr>
            <w:tcW w:w="0" w:type="dxa"/>
            <w:vAlign w:val="bottom"/>
          </w:tcPr>
          <w:p>
            <w:pPr>
              <w:spacing w:after="0"/>
              <w:rPr>
                <w:sz w:val="1"/>
                <w:szCs w:val="1"/>
                <w:color w:val="auto"/>
              </w:rPr>
            </w:pPr>
          </w:p>
        </w:tc>
      </w:tr>
      <w:tr>
        <w:trPr>
          <w:trHeight w:val="207"/>
        </w:trPr>
        <w:tc>
          <w:tcPr>
            <w:tcW w:w="27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2,249,720</w:t>
            </w: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1680" w:type="dxa"/>
            <w:vAlign w:val="bottom"/>
            <w:tcBorders>
              <w:top w:val="single" w:sz="8" w:color="auto"/>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1660" w:type="dxa"/>
            <w:vAlign w:val="bottom"/>
            <w:tcBorders>
              <w:top w:val="single" w:sz="8" w:color="auto"/>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CFF0FC"/>
            </w:tcBorders>
            <w:shd w:val="clear" w:color="auto" w:fill="CFF0FC"/>
          </w:tcPr>
          <w:p>
            <w:pPr>
              <w:spacing w:after="0"/>
              <w:rPr>
                <w:sz w:val="17"/>
                <w:szCs w:val="17"/>
                <w:color w:val="auto"/>
              </w:rPr>
            </w:pPr>
          </w:p>
        </w:tc>
        <w:tc>
          <w:tcPr>
            <w:tcW w:w="440" w:type="dxa"/>
            <w:vAlign w:val="bottom"/>
            <w:tcBorders>
              <w:top w:val="single" w:sz="8" w:color="auto"/>
              <w:bottom w:val="single" w:sz="8" w:color="CFF0FC"/>
            </w:tcBorders>
            <w:shd w:val="clear" w:color="auto" w:fill="CFF0FC"/>
          </w:tcPr>
          <w:p>
            <w:pPr>
              <w:spacing w:after="0"/>
              <w:rPr>
                <w:sz w:val="17"/>
                <w:szCs w:val="17"/>
                <w:color w:val="auto"/>
              </w:rPr>
            </w:pPr>
          </w:p>
        </w:tc>
        <w:tc>
          <w:tcPr>
            <w:tcW w:w="1400" w:type="dxa"/>
            <w:vAlign w:val="bottom"/>
            <w:tcBorders>
              <w:top w:val="single" w:sz="8" w:color="auto"/>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1680" w:type="dxa"/>
            <w:vAlign w:val="bottom"/>
            <w:tcBorders>
              <w:top w:val="single" w:sz="8" w:color="auto"/>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00" w:hanging="492"/>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$21.6 million of first-lien debt investments which were valued using an asset valuation waterfall.</w:t>
      </w:r>
    </w:p>
    <w:p>
      <w:pPr>
        <w:spacing w:after="0" w:line="49" w:lineRule="exact"/>
        <w:rPr>
          <w:rFonts w:ascii="Arial" w:cs="Arial" w:eastAsia="Arial" w:hAnsi="Arial"/>
          <w:sz w:val="18"/>
          <w:szCs w:val="18"/>
          <w:color w:val="auto"/>
        </w:rPr>
      </w:pPr>
    </w:p>
    <w:p>
      <w:pPr>
        <w:ind w:left="500" w:hanging="492"/>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$4.5 million of debt investments which were valued using a comparable multiple.</w:t>
      </w:r>
    </w:p>
    <w:p>
      <w:pPr>
        <w:spacing w:after="0" w:line="49" w:lineRule="exact"/>
        <w:rPr>
          <w:rFonts w:ascii="Arial" w:cs="Arial" w:eastAsia="Arial" w:hAnsi="Arial"/>
          <w:sz w:val="18"/>
          <w:szCs w:val="18"/>
          <w:color w:val="auto"/>
        </w:rPr>
      </w:pPr>
    </w:p>
    <w:p>
      <w:pPr>
        <w:ind w:left="500" w:right="60" w:hanging="492"/>
        <w:spacing w:after="0" w:line="259" w:lineRule="auto"/>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$1.3 million of equity investments which were valued using a weighted valuation approach, $3.9 million of equity investments valued using an asset valuation waterfall, $3.0 million of equity investments using a Black-Scholes model, $15.8 million of equity investments using a discounted cash flow model and $8.1 million of equity investments which, due to the proximity of the transactions relative to the measurement date, were valued using the cost of the investments.</w:t>
      </w:r>
    </w:p>
    <w:p>
      <w:pPr>
        <w:spacing w:after="0" w:line="187" w:lineRule="exact"/>
        <w:rPr>
          <w:sz w:val="20"/>
          <w:szCs w:val="20"/>
          <w:color w:val="auto"/>
        </w:rPr>
      </w:pPr>
    </w:p>
    <w:p>
      <w:pPr>
        <w:ind w:right="280" w:firstLine="255"/>
        <w:spacing w:after="0" w:line="275" w:lineRule="auto"/>
        <w:rPr>
          <w:sz w:val="20"/>
          <w:szCs w:val="20"/>
          <w:color w:val="auto"/>
        </w:rPr>
      </w:pPr>
      <w:r>
        <w:rPr>
          <w:rFonts w:ascii="Arial" w:cs="Arial" w:eastAsia="Arial" w:hAnsi="Arial"/>
          <w:sz w:val="17"/>
          <w:szCs w:val="17"/>
          <w:color w:val="auto"/>
        </w:rPr>
        <w:t>The Company typically determines the fair value of its performing Level 3 debt investments utilizing a yield analysis. In a yield analysis, a price is ascribed for each investment based upon an assessment of current and expected market yields for similar investments and risk profiles. Additional consideration is given to the expected life, portfolio company performance since close, and other terms and risks associated with an investment. Among other factors, a determinant of risk is the amount of leverage used by the portfolio company relative to the total enterprise value of the company, and the rights and remedies of our investment within each portfolio company’s capital structure.</w:t>
      </w:r>
    </w:p>
    <w:p>
      <w:pPr>
        <w:spacing w:after="0" w:line="176" w:lineRule="exact"/>
        <w:rPr>
          <w:sz w:val="20"/>
          <w:szCs w:val="20"/>
          <w:color w:val="auto"/>
        </w:rPr>
      </w:pPr>
    </w:p>
    <w:p>
      <w:pPr>
        <w:ind w:right="240" w:firstLine="255"/>
        <w:spacing w:after="0" w:line="273" w:lineRule="auto"/>
        <w:rPr>
          <w:sz w:val="20"/>
          <w:szCs w:val="20"/>
          <w:color w:val="auto"/>
        </w:rPr>
      </w:pPr>
      <w:r>
        <w:rPr>
          <w:rFonts w:ascii="Arial" w:cs="Arial" w:eastAsia="Arial" w:hAnsi="Arial"/>
          <w:sz w:val="17"/>
          <w:szCs w:val="17"/>
          <w:color w:val="auto"/>
        </w:rPr>
        <w:t>Significant unobservable quantitative inputs typically considered in the fair value measurement of the Company’s Level 3 debt investments primarily include current market yields, including relevant market indices, but may also include quotes from brokers, dealers, and pricing services as indicated by comparable investments. If debt investments are credit impaired, an enterprise value analysis may be used to value such debt investments; however, in addition to the methods outlined above, other methods such as a liquidation or wind-down analysis may be utilized to estimate enterprise value. For the Company’s Level 3 equity investments, multiples of similar companies’ revenues, earnings before income taxes, depreciation and amortization (“EBITDA”) or some combination thereof and comparable market transactions are typically used.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Not Carried at Fair Value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Debt</w:t>
      </w:r>
    </w:p>
    <w:p>
      <w:pPr>
        <w:spacing w:after="0" w:line="117" w:lineRule="exact"/>
        <w:rPr>
          <w:sz w:val="20"/>
          <w:szCs w:val="20"/>
          <w:color w:val="auto"/>
        </w:rPr>
      </w:pPr>
    </w:p>
    <w:p>
      <w:pPr>
        <w:ind w:right="420" w:firstLine="255"/>
        <w:spacing w:after="0" w:line="277" w:lineRule="auto"/>
        <w:rPr>
          <w:sz w:val="20"/>
          <w:szCs w:val="20"/>
          <w:color w:val="auto"/>
        </w:rPr>
      </w:pPr>
      <w:r>
        <w:rPr>
          <w:rFonts w:ascii="Arial" w:cs="Arial" w:eastAsia="Arial" w:hAnsi="Arial"/>
          <w:sz w:val="18"/>
          <w:szCs w:val="18"/>
          <w:color w:val="auto"/>
        </w:rPr>
        <w:t>The fair value of the Company’s Revolving Credit Facility, which is categorized as Level 3 within the fair value hierarchy, as of June 30, 2021 and December 31, 2020, approximates its carrying value as the outstanding balance is callable at carrying value.</w:t>
      </w:r>
    </w:p>
    <w:p>
      <w:pPr>
        <w:spacing w:after="0" w:line="170" w:lineRule="exact"/>
        <w:rPr>
          <w:sz w:val="20"/>
          <w:szCs w:val="20"/>
          <w:color w:val="auto"/>
        </w:rPr>
      </w:pPr>
    </w:p>
    <w:p>
      <w:pPr>
        <w:ind w:right="40" w:firstLine="255"/>
        <w:spacing w:after="0" w:line="272" w:lineRule="auto"/>
        <w:rPr>
          <w:sz w:val="20"/>
          <w:szCs w:val="20"/>
          <w:color w:val="auto"/>
        </w:rPr>
      </w:pPr>
      <w:r>
        <w:rPr>
          <w:rFonts w:ascii="Arial" w:cs="Arial" w:eastAsia="Arial" w:hAnsi="Arial"/>
          <w:sz w:val="17"/>
          <w:szCs w:val="17"/>
          <w:color w:val="auto"/>
        </w:rPr>
        <w:t>The fair value of the Company’s 2022 Convertible Notes, 2023 Notes, 2024 Notes and 2026 Notes, which are categorized as Level 2 within the fair value hierarchy, as of June 30, 2021 was $166.0 million, $156.5 million, $369.2 million and $303.1 million, respectively, based on broker quotes received by the Company. The aggregate principal amount of the Company’s 2022 Convertible Notes, 2023 Notes, 2024 Notes and 2026 Notes, as of June 30, 2021, was $142.8 million, $150.0 million, $347.5 million and $300.0 million, respectively. The fair value of the Company’s 2022 Convertible Notes, 2023 Notes and 2024 Notes, which are categorized as Level 2 within the fair value hierarchy, as of December 31, 2020 was $156.3 million, $155.0 million and $359.6 million, based on broker quotes received by the Company. The aggregate principal amount of the Company’s 2022 Convertible Notes, 2023 Notes and 2024 Notes, as of December 31, 2020 was $142.8 million, $150.0 million and $347.5 million.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Other Financial Assets and Liabilities</w:t>
      </w:r>
    </w:p>
    <w:p>
      <w:pPr>
        <w:spacing w:after="0" w:line="117" w:lineRule="exact"/>
        <w:rPr>
          <w:sz w:val="20"/>
          <w:szCs w:val="20"/>
          <w:color w:val="auto"/>
        </w:rPr>
      </w:pPr>
    </w:p>
    <w:p>
      <w:pPr>
        <w:ind w:right="20" w:firstLine="255"/>
        <w:spacing w:after="0" w:line="259" w:lineRule="auto"/>
        <w:rPr>
          <w:sz w:val="20"/>
          <w:szCs w:val="20"/>
          <w:color w:val="auto"/>
        </w:rPr>
      </w:pPr>
      <w:r>
        <w:rPr>
          <w:rFonts w:ascii="Arial" w:cs="Arial" w:eastAsia="Arial" w:hAnsi="Arial"/>
          <w:sz w:val="18"/>
          <w:szCs w:val="18"/>
          <w:color w:val="auto"/>
        </w:rPr>
        <w:t>The carrying amounts of the Company’s assets and liabilities, other than investments at fair value and the 2022 Convertible Notes, 2023 Notes, 2024 Notes and 2026 Notes, approximate fair value due to their short maturities or their close proximity of the originations to the measurement date. Under the fair value hierarchy, cash and cash equivalents are classified as Level 1 while the Company’s other assets and liabilities, other than investments at fair value and Revolving Credit Facility, are classified as Level 2.</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7. Debt</w:t>
      </w:r>
    </w:p>
    <w:p>
      <w:pPr>
        <w:spacing w:after="0" w:line="121" w:lineRule="exact"/>
        <w:rPr>
          <w:sz w:val="20"/>
          <w:szCs w:val="20"/>
          <w:color w:val="auto"/>
        </w:rPr>
      </w:pPr>
    </w:p>
    <w:p>
      <w:pPr>
        <w:jc w:val="both"/>
        <w:ind w:right="300" w:firstLine="255"/>
        <w:spacing w:after="0" w:line="263" w:lineRule="auto"/>
        <w:rPr>
          <w:sz w:val="20"/>
          <w:szCs w:val="20"/>
          <w:color w:val="auto"/>
        </w:rPr>
      </w:pPr>
      <w:r>
        <w:rPr>
          <w:rFonts w:ascii="Arial" w:cs="Arial" w:eastAsia="Arial" w:hAnsi="Arial"/>
          <w:sz w:val="18"/>
          <w:szCs w:val="18"/>
          <w:color w:val="auto"/>
        </w:rPr>
        <w:t>In accordance with the 1940 Act, with certain limitations, the Company is allowed to borrow amounts such that its asset coverage, as defined in the 1940 Act, is at least 150% after such borrowing. As of June 30, 2021 and December 31, 2020, the Company’s asset coverage was 192.5% and 204.5%, respectively.</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Debt obligations consisted of the following as of June 30, 2021 and December 31, 2020:</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5"/>
          </w:tcPr>
          <w:p>
            <w:pPr>
              <w:ind w:left="660"/>
              <w:spacing w:after="0"/>
              <w:rPr>
                <w:sz w:val="20"/>
                <w:szCs w:val="20"/>
                <w:color w:val="auto"/>
              </w:rPr>
            </w:pPr>
            <w:r>
              <w:rPr>
                <w:rFonts w:ascii="Arial" w:cs="Arial" w:eastAsia="Arial" w:hAnsi="Arial"/>
                <w:sz w:val="14"/>
                <w:szCs w:val="14"/>
                <w:b w:val="1"/>
                <w:bCs w:val="1"/>
                <w:color w:val="auto"/>
              </w:rPr>
              <w:t>June 30, 2021</w:t>
            </w: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8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center"/>
              <w:ind w:right="57"/>
              <w:spacing w:after="0" w:line="133" w:lineRule="exact"/>
              <w:rPr>
                <w:sz w:val="20"/>
                <w:szCs w:val="20"/>
                <w:color w:val="auto"/>
              </w:rPr>
            </w:pPr>
            <w:r>
              <w:rPr>
                <w:rFonts w:ascii="Arial" w:cs="Arial" w:eastAsia="Arial" w:hAnsi="Arial"/>
                <w:sz w:val="14"/>
                <w:szCs w:val="14"/>
                <w:b w:val="1"/>
                <w:bCs w:val="1"/>
                <w:color w:val="auto"/>
                <w:w w:val="89"/>
              </w:rPr>
              <w:t>Aggregate</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7"/>
              </w:rPr>
              <w:t>Principal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Outstanding</w:t>
            </w:r>
          </w:p>
        </w:tc>
        <w:tc>
          <w:tcPr>
            <w:tcW w:w="140" w:type="dxa"/>
            <w:vAlign w:val="bottom"/>
          </w:tcPr>
          <w:p>
            <w:pPr>
              <w:spacing w:after="0"/>
              <w:rPr>
                <w:sz w:val="12"/>
                <w:szCs w:val="12"/>
                <w:color w:val="auto"/>
              </w:rPr>
            </w:pPr>
          </w:p>
        </w:tc>
        <w:tc>
          <w:tcPr>
            <w:tcW w:w="12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2"/>
                <w:szCs w:val="12"/>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57"/>
              <w:spacing w:after="0"/>
              <w:rPr>
                <w:sz w:val="20"/>
                <w:szCs w:val="20"/>
                <w:color w:val="auto"/>
              </w:rPr>
            </w:pPr>
            <w:r>
              <w:rPr>
                <w:rFonts w:ascii="Arial" w:cs="Arial" w:eastAsia="Arial" w:hAnsi="Arial"/>
                <w:sz w:val="14"/>
                <w:szCs w:val="14"/>
                <w:b w:val="1"/>
                <w:bCs w:val="1"/>
                <w:color w:val="auto"/>
                <w:w w:val="95"/>
              </w:rPr>
              <w:t>Committed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Principal</w:t>
            </w:r>
          </w:p>
        </w:tc>
        <w:tc>
          <w:tcPr>
            <w:tcW w:w="14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 xml:space="preserve">Available </w:t>
            </w:r>
            <w:r>
              <w:rPr>
                <w:rFonts w:ascii="Arial" w:cs="Arial" w:eastAsia="Arial" w:hAnsi="Arial"/>
                <w:sz w:val="12"/>
                <w:szCs w:val="12"/>
                <w:b w:val="1"/>
                <w:bCs w:val="1"/>
                <w:color w:val="auto"/>
                <w:w w:val="92"/>
              </w:rPr>
              <w:t>(1)</w:t>
            </w: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 xml:space="preserve">Value </w:t>
            </w:r>
            <w:r>
              <w:rPr>
                <w:rFonts w:ascii="Arial" w:cs="Arial" w:eastAsia="Arial" w:hAnsi="Arial"/>
                <w:sz w:val="12"/>
                <w:szCs w:val="12"/>
                <w:b w:val="1"/>
                <w:bCs w:val="1"/>
                <w:color w:val="auto"/>
                <w:w w:val="93"/>
              </w:rPr>
              <w:t>(2)(3)</w:t>
            </w:r>
          </w:p>
        </w:tc>
        <w:tc>
          <w:tcPr>
            <w:tcW w:w="0" w:type="dxa"/>
            <w:vAlign w:val="bottom"/>
          </w:tcPr>
          <w:p>
            <w:pPr>
              <w:spacing w:after="0"/>
              <w:rPr>
                <w:sz w:val="1"/>
                <w:szCs w:val="1"/>
                <w:color w:val="auto"/>
              </w:rPr>
            </w:pPr>
          </w:p>
        </w:tc>
      </w:tr>
      <w:tr>
        <w:trPr>
          <w:trHeight w:val="223"/>
        </w:trPr>
        <w:tc>
          <w:tcPr>
            <w:tcW w:w="51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1,485,000</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385,680</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1,099,320</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372,444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r>
              <w:rPr>
                <w:rFonts w:ascii="Arial" w:cs="Arial" w:eastAsia="Arial" w:hAnsi="Arial"/>
                <w:sz w:val="18"/>
                <w:szCs w:val="18"/>
                <w:color w:val="auto"/>
                <w:w w:val="89"/>
              </w:rPr>
              <w:t>2022</w:t>
            </w:r>
          </w:p>
        </w:tc>
        <w:tc>
          <w:tcPr>
            <w:tcW w:w="4780" w:type="dxa"/>
            <w:vAlign w:val="bottom"/>
          </w:tcPr>
          <w:p>
            <w:pPr>
              <w:ind w:left="20"/>
              <w:spacing w:after="0"/>
              <w:rPr>
                <w:sz w:val="20"/>
                <w:szCs w:val="20"/>
                <w:color w:val="auto"/>
              </w:rPr>
            </w:pPr>
            <w:r>
              <w:rPr>
                <w:rFonts w:ascii="Arial" w:cs="Arial" w:eastAsia="Arial" w:hAnsi="Arial"/>
                <w:sz w:val="18"/>
                <w:szCs w:val="18"/>
                <w:color w:val="auto"/>
              </w:rPr>
              <w:t>Convertible Notes</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142,809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142,809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141,966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 w:type="dxa"/>
            <w:vAlign w:val="bottom"/>
            <w:shd w:val="clear" w:color="auto" w:fill="CFF0FC"/>
          </w:tcPr>
          <w:p>
            <w:pPr>
              <w:spacing w:after="0"/>
              <w:rPr>
                <w:sz w:val="20"/>
                <w:szCs w:val="20"/>
                <w:color w:val="auto"/>
              </w:rPr>
            </w:pPr>
            <w:r>
              <w:rPr>
                <w:rFonts w:ascii="Arial" w:cs="Arial" w:eastAsia="Arial" w:hAnsi="Arial"/>
                <w:sz w:val="18"/>
                <w:szCs w:val="18"/>
                <w:color w:val="auto"/>
                <w:w w:val="89"/>
              </w:rPr>
              <w:t>2023</w:t>
            </w:r>
          </w:p>
        </w:tc>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Notes</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148,977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r>
              <w:rPr>
                <w:rFonts w:ascii="Arial" w:cs="Arial" w:eastAsia="Arial" w:hAnsi="Arial"/>
                <w:sz w:val="18"/>
                <w:szCs w:val="18"/>
                <w:color w:val="auto"/>
                <w:w w:val="89"/>
              </w:rPr>
              <w:t>2024</w:t>
            </w:r>
          </w:p>
        </w:tc>
        <w:tc>
          <w:tcPr>
            <w:tcW w:w="4780" w:type="dxa"/>
            <w:vAlign w:val="bottom"/>
          </w:tcPr>
          <w:p>
            <w:pPr>
              <w:ind w:left="20"/>
              <w:spacing w:after="0"/>
              <w:rPr>
                <w:sz w:val="20"/>
                <w:szCs w:val="20"/>
                <w:color w:val="auto"/>
              </w:rPr>
            </w:pPr>
            <w:r>
              <w:rPr>
                <w:rFonts w:ascii="Arial" w:cs="Arial" w:eastAsia="Arial" w:hAnsi="Arial"/>
                <w:sz w:val="18"/>
                <w:szCs w:val="18"/>
                <w:color w:val="auto"/>
              </w:rPr>
              <w:t>Notes</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347,500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347,500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353,465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 w:type="dxa"/>
            <w:vAlign w:val="bottom"/>
            <w:shd w:val="clear" w:color="auto" w:fill="CFF0FC"/>
          </w:tcPr>
          <w:p>
            <w:pPr>
              <w:spacing w:after="0"/>
              <w:rPr>
                <w:sz w:val="20"/>
                <w:szCs w:val="20"/>
                <w:color w:val="auto"/>
              </w:rPr>
            </w:pPr>
            <w:r>
              <w:rPr>
                <w:rFonts w:ascii="Arial" w:cs="Arial" w:eastAsia="Arial" w:hAnsi="Arial"/>
                <w:sz w:val="18"/>
                <w:szCs w:val="18"/>
                <w:color w:val="auto"/>
                <w:w w:val="89"/>
              </w:rPr>
              <w:t>2026</w:t>
            </w:r>
          </w:p>
        </w:tc>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Notes</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287,989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gridSpan w:val="2"/>
          </w:tcPr>
          <w:p>
            <w:pPr>
              <w:ind w:left="240"/>
              <w:spacing w:after="0"/>
              <w:rPr>
                <w:sz w:val="20"/>
                <w:szCs w:val="20"/>
                <w:color w:val="auto"/>
              </w:rPr>
            </w:pPr>
            <w:r>
              <w:rPr>
                <w:rFonts w:ascii="Arial" w:cs="Arial" w:eastAsia="Arial" w:hAnsi="Arial"/>
                <w:sz w:val="18"/>
                <w:szCs w:val="18"/>
                <w:b w:val="1"/>
                <w:bCs w:val="1"/>
                <w:color w:val="auto"/>
              </w:rPr>
              <w:t>Total Debt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2,425,309</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1,325,989</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1,099,320</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1,304,841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00" w:right="840" w:hanging="492"/>
        <w:spacing w:after="0" w:line="258" w:lineRule="auto"/>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amount available may be subject to limitations related to the borrowing base under the Revolving Credit Facility and asset coverage requirements.</w:t>
      </w:r>
    </w:p>
    <w:p>
      <w:pPr>
        <w:spacing w:after="0" w:line="1" w:lineRule="exact"/>
        <w:rPr>
          <w:rFonts w:ascii="Arial" w:cs="Arial" w:eastAsia="Arial" w:hAnsi="Arial"/>
          <w:sz w:val="18"/>
          <w:szCs w:val="18"/>
          <w:color w:val="auto"/>
        </w:rPr>
      </w:pPr>
    </w:p>
    <w:p>
      <w:pPr>
        <w:ind w:left="500" w:hanging="492"/>
        <w:spacing w:after="0" w:line="265" w:lineRule="auto"/>
        <w:tabs>
          <w:tab w:leader="none" w:pos="5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carrying values of the Revolving Credit Facility, 2022 Convertible Notes, 2023 Notes, 2024 Notes and 2026 Notes are presented net of deferred financing costs and original issue discounts of $13.2 million, $0.8 million, $1.0 million, $4.7 million and $5.8 million, respectively.</w:t>
      </w:r>
    </w:p>
    <w:p>
      <w:pPr>
        <w:jc w:val="both"/>
        <w:ind w:left="500" w:right="380" w:hanging="492"/>
        <w:spacing w:after="0" w:line="323" w:lineRule="auto"/>
        <w:tabs>
          <w:tab w:leader="none" w:pos="5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carrying values of the 2024 Notes and 2026 Notes are presented inclusive of an incremental $10.6 million and $(6.2) million, respectively, which represents an adjustment in the carrying values of the 2024 Notes and 2026 Notes, each resulting from a hedge accounting relationship.</w:t>
      </w:r>
    </w:p>
    <w:p>
      <w:pPr>
        <w:spacing w:after="0" w:line="18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rPr>
              <w:t>December 31, 2020</w:t>
            </w: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8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center"/>
              <w:ind w:right="58"/>
              <w:spacing w:after="0" w:line="133" w:lineRule="exact"/>
              <w:rPr>
                <w:sz w:val="20"/>
                <w:szCs w:val="20"/>
                <w:color w:val="auto"/>
              </w:rPr>
            </w:pPr>
            <w:r>
              <w:rPr>
                <w:rFonts w:ascii="Arial" w:cs="Arial" w:eastAsia="Arial" w:hAnsi="Arial"/>
                <w:sz w:val="14"/>
                <w:szCs w:val="14"/>
                <w:b w:val="1"/>
                <w:bCs w:val="1"/>
                <w:color w:val="auto"/>
                <w:w w:val="89"/>
              </w:rPr>
              <w:t>Aggregate</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7"/>
              </w:rPr>
              <w:t>Principal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Outstanding</w:t>
            </w:r>
          </w:p>
        </w:tc>
        <w:tc>
          <w:tcPr>
            <w:tcW w:w="140" w:type="dxa"/>
            <w:vAlign w:val="bottom"/>
          </w:tcPr>
          <w:p>
            <w:pPr>
              <w:spacing w:after="0"/>
              <w:rPr>
                <w:sz w:val="12"/>
                <w:szCs w:val="12"/>
                <w:color w:val="auto"/>
              </w:rPr>
            </w:pPr>
          </w:p>
        </w:tc>
        <w:tc>
          <w:tcPr>
            <w:tcW w:w="12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2"/>
                <w:szCs w:val="12"/>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58"/>
              <w:spacing w:after="0"/>
              <w:rPr>
                <w:sz w:val="20"/>
                <w:szCs w:val="20"/>
                <w:color w:val="auto"/>
              </w:rPr>
            </w:pPr>
            <w:r>
              <w:rPr>
                <w:rFonts w:ascii="Arial" w:cs="Arial" w:eastAsia="Arial" w:hAnsi="Arial"/>
                <w:sz w:val="14"/>
                <w:szCs w:val="14"/>
                <w:b w:val="1"/>
                <w:bCs w:val="1"/>
                <w:color w:val="auto"/>
                <w:w w:val="95"/>
              </w:rPr>
              <w:t>Committed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Principal</w:t>
            </w:r>
          </w:p>
        </w:tc>
        <w:tc>
          <w:tcPr>
            <w:tcW w:w="14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 xml:space="preserve">Available </w:t>
            </w:r>
            <w:r>
              <w:rPr>
                <w:rFonts w:ascii="Arial" w:cs="Arial" w:eastAsia="Arial" w:hAnsi="Arial"/>
                <w:sz w:val="12"/>
                <w:szCs w:val="12"/>
                <w:b w:val="1"/>
                <w:bCs w:val="1"/>
                <w:color w:val="auto"/>
                <w:w w:val="92"/>
              </w:rPr>
              <w:t>(1)</w:t>
            </w: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 xml:space="preserve">Value </w:t>
            </w:r>
            <w:r>
              <w:rPr>
                <w:rFonts w:ascii="Arial" w:cs="Arial" w:eastAsia="Arial" w:hAnsi="Arial"/>
                <w:sz w:val="12"/>
                <w:szCs w:val="12"/>
                <w:b w:val="1"/>
                <w:bCs w:val="1"/>
                <w:color w:val="auto"/>
                <w:w w:val="93"/>
              </w:rPr>
              <w:t>(2)(3)</w:t>
            </w:r>
          </w:p>
        </w:tc>
        <w:tc>
          <w:tcPr>
            <w:tcW w:w="0" w:type="dxa"/>
            <w:vAlign w:val="bottom"/>
          </w:tcPr>
          <w:p>
            <w:pPr>
              <w:spacing w:after="0"/>
              <w:rPr>
                <w:sz w:val="1"/>
                <w:szCs w:val="1"/>
                <w:color w:val="auto"/>
              </w:rPr>
            </w:pPr>
          </w:p>
        </w:tc>
      </w:tr>
      <w:tr>
        <w:trPr>
          <w:trHeight w:val="223"/>
        </w:trPr>
        <w:tc>
          <w:tcPr>
            <w:tcW w:w="51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1,335,000</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472,281</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862,719</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461,492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 w:type="dxa"/>
            <w:vAlign w:val="bottom"/>
          </w:tcPr>
          <w:p>
            <w:pPr>
              <w:spacing w:after="0"/>
              <w:rPr>
                <w:sz w:val="20"/>
                <w:szCs w:val="20"/>
                <w:color w:val="auto"/>
              </w:rPr>
            </w:pPr>
            <w:r>
              <w:rPr>
                <w:rFonts w:ascii="Arial" w:cs="Arial" w:eastAsia="Arial" w:hAnsi="Arial"/>
                <w:sz w:val="18"/>
                <w:szCs w:val="18"/>
                <w:color w:val="auto"/>
                <w:w w:val="89"/>
              </w:rPr>
              <w:t>2022</w:t>
            </w:r>
          </w:p>
        </w:tc>
        <w:tc>
          <w:tcPr>
            <w:tcW w:w="4780" w:type="dxa"/>
            <w:vAlign w:val="bottom"/>
          </w:tcPr>
          <w:p>
            <w:pPr>
              <w:ind w:left="20"/>
              <w:spacing w:after="0"/>
              <w:rPr>
                <w:sz w:val="20"/>
                <w:szCs w:val="20"/>
                <w:color w:val="auto"/>
              </w:rPr>
            </w:pPr>
            <w:r>
              <w:rPr>
                <w:rFonts w:ascii="Arial" w:cs="Arial" w:eastAsia="Arial" w:hAnsi="Arial"/>
                <w:sz w:val="18"/>
                <w:szCs w:val="18"/>
                <w:color w:val="auto"/>
              </w:rPr>
              <w:t>Convertible Notes</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142,809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142,809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141,297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shd w:val="clear" w:color="auto" w:fill="CFF0FC"/>
          </w:tcPr>
          <w:p>
            <w:pPr>
              <w:spacing w:after="0"/>
              <w:rPr>
                <w:sz w:val="20"/>
                <w:szCs w:val="20"/>
                <w:color w:val="auto"/>
              </w:rPr>
            </w:pPr>
            <w:r>
              <w:rPr>
                <w:rFonts w:ascii="Arial" w:cs="Arial" w:eastAsia="Arial" w:hAnsi="Arial"/>
                <w:sz w:val="18"/>
                <w:szCs w:val="18"/>
                <w:color w:val="auto"/>
                <w:w w:val="89"/>
              </w:rPr>
              <w:t>2023</w:t>
            </w:r>
          </w:p>
        </w:tc>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Notes</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148,653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r>
              <w:rPr>
                <w:rFonts w:ascii="Arial" w:cs="Arial" w:eastAsia="Arial" w:hAnsi="Arial"/>
                <w:sz w:val="18"/>
                <w:szCs w:val="18"/>
                <w:color w:val="auto"/>
                <w:w w:val="89"/>
              </w:rPr>
              <w:t>2024</w:t>
            </w:r>
          </w:p>
        </w:tc>
        <w:tc>
          <w:tcPr>
            <w:tcW w:w="4780" w:type="dxa"/>
            <w:vAlign w:val="bottom"/>
          </w:tcPr>
          <w:p>
            <w:pPr>
              <w:ind w:left="20"/>
              <w:spacing w:after="0"/>
              <w:rPr>
                <w:sz w:val="20"/>
                <w:szCs w:val="20"/>
                <w:color w:val="auto"/>
              </w:rPr>
            </w:pPr>
            <w:r>
              <w:rPr>
                <w:rFonts w:ascii="Arial" w:cs="Arial" w:eastAsia="Arial" w:hAnsi="Arial"/>
                <w:sz w:val="18"/>
                <w:szCs w:val="18"/>
                <w:color w:val="auto"/>
              </w:rPr>
              <w:t>Notes</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347,500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347,500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358,921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Borders>
              <w:top w:val="single" w:sz="8" w:color="CFF0FC"/>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b w:val="1"/>
                <w:bCs w:val="1"/>
                <w:color w:val="auto"/>
              </w:rPr>
              <w:t>Total Debt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1,975,309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1,112,590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862,719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1,110,363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00" w:right="840" w:hanging="492"/>
        <w:spacing w:after="0" w:line="258"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amount available may be subject to limitations related to the borrowing base under the Revolving Credit Facility and asset coverage requirements.</w:t>
      </w:r>
    </w:p>
    <w:p>
      <w:pPr>
        <w:spacing w:after="0" w:line="1" w:lineRule="exact"/>
        <w:rPr>
          <w:rFonts w:ascii="Arial" w:cs="Arial" w:eastAsia="Arial" w:hAnsi="Arial"/>
          <w:sz w:val="18"/>
          <w:szCs w:val="18"/>
          <w:color w:val="auto"/>
        </w:rPr>
      </w:pPr>
    </w:p>
    <w:p>
      <w:pPr>
        <w:ind w:left="500" w:right="180" w:hanging="492"/>
        <w:spacing w:after="0" w:line="250"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carrying values of the Revolving Credit Facility, 2022 Convertible Notes, 2023 Notes and 2024 Notes are presented net of deferred financing costs and original issue discounts of $10.8 million, $1.5 million, $1.3 million and $5.3 million, respectively.</w:t>
      </w:r>
    </w:p>
    <w:p>
      <w:pPr>
        <w:ind w:left="500" w:hanging="492"/>
        <w:spacing w:after="0" w:line="260"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carrying value of the 2024 Notes is presented inclusive of an incremental $16.8 million, which represents an adjustment in the carrying value of the 2024 Notes resulting from a hedge accounting relationship.</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742" w:right="399" w:bottom="1440" w:gutter="0" w:footer="0" w:header="0"/>
        </w:sectPr>
      </w:pPr>
    </w:p>
    <w:bookmarkStart w:id="39" w:name="page40"/>
    <w:bookmarkEnd w:id="39"/>
    <w:p>
      <w:pPr>
        <w:ind w:left="260"/>
        <w:spacing w:after="0"/>
        <w:rPr>
          <w:sz w:val="20"/>
          <w:szCs w:val="20"/>
          <w:color w:val="auto"/>
        </w:rPr>
      </w:pPr>
      <w:r>
        <w:rPr>
          <w:rFonts w:ascii="Arial" w:cs="Arial" w:eastAsia="Arial" w:hAnsi="Arial"/>
          <w:sz w:val="18"/>
          <w:szCs w:val="18"/>
          <w:color w:val="auto"/>
        </w:rPr>
        <w:t>For the three and six months ended June 30, 2021 and 2020, the components of interest expense were as follows: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5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39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300" w:type="dxa"/>
            <w:vAlign w:val="bottom"/>
            <w:gridSpan w:val="3"/>
          </w:tcPr>
          <w:p>
            <w:pPr>
              <w:jc w:val="right"/>
              <w:ind w:right="380"/>
              <w:spacing w:after="0" w:line="155" w:lineRule="exact"/>
              <w:rPr>
                <w:sz w:val="20"/>
                <w:szCs w:val="20"/>
                <w:color w:val="auto"/>
              </w:rPr>
            </w:pPr>
            <w:r>
              <w:rPr>
                <w:rFonts w:ascii="Arial" w:cs="Arial" w:eastAsia="Arial" w:hAnsi="Arial"/>
                <w:sz w:val="14"/>
                <w:szCs w:val="14"/>
                <w:b w:val="1"/>
                <w:bCs w:val="1"/>
                <w:color w:val="auto"/>
                <w:w w:val="98"/>
              </w:rPr>
              <w:t>June 30, 2021</w:t>
            </w:r>
          </w:p>
        </w:tc>
        <w:tc>
          <w:tcPr>
            <w:tcW w:w="1020" w:type="dxa"/>
            <w:vAlign w:val="bottom"/>
            <w:gridSpan w:val="2"/>
          </w:tcPr>
          <w:p>
            <w:pPr>
              <w:jc w:val="right"/>
              <w:ind w:right="10"/>
              <w:spacing w:after="0" w:line="155" w:lineRule="exact"/>
              <w:rPr>
                <w:sz w:val="20"/>
                <w:szCs w:val="20"/>
                <w:color w:val="auto"/>
              </w:rPr>
            </w:pPr>
            <w:r>
              <w:rPr>
                <w:rFonts w:ascii="Arial" w:cs="Arial" w:eastAsia="Arial" w:hAnsi="Arial"/>
                <w:sz w:val="14"/>
                <w:szCs w:val="14"/>
                <w:b w:val="1"/>
                <w:bCs w:val="1"/>
                <w:color w:val="auto"/>
                <w:w w:val="98"/>
              </w:rPr>
              <w:t>June 30, 2020</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gridSpan w:val="3"/>
          </w:tcPr>
          <w:p>
            <w:pPr>
              <w:jc w:val="right"/>
              <w:ind w:right="380"/>
              <w:spacing w:after="0" w:line="155" w:lineRule="exact"/>
              <w:rPr>
                <w:sz w:val="20"/>
                <w:szCs w:val="20"/>
                <w:color w:val="auto"/>
              </w:rPr>
            </w:pPr>
            <w:r>
              <w:rPr>
                <w:rFonts w:ascii="Arial" w:cs="Arial" w:eastAsia="Arial" w:hAnsi="Arial"/>
                <w:sz w:val="14"/>
                <w:szCs w:val="14"/>
                <w:b w:val="1"/>
                <w:bCs w:val="1"/>
                <w:color w:val="auto"/>
                <w:w w:val="98"/>
              </w:rPr>
              <w:t>June 30, 2021</w:t>
            </w:r>
          </w:p>
        </w:tc>
        <w:tc>
          <w:tcPr>
            <w:tcW w:w="1020" w:type="dxa"/>
            <w:vAlign w:val="bottom"/>
            <w:gridSpan w:val="2"/>
          </w:tcPr>
          <w:p>
            <w:pPr>
              <w:jc w:val="right"/>
              <w:ind w:right="10"/>
              <w:spacing w:after="0" w:line="155" w:lineRule="exact"/>
              <w:rPr>
                <w:sz w:val="20"/>
                <w:szCs w:val="20"/>
                <w:color w:val="auto"/>
              </w:rPr>
            </w:pPr>
            <w:r>
              <w:rPr>
                <w:rFonts w:ascii="Arial" w:cs="Arial" w:eastAsia="Arial" w:hAnsi="Arial"/>
                <w:sz w:val="14"/>
                <w:szCs w:val="14"/>
                <w:b w:val="1"/>
                <w:bCs w:val="1"/>
                <w:color w:val="auto"/>
                <w:w w:val="98"/>
              </w:rPr>
              <w:t>June 30, 2020</w:t>
            </w:r>
          </w:p>
        </w:tc>
        <w:tc>
          <w:tcPr>
            <w:tcW w:w="180" w:type="dxa"/>
            <w:vAlign w:val="bottom"/>
          </w:tcPr>
          <w:p>
            <w:pPr>
              <w:spacing w:after="0"/>
              <w:rPr>
                <w:sz w:val="13"/>
                <w:szCs w:val="13"/>
                <w:color w:val="auto"/>
              </w:rPr>
            </w:pPr>
          </w:p>
        </w:tc>
      </w:tr>
      <w:tr>
        <w:trPr>
          <w:trHeight w:val="223"/>
        </w:trPr>
        <w:tc>
          <w:tcPr>
            <w:tcW w:w="3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0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10,421</w:t>
            </w:r>
          </w:p>
        </w:tc>
        <w:tc>
          <w:tcPr>
            <w:tcW w:w="30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jc w:val="right"/>
              <w:ind w:right="335"/>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8,363</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19,892</w:t>
            </w:r>
          </w:p>
        </w:tc>
        <w:tc>
          <w:tcPr>
            <w:tcW w:w="30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ind w:right="255"/>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19,229</w:t>
            </w: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Commitment fees</w:t>
            </w: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1,107</w:t>
            </w: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1,013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2,175</w:t>
            </w: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1,812</w:t>
            </w:r>
          </w:p>
        </w:tc>
        <w:tc>
          <w:tcPr>
            <w:tcW w:w="180" w:type="dxa"/>
            <w:vAlign w:val="bottom"/>
          </w:tcPr>
          <w:p>
            <w:pPr>
              <w:spacing w:after="0"/>
              <w:rPr>
                <w:sz w:val="19"/>
                <w:szCs w:val="19"/>
                <w:color w:val="auto"/>
              </w:rPr>
            </w:pPr>
          </w:p>
        </w:tc>
      </w:tr>
      <w:tr>
        <w:trPr>
          <w:trHeight w:val="229"/>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deferred financing costs</w:t>
            </w:r>
          </w:p>
        </w:tc>
        <w:tc>
          <w:tcPr>
            <w:tcW w:w="10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1,512</w:t>
            </w:r>
          </w:p>
        </w:tc>
        <w:tc>
          <w:tcPr>
            <w:tcW w:w="3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1,309</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2,860</w:t>
            </w:r>
          </w:p>
        </w:tc>
        <w:tc>
          <w:tcPr>
            <w:tcW w:w="3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2,538</w:t>
            </w:r>
          </w:p>
        </w:tc>
        <w:tc>
          <w:tcPr>
            <w:tcW w:w="180" w:type="dxa"/>
            <w:vAlign w:val="bottom"/>
            <w:shd w:val="clear" w:color="auto" w:fill="CFF0FC"/>
          </w:tcPr>
          <w:p>
            <w:pPr>
              <w:spacing w:after="0"/>
              <w:rPr>
                <w:sz w:val="19"/>
                <w:szCs w:val="19"/>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Accretion of original issue discount</w:t>
            </w: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184</w:t>
            </w: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177</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333</w:t>
            </w: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287</w:t>
            </w:r>
          </w:p>
        </w:tc>
        <w:tc>
          <w:tcPr>
            <w:tcW w:w="180" w:type="dxa"/>
            <w:vAlign w:val="bottom"/>
          </w:tcPr>
          <w:p>
            <w:pPr>
              <w:spacing w:after="0"/>
              <w:rPr>
                <w:sz w:val="19"/>
                <w:szCs w:val="19"/>
                <w:color w:val="auto"/>
              </w:rPr>
            </w:pPr>
          </w:p>
        </w:tc>
      </w:tr>
      <w:tr>
        <w:trPr>
          <w:trHeight w:val="229"/>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Swap settlement</w:t>
            </w:r>
          </w:p>
        </w:tc>
        <w:tc>
          <w:tcPr>
            <w:tcW w:w="10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(3,034)</w:t>
            </w:r>
          </w:p>
        </w:tc>
        <w:tc>
          <w:tcPr>
            <w:tcW w:w="5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4"/>
              </w:rPr>
              <w:t>(1,011)</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(6,117)</w:t>
            </w:r>
          </w:p>
        </w:tc>
        <w:tc>
          <w:tcPr>
            <w:tcW w:w="4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(1,106)</w:t>
            </w:r>
          </w:p>
        </w:tc>
      </w:tr>
      <w:tr>
        <w:trPr>
          <w:trHeight w:val="263"/>
        </w:trPr>
        <w:tc>
          <w:tcPr>
            <w:tcW w:w="3940" w:type="dxa"/>
            <w:vAlign w:val="bottom"/>
            <w:tcBorders>
              <w:bottom w:val="single" w:sz="8" w:color="CFF0FC"/>
            </w:tcBorders>
          </w:tcPr>
          <w:p>
            <w:pPr>
              <w:ind w:left="240"/>
              <w:spacing w:after="0"/>
              <w:rPr>
                <w:sz w:val="20"/>
                <w:szCs w:val="20"/>
                <w:color w:val="auto"/>
              </w:rPr>
            </w:pPr>
            <w:r>
              <w:rPr>
                <w:rFonts w:ascii="Arial" w:cs="Arial" w:eastAsia="Arial" w:hAnsi="Arial"/>
                <w:sz w:val="18"/>
                <w:szCs w:val="18"/>
                <w:b w:val="1"/>
                <w:bCs w:val="1"/>
                <w:color w:val="auto"/>
              </w:rPr>
              <w:t>Total Interest Expense</w:t>
            </w:r>
          </w:p>
        </w:tc>
        <w:tc>
          <w:tcPr>
            <w:tcW w:w="104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10,190</w:t>
            </w:r>
          </w:p>
        </w:tc>
        <w:tc>
          <w:tcPr>
            <w:tcW w:w="300" w:type="dxa"/>
            <w:vAlign w:val="bottom"/>
            <w:tcBorders>
              <w:bottom w:val="single" w:sz="8" w:color="CFF0FC"/>
            </w:tcBorders>
          </w:tcPr>
          <w:p>
            <w:pPr>
              <w:spacing w:after="0"/>
              <w:rPr>
                <w:sz w:val="22"/>
                <w:szCs w:val="22"/>
                <w:color w:val="auto"/>
              </w:rPr>
            </w:pPr>
          </w:p>
        </w:tc>
        <w:tc>
          <w:tcPr>
            <w:tcW w:w="52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9,851</w:t>
            </w:r>
          </w:p>
        </w:tc>
        <w:tc>
          <w:tcPr>
            <w:tcW w:w="2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19,143</w:t>
            </w:r>
          </w:p>
        </w:tc>
        <w:tc>
          <w:tcPr>
            <w:tcW w:w="300" w:type="dxa"/>
            <w:vAlign w:val="bottom"/>
            <w:tcBorders>
              <w:bottom w:val="single" w:sz="8" w:color="CFF0FC"/>
            </w:tcBorders>
          </w:tcPr>
          <w:p>
            <w:pPr>
              <w:spacing w:after="0"/>
              <w:rPr>
                <w:sz w:val="22"/>
                <w:szCs w:val="22"/>
                <w:color w:val="auto"/>
              </w:rPr>
            </w:pPr>
          </w:p>
        </w:tc>
        <w:tc>
          <w:tcPr>
            <w:tcW w:w="440" w:type="dxa"/>
            <w:vAlign w:val="bottom"/>
            <w:tcBorders>
              <w:top w:val="single" w:sz="8" w:color="auto"/>
              <w:bottom w:val="single" w:sz="8" w:color="auto"/>
            </w:tcBorders>
          </w:tcPr>
          <w:p>
            <w:pPr>
              <w:jc w:val="right"/>
              <w:ind w:right="255"/>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22,760</w:t>
            </w:r>
          </w:p>
        </w:tc>
        <w:tc>
          <w:tcPr>
            <w:tcW w:w="180" w:type="dxa"/>
            <w:vAlign w:val="bottom"/>
            <w:tcBorders>
              <w:bottom w:val="single" w:sz="8" w:color="CFF0FC"/>
            </w:tcBorders>
          </w:tcPr>
          <w:p>
            <w:pPr>
              <w:spacing w:after="0"/>
              <w:rPr>
                <w:sz w:val="22"/>
                <w:szCs w:val="22"/>
                <w:color w:val="auto"/>
              </w:rPr>
            </w:pPr>
          </w:p>
        </w:tc>
      </w:tr>
      <w:tr>
        <w:trPr>
          <w:trHeight w:val="210"/>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Average debt outstanding (in millions)</w:t>
            </w:r>
          </w:p>
        </w:tc>
        <w:tc>
          <w:tcPr>
            <w:tcW w:w="10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1,282.2</w:t>
            </w:r>
          </w:p>
        </w:tc>
        <w:tc>
          <w:tcPr>
            <w:tcW w:w="30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335"/>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903.9</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1,202.9</w:t>
            </w: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255"/>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1,005.8</w:t>
            </w:r>
          </w:p>
        </w:tc>
        <w:tc>
          <w:tcPr>
            <w:tcW w:w="180" w:type="dxa"/>
            <w:vAlign w:val="bottom"/>
            <w:shd w:val="clear" w:color="auto" w:fill="CFF0FC"/>
          </w:tcPr>
          <w:p>
            <w:pPr>
              <w:spacing w:after="0"/>
              <w:rPr>
                <w:sz w:val="18"/>
                <w:szCs w:val="18"/>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Weighted average interest rate</w:t>
            </w: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2.3%</w:t>
            </w:r>
          </w:p>
        </w:tc>
        <w:tc>
          <w:tcPr>
            <w:tcW w:w="52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2.3%</w:t>
            </w:r>
          </w:p>
        </w:tc>
        <w:tc>
          <w:tcPr>
            <w:tcW w:w="44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r>
      <w:tr>
        <w:trPr>
          <w:trHeight w:val="229"/>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Average 1-month LIBOR rate</w:t>
            </w:r>
          </w:p>
        </w:tc>
        <w:tc>
          <w:tcPr>
            <w:tcW w:w="10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0.1%</w:t>
            </w:r>
          </w:p>
        </w:tc>
        <w:tc>
          <w:tcPr>
            <w:tcW w:w="5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0.4%</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0.1%</w:t>
            </w:r>
          </w:p>
        </w:tc>
        <w:tc>
          <w:tcPr>
            <w:tcW w:w="4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0.9%</w:t>
            </w: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17" w:lineRule="exact"/>
        <w:rPr>
          <w:sz w:val="20"/>
          <w:szCs w:val="20"/>
          <w:color w:val="auto"/>
        </w:rPr>
      </w:pPr>
    </w:p>
    <w:p>
      <w:pPr>
        <w:ind w:right="340" w:firstLine="255"/>
        <w:spacing w:after="0" w:line="263" w:lineRule="auto"/>
        <w:rPr>
          <w:sz w:val="20"/>
          <w:szCs w:val="20"/>
          <w:color w:val="auto"/>
        </w:rPr>
      </w:pPr>
      <w:r>
        <w:rPr>
          <w:rFonts w:ascii="Arial" w:cs="Arial" w:eastAsia="Arial" w:hAnsi="Arial"/>
          <w:sz w:val="18"/>
          <w:szCs w:val="18"/>
          <w:color w:val="auto"/>
        </w:rPr>
        <w:t>On August 23, 2012, the Company entered into a senior secured revolving credit agreement with Truist Bank (as a successor by merger to SunTrust Bank), as administrative agent, and J.P. Morgan Chase Bank, N.A., as syndication agent, and certain other lenders (as amended and restated, the “Revolving Credit Facility”).</w:t>
      </w:r>
    </w:p>
    <w:p>
      <w:pPr>
        <w:spacing w:after="0" w:line="184" w:lineRule="exact"/>
        <w:rPr>
          <w:sz w:val="20"/>
          <w:szCs w:val="20"/>
          <w:color w:val="auto"/>
        </w:rPr>
      </w:pPr>
    </w:p>
    <w:p>
      <w:pPr>
        <w:ind w:right="240" w:firstLine="255"/>
        <w:spacing w:after="0" w:line="311" w:lineRule="auto"/>
        <w:rPr>
          <w:sz w:val="20"/>
          <w:szCs w:val="20"/>
          <w:color w:val="auto"/>
        </w:rPr>
      </w:pPr>
      <w:r>
        <w:rPr>
          <w:rFonts w:ascii="Arial" w:cs="Arial" w:eastAsia="Arial" w:hAnsi="Arial"/>
          <w:sz w:val="16"/>
          <w:szCs w:val="16"/>
          <w:color w:val="auto"/>
        </w:rPr>
        <w:t>As of December 31, 2020, aggregate commitments under the facility were $1.335 billion. Pursuant to an amendment to the Revolving Credit Facility dated as of February 5, 2021 (the “Tenth Amendment”), the aggregate commitments under the facility were increased to $1.485 billion. The facility includes an uncommitted accordion feature that allows us, under certain circumstances, to increase the size of the facility to up to $2.0 billion.</w:t>
      </w:r>
    </w:p>
    <w:p>
      <w:pPr>
        <w:spacing w:after="0" w:line="149" w:lineRule="exact"/>
        <w:rPr>
          <w:sz w:val="20"/>
          <w:szCs w:val="20"/>
          <w:color w:val="auto"/>
        </w:rPr>
      </w:pPr>
    </w:p>
    <w:p>
      <w:pPr>
        <w:ind w:firstLine="255"/>
        <w:spacing w:after="0" w:line="255" w:lineRule="auto"/>
        <w:rPr>
          <w:sz w:val="20"/>
          <w:szCs w:val="20"/>
          <w:color w:val="auto"/>
        </w:rPr>
      </w:pPr>
      <w:r>
        <w:rPr>
          <w:rFonts w:ascii="Arial" w:cs="Arial" w:eastAsia="Arial" w:hAnsi="Arial"/>
          <w:sz w:val="18"/>
          <w:szCs w:val="18"/>
          <w:color w:val="auto"/>
        </w:rPr>
        <w:t>Pursuant to the Tenth Amendment, with respect to $1.390 billion in commitments, the revolving period, during which period we, subject to certain conditions, may make borrowings under the facility, was extended from January 31, 2024 to February 4, 2025 and the stated maturity date was extended from January 31, 2025 to February 4, 2026. Subsequent to the Tenth Amendment, on April 12, 2021 an additional $70.0 million of existing commitments were extended to these revolving period and stated maturity dates. As a result, $1.460 billion of total commitments are subject to these revolving period and stated maturity dates. For the remaining $25.0 million of commitments, the revolving period ends January 31, 2024 and the stated maturity is January 31, 2025.</w:t>
      </w:r>
    </w:p>
    <w:p>
      <w:pPr>
        <w:spacing w:after="0" w:line="192" w:lineRule="exact"/>
        <w:rPr>
          <w:sz w:val="20"/>
          <w:szCs w:val="20"/>
          <w:color w:val="auto"/>
        </w:rPr>
      </w:pPr>
    </w:p>
    <w:p>
      <w:pPr>
        <w:ind w:right="20" w:firstLine="255"/>
        <w:spacing w:after="0" w:line="263" w:lineRule="auto"/>
        <w:rPr>
          <w:sz w:val="20"/>
          <w:szCs w:val="20"/>
          <w:color w:val="auto"/>
        </w:rPr>
      </w:pPr>
      <w:r>
        <w:rPr>
          <w:rFonts w:ascii="Arial" w:cs="Arial" w:eastAsia="Arial" w:hAnsi="Arial"/>
          <w:sz w:val="18"/>
          <w:szCs w:val="18"/>
          <w:color w:val="auto"/>
        </w:rPr>
        <w:t>The Company may borrow amounts in U.S. dollars or certain other permitted currencies. As of June 30, 2021, the Company had outstanding debt denominated in Australian dollars (AUD) of 51.3 million, Canadian dollars (CAD) of 74.4 million, and Euro (EUR) of 32.9 million on its Revolving Credit Facility, included in the Outstanding Principal amount in the table above.</w:t>
      </w:r>
    </w:p>
    <w:p>
      <w:pPr>
        <w:spacing w:after="0" w:line="184" w:lineRule="exact"/>
        <w:rPr>
          <w:sz w:val="20"/>
          <w:szCs w:val="20"/>
          <w:color w:val="auto"/>
        </w:rPr>
      </w:pPr>
    </w:p>
    <w:p>
      <w:pPr>
        <w:jc w:val="both"/>
        <w:ind w:right="280" w:firstLine="255"/>
        <w:spacing w:after="0" w:line="286" w:lineRule="auto"/>
        <w:rPr>
          <w:sz w:val="20"/>
          <w:szCs w:val="20"/>
          <w:color w:val="auto"/>
        </w:rPr>
      </w:pPr>
      <w:r>
        <w:rPr>
          <w:rFonts w:ascii="Arial" w:cs="Arial" w:eastAsia="Arial" w:hAnsi="Arial"/>
          <w:sz w:val="17"/>
          <w:szCs w:val="17"/>
          <w:color w:val="auto"/>
        </w:rPr>
        <w:t>The Revolving Credit Facility also provides for the issuance of letters of credit up to an aggregate amount of $75.0 million. As of June 30, 2021 and December 31, 2020, the Company had no outstanding letters of credit issued through the Revolving Credit Facility. The amount available for borrowing under the Revolving Credit Facility is reduced by any letters of credit issued through the Revolving Credit Facility.</w:t>
      </w:r>
    </w:p>
    <w:p>
      <w:pPr>
        <w:spacing w:after="0" w:line="165" w:lineRule="exact"/>
        <w:rPr>
          <w:sz w:val="20"/>
          <w:szCs w:val="20"/>
          <w:color w:val="auto"/>
        </w:rPr>
      </w:pPr>
    </w:p>
    <w:p>
      <w:pPr>
        <w:ind w:right="40" w:firstLine="255"/>
        <w:spacing w:after="0" w:line="273" w:lineRule="auto"/>
        <w:rPr>
          <w:sz w:val="20"/>
          <w:szCs w:val="20"/>
          <w:color w:val="auto"/>
        </w:rPr>
      </w:pPr>
      <w:r>
        <w:rPr>
          <w:rFonts w:ascii="Arial" w:cs="Arial" w:eastAsia="Arial" w:hAnsi="Arial"/>
          <w:sz w:val="17"/>
          <w:szCs w:val="17"/>
          <w:color w:val="auto"/>
        </w:rPr>
        <w:t>Amounts drawn under the Revolving Credit Facility, including amounts drawn in respect of letters of credit, bear interest at either LIBOR plus a margin of either 1.75% or 1.875%, or the base rate plus a margin of either 0.75% or 0.875%, in each case, based on the total amount of the borrowing base relative to the sum of the total commitments (or, if greater, the total exposure) under the Revolving Credit Facility plus certain other designated secured debt. The Company may elect either the LIBOR or base rate at the time of drawdown, and loans may be converted from one rate to another at any time, subject to certain conditions. The Company also pays a fee of 0.375% on undrawn amounts and, in respect of each undrawn letter of credit, a fee and interest rate equal to the then applicable margin while the letter of credit is outstanding.</w:t>
      </w:r>
    </w:p>
    <w:p>
      <w:pPr>
        <w:spacing w:after="0" w:line="178" w:lineRule="exact"/>
        <w:rPr>
          <w:sz w:val="20"/>
          <w:szCs w:val="20"/>
          <w:color w:val="auto"/>
        </w:rPr>
      </w:pPr>
    </w:p>
    <w:p>
      <w:pPr>
        <w:ind w:right="100" w:firstLine="255"/>
        <w:spacing w:after="0" w:line="286" w:lineRule="auto"/>
        <w:rPr>
          <w:sz w:val="20"/>
          <w:szCs w:val="20"/>
          <w:color w:val="auto"/>
        </w:rPr>
      </w:pPr>
      <w:r>
        <w:rPr>
          <w:rFonts w:ascii="Arial" w:cs="Arial" w:eastAsia="Arial" w:hAnsi="Arial"/>
          <w:sz w:val="17"/>
          <w:szCs w:val="17"/>
          <w:color w:val="auto"/>
        </w:rPr>
        <w:t>The Revolving Credit Facility is guaranteed by Sixth Street SL SPV, LLC, TC Lending, LLC and Sixth Street SL Holding, LLC. The Revolving Credit Facility is secured by a perfected first-priority security interest in substantially all the portfolio investments held by the Company and each guarantor. Proceeds from borrowings may be used for general corporate purposes, including the funding of portfolio investments.</w:t>
      </w:r>
    </w:p>
    <w:p>
      <w:pPr>
        <w:spacing w:after="0" w:line="165" w:lineRule="exact"/>
        <w:rPr>
          <w:sz w:val="20"/>
          <w:szCs w:val="20"/>
          <w:color w:val="auto"/>
        </w:rPr>
      </w:pPr>
    </w:p>
    <w:p>
      <w:pPr>
        <w:ind w:right="160" w:firstLine="255"/>
        <w:spacing w:after="0" w:line="277" w:lineRule="auto"/>
        <w:rPr>
          <w:sz w:val="20"/>
          <w:szCs w:val="20"/>
          <w:color w:val="auto"/>
        </w:rPr>
      </w:pPr>
      <w:r>
        <w:rPr>
          <w:rFonts w:ascii="Arial" w:cs="Arial" w:eastAsia="Arial" w:hAnsi="Arial"/>
          <w:sz w:val="18"/>
          <w:szCs w:val="18"/>
          <w:color w:val="auto"/>
        </w:rPr>
        <w:t>The Revolving Credit Facility includes customary events of default, as well as customary covenants, including restrictions on certain distributions and financial covenants. The financial covenants require:</w:t>
      </w:r>
    </w:p>
    <w:p>
      <w:pPr>
        <w:spacing w:after="0" w:line="62" w:lineRule="exact"/>
        <w:rPr>
          <w:sz w:val="20"/>
          <w:szCs w:val="20"/>
          <w:color w:val="auto"/>
        </w:rPr>
      </w:pPr>
    </w:p>
    <w:p>
      <w:pPr>
        <w:ind w:left="5540" w:right="4800" w:hanging="5289"/>
        <w:spacing w:after="0" w:line="573" w:lineRule="auto"/>
        <w:tabs>
          <w:tab w:leader="none" w:pos="5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an asset coverage ratio of no less than 1.5 to 1 on the last day of any fiscal quarter;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-115570</wp:posOffset>
            </wp:positionV>
            <wp:extent cx="71748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0" w:name="page41"/>
    <w:bookmarkEnd w:id="40"/>
    <w:p>
      <w:pPr>
        <w:ind w:left="500" w:right="80" w:hanging="249"/>
        <w:spacing w:after="0" w:line="263" w:lineRule="auto"/>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liquidity test under which the Company must not maintain cash and liquid investments of less than 10% of the covered debt amount for more than 30 consecutive business days under circumstances where the Company’s adjusted covered debt balance is greater than 90% of the Company’s adjusted borrowing base under the facility;</w:t>
      </w:r>
    </w:p>
    <w:p>
      <w:pPr>
        <w:spacing w:after="0" w:line="75" w:lineRule="exact"/>
        <w:rPr>
          <w:rFonts w:ascii="Arial" w:cs="Arial" w:eastAsia="Arial" w:hAnsi="Arial"/>
          <w:sz w:val="18"/>
          <w:szCs w:val="18"/>
          <w:color w:val="auto"/>
        </w:rPr>
      </w:pPr>
    </w:p>
    <w:p>
      <w:pPr>
        <w:ind w:left="500" w:hanging="249"/>
        <w:spacing w:after="0"/>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stockholders’ equity of at least $500 million plus 25% of the net proceeds of the sale of equity interests after January 31, 2020;</w:t>
      </w:r>
    </w:p>
    <w:p>
      <w:pPr>
        <w:spacing w:after="0" w:line="117" w:lineRule="exact"/>
        <w:rPr>
          <w:rFonts w:ascii="Arial" w:cs="Arial" w:eastAsia="Arial" w:hAnsi="Arial"/>
          <w:sz w:val="18"/>
          <w:szCs w:val="18"/>
          <w:color w:val="auto"/>
        </w:rPr>
      </w:pPr>
    </w:p>
    <w:p>
      <w:pPr>
        <w:ind w:left="500" w:hanging="249"/>
        <w:spacing w:after="0" w:line="259" w:lineRule="auto"/>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minimum asset coverage ratio of no less than 2 to 1 with respect to (i) the consolidated assets of the Company and the subsidiary guarantors (including certain limitations on the contribution of equity in financing subsidiaries) to (ii) the secured debt of the Company and its subsidiary guarantors plus unsecured senior securities of the Company and its subsidiary guarantors that mature within 90 days of the date of determination (the “Obligor Asset Coverage Ratio”); and</w:t>
      </w:r>
    </w:p>
    <w:p>
      <w:pPr>
        <w:spacing w:after="0" w:line="78" w:lineRule="exact"/>
        <w:rPr>
          <w:rFonts w:ascii="Arial" w:cs="Arial" w:eastAsia="Arial" w:hAnsi="Arial"/>
          <w:sz w:val="18"/>
          <w:szCs w:val="18"/>
          <w:color w:val="auto"/>
        </w:rPr>
      </w:pPr>
    </w:p>
    <w:p>
      <w:pPr>
        <w:ind w:left="500" w:right="100" w:hanging="249"/>
        <w:spacing w:after="0" w:line="342" w:lineRule="auto"/>
        <w:tabs>
          <w:tab w:leader="none" w:pos="5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minimum consolidated assets of the Company and the subsidiary guarantors (including certain limitations on the contribution of equity in financing subsidiaries), less total secured debt of the Company and the subsidiary guarantors, of at least $350 million at the last day of any fiscal quarter.</w:t>
      </w:r>
    </w:p>
    <w:p>
      <w:pPr>
        <w:spacing w:after="0" w:line="124" w:lineRule="exact"/>
        <w:rPr>
          <w:sz w:val="20"/>
          <w:szCs w:val="20"/>
          <w:color w:val="auto"/>
        </w:rPr>
      </w:pPr>
    </w:p>
    <w:p>
      <w:pPr>
        <w:ind w:right="200" w:firstLine="255"/>
        <w:spacing w:after="0" w:line="277" w:lineRule="auto"/>
        <w:rPr>
          <w:sz w:val="20"/>
          <w:szCs w:val="20"/>
          <w:color w:val="auto"/>
        </w:rPr>
      </w:pPr>
      <w:r>
        <w:rPr>
          <w:rFonts w:ascii="Arial" w:cs="Arial" w:eastAsia="Arial" w:hAnsi="Arial"/>
          <w:sz w:val="18"/>
          <w:szCs w:val="18"/>
          <w:color w:val="auto"/>
        </w:rPr>
        <w:t>The Revolving Credit Facility also contains certain additional concentration limits in connection with the calculation of the borrowing base, based on the Obligor Asset Coverage Ratio.</w:t>
      </w:r>
    </w:p>
    <w:p>
      <w:pPr>
        <w:spacing w:after="0" w:line="170" w:lineRule="exact"/>
        <w:rPr>
          <w:sz w:val="20"/>
          <w:szCs w:val="20"/>
          <w:color w:val="auto"/>
        </w:rPr>
      </w:pPr>
    </w:p>
    <w:p>
      <w:pPr>
        <w:ind w:right="240" w:firstLine="255"/>
        <w:spacing w:after="0" w:line="277" w:lineRule="auto"/>
        <w:rPr>
          <w:sz w:val="20"/>
          <w:szCs w:val="20"/>
          <w:color w:val="auto"/>
        </w:rPr>
      </w:pPr>
      <w:r>
        <w:rPr>
          <w:rFonts w:ascii="Arial" w:cs="Arial" w:eastAsia="Arial" w:hAnsi="Arial"/>
          <w:sz w:val="18"/>
          <w:szCs w:val="18"/>
          <w:color w:val="auto"/>
        </w:rPr>
        <w:t>Net proceeds received from the Company’s common stock issuance in February 2021 and net proceeds received from the issuance of the 2026 Notes were used to pay down borrowings on the Revolving Credit Facility.</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June 30, 2021 and December 31, 2020, the Company was in compliance with the terms of the Revolving Credit Facility.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Convertible Notes</w:t>
      </w:r>
    </w:p>
    <w:p>
      <w:pPr>
        <w:spacing w:after="0" w:line="117" w:lineRule="exact"/>
        <w:rPr>
          <w:sz w:val="20"/>
          <w:szCs w:val="20"/>
          <w:color w:val="auto"/>
        </w:rPr>
      </w:pPr>
    </w:p>
    <w:p>
      <w:pPr>
        <w:ind w:right="40" w:firstLine="255"/>
        <w:spacing w:after="0" w:line="268" w:lineRule="auto"/>
        <w:rPr>
          <w:sz w:val="20"/>
          <w:szCs w:val="20"/>
          <w:color w:val="auto"/>
        </w:rPr>
      </w:pPr>
      <w:r>
        <w:rPr>
          <w:rFonts w:ascii="Arial" w:cs="Arial" w:eastAsia="Arial" w:hAnsi="Arial"/>
          <w:sz w:val="17"/>
          <w:szCs w:val="17"/>
          <w:color w:val="auto"/>
        </w:rPr>
        <w:t>In February 2017, the Company issued in a private offering $115 million aggregate principal amount convertible notes due August 2022 (the “2022 Convertible Notes” and, together with the 2019 Convertible Notes, the “Convertible Notes”). The 2022 Convertible Notes were issued in a private placement only to qualified institutional buyers pursuant to Rule 144A under the Securities Act. The 2022 Convertible Notes are unsecured, and bear interest at a rate of 4.50% per year, payable semiannually. The 2022 Convertible Notes will mature on August 1, 2022. In certain circumstances, the 2022 Convertible Notes will be convertible into cash, shares of the Company’s common stock or a combination of cash and shares of the Company’s common stock, at the Company’s election, at an initial conversion rate of 46.8516 shares of common stock per $1,000 principal amount of 2022 Convertible Notes, which is equivalent to an initial conversion price of approximately $21.34 per share of the Company’s common stock, subject to customary anti-dilution adjustments. As of June 30, 2021, the estimated adjusted conversion price was approximately $18.56 per share of common stock. The sale of the 2022 Convertible Notes generated net proceeds of approximately $111.2 million. The Company used the net proceeds of the offering to pay down debt under the Revolving Credit Facility. In connection with the offering of 2022 Convertible Notes, the Company has entered into an interest rate swap to continue to align the interest rates of its liabilities with its investment portfolio, which consists of predominately floating rate loans. As a result of the swap, the Company’s effective interest rate on the original issuance of 2022 Convertible Notes is three-month LIBOR plus 2.37%. See Note 5 for further information related to the Company’s interest rate swaps.</w:t>
      </w:r>
    </w:p>
    <w:p>
      <w:pPr>
        <w:spacing w:after="0" w:line="186" w:lineRule="exact"/>
        <w:rPr>
          <w:sz w:val="20"/>
          <w:szCs w:val="20"/>
          <w:color w:val="auto"/>
        </w:rPr>
      </w:pPr>
    </w:p>
    <w:p>
      <w:pPr>
        <w:ind w:right="80" w:firstLine="255"/>
        <w:spacing w:after="0" w:line="293" w:lineRule="auto"/>
        <w:rPr>
          <w:sz w:val="20"/>
          <w:szCs w:val="20"/>
          <w:color w:val="auto"/>
        </w:rPr>
      </w:pPr>
      <w:r>
        <w:rPr>
          <w:rFonts w:ascii="Arial" w:cs="Arial" w:eastAsia="Arial" w:hAnsi="Arial"/>
          <w:sz w:val="16"/>
          <w:szCs w:val="16"/>
          <w:color w:val="auto"/>
        </w:rPr>
        <w:t>In June 2018, the Company issued an additional $57.5 million aggregate principal amount of 2022 Convertible Notes. The additional 2022 Convertible Notes were issued with identical terms, and are fungible with and are part of a single series with the previously outstanding $115 million aggregate principal amount of the Company’s existing 2022 Convertible Notes issued in February 2017. In connection with the reopening of the 2022 Convertible Notes, the Company entered into interest rate swaps to continue to align the interest rates of its liabilities with its investment portfolio, which consists of predominately floating rate loans. As a result of the additional swaps, the Company’s effective interest rate on the additional 2022 Convertible Notes is approximately three-month LIBOR plus 1.60%. See Note 5 for further information related to the Company’s interest rate swaps.</w:t>
      </w:r>
    </w:p>
    <w:p>
      <w:pPr>
        <w:spacing w:after="0" w:line="164" w:lineRule="exact"/>
        <w:rPr>
          <w:sz w:val="20"/>
          <w:szCs w:val="20"/>
          <w:color w:val="auto"/>
        </w:rPr>
      </w:pPr>
    </w:p>
    <w:p>
      <w:pPr>
        <w:ind w:right="20" w:firstLine="255"/>
        <w:spacing w:after="0" w:line="254" w:lineRule="auto"/>
        <w:rPr>
          <w:sz w:val="20"/>
          <w:szCs w:val="20"/>
          <w:color w:val="auto"/>
        </w:rPr>
      </w:pPr>
      <w:r>
        <w:rPr>
          <w:rFonts w:ascii="Arial" w:cs="Arial" w:eastAsia="Arial" w:hAnsi="Arial"/>
          <w:sz w:val="18"/>
          <w:szCs w:val="18"/>
          <w:color w:val="auto"/>
        </w:rPr>
        <w:t>During the year ended December 31, 2020, the Company repurchased on the open market and extinguished $29.7 million in aggregate principal amount of the 2022 Convertible Notes for $29.5 million. These repurchases resulted in a gain on extinguishment of debt of less than $0.7 million. This gain is included in the extinguishment of debt in the accompanying consolidated statements of operations. In connection with the repurchases of the 2022 Convertible Notes, the Company entered into floating-to-fixed interest rate swaps with an aggregate notional amount equal to the amount of 2022 Convertible Notes repurchased, which has the effect of reducing the notional exposure of the fixed-to-floating interest rate swaps, which were entered into in connection with the issuance of the 2022 Convertible Notes, to match the current principal amount of the 2022 Convertible Notes outstanding. As a result of the swaps, the Company’s effective interest rate on the outstanding 2022 Convertible Notes is three-month LIBOR plus 2.11% (on a weighted-average basis).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41" w:name="page42"/>
    <w:bookmarkEnd w:id="41"/>
    <w:p>
      <w:pPr>
        <w:ind w:left="260"/>
        <w:spacing w:after="0"/>
        <w:rPr>
          <w:sz w:val="20"/>
          <w:szCs w:val="20"/>
          <w:color w:val="auto"/>
        </w:rPr>
      </w:pPr>
      <w:r>
        <w:rPr>
          <w:rFonts w:ascii="Arial" w:cs="Arial" w:eastAsia="Arial" w:hAnsi="Arial"/>
          <w:sz w:val="17"/>
          <w:szCs w:val="17"/>
          <w:color w:val="auto"/>
        </w:rPr>
        <w:t>Holders may convert their 2022 Convertible Notes at their option at any time prior to February 1, 2022 only under the following circumstances:</w:t>
      </w:r>
    </w:p>
    <w:p>
      <w:pPr>
        <w:spacing w:after="0" w:line="35" w:lineRule="exact"/>
        <w:rPr>
          <w:sz w:val="20"/>
          <w:szCs w:val="20"/>
          <w:color w:val="auto"/>
        </w:rPr>
      </w:pPr>
    </w:p>
    <w:p>
      <w:pPr>
        <w:ind w:right="80" w:firstLine="8"/>
        <w:spacing w:after="0" w:line="281" w:lineRule="auto"/>
        <w:tabs>
          <w:tab w:leader="none" w:pos="255" w:val="left"/>
        </w:tabs>
        <w:numPr>
          <w:ilvl w:val="0"/>
          <w:numId w:val="32"/>
        </w:numPr>
        <w:rPr>
          <w:rFonts w:ascii="Arial" w:cs="Arial" w:eastAsia="Arial" w:hAnsi="Arial"/>
          <w:sz w:val="16"/>
          <w:szCs w:val="16"/>
          <w:color w:val="auto"/>
        </w:rPr>
      </w:pPr>
      <w:r>
        <w:rPr>
          <w:rFonts w:ascii="Arial" w:cs="Arial" w:eastAsia="Arial" w:hAnsi="Arial"/>
          <w:sz w:val="16"/>
          <w:szCs w:val="16"/>
          <w:color w:val="auto"/>
        </w:rPr>
        <w:t>during any calendar quarter commencing after the calendar quarter ending on June 30, 2017 (and only during such calendar quarter), if the last reported sale price of the common stock for at least 20 trading days (whether or not consecutive) during a period of 30 consecutive trading days ending on the last trading day of the immediately preceding calendar quarter is greater than or equal to 130% of the conversion price on each applicable trading day;</w:t>
      </w:r>
    </w:p>
    <w:p>
      <w:pPr>
        <w:spacing w:after="0" w:line="1" w:lineRule="exact"/>
        <w:rPr>
          <w:rFonts w:ascii="Arial" w:cs="Arial" w:eastAsia="Arial" w:hAnsi="Arial"/>
          <w:sz w:val="16"/>
          <w:szCs w:val="16"/>
          <w:color w:val="auto"/>
        </w:rPr>
      </w:pPr>
    </w:p>
    <w:p>
      <w:pPr>
        <w:ind w:right="180" w:firstLine="8"/>
        <w:spacing w:after="0" w:line="292" w:lineRule="auto"/>
        <w:tabs>
          <w:tab w:leader="none" w:pos="255" w:val="left"/>
        </w:tabs>
        <w:numPr>
          <w:ilvl w:val="0"/>
          <w:numId w:val="32"/>
        </w:numPr>
        <w:rPr>
          <w:rFonts w:ascii="Arial" w:cs="Arial" w:eastAsia="Arial" w:hAnsi="Arial"/>
          <w:sz w:val="16"/>
          <w:szCs w:val="16"/>
          <w:color w:val="auto"/>
        </w:rPr>
      </w:pPr>
      <w:r>
        <w:rPr>
          <w:rFonts w:ascii="Arial" w:cs="Arial" w:eastAsia="Arial" w:hAnsi="Arial"/>
          <w:sz w:val="16"/>
          <w:szCs w:val="16"/>
          <w:color w:val="auto"/>
        </w:rPr>
        <w:t>during the five business day period after any five consecutive trading day period (the “measurement period”) in which the trading price (as defined in the indenture governing the 2022 Convertible Notes) per $1,000 principal amount of notes for each trading day of the measurement period was less than 98% of the product of the last reported sale price of the Company’s common stock and the conversion rate on each such trading day; or (3) upon the occurrence of specified corporate events. On or after February 1, 2022 until the close of business on the scheduled trading day immediately preceding the maturity date, holders may convert their notes at any time, regardless of the occurrence or nonoccurrence of any of the foregoing circumstances.</w:t>
      </w:r>
    </w:p>
    <w:p>
      <w:pPr>
        <w:spacing w:after="0" w:line="162" w:lineRule="exact"/>
        <w:rPr>
          <w:sz w:val="20"/>
          <w:szCs w:val="20"/>
          <w:color w:val="auto"/>
        </w:rPr>
      </w:pPr>
    </w:p>
    <w:p>
      <w:pPr>
        <w:ind w:right="20" w:firstLine="255"/>
        <w:spacing w:after="0" w:line="275" w:lineRule="auto"/>
        <w:rPr>
          <w:sz w:val="20"/>
          <w:szCs w:val="20"/>
          <w:color w:val="auto"/>
        </w:rPr>
      </w:pPr>
      <w:r>
        <w:rPr>
          <w:rFonts w:ascii="Arial" w:cs="Arial" w:eastAsia="Arial" w:hAnsi="Arial"/>
          <w:sz w:val="17"/>
          <w:szCs w:val="17"/>
          <w:color w:val="auto"/>
        </w:rPr>
        <w:t>The 2022 Convertible Notes are the Company’s unsecured obligations and rank senior in right of payment to the Company’s future indebtedness that is expressly subordinated in right of payment to the 2022 Convertible Notes; equal in right of payment to the Company’s existing and future indebtedness that is not so subordinated; effectively junior in right of payment to any of the Company’s secured indebtedness (including unsecured indebtedness that the Company later secures) to the extent of the value of the assets securing such indebtedness; and structurally junior to all existing and future indebtedness (including trade payables) incurred by the Company’s subsidiaries, financing vehicles or similar facilities.</w:t>
      </w:r>
    </w:p>
    <w:p>
      <w:pPr>
        <w:spacing w:after="0" w:line="176" w:lineRule="exact"/>
        <w:rPr>
          <w:sz w:val="20"/>
          <w:szCs w:val="20"/>
          <w:color w:val="auto"/>
        </w:rPr>
      </w:pPr>
    </w:p>
    <w:p>
      <w:pPr>
        <w:ind w:left="260"/>
        <w:spacing w:after="0"/>
        <w:rPr>
          <w:sz w:val="20"/>
          <w:szCs w:val="20"/>
          <w:color w:val="auto"/>
        </w:rPr>
      </w:pPr>
      <w:r>
        <w:rPr>
          <w:rFonts w:ascii="Arial" w:cs="Arial" w:eastAsia="Arial" w:hAnsi="Arial"/>
          <w:sz w:val="16"/>
          <w:szCs w:val="16"/>
          <w:color w:val="auto"/>
        </w:rPr>
        <w:t>For the three and six months ended June 30, 2021 and 2020, the components of interest expense related to the 2022 Convertible Notes were as follows:</w:t>
      </w:r>
    </w:p>
    <w:p>
      <w:pPr>
        <w:spacing w:after="0" w:line="321"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6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Six Months Ended</w:t>
            </w:r>
          </w:p>
        </w:tc>
        <w:tc>
          <w:tcPr>
            <w:tcW w:w="4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4600" w:type="dxa"/>
            <w:vAlign w:val="bottom"/>
          </w:tcPr>
          <w:p>
            <w:pPr>
              <w:spacing w:after="0"/>
              <w:rPr>
                <w:sz w:val="13"/>
                <w:szCs w:val="13"/>
                <w:color w:val="auto"/>
              </w:rPr>
            </w:pPr>
          </w:p>
        </w:tc>
        <w:tc>
          <w:tcPr>
            <w:tcW w:w="9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w w:val="94"/>
              </w:rPr>
              <w:t>June 30, 2021</w:t>
            </w:r>
          </w:p>
        </w:tc>
        <w:tc>
          <w:tcPr>
            <w:tcW w:w="180" w:type="dxa"/>
            <w:vAlign w:val="bottom"/>
          </w:tcPr>
          <w:p>
            <w:pPr>
              <w:spacing w:after="0"/>
              <w:rPr>
                <w:sz w:val="13"/>
                <w:szCs w:val="13"/>
                <w:color w:val="auto"/>
              </w:rPr>
            </w:pPr>
          </w:p>
        </w:tc>
        <w:tc>
          <w:tcPr>
            <w:tcW w:w="9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w w:val="94"/>
              </w:rPr>
              <w:t>June 30, 2020</w:t>
            </w:r>
          </w:p>
        </w:tc>
        <w:tc>
          <w:tcPr>
            <w:tcW w:w="180" w:type="dxa"/>
            <w:vAlign w:val="bottom"/>
          </w:tcPr>
          <w:p>
            <w:pPr>
              <w:spacing w:after="0"/>
              <w:rPr>
                <w:sz w:val="13"/>
                <w:szCs w:val="13"/>
                <w:color w:val="auto"/>
              </w:rPr>
            </w:pPr>
          </w:p>
        </w:tc>
        <w:tc>
          <w:tcPr>
            <w:tcW w:w="1120" w:type="dxa"/>
            <w:vAlign w:val="bottom"/>
            <w:gridSpan w:val="3"/>
          </w:tcPr>
          <w:p>
            <w:pPr>
              <w:ind w:left="40"/>
              <w:spacing w:after="0" w:line="155" w:lineRule="exact"/>
              <w:rPr>
                <w:sz w:val="20"/>
                <w:szCs w:val="20"/>
                <w:color w:val="auto"/>
              </w:rPr>
            </w:pPr>
            <w:r>
              <w:rPr>
                <w:rFonts w:ascii="Arial" w:cs="Arial" w:eastAsia="Arial" w:hAnsi="Arial"/>
                <w:sz w:val="14"/>
                <w:szCs w:val="14"/>
                <w:b w:val="1"/>
                <w:bCs w:val="1"/>
                <w:color w:val="auto"/>
              </w:rPr>
              <w:t>June 30, 2021</w:t>
            </w:r>
          </w:p>
        </w:tc>
        <w:tc>
          <w:tcPr>
            <w:tcW w:w="20" w:type="dxa"/>
            <w:vAlign w:val="bottom"/>
          </w:tcPr>
          <w:p>
            <w:pPr>
              <w:spacing w:after="0"/>
              <w:rPr>
                <w:sz w:val="13"/>
                <w:szCs w:val="13"/>
                <w:color w:val="auto"/>
              </w:rPr>
            </w:pPr>
          </w:p>
        </w:tc>
        <w:tc>
          <w:tcPr>
            <w:tcW w:w="92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w w:val="92"/>
              </w:rPr>
              <w:t>June 30, 2020</w:t>
            </w:r>
          </w:p>
        </w:tc>
        <w:tc>
          <w:tcPr>
            <w:tcW w:w="80" w:type="dxa"/>
            <w:vAlign w:val="bottom"/>
          </w:tcPr>
          <w:p>
            <w:pPr>
              <w:spacing w:after="0"/>
              <w:rPr>
                <w:sz w:val="13"/>
                <w:szCs w:val="13"/>
                <w:color w:val="auto"/>
              </w:rPr>
            </w:pPr>
          </w:p>
        </w:tc>
      </w:tr>
      <w:tr>
        <w:trPr>
          <w:trHeight w:val="223"/>
        </w:trPr>
        <w:tc>
          <w:tcPr>
            <w:tcW w:w="4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1,607</w:t>
            </w:r>
          </w:p>
        </w:tc>
        <w:tc>
          <w:tcPr>
            <w:tcW w:w="1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1,715</w:t>
            </w:r>
          </w:p>
        </w:tc>
        <w:tc>
          <w:tcPr>
            <w:tcW w:w="1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3,231</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ind w:right="32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3,656</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4600" w:type="dxa"/>
            <w:vAlign w:val="bottom"/>
          </w:tcPr>
          <w:p>
            <w:pPr>
              <w:spacing w:after="0"/>
              <w:rPr>
                <w:sz w:val="20"/>
                <w:szCs w:val="20"/>
                <w:color w:val="auto"/>
              </w:rPr>
            </w:pPr>
            <w:r>
              <w:rPr>
                <w:rFonts w:ascii="Arial" w:cs="Arial" w:eastAsia="Arial" w:hAnsi="Arial"/>
                <w:sz w:val="18"/>
                <w:szCs w:val="18"/>
                <w:color w:val="auto"/>
              </w:rPr>
              <w:t>Accretion of original issue discount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75</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131</w:t>
            </w:r>
          </w:p>
        </w:tc>
        <w:tc>
          <w:tcPr>
            <w:tcW w:w="80" w:type="dxa"/>
            <w:vAlign w:val="bottom"/>
          </w:tcPr>
          <w:p>
            <w:pPr>
              <w:spacing w:after="0"/>
              <w:rPr>
                <w:sz w:val="19"/>
                <w:szCs w:val="19"/>
                <w:color w:val="auto"/>
              </w:rPr>
            </w:pPr>
          </w:p>
        </w:tc>
      </w:tr>
      <w:tr>
        <w:trPr>
          <w:trHeight w:val="229"/>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deferred financing costs</w:t>
            </w:r>
          </w:p>
        </w:tc>
        <w:tc>
          <w:tcPr>
            <w:tcW w:w="2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w:t>
            </w:r>
          </w:p>
        </w:tc>
        <w:tc>
          <w:tcPr>
            <w:tcW w:w="1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w:t>
            </w:r>
          </w:p>
        </w:tc>
        <w:tc>
          <w:tcPr>
            <w:tcW w:w="1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384</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475</w:t>
            </w:r>
          </w:p>
        </w:tc>
        <w:tc>
          <w:tcPr>
            <w:tcW w:w="80" w:type="dxa"/>
            <w:vAlign w:val="bottom"/>
            <w:shd w:val="clear" w:color="auto" w:fill="CFF0FC"/>
          </w:tcPr>
          <w:p>
            <w:pPr>
              <w:spacing w:after="0"/>
              <w:rPr>
                <w:sz w:val="19"/>
                <w:szCs w:val="19"/>
                <w:color w:val="auto"/>
              </w:rPr>
            </w:pPr>
          </w:p>
        </w:tc>
      </w:tr>
      <w:tr>
        <w:trPr>
          <w:trHeight w:val="223"/>
        </w:trPr>
        <w:tc>
          <w:tcPr>
            <w:tcW w:w="4600" w:type="dxa"/>
            <w:vAlign w:val="bottom"/>
          </w:tcPr>
          <w:p>
            <w:pPr>
              <w:ind w:left="240"/>
              <w:spacing w:after="0"/>
              <w:rPr>
                <w:sz w:val="20"/>
                <w:szCs w:val="20"/>
                <w:color w:val="auto"/>
              </w:rPr>
            </w:pPr>
            <w:r>
              <w:rPr>
                <w:rFonts w:ascii="Arial" w:cs="Arial" w:eastAsia="Arial" w:hAnsi="Arial"/>
                <w:sz w:val="18"/>
                <w:szCs w:val="18"/>
                <w:b w:val="1"/>
                <w:bCs w:val="1"/>
                <w:color w:val="auto"/>
              </w:rPr>
              <w:t>Total Interest Expense</w:t>
            </w: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1,800</w:t>
            </w:r>
          </w:p>
        </w:tc>
        <w:tc>
          <w:tcPr>
            <w:tcW w:w="180" w:type="dxa"/>
            <w:vAlign w:val="bottom"/>
          </w:tcPr>
          <w:p>
            <w:pPr>
              <w:spacing w:after="0"/>
              <w:rPr>
                <w:sz w:val="19"/>
                <w:szCs w:val="19"/>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2,027</w:t>
            </w:r>
          </w:p>
        </w:tc>
        <w:tc>
          <w:tcPr>
            <w:tcW w:w="180" w:type="dxa"/>
            <w:vAlign w:val="bottom"/>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3,615</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327"/>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4,262</w:t>
            </w:r>
          </w:p>
        </w:tc>
        <w:tc>
          <w:tcPr>
            <w:tcW w:w="80" w:type="dxa"/>
            <w:vAlign w:val="bottom"/>
          </w:tcPr>
          <w:p>
            <w:pPr>
              <w:spacing w:after="0"/>
              <w:rPr>
                <w:sz w:val="19"/>
                <w:szCs w:val="19"/>
                <w:color w:val="auto"/>
              </w:rPr>
            </w:pPr>
          </w:p>
        </w:tc>
      </w:tr>
      <w:tr>
        <w:trPr>
          <w:trHeight w:val="20"/>
        </w:trPr>
        <w:tc>
          <w:tcPr>
            <w:tcW w:w="4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firstLine="255"/>
        <w:spacing w:after="0" w:line="255" w:lineRule="auto"/>
        <w:rPr>
          <w:sz w:val="20"/>
          <w:szCs w:val="20"/>
          <w:color w:val="auto"/>
        </w:rPr>
      </w:pPr>
      <w:r>
        <w:rPr>
          <w:rFonts w:ascii="Arial" w:cs="Arial" w:eastAsia="Arial" w:hAnsi="Arial"/>
          <w:sz w:val="18"/>
          <w:szCs w:val="18"/>
          <w:color w:val="auto"/>
        </w:rPr>
        <w:t>Total interest expense in the table above does not include the effect of the interest rate swaps. During the three and six months ended June 30, 2021, the Company received $2.1 million and $4.2 million, respectively, and paid $1.3 million and $2.7 million, respectively, related to the settlements of its interest rate swaps related to the 2022 Convertible Notes. During the three and six months ended June 30, 2020, the Company received $2.2 million and $4.1 million, respectively, and paid $1.9 million and $3.6 million, respectively, related to the settlements of its interest rate swaps, excluding upfront fees, related to the 2022 Convertible Notes. These net amounts are reflected in interest expense in the Company’s consolidated statements of operations. See Note 5 for further information about the Company’s interest rate swaps.</w:t>
      </w:r>
    </w:p>
    <w:p>
      <w:pPr>
        <w:spacing w:after="0" w:line="192" w:lineRule="exact"/>
        <w:rPr>
          <w:sz w:val="20"/>
          <w:szCs w:val="20"/>
          <w:color w:val="auto"/>
        </w:rPr>
      </w:pPr>
    </w:p>
    <w:p>
      <w:pPr>
        <w:ind w:right="260" w:firstLine="255"/>
        <w:spacing w:after="0" w:line="277" w:lineRule="auto"/>
        <w:rPr>
          <w:sz w:val="20"/>
          <w:szCs w:val="20"/>
          <w:color w:val="auto"/>
        </w:rPr>
      </w:pPr>
      <w:r>
        <w:rPr>
          <w:rFonts w:ascii="Arial" w:cs="Arial" w:eastAsia="Arial" w:hAnsi="Arial"/>
          <w:sz w:val="18"/>
          <w:szCs w:val="18"/>
          <w:color w:val="auto"/>
        </w:rPr>
        <w:t>As of June 30, 2021 and December 31, 2020, the components of the carrying value of the 2022 Convertible Notes and the stated interest rate were as follows:</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4"/>
              </w:rPr>
              <w:t>June 30, 2021</w:t>
            </w:r>
          </w:p>
        </w:tc>
        <w:tc>
          <w:tcPr>
            <w:tcW w:w="80" w:type="dxa"/>
            <w:vAlign w:val="bottom"/>
          </w:tcPr>
          <w:p>
            <w:pPr>
              <w:spacing w:after="0"/>
              <w:rPr>
                <w:sz w:val="14"/>
                <w:szCs w:val="14"/>
                <w:color w:val="auto"/>
              </w:rPr>
            </w:pPr>
          </w:p>
        </w:tc>
        <w:tc>
          <w:tcPr>
            <w:tcW w:w="14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3"/>
              </w:rPr>
              <w:t>December 31, 2020</w:t>
            </w:r>
          </w:p>
        </w:tc>
      </w:tr>
      <w:tr>
        <w:trPr>
          <w:trHeight w:val="223"/>
        </w:trPr>
        <w:tc>
          <w:tcPr>
            <w:tcW w:w="4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Principal amount of debt</w:t>
            </w:r>
          </w:p>
        </w:tc>
        <w:tc>
          <w:tcPr>
            <w:tcW w:w="10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142,809</w:t>
            </w: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196"/>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142,809</w:t>
            </w: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Original issue discount, net of accretion/amortization</w:t>
            </w: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(284)</w:t>
            </w:r>
          </w:p>
        </w:tc>
      </w:tr>
      <w:tr>
        <w:trPr>
          <w:trHeight w:val="230"/>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Deferred financing costs</w:t>
            </w: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(843)</w:t>
            </w: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(1,228)</w:t>
            </w:r>
          </w:p>
        </w:tc>
      </w:tr>
      <w:tr>
        <w:trPr>
          <w:trHeight w:val="263"/>
        </w:trPr>
        <w:tc>
          <w:tcPr>
            <w:tcW w:w="4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Carrying value of debt</w:t>
            </w:r>
          </w:p>
        </w:tc>
        <w:tc>
          <w:tcPr>
            <w:tcW w:w="108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141,966</w:t>
            </w:r>
          </w:p>
        </w:tc>
        <w:tc>
          <w:tcPr>
            <w:tcW w:w="2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141,297</w:t>
            </w:r>
          </w:p>
        </w:tc>
        <w:tc>
          <w:tcPr>
            <w:tcW w:w="180" w:type="dxa"/>
            <w:vAlign w:val="bottom"/>
            <w:tcBorders>
              <w:bottom w:val="single" w:sz="8" w:color="CFF0FC"/>
            </w:tcBorders>
          </w:tcPr>
          <w:p>
            <w:pPr>
              <w:spacing w:after="0"/>
              <w:rPr>
                <w:sz w:val="22"/>
                <w:szCs w:val="22"/>
                <w:color w:val="auto"/>
              </w:rPr>
            </w:pPr>
          </w:p>
        </w:tc>
      </w:tr>
      <w:tr>
        <w:trPr>
          <w:trHeight w:val="210"/>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Stated interest rate</w:t>
            </w: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4.50%</w:t>
            </w: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4.50%</w:t>
            </w:r>
          </w:p>
        </w:tc>
      </w:tr>
    </w:tbl>
    <w:p>
      <w:pPr>
        <w:spacing w:after="0" w:line="229" w:lineRule="exact"/>
        <w:rPr>
          <w:sz w:val="20"/>
          <w:szCs w:val="20"/>
          <w:color w:val="auto"/>
        </w:rPr>
      </w:pPr>
    </w:p>
    <w:p>
      <w:pPr>
        <w:ind w:right="160" w:firstLine="255"/>
        <w:spacing w:after="0" w:line="263" w:lineRule="auto"/>
        <w:rPr>
          <w:sz w:val="20"/>
          <w:szCs w:val="20"/>
          <w:color w:val="auto"/>
        </w:rPr>
      </w:pPr>
      <w:r>
        <w:rPr>
          <w:rFonts w:ascii="Arial" w:cs="Arial" w:eastAsia="Arial" w:hAnsi="Arial"/>
          <w:sz w:val="18"/>
          <w:szCs w:val="18"/>
          <w:color w:val="auto"/>
        </w:rPr>
        <w:t>The stated interest rate in the table above does not include the effect of the interest rate swaps. The Company’s swap-adjusted interest rate was three month LIBOR plus 2.11% (on a weighted average basis) for the 2022 Convertible Notes. See Note 5 for further information about the Company’s interest rate swaps.</w:t>
      </w:r>
    </w:p>
    <w:p>
      <w:pPr>
        <w:spacing w:after="0" w:line="184" w:lineRule="exact"/>
        <w:rPr>
          <w:sz w:val="20"/>
          <w:szCs w:val="20"/>
          <w:color w:val="auto"/>
        </w:rPr>
      </w:pPr>
    </w:p>
    <w:p>
      <w:pPr>
        <w:ind w:right="320" w:firstLine="255"/>
        <w:spacing w:after="0" w:line="257" w:lineRule="auto"/>
        <w:rPr>
          <w:sz w:val="20"/>
          <w:szCs w:val="20"/>
          <w:color w:val="auto"/>
        </w:rPr>
      </w:pPr>
      <w:r>
        <w:rPr>
          <w:rFonts w:ascii="Arial" w:cs="Arial" w:eastAsia="Arial" w:hAnsi="Arial"/>
          <w:sz w:val="18"/>
          <w:szCs w:val="18"/>
          <w:color w:val="auto"/>
        </w:rPr>
        <w:t>The indenture governing the 2022 Convertible Notes contains certain covenants, including covenants requiring the Company to comply with the applicable asset coverage ratio requirement under the 1940 Act and to provide financial information to the holders of the 2022 Convertible Notes under certain circumstances. These covenants are subject to important limitations and exceptions that are described in the indenture governing the 2022 Convertible Notes. As of June 30, 2021 and December 31, 2020, the Company was in compliance with the terms of the indenture governing the 2022 Convertible Notes.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2" w:name="page43"/>
    <w:bookmarkEnd w:id="42"/>
    <w:p>
      <w:pPr>
        <w:ind w:right="100" w:firstLine="255"/>
        <w:spacing w:after="0" w:line="287" w:lineRule="auto"/>
        <w:rPr>
          <w:sz w:val="20"/>
          <w:szCs w:val="20"/>
          <w:color w:val="auto"/>
        </w:rPr>
      </w:pPr>
      <w:r>
        <w:rPr>
          <w:rFonts w:ascii="Arial" w:cs="Arial" w:eastAsia="Arial" w:hAnsi="Arial"/>
          <w:sz w:val="16"/>
          <w:szCs w:val="16"/>
          <w:color w:val="auto"/>
        </w:rPr>
        <w:t>The 2022 Convertible Notes are accounted for in accordance with ASC Topic 470-20. Upon conversion of any of the 2022 Convertible Notes, the Company currently intends to pay the outstanding principal amount in cash and, to the extent that the conversion value exceeds the principal amount, the Company has the option to pay in cash or shares of the Company’s common stock (or a combination of cash and shares) in respect of the excess amount, subject to the requirements of the indenture governing the 2022 Convertible Notes. The Company has determined that the embedded conversion options in the 2022 Convertible Notes are not required to be separately accounted for as a derivative under U.S. GAAP. In accounting for the 2022 Convertible Notes, the Company estimated at the time of issuance separate debt and equity components of the 2022 Convertible Notes. A discount equal to the equity components of the 2022 Convertible Notes was recorded in “additional paid-in capital” in the accompanying consolidated balance sheet. Additionally, the issuance costs associated with the 2022 Convertible Notes were allocated to the debt and equity components in proportion to the allocation of the proceeds and accounted for as deferred financing costs and equity issuance costs, respectively. During the period ended March 31, 2021, the Company early adopted ASU 2020-06 and in accordance with this guidance has reclassed the remaining unamortized discount on the 2022 Convertible Notes from the carrying value of the instrument to “additional paid-in capital” in the accompanying consolidated balance sheet.</w:t>
      </w:r>
    </w:p>
    <w:p>
      <w:pPr>
        <w:spacing w:after="0" w:line="172" w:lineRule="exact"/>
        <w:rPr>
          <w:sz w:val="20"/>
          <w:szCs w:val="20"/>
          <w:color w:val="auto"/>
        </w:rPr>
      </w:pPr>
    </w:p>
    <w:p>
      <w:pPr>
        <w:ind w:right="20" w:firstLine="255"/>
        <w:spacing w:after="0" w:line="259" w:lineRule="auto"/>
        <w:rPr>
          <w:sz w:val="20"/>
          <w:szCs w:val="20"/>
          <w:color w:val="auto"/>
        </w:rPr>
      </w:pPr>
      <w:r>
        <w:rPr>
          <w:rFonts w:ascii="Arial" w:cs="Arial" w:eastAsia="Arial" w:hAnsi="Arial"/>
          <w:sz w:val="18"/>
          <w:szCs w:val="18"/>
          <w:color w:val="auto"/>
        </w:rPr>
        <w:t>The average daily closing price of the Company’s common stock for the three and six months ended June 30, 2021 was greater than the estimated adjusted conversion price for the 2022 Convertible Notes outstanding as of June 30, 2021. The average daily closing price of the Company’s common stock for the three and six months ended June 30, 2020 was less than the estimated adjusted conversion price for the 2022 Convertible Notes outstanding as of June 30, 2020.</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2023 Notes</w:t>
      </w:r>
    </w:p>
    <w:p>
      <w:pPr>
        <w:spacing w:after="0" w:line="117" w:lineRule="exact"/>
        <w:rPr>
          <w:sz w:val="20"/>
          <w:szCs w:val="20"/>
          <w:color w:val="auto"/>
        </w:rPr>
      </w:pPr>
    </w:p>
    <w:p>
      <w:pPr>
        <w:ind w:right="160" w:firstLine="255"/>
        <w:spacing w:after="0" w:line="275" w:lineRule="auto"/>
        <w:rPr>
          <w:sz w:val="20"/>
          <w:szCs w:val="20"/>
          <w:color w:val="auto"/>
        </w:rPr>
      </w:pPr>
      <w:r>
        <w:rPr>
          <w:rFonts w:ascii="Arial" w:cs="Arial" w:eastAsia="Arial" w:hAnsi="Arial"/>
          <w:sz w:val="17"/>
          <w:szCs w:val="17"/>
          <w:color w:val="auto"/>
        </w:rPr>
        <w:t>In January 2018, the Company issued $150.0 million aggregate principal amount of unsecured notes that mature on January 22, 2023 (the “2023 Notes”). The principal amount of the 2023 Notes is payable at maturity. The 2023 Notes bear interest at a rate of 4.50% per year, payable semi-annually commencing on July 22, 2018, and may be redeemed in whole or in part at the Company’s option at any time at par plus a “make whole” premium. Total proceeds from the issuance of the 2023 Notes, net of underwriting discounts and offering costs, were $146.9 million. The Company used the net proceeds of the 2023 Notes to repay outstanding indebtedness under the Revolving Credit Facility.</w:t>
      </w:r>
    </w:p>
    <w:p>
      <w:pPr>
        <w:spacing w:after="0" w:line="176" w:lineRule="exact"/>
        <w:rPr>
          <w:sz w:val="20"/>
          <w:szCs w:val="20"/>
          <w:color w:val="auto"/>
        </w:rPr>
      </w:pPr>
    </w:p>
    <w:p>
      <w:pPr>
        <w:jc w:val="both"/>
        <w:ind w:right="180" w:firstLine="255"/>
        <w:spacing w:after="0" w:line="286" w:lineRule="auto"/>
        <w:rPr>
          <w:sz w:val="20"/>
          <w:szCs w:val="20"/>
          <w:color w:val="auto"/>
        </w:rPr>
      </w:pPr>
      <w:r>
        <w:rPr>
          <w:rFonts w:ascii="Arial" w:cs="Arial" w:eastAsia="Arial" w:hAnsi="Arial"/>
          <w:sz w:val="17"/>
          <w:szCs w:val="17"/>
          <w:color w:val="auto"/>
        </w:rPr>
        <w:t>In connection with the 2023 Notes offering, the Company entered into an interest rate swap to continue to align the interest rates of its liabilities with the Company’s investment portfolio, which consists of predominately floating rate loans. As a result of the swap, the Company’s effective interest rate on the 2023 Notes is three-month LIBOR plus 1.99%. See Note 5 for further information about the Company’s interest rate swaps.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2024 Notes</w:t>
      </w:r>
    </w:p>
    <w:p>
      <w:pPr>
        <w:spacing w:after="0" w:line="117" w:lineRule="exact"/>
        <w:rPr>
          <w:sz w:val="20"/>
          <w:szCs w:val="20"/>
          <w:color w:val="auto"/>
        </w:rPr>
      </w:pPr>
    </w:p>
    <w:p>
      <w:pPr>
        <w:ind w:right="40" w:firstLine="255"/>
        <w:spacing w:after="0" w:line="275" w:lineRule="auto"/>
        <w:rPr>
          <w:sz w:val="20"/>
          <w:szCs w:val="20"/>
          <w:color w:val="auto"/>
        </w:rPr>
      </w:pPr>
      <w:r>
        <w:rPr>
          <w:rFonts w:ascii="Arial" w:cs="Arial" w:eastAsia="Arial" w:hAnsi="Arial"/>
          <w:sz w:val="17"/>
          <w:szCs w:val="17"/>
          <w:color w:val="auto"/>
        </w:rPr>
        <w:t>In November 2019, the Company issued $300.0 million aggregate principal amount of unsecured notes that mature on November 1, 2024 (the “2024 Notes”). The principal amount of the 2024 Notes is payable at maturity. The 2024 Notes bear interest at a rate of 3.875% per year, payable semi-annually commencing on May 1, 2020, and may be redeemed in whole or in part at our option at any time at par plus a “make whole” premium. Total proceeds from the issuance of the 2024 Notes, net of underwriting discounts, offering costs and original issue discount were $292.9 million. The Company used the net proceeds of the 2024 Notes to repay outstanding indebtedness under the Revolving Credit Facility.</w:t>
      </w:r>
    </w:p>
    <w:p>
      <w:pPr>
        <w:spacing w:after="0" w:line="176" w:lineRule="exact"/>
        <w:rPr>
          <w:sz w:val="20"/>
          <w:szCs w:val="20"/>
          <w:color w:val="auto"/>
        </w:rPr>
      </w:pPr>
    </w:p>
    <w:p>
      <w:pPr>
        <w:ind w:firstLine="255"/>
        <w:spacing w:after="0" w:line="257" w:lineRule="auto"/>
        <w:rPr>
          <w:sz w:val="20"/>
          <w:szCs w:val="20"/>
          <w:color w:val="auto"/>
        </w:rPr>
      </w:pPr>
      <w:r>
        <w:rPr>
          <w:rFonts w:ascii="Arial" w:cs="Arial" w:eastAsia="Arial" w:hAnsi="Arial"/>
          <w:sz w:val="18"/>
          <w:szCs w:val="18"/>
          <w:color w:val="auto"/>
        </w:rPr>
        <w:t>On February 5, 2020, the Company issued an additional $50.0 million aggregate principal amount of unsecured notes that mature on November 1, 2024. The additional 2024 Notes are a further issuance of, fungible with, rank equally in right of payment with and have the same terms (other than the issue date and the public offering price) as the initial issuance of 2024 Notes. Total proceeds from the issuance of the additional 2024 Notes, net of underwriting discounts, offering costs and original issue premium were $50.1 million. The Company used the net proceeds of the 2024 Notes to repay outstanding indebtedness under the Revolving Credit Facility.</w:t>
      </w:r>
    </w:p>
    <w:p>
      <w:pPr>
        <w:spacing w:after="0" w:line="188" w:lineRule="exact"/>
        <w:rPr>
          <w:sz w:val="20"/>
          <w:szCs w:val="20"/>
          <w:color w:val="auto"/>
        </w:rPr>
      </w:pPr>
    </w:p>
    <w:p>
      <w:pPr>
        <w:ind w:right="180" w:firstLine="255"/>
        <w:spacing w:after="0" w:line="272" w:lineRule="auto"/>
        <w:rPr>
          <w:sz w:val="20"/>
          <w:szCs w:val="20"/>
          <w:color w:val="auto"/>
        </w:rPr>
      </w:pPr>
      <w:r>
        <w:rPr>
          <w:rFonts w:ascii="Arial" w:cs="Arial" w:eastAsia="Arial" w:hAnsi="Arial"/>
          <w:sz w:val="17"/>
          <w:szCs w:val="17"/>
          <w:color w:val="auto"/>
        </w:rPr>
        <w:t>In connection with the 2024 Notes offering and the reopening of the 2024 Notes, the Company entered into interest rate swaps to continue to align the interest rates of its liabilities with the Company’s investment portfolio, which consists of predominately floating rate loans. As a result of the swaps, the Company’s effective interest rate on the 2024 Notes is three-month LIBOR plus 2.28% (on a weighted average basis). The interest expense related to the 2024 Notes is offset by proceeds received from the interest rate swaps designated as a hedge. The swap adjusted interest expense is included as a component of interest expense on the Company’s consolidated statement of operations. As of June 30, 2021 and December 31, 2020 the effective hedge interest rate swaps had a fair value of $10.6 million and $16.8 million, respectively, which is offset within interest expense by an equal, but opposite, fair value change for the hedged risk on the 2024 Notes.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3" w:name="page44"/>
    <w:bookmarkEnd w:id="43"/>
    <w:p>
      <w:pPr>
        <w:ind w:right="140" w:firstLine="255"/>
        <w:spacing w:after="0" w:line="272" w:lineRule="auto"/>
        <w:rPr>
          <w:sz w:val="20"/>
          <w:szCs w:val="20"/>
          <w:color w:val="auto"/>
        </w:rPr>
      </w:pPr>
      <w:r>
        <w:rPr>
          <w:rFonts w:ascii="Arial" w:cs="Arial" w:eastAsia="Arial" w:hAnsi="Arial"/>
          <w:sz w:val="17"/>
          <w:szCs w:val="17"/>
          <w:color w:val="auto"/>
        </w:rPr>
        <w:t>During the year ended December 31, 2020, the Company repurchased on the open market and extinguished $2.5 million in aggregate principal amount of the 2024 Notes for $2.4 million. These repurchases resulted in a gain on extinguishment of debt of less than $0.1 million. This gain is included in the extinguishment of debt in the accompanying consolidated statements of operations. In connection with the repurchase of the 2024 Notes, the Company entered into a floating-to-fixed interest rate swap with a notional amount equal to the amount of 2024 Notes repurchased, which has the effect of reducing the notional exposure of the fixed-to-floating interest rate swaps, which were entered into in connection with the issuance of the 2024 Notes, to match the current principal amount of the 2024 Notes outstanding. As a result of the swap, the Company’s effective interest rate on the outstanding 2024 Notes is three-month LIBOR plus 2.28% (on a weighted average basis).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2026 Notes</w:t>
      </w:r>
    </w:p>
    <w:p>
      <w:pPr>
        <w:spacing w:after="0" w:line="225" w:lineRule="exact"/>
        <w:rPr>
          <w:sz w:val="20"/>
          <w:szCs w:val="20"/>
          <w:color w:val="auto"/>
        </w:rPr>
      </w:pPr>
    </w:p>
    <w:p>
      <w:pPr>
        <w:ind w:right="100" w:firstLine="255"/>
        <w:spacing w:after="0" w:line="275" w:lineRule="auto"/>
        <w:rPr>
          <w:sz w:val="20"/>
          <w:szCs w:val="20"/>
          <w:color w:val="auto"/>
        </w:rPr>
      </w:pPr>
      <w:r>
        <w:rPr>
          <w:rFonts w:ascii="Arial" w:cs="Arial" w:eastAsia="Arial" w:hAnsi="Arial"/>
          <w:sz w:val="17"/>
          <w:szCs w:val="17"/>
          <w:color w:val="auto"/>
        </w:rPr>
        <w:t>On February 3, 2021, the Company issued $300.0 million aggregate principal amount of unsecured notes that mature on August 1, 2026 (the “2026 Notes”). The principal amount of the 2026 Notes is payable at maturity. The 2026 Notes bear interest at a rate of 2.50% per year, payable semi-annually commencing on August 1, 2021, and may be redeemed in whole or in part at the Company’s option at any time at par plus a “make whole” premium. Total proceeds from the issuance of the 2026 Notes, net of underwriting discounts, offering costs and original issue discount were $293.7 million. The Company used the net proceeds of the 2026 Notes to repay outstanding indebtedness under the Revolving Credit Facility.</w:t>
      </w:r>
    </w:p>
    <w:p>
      <w:pPr>
        <w:spacing w:after="0" w:line="176" w:lineRule="exact"/>
        <w:rPr>
          <w:sz w:val="20"/>
          <w:szCs w:val="20"/>
          <w:color w:val="auto"/>
        </w:rPr>
      </w:pPr>
    </w:p>
    <w:p>
      <w:pPr>
        <w:ind w:right="60" w:firstLine="255"/>
        <w:spacing w:after="0" w:line="273" w:lineRule="auto"/>
        <w:rPr>
          <w:sz w:val="20"/>
          <w:szCs w:val="20"/>
          <w:color w:val="auto"/>
        </w:rPr>
      </w:pPr>
      <w:r>
        <w:rPr>
          <w:rFonts w:ascii="Arial" w:cs="Arial" w:eastAsia="Arial" w:hAnsi="Arial"/>
          <w:sz w:val="17"/>
          <w:szCs w:val="17"/>
          <w:color w:val="auto"/>
        </w:rPr>
        <w:t>In connection with the issuance of the 2026 Notes, the Company entered into an interest rate swap to continue to align the interest rates of its liabilities with the Company’s investment portfolio, which consists of predominately floating rate loans. As a result of the swap, the Company’s effective interest rate on the 2026 Notes is three-month LIBOR plus 1.91%. The interest expense related to the 2026 Notes is offset by proceeds received from the interest rate swaps designated as a hedge. The swap adjusted interest expense is included as a component of interest expense on the Company’s consolidated statement of operations. As of June 30, 2021 the effective hedge interest rate swaps had a fair value of $(6.2) million, which is offset within interest expense by an equal, but opposite, fair value change for the hedged risk on the 2026 Notes.</w:t>
      </w:r>
    </w:p>
    <w:p>
      <w:pPr>
        <w:spacing w:after="0" w:line="178" w:lineRule="exact"/>
        <w:rPr>
          <w:sz w:val="20"/>
          <w:szCs w:val="20"/>
          <w:color w:val="auto"/>
        </w:rPr>
      </w:pPr>
    </w:p>
    <w:p>
      <w:pPr>
        <w:ind w:right="140" w:firstLine="255"/>
        <w:spacing w:after="0" w:line="277" w:lineRule="auto"/>
        <w:rPr>
          <w:sz w:val="20"/>
          <w:szCs w:val="20"/>
          <w:color w:val="auto"/>
        </w:rPr>
      </w:pPr>
      <w:r>
        <w:rPr>
          <w:rFonts w:ascii="Arial" w:cs="Arial" w:eastAsia="Arial" w:hAnsi="Arial"/>
          <w:sz w:val="18"/>
          <w:szCs w:val="18"/>
          <w:color w:val="auto"/>
        </w:rPr>
        <w:t>For the three and six months ended June 30, 2021 and 2020, the components of interest expense related to the 2023 Notes, 2024 Notes and 2026 Notes were as follows:</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gridSpan w:val="4"/>
          </w:tcPr>
          <w:p>
            <w:pPr>
              <w:jc w:val="right"/>
              <w:ind w:right="29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6"/>
          </w:tcPr>
          <w:p>
            <w:pPr>
              <w:ind w:left="200"/>
              <w:spacing w:after="0"/>
              <w:rPr>
                <w:sz w:val="20"/>
                <w:szCs w:val="20"/>
                <w:color w:val="auto"/>
              </w:rPr>
            </w:pPr>
            <w:r>
              <w:rPr>
                <w:rFonts w:ascii="Arial" w:cs="Arial" w:eastAsia="Arial" w:hAnsi="Arial"/>
                <w:sz w:val="14"/>
                <w:szCs w:val="14"/>
                <w:b w:val="1"/>
                <w:bCs w:val="1"/>
                <w:color w:val="auto"/>
              </w:rPr>
              <w:t>Six Months Ended</w:t>
            </w:r>
          </w:p>
        </w:tc>
      </w:tr>
      <w:tr>
        <w:trPr>
          <w:trHeight w:val="156"/>
        </w:trPr>
        <w:tc>
          <w:tcPr>
            <w:tcW w:w="4600" w:type="dxa"/>
            <w:vAlign w:val="bottom"/>
          </w:tcPr>
          <w:p>
            <w:pPr>
              <w:spacing w:after="0"/>
              <w:rPr>
                <w:sz w:val="13"/>
                <w:szCs w:val="13"/>
                <w:color w:val="auto"/>
              </w:rPr>
            </w:pPr>
          </w:p>
        </w:tc>
        <w:tc>
          <w:tcPr>
            <w:tcW w:w="94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94"/>
              </w:rPr>
              <w:t>June 30, 2021</w:t>
            </w:r>
          </w:p>
        </w:tc>
        <w:tc>
          <w:tcPr>
            <w:tcW w:w="1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94"/>
              </w:rPr>
              <w:t>June 30, 2020</w:t>
            </w:r>
          </w:p>
        </w:tc>
        <w:tc>
          <w:tcPr>
            <w:tcW w:w="180" w:type="dxa"/>
            <w:vAlign w:val="bottom"/>
          </w:tcPr>
          <w:p>
            <w:pPr>
              <w:spacing w:after="0"/>
              <w:rPr>
                <w:sz w:val="13"/>
                <w:szCs w:val="13"/>
                <w:color w:val="auto"/>
              </w:rPr>
            </w:pPr>
          </w:p>
        </w:tc>
        <w:tc>
          <w:tcPr>
            <w:tcW w:w="1120" w:type="dxa"/>
            <w:vAlign w:val="bottom"/>
            <w:tcBorders>
              <w:top w:val="single" w:sz="8" w:color="auto"/>
            </w:tcBorders>
            <w:gridSpan w:val="3"/>
          </w:tcPr>
          <w:p>
            <w:pPr>
              <w:ind w:left="40"/>
              <w:spacing w:after="0" w:line="155" w:lineRule="exact"/>
              <w:rPr>
                <w:sz w:val="20"/>
                <w:szCs w:val="20"/>
                <w:color w:val="auto"/>
              </w:rPr>
            </w:pPr>
            <w:r>
              <w:rPr>
                <w:rFonts w:ascii="Arial" w:cs="Arial" w:eastAsia="Arial" w:hAnsi="Arial"/>
                <w:sz w:val="14"/>
                <w:szCs w:val="14"/>
                <w:b w:val="1"/>
                <w:bCs w:val="1"/>
                <w:color w:val="auto"/>
              </w:rPr>
              <w:t>June 30, 2021</w:t>
            </w:r>
          </w:p>
        </w:tc>
        <w:tc>
          <w:tcPr>
            <w:tcW w:w="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92"/>
              </w:rPr>
              <w:t>June 30, 2020</w:t>
            </w:r>
          </w:p>
        </w:tc>
        <w:tc>
          <w:tcPr>
            <w:tcW w:w="80" w:type="dxa"/>
            <w:vAlign w:val="bottom"/>
          </w:tcPr>
          <w:p>
            <w:pPr>
              <w:spacing w:after="0"/>
              <w:rPr>
                <w:sz w:val="13"/>
                <w:szCs w:val="13"/>
                <w:color w:val="auto"/>
              </w:rPr>
            </w:pPr>
          </w:p>
        </w:tc>
      </w:tr>
      <w:tr>
        <w:trPr>
          <w:trHeight w:val="223"/>
        </w:trPr>
        <w:tc>
          <w:tcPr>
            <w:tcW w:w="4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6,929</w:t>
            </w:r>
          </w:p>
        </w:tc>
        <w:tc>
          <w:tcPr>
            <w:tcW w:w="1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5,063</w:t>
            </w:r>
          </w:p>
        </w:tc>
        <w:tc>
          <w:tcPr>
            <w:tcW w:w="1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13,229</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9,958</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Accretion of original issue discount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184</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102</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156</w:t>
            </w:r>
          </w:p>
        </w:tc>
        <w:tc>
          <w:tcPr>
            <w:tcW w:w="80" w:type="dxa"/>
            <w:vAlign w:val="bottom"/>
          </w:tcPr>
          <w:p>
            <w:pPr>
              <w:spacing w:after="0"/>
              <w:rPr>
                <w:sz w:val="19"/>
                <w:szCs w:val="19"/>
                <w:color w:val="auto"/>
              </w:rPr>
            </w:pPr>
          </w:p>
        </w:tc>
      </w:tr>
      <w:tr>
        <w:trPr>
          <w:trHeight w:val="230"/>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deferred financing costs</w:t>
            </w:r>
          </w:p>
        </w:tc>
        <w:tc>
          <w:tcPr>
            <w:tcW w:w="2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601</w:t>
            </w:r>
          </w:p>
        </w:tc>
        <w:tc>
          <w:tcPr>
            <w:tcW w:w="1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418</w:t>
            </w:r>
          </w:p>
        </w:tc>
        <w:tc>
          <w:tcPr>
            <w:tcW w:w="1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1,124</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814</w:t>
            </w:r>
          </w:p>
        </w:tc>
        <w:tc>
          <w:tcPr>
            <w:tcW w:w="80" w:type="dxa"/>
            <w:vAlign w:val="bottom"/>
            <w:shd w:val="clear" w:color="auto" w:fill="CFF0FC"/>
          </w:tcPr>
          <w:p>
            <w:pPr>
              <w:spacing w:after="0"/>
              <w:rPr>
                <w:sz w:val="19"/>
                <w:szCs w:val="19"/>
                <w:color w:val="auto"/>
              </w:rPr>
            </w:pPr>
          </w:p>
        </w:tc>
      </w:tr>
      <w:tr>
        <w:trPr>
          <w:trHeight w:val="223"/>
        </w:trPr>
        <w:tc>
          <w:tcPr>
            <w:tcW w:w="4600" w:type="dxa"/>
            <w:vAlign w:val="bottom"/>
          </w:tcPr>
          <w:p>
            <w:pPr>
              <w:ind w:left="240"/>
              <w:spacing w:after="0"/>
              <w:rPr>
                <w:sz w:val="20"/>
                <w:szCs w:val="20"/>
                <w:color w:val="auto"/>
              </w:rPr>
            </w:pPr>
            <w:r>
              <w:rPr>
                <w:rFonts w:ascii="Arial" w:cs="Arial" w:eastAsia="Arial" w:hAnsi="Arial"/>
                <w:sz w:val="18"/>
                <w:szCs w:val="18"/>
                <w:b w:val="1"/>
                <w:bCs w:val="1"/>
                <w:color w:val="auto"/>
              </w:rPr>
              <w:t>Total Interest Expense</w:t>
            </w: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7,714</w:t>
            </w:r>
          </w:p>
        </w:tc>
        <w:tc>
          <w:tcPr>
            <w:tcW w:w="180" w:type="dxa"/>
            <w:vAlign w:val="bottom"/>
          </w:tcPr>
          <w:p>
            <w:pPr>
              <w:spacing w:after="0"/>
              <w:rPr>
                <w:sz w:val="19"/>
                <w:szCs w:val="19"/>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5,583</w:t>
            </w:r>
          </w:p>
        </w:tc>
        <w:tc>
          <w:tcPr>
            <w:tcW w:w="180" w:type="dxa"/>
            <w:vAlign w:val="bottom"/>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14,686</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10,928</w:t>
            </w:r>
          </w:p>
        </w:tc>
        <w:tc>
          <w:tcPr>
            <w:tcW w:w="80" w:type="dxa"/>
            <w:vAlign w:val="bottom"/>
          </w:tcPr>
          <w:p>
            <w:pPr>
              <w:spacing w:after="0"/>
              <w:rPr>
                <w:sz w:val="19"/>
                <w:szCs w:val="19"/>
                <w:color w:val="auto"/>
              </w:rPr>
            </w:pPr>
          </w:p>
        </w:tc>
      </w:tr>
      <w:tr>
        <w:trPr>
          <w:trHeight w:val="20"/>
        </w:trPr>
        <w:tc>
          <w:tcPr>
            <w:tcW w:w="4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40" w:firstLine="255"/>
        <w:spacing w:after="0" w:line="293" w:lineRule="auto"/>
        <w:rPr>
          <w:sz w:val="20"/>
          <w:szCs w:val="20"/>
          <w:color w:val="auto"/>
        </w:rPr>
      </w:pPr>
      <w:r>
        <w:rPr>
          <w:rFonts w:ascii="Arial" w:cs="Arial" w:eastAsia="Arial" w:hAnsi="Arial"/>
          <w:sz w:val="16"/>
          <w:szCs w:val="16"/>
          <w:color w:val="auto"/>
        </w:rPr>
        <w:t>Total interest expense in the table above does not include the effect of the interest rate swaps related to the 2023 Notes, 2024 Notes and 2026 Notes. During the three and six months ended June 30, 2021 the Company received $7.0 million and $13.1 million, respectively, and paid $4.7 million and $8.6 million, respectively, related to the settlements of its interest rate swaps, excluding upfront fees, related to the 2023, 2024 and 2026 Notes. During the three and six months ended June 30, 2020 the Company received $5.1 million and $10.0 million, respectively, and paid $4.4 million and $9.4 million, respectively, related to the settlements of its interest rate swaps, excluding upfront fees, related to the 2023 and 2024 Notes. These net amounts are reflected in interest expense in the Company’s consolidated statements of operations. See Note 5 for further information about the Company’s interest rate swaps.</w:t>
      </w:r>
    </w:p>
    <w:p>
      <w:pPr>
        <w:spacing w:after="0" w:line="164" w:lineRule="exact"/>
        <w:rPr>
          <w:sz w:val="20"/>
          <w:szCs w:val="20"/>
          <w:color w:val="auto"/>
        </w:rPr>
      </w:pPr>
    </w:p>
    <w:p>
      <w:pPr>
        <w:ind w:right="40" w:firstLine="255"/>
        <w:spacing w:after="0" w:line="277" w:lineRule="auto"/>
        <w:rPr>
          <w:sz w:val="20"/>
          <w:szCs w:val="20"/>
          <w:color w:val="auto"/>
        </w:rPr>
      </w:pPr>
      <w:r>
        <w:rPr>
          <w:rFonts w:ascii="Arial" w:cs="Arial" w:eastAsia="Arial" w:hAnsi="Arial"/>
          <w:sz w:val="18"/>
          <w:szCs w:val="18"/>
          <w:color w:val="auto"/>
        </w:rPr>
        <w:t>As of June 30, 2021 and December 31, 2020 the components of the carrying value of the 2023 Notes, 2024 Notes and 2026 Notes and the stated interest rate were as follows: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w w:val="94"/>
              </w:rPr>
              <w:t>June 30, 2021</w:t>
            </w: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5"/>
          </w:tcPr>
          <w:p>
            <w:pPr>
              <w:jc w:val="right"/>
              <w:ind w:right="290"/>
              <w:spacing w:after="0"/>
              <w:rPr>
                <w:sz w:val="20"/>
                <w:szCs w:val="20"/>
                <w:color w:val="auto"/>
              </w:rPr>
            </w:pPr>
            <w:r>
              <w:rPr>
                <w:rFonts w:ascii="Arial" w:cs="Arial" w:eastAsia="Arial" w:hAnsi="Arial"/>
                <w:sz w:val="14"/>
                <w:szCs w:val="14"/>
                <w:b w:val="1"/>
                <w:bCs w:val="1"/>
                <w:color w:val="auto"/>
              </w:rPr>
              <w:t>December 31, 2020</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37"/>
        </w:trPr>
        <w:tc>
          <w:tcPr>
            <w:tcW w:w="114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0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4"/>
              </w:rPr>
              <w:t>2023 Notes</w:t>
            </w:r>
          </w:p>
        </w:tc>
        <w:tc>
          <w:tcPr>
            <w:tcW w:w="80" w:type="dxa"/>
            <w:vAlign w:val="bottom"/>
          </w:tcPr>
          <w:p>
            <w:pPr>
              <w:spacing w:after="0"/>
              <w:rPr>
                <w:sz w:val="20"/>
                <w:szCs w:val="20"/>
                <w:color w:val="auto"/>
              </w:rPr>
            </w:pPr>
          </w:p>
        </w:tc>
        <w:tc>
          <w:tcPr>
            <w:tcW w:w="10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4"/>
              </w:rPr>
              <w:t>2024 Notes</w:t>
            </w:r>
          </w:p>
        </w:tc>
        <w:tc>
          <w:tcPr>
            <w:tcW w:w="80" w:type="dxa"/>
            <w:vAlign w:val="bottom"/>
          </w:tcPr>
          <w:p>
            <w:pPr>
              <w:spacing w:after="0"/>
              <w:rPr>
                <w:sz w:val="20"/>
                <w:szCs w:val="20"/>
                <w:color w:val="auto"/>
              </w:rPr>
            </w:pPr>
          </w:p>
        </w:tc>
        <w:tc>
          <w:tcPr>
            <w:tcW w:w="10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4"/>
              </w:rPr>
              <w:t>2026 Notes</w:t>
            </w:r>
          </w:p>
        </w:tc>
        <w:tc>
          <w:tcPr>
            <w:tcW w:w="80" w:type="dxa"/>
            <w:vAlign w:val="bottom"/>
          </w:tcPr>
          <w:p>
            <w:pPr>
              <w:spacing w:after="0"/>
              <w:rPr>
                <w:sz w:val="20"/>
                <w:szCs w:val="20"/>
                <w:color w:val="auto"/>
              </w:rPr>
            </w:pPr>
          </w:p>
        </w:tc>
        <w:tc>
          <w:tcPr>
            <w:tcW w:w="10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4"/>
              </w:rPr>
              <w:t>2023 Notes</w:t>
            </w:r>
          </w:p>
        </w:tc>
        <w:tc>
          <w:tcPr>
            <w:tcW w:w="80" w:type="dxa"/>
            <w:vAlign w:val="bottom"/>
          </w:tcPr>
          <w:p>
            <w:pPr>
              <w:spacing w:after="0"/>
              <w:rPr>
                <w:sz w:val="20"/>
                <w:szCs w:val="20"/>
                <w:color w:val="auto"/>
              </w:rPr>
            </w:pPr>
          </w:p>
        </w:tc>
        <w:tc>
          <w:tcPr>
            <w:tcW w:w="9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4"/>
              </w:rPr>
              <w:t>2024 Notes</w:t>
            </w:r>
          </w:p>
        </w:tc>
        <w:tc>
          <w:tcPr>
            <w:tcW w:w="1140" w:type="dxa"/>
            <w:vAlign w:val="bottom"/>
          </w:tcPr>
          <w:p>
            <w:pPr>
              <w:spacing w:after="0"/>
              <w:rPr>
                <w:sz w:val="20"/>
                <w:szCs w:val="20"/>
                <w:color w:val="auto"/>
              </w:rPr>
            </w:pPr>
          </w:p>
        </w:tc>
      </w:tr>
      <w:tr>
        <w:trPr>
          <w:trHeight w:val="223"/>
        </w:trPr>
        <w:tc>
          <w:tcPr>
            <w:tcW w:w="1140" w:type="dxa"/>
            <w:vAlign w:val="bottom"/>
          </w:tcPr>
          <w:p>
            <w:pPr>
              <w:spacing w:after="0"/>
              <w:rPr>
                <w:sz w:val="19"/>
                <w:szCs w:val="19"/>
                <w:color w:val="auto"/>
              </w:rPr>
            </w:pPr>
          </w:p>
        </w:tc>
        <w:tc>
          <w:tcPr>
            <w:tcW w:w="3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Principal amount of debt</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150,000</w:t>
            </w:r>
          </w:p>
        </w:tc>
        <w:tc>
          <w:tcPr>
            <w:tcW w:w="2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347,500</w:t>
            </w:r>
          </w:p>
        </w:tc>
        <w:tc>
          <w:tcPr>
            <w:tcW w:w="2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300,000</w:t>
            </w:r>
          </w:p>
        </w:tc>
        <w:tc>
          <w:tcPr>
            <w:tcW w:w="2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150,000</w:t>
            </w:r>
          </w:p>
        </w:tc>
        <w:tc>
          <w:tcPr>
            <w:tcW w:w="2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347,500</w:t>
            </w:r>
          </w:p>
        </w:tc>
        <w:tc>
          <w:tcPr>
            <w:tcW w:w="180" w:type="dxa"/>
            <w:vAlign w:val="bottom"/>
            <w:tcBorders>
              <w:top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Original issue discount, net of accretion</w:t>
            </w:r>
          </w:p>
        </w:tc>
        <w:tc>
          <w:tcPr>
            <w:tcW w:w="14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(1,271)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(2,043)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(1,445)</w:t>
            </w:r>
          </w:p>
        </w:tc>
        <w:tc>
          <w:tcPr>
            <w:tcW w:w="114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Deferred financing costs</w:t>
            </w:r>
          </w:p>
        </w:tc>
        <w:tc>
          <w:tcPr>
            <w:tcW w:w="1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(1,008)</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(3,398)</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(3,803)</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(1,327)</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(3,903)</w:t>
            </w:r>
          </w:p>
        </w:tc>
        <w:tc>
          <w:tcPr>
            <w:tcW w:w="114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Fair value of an effective hedge</w:t>
            </w:r>
          </w:p>
        </w:tc>
        <w:tc>
          <w:tcPr>
            <w:tcW w:w="14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10,634</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(6,165)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16,769</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3"/>
        </w:trPr>
        <w:tc>
          <w:tcPr>
            <w:tcW w:w="1140" w:type="dxa"/>
            <w:vAlign w:val="bottom"/>
          </w:tcPr>
          <w:p>
            <w:pPr>
              <w:spacing w:after="0"/>
              <w:rPr>
                <w:sz w:val="19"/>
                <w:szCs w:val="19"/>
                <w:color w:val="auto"/>
              </w:rPr>
            </w:pPr>
          </w:p>
        </w:tc>
        <w:tc>
          <w:tcPr>
            <w:tcW w:w="36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Carrying value of debt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148,977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353,465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287,989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148,653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358,921</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r>
      <w:tr>
        <w:trPr>
          <w:trHeight w:val="20"/>
        </w:trPr>
        <w:tc>
          <w:tcPr>
            <w:tcW w:w="482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24"/>
        </w:trPr>
        <w:tc>
          <w:tcPr>
            <w:tcW w:w="4820" w:type="dxa"/>
            <w:vAlign w:val="bottom"/>
            <w:gridSpan w:val="2"/>
          </w:tcPr>
          <w:p>
            <w:pPr>
              <w:ind w:left="1140"/>
              <w:spacing w:after="0"/>
              <w:rPr>
                <w:sz w:val="20"/>
                <w:szCs w:val="20"/>
                <w:color w:val="auto"/>
              </w:rPr>
            </w:pPr>
            <w:r>
              <w:rPr>
                <w:rFonts w:ascii="Arial" w:cs="Arial" w:eastAsia="Arial" w:hAnsi="Arial"/>
                <w:sz w:val="18"/>
                <w:szCs w:val="18"/>
                <w:color w:val="auto"/>
              </w:rPr>
              <w:t>Stated interest rate</w:t>
            </w:r>
          </w:p>
        </w:tc>
        <w:tc>
          <w:tcPr>
            <w:tcW w:w="14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4.50%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3.875%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2.50%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4.50%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3.875%</w:t>
            </w:r>
          </w:p>
        </w:tc>
        <w:tc>
          <w:tcPr>
            <w:tcW w:w="1140" w:type="dxa"/>
            <w:vAlign w:val="bottom"/>
          </w:tcPr>
          <w:p>
            <w:pPr>
              <w:spacing w:after="0"/>
              <w:rPr>
                <w:sz w:val="19"/>
                <w:szCs w:val="19"/>
                <w:color w:val="auto"/>
              </w:rPr>
            </w:pPr>
          </w:p>
        </w:tc>
      </w:tr>
      <w:tr>
        <w:trPr>
          <w:trHeight w:val="648"/>
        </w:trPr>
        <w:tc>
          <w:tcPr>
            <w:tcW w:w="11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6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57" w:right="319" w:bottom="1440" w:gutter="0" w:footer="0" w:header="0"/>
        </w:sectPr>
      </w:pPr>
    </w:p>
    <w:bookmarkStart w:id="44" w:name="page45"/>
    <w:bookmarkEnd w:id="44"/>
    <w:p>
      <w:pPr>
        <w:ind w:right="220" w:firstLine="255"/>
        <w:spacing w:after="0" w:line="259" w:lineRule="auto"/>
        <w:rPr>
          <w:sz w:val="20"/>
          <w:szCs w:val="20"/>
          <w:color w:val="auto"/>
        </w:rPr>
      </w:pPr>
      <w:r>
        <w:rPr>
          <w:rFonts w:ascii="Arial" w:cs="Arial" w:eastAsia="Arial" w:hAnsi="Arial"/>
          <w:sz w:val="18"/>
          <w:szCs w:val="18"/>
          <w:color w:val="auto"/>
        </w:rPr>
        <w:t>The stated interest rate in the table above does not include the effect of the interest rate swaps. As of June 30, 2021 the Company’s swap-adjusted interest rate on the 2023 Notes, 2024 Notes and 2026 Notes is three month LIBOR plus 1.99%, 2.28% (on a weighted average basis), and 1.91%, respectively. As of December 31, 2020 the Company’s swap-adjusted interest rate on the 2023 Notes and 2024 Notes is three month LIBOR plus 1.99% and 2.28% (on a weighted average basis), respectively.</w:t>
      </w:r>
    </w:p>
    <w:p>
      <w:pPr>
        <w:spacing w:after="0" w:line="187" w:lineRule="exact"/>
        <w:rPr>
          <w:sz w:val="20"/>
          <w:szCs w:val="20"/>
          <w:color w:val="auto"/>
        </w:rPr>
      </w:pPr>
    </w:p>
    <w:p>
      <w:pPr>
        <w:ind w:right="100" w:firstLine="255"/>
        <w:spacing w:after="0" w:line="277" w:lineRule="auto"/>
        <w:rPr>
          <w:sz w:val="20"/>
          <w:szCs w:val="20"/>
          <w:color w:val="auto"/>
        </w:rPr>
      </w:pPr>
      <w:r>
        <w:rPr>
          <w:rFonts w:ascii="Arial" w:cs="Arial" w:eastAsia="Arial" w:hAnsi="Arial"/>
          <w:sz w:val="18"/>
          <w:szCs w:val="18"/>
          <w:color w:val="auto"/>
        </w:rPr>
        <w:t>As of June 30, 2021 and December 31, 2020, the Company was in compliance with the terms of the indentures governing the 2023 Notes, 2024 Notes and 2026 Notes.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Portfolio Company Commitments</w:t>
      </w:r>
    </w:p>
    <w:p>
      <w:pPr>
        <w:spacing w:after="0" w:line="117" w:lineRule="exact"/>
        <w:rPr>
          <w:sz w:val="20"/>
          <w:szCs w:val="20"/>
          <w:color w:val="auto"/>
        </w:rPr>
      </w:pPr>
    </w:p>
    <w:p>
      <w:pPr>
        <w:ind w:firstLine="255"/>
        <w:spacing w:after="0" w:line="275" w:lineRule="auto"/>
        <w:rPr>
          <w:sz w:val="20"/>
          <w:szCs w:val="20"/>
          <w:color w:val="auto"/>
        </w:rPr>
      </w:pPr>
      <w:r>
        <w:rPr>
          <w:rFonts w:ascii="Arial" w:cs="Arial" w:eastAsia="Arial" w:hAnsi="Arial"/>
          <w:sz w:val="17"/>
          <w:szCs w:val="17"/>
          <w:color w:val="auto"/>
        </w:rPr>
        <w:t>From time to time, the Company may enter into commitments to fund investments; such commitments are incorporated into the Company’s assessment of its liquidity position. The Company’s senior secured revolving loan commitments are generally available on a borrower’s demand and may remain outstanding until the maturity date of the applicable loan. The Company’s senior secured term loan commitments are generally available on a borrower’s demand and, once drawn, generally have the same remaining term as the associated loan agreement. Undrawn senior secured term loan commitments generally have a shorter availability period than the term of the associated loan agreement.</w:t>
      </w:r>
    </w:p>
    <w:p>
      <w:pPr>
        <w:spacing w:after="0" w:line="17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598" w:right="419" w:bottom="1440" w:gutter="0" w:footer="0" w:header="0"/>
        </w:sectPr>
      </w:pPr>
    </w:p>
    <w:bookmarkStart w:id="45" w:name="page46"/>
    <w:bookmarkEnd w:id="45"/>
    <w:p>
      <w:pPr>
        <w:ind w:left="260"/>
        <w:spacing w:after="0"/>
        <w:rPr>
          <w:sz w:val="20"/>
          <w:szCs w:val="20"/>
          <w:color w:val="auto"/>
        </w:rPr>
      </w:pPr>
      <w:r>
        <w:rPr>
          <w:rFonts w:ascii="Arial" w:cs="Arial" w:eastAsia="Arial" w:hAnsi="Arial"/>
          <w:sz w:val="17"/>
          <w:szCs w:val="17"/>
          <w:color w:val="auto"/>
        </w:rPr>
        <w:t>As of June 30, 2021 and December 31, 2020, the Company had the following commitments to fund investments in current portfolio companies:</w:t>
      </w:r>
    </w:p>
    <w:p>
      <w:pPr>
        <w:spacing w:after="0" w:line="309"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6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 2021</w:t>
            </w:r>
          </w:p>
        </w:tc>
        <w:tc>
          <w:tcPr>
            <w:tcW w:w="200" w:type="dxa"/>
            <w:vAlign w:val="bottom"/>
          </w:tcPr>
          <w:p>
            <w:pPr>
              <w:spacing w:after="0"/>
              <w:rPr>
                <w:sz w:val="14"/>
                <w:szCs w:val="14"/>
                <w:color w:val="auto"/>
              </w:rPr>
            </w:pPr>
          </w:p>
        </w:tc>
        <w:tc>
          <w:tcPr>
            <w:tcW w:w="168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 2020</w:t>
            </w:r>
          </w:p>
        </w:tc>
      </w:tr>
      <w:tr>
        <w:trPr>
          <w:trHeight w:val="223"/>
        </w:trPr>
        <w:tc>
          <w:tcPr>
            <w:tcW w:w="6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Alpha Midco, Inc. - Delayed Draw</w:t>
            </w: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American Achievement, Corp. - Revolver</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2,403</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AvidXchange, Inc. - Delayed Draw</w:t>
            </w:r>
          </w:p>
        </w:tc>
        <w:tc>
          <w:tcPr>
            <w:tcW w:w="2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4,380</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4,626</w:t>
            </w:r>
          </w:p>
        </w:tc>
        <w:tc>
          <w:tcPr>
            <w:tcW w:w="120" w:type="dxa"/>
            <w:vAlign w:val="bottom"/>
            <w:shd w:val="clear" w:color="auto" w:fill="CFF0FC"/>
          </w:tcPr>
          <w:p>
            <w:pPr>
              <w:spacing w:after="0"/>
              <w:rPr>
                <w:sz w:val="19"/>
                <w:szCs w:val="19"/>
                <w:color w:val="auto"/>
              </w:rPr>
            </w:pPr>
          </w:p>
        </w:tc>
      </w:tr>
      <w:tr>
        <w:trPr>
          <w:trHeight w:val="229"/>
        </w:trPr>
        <w:tc>
          <w:tcPr>
            <w:tcW w:w="6200" w:type="dxa"/>
            <w:vAlign w:val="bottom"/>
          </w:tcPr>
          <w:p>
            <w:pPr>
              <w:spacing w:after="0"/>
              <w:rPr>
                <w:sz w:val="20"/>
                <w:szCs w:val="20"/>
                <w:color w:val="auto"/>
              </w:rPr>
            </w:pPr>
            <w:r>
              <w:rPr>
                <w:rFonts w:ascii="Arial" w:cs="Arial" w:eastAsia="Arial" w:hAnsi="Arial"/>
                <w:sz w:val="18"/>
                <w:szCs w:val="18"/>
                <w:color w:val="auto"/>
              </w:rPr>
              <w:t>Axonify, Inc. - Delayed Draw</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8,505</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Biohaven Pharmaceuticals, Inc. - Delayed Draw</w:t>
            </w:r>
          </w:p>
        </w:tc>
        <w:tc>
          <w:tcPr>
            <w:tcW w:w="2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22,500</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22,500</w:t>
            </w:r>
          </w:p>
        </w:tc>
        <w:tc>
          <w:tcPr>
            <w:tcW w:w="120" w:type="dxa"/>
            <w:vAlign w:val="bottom"/>
            <w:shd w:val="clear" w:color="auto" w:fill="CFF0FC"/>
          </w:tcPr>
          <w:p>
            <w:pPr>
              <w:spacing w:after="0"/>
              <w:rPr>
                <w:sz w:val="19"/>
                <w:szCs w:val="19"/>
                <w:color w:val="auto"/>
              </w:rPr>
            </w:pPr>
          </w:p>
        </w:tc>
      </w:tr>
      <w:tr>
        <w:trPr>
          <w:trHeight w:val="229"/>
        </w:trPr>
        <w:tc>
          <w:tcPr>
            <w:tcW w:w="6200" w:type="dxa"/>
            <w:vAlign w:val="bottom"/>
          </w:tcPr>
          <w:p>
            <w:pPr>
              <w:spacing w:after="0"/>
              <w:rPr>
                <w:sz w:val="20"/>
                <w:szCs w:val="20"/>
                <w:color w:val="auto"/>
              </w:rPr>
            </w:pPr>
            <w:r>
              <w:rPr>
                <w:rFonts w:ascii="Arial" w:cs="Arial" w:eastAsia="Arial" w:hAnsi="Arial"/>
                <w:sz w:val="18"/>
                <w:szCs w:val="18"/>
                <w:color w:val="auto"/>
              </w:rPr>
              <w:t>Clinicient, Inc. - Revolver</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1,600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1,600</w:t>
            </w:r>
          </w:p>
        </w:tc>
        <w:tc>
          <w:tcPr>
            <w:tcW w:w="120" w:type="dxa"/>
            <w:vAlign w:val="bottom"/>
          </w:tcPr>
          <w:p>
            <w:pPr>
              <w:spacing w:after="0"/>
              <w:rPr>
                <w:sz w:val="19"/>
                <w:szCs w:val="19"/>
                <w:color w:val="auto"/>
              </w:rPr>
            </w:pPr>
          </w:p>
        </w:tc>
      </w:tr>
      <w:tr>
        <w:trPr>
          <w:trHeight w:val="229"/>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DaySmart Holdings, LLC - Delayed Draw</w:t>
            </w:r>
          </w:p>
        </w:tc>
        <w:tc>
          <w:tcPr>
            <w:tcW w:w="2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5,917</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11,182</w:t>
            </w:r>
          </w:p>
        </w:tc>
        <w:tc>
          <w:tcPr>
            <w:tcW w:w="120" w:type="dxa"/>
            <w:vAlign w:val="bottom"/>
            <w:shd w:val="clear" w:color="auto" w:fill="CFF0FC"/>
          </w:tcPr>
          <w:p>
            <w:pPr>
              <w:spacing w:after="0"/>
              <w:rPr>
                <w:sz w:val="19"/>
                <w:szCs w:val="19"/>
                <w:color w:val="auto"/>
              </w:rPr>
            </w:pP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Destiny Solutions Parent Holding Company - Delayed Draw</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11,733</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Factor Systems, Inc. - Delayed Draw</w:t>
            </w:r>
          </w:p>
        </w:tc>
        <w:tc>
          <w:tcPr>
            <w:tcW w:w="26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13,333</w:t>
            </w:r>
          </w:p>
        </w:tc>
        <w:tc>
          <w:tcPr>
            <w:tcW w:w="120" w:type="dxa"/>
            <w:vAlign w:val="bottom"/>
            <w:shd w:val="clear" w:color="auto" w:fill="CFF0FC"/>
          </w:tcPr>
          <w:p>
            <w:pPr>
              <w:spacing w:after="0"/>
              <w:rPr>
                <w:sz w:val="19"/>
                <w:szCs w:val="19"/>
                <w:color w:val="auto"/>
              </w:rPr>
            </w:pP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ForeScout Technologies, Inc. - Revolver</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500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9"/>
                <w:szCs w:val="19"/>
                <w:color w:val="auto"/>
              </w:rPr>
            </w:pPr>
          </w:p>
        </w:tc>
      </w:tr>
      <w:tr>
        <w:trPr>
          <w:trHeight w:val="229"/>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G Treasury SS, LLC - Delayed Draw</w:t>
            </w:r>
          </w:p>
        </w:tc>
        <w:tc>
          <w:tcPr>
            <w:tcW w:w="2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6,709</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2,816</w:t>
            </w:r>
          </w:p>
        </w:tc>
        <w:tc>
          <w:tcPr>
            <w:tcW w:w="120" w:type="dxa"/>
            <w:vAlign w:val="bottom"/>
            <w:shd w:val="clear" w:color="auto" w:fill="CFF0FC"/>
          </w:tcPr>
          <w:p>
            <w:pPr>
              <w:spacing w:after="0"/>
              <w:rPr>
                <w:sz w:val="19"/>
                <w:szCs w:val="19"/>
                <w:color w:val="auto"/>
              </w:rPr>
            </w:pPr>
          </w:p>
        </w:tc>
      </w:tr>
      <w:tr>
        <w:trPr>
          <w:trHeight w:val="229"/>
        </w:trPr>
        <w:tc>
          <w:tcPr>
            <w:tcW w:w="6200" w:type="dxa"/>
            <w:vAlign w:val="bottom"/>
          </w:tcPr>
          <w:p>
            <w:pPr>
              <w:spacing w:after="0"/>
              <w:rPr>
                <w:sz w:val="20"/>
                <w:szCs w:val="20"/>
                <w:color w:val="auto"/>
              </w:rPr>
            </w:pPr>
            <w:r>
              <w:rPr>
                <w:rFonts w:ascii="Arial" w:cs="Arial" w:eastAsia="Arial" w:hAnsi="Arial"/>
                <w:sz w:val="18"/>
                <w:szCs w:val="18"/>
                <w:color w:val="auto"/>
              </w:rPr>
              <w:t>Ibis Intermediate Co. - Delayed Draw</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6,338</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Integration Appliance, Inc. - Revolver</w:t>
            </w:r>
          </w:p>
        </w:tc>
        <w:tc>
          <w:tcPr>
            <w:tcW w:w="2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1,310</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1,310</w:t>
            </w:r>
          </w:p>
        </w:tc>
        <w:tc>
          <w:tcPr>
            <w:tcW w:w="120" w:type="dxa"/>
            <w:vAlign w:val="bottom"/>
            <w:shd w:val="clear" w:color="auto" w:fill="CFF0FC"/>
          </w:tcPr>
          <w:p>
            <w:pPr>
              <w:spacing w:after="0"/>
              <w:rPr>
                <w:sz w:val="19"/>
                <w:szCs w:val="19"/>
                <w:color w:val="auto"/>
              </w:rPr>
            </w:pPr>
          </w:p>
        </w:tc>
      </w:tr>
      <w:tr>
        <w:trPr>
          <w:trHeight w:val="229"/>
        </w:trPr>
        <w:tc>
          <w:tcPr>
            <w:tcW w:w="6200" w:type="dxa"/>
            <w:vAlign w:val="bottom"/>
          </w:tcPr>
          <w:p>
            <w:pPr>
              <w:spacing w:after="0"/>
              <w:rPr>
                <w:sz w:val="20"/>
                <w:szCs w:val="20"/>
                <w:color w:val="auto"/>
              </w:rPr>
            </w:pPr>
            <w:r>
              <w:rPr>
                <w:rFonts w:ascii="Arial" w:cs="Arial" w:eastAsia="Arial" w:hAnsi="Arial"/>
                <w:sz w:val="18"/>
                <w:szCs w:val="18"/>
                <w:color w:val="auto"/>
              </w:rPr>
              <w:t>IntelePeer Holdings, Inc. - Delayed Draw</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3,327</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2,876</w:t>
            </w:r>
          </w:p>
        </w:tc>
        <w:tc>
          <w:tcPr>
            <w:tcW w:w="120" w:type="dxa"/>
            <w:vAlign w:val="bottom"/>
          </w:tcPr>
          <w:p>
            <w:pPr>
              <w:spacing w:after="0"/>
              <w:rPr>
                <w:sz w:val="19"/>
                <w:szCs w:val="19"/>
                <w:color w:val="auto"/>
              </w:rPr>
            </w:pPr>
          </w:p>
        </w:tc>
      </w:tr>
      <w:tr>
        <w:trPr>
          <w:trHeight w:val="230"/>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InvMetrics Holdings, Inc. - Revolver</w:t>
            </w:r>
          </w:p>
        </w:tc>
        <w:tc>
          <w:tcPr>
            <w:tcW w:w="2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1,900</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1,900</w:t>
            </w:r>
          </w:p>
        </w:tc>
        <w:tc>
          <w:tcPr>
            <w:tcW w:w="120" w:type="dxa"/>
            <w:vAlign w:val="bottom"/>
            <w:shd w:val="clear" w:color="auto" w:fill="CFF0FC"/>
          </w:tcPr>
          <w:p>
            <w:pPr>
              <w:spacing w:after="0"/>
              <w:rPr>
                <w:sz w:val="19"/>
                <w:szCs w:val="19"/>
                <w:color w:val="auto"/>
              </w:rPr>
            </w:pPr>
          </w:p>
        </w:tc>
      </w:tr>
      <w:tr>
        <w:trPr>
          <w:trHeight w:val="229"/>
        </w:trPr>
        <w:tc>
          <w:tcPr>
            <w:tcW w:w="6200" w:type="dxa"/>
            <w:vAlign w:val="bottom"/>
          </w:tcPr>
          <w:p>
            <w:pPr>
              <w:spacing w:after="0"/>
              <w:rPr>
                <w:sz w:val="20"/>
                <w:szCs w:val="20"/>
                <w:color w:val="auto"/>
              </w:rPr>
            </w:pPr>
            <w:r>
              <w:rPr>
                <w:rFonts w:ascii="Arial" w:cs="Arial" w:eastAsia="Arial" w:hAnsi="Arial"/>
                <w:sz w:val="18"/>
                <w:szCs w:val="18"/>
                <w:color w:val="auto"/>
              </w:rPr>
              <w:t>IRGSE Holding Corp. - Revolver</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1,732</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9"/>
                <w:szCs w:val="19"/>
                <w:color w:val="auto"/>
              </w:rPr>
            </w:pPr>
          </w:p>
        </w:tc>
      </w:tr>
      <w:tr>
        <w:trPr>
          <w:trHeight w:val="229"/>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Kyriba Corp. - Delayed Draw</w:t>
            </w:r>
          </w:p>
        </w:tc>
        <w:tc>
          <w:tcPr>
            <w:tcW w:w="2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3,053</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3,053</w:t>
            </w:r>
          </w:p>
        </w:tc>
        <w:tc>
          <w:tcPr>
            <w:tcW w:w="120" w:type="dxa"/>
            <w:vAlign w:val="bottom"/>
            <w:shd w:val="clear" w:color="auto" w:fill="CFF0FC"/>
          </w:tcPr>
          <w:p>
            <w:pPr>
              <w:spacing w:after="0"/>
              <w:rPr>
                <w:sz w:val="19"/>
                <w:szCs w:val="19"/>
                <w:color w:val="auto"/>
              </w:rPr>
            </w:pP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Kyriba Corp. - Revolver</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r>
      <w:tr>
        <w:trPr>
          <w:trHeight w:val="229"/>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Lexipol, LLC - Delayed Draw</w:t>
            </w:r>
          </w:p>
        </w:tc>
        <w:tc>
          <w:tcPr>
            <w:tcW w:w="2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w:t>
            </w:r>
          </w:p>
        </w:tc>
        <w:tc>
          <w:tcPr>
            <w:tcW w:w="120" w:type="dxa"/>
            <w:vAlign w:val="bottom"/>
            <w:shd w:val="clear" w:color="auto" w:fill="CFF0FC"/>
          </w:tcPr>
          <w:p>
            <w:pPr>
              <w:spacing w:after="0"/>
              <w:rPr>
                <w:sz w:val="19"/>
                <w:szCs w:val="19"/>
                <w:color w:val="auto"/>
              </w:rPr>
            </w:pPr>
          </w:p>
        </w:tc>
      </w:tr>
      <w:tr>
        <w:trPr>
          <w:trHeight w:val="229"/>
        </w:trPr>
        <w:tc>
          <w:tcPr>
            <w:tcW w:w="6200" w:type="dxa"/>
            <w:vAlign w:val="bottom"/>
          </w:tcPr>
          <w:p>
            <w:pPr>
              <w:spacing w:after="0"/>
              <w:rPr>
                <w:sz w:val="20"/>
                <w:szCs w:val="20"/>
                <w:color w:val="auto"/>
              </w:rPr>
            </w:pPr>
            <w:r>
              <w:rPr>
                <w:rFonts w:ascii="Arial" w:cs="Arial" w:eastAsia="Arial" w:hAnsi="Arial"/>
                <w:sz w:val="18"/>
                <w:szCs w:val="18"/>
                <w:color w:val="auto"/>
              </w:rPr>
              <w:t>Lithium Technologies, LLC - Revolver</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3,299</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1,979</w:t>
            </w:r>
          </w:p>
        </w:tc>
        <w:tc>
          <w:tcPr>
            <w:tcW w:w="120" w:type="dxa"/>
            <w:vAlign w:val="bottom"/>
          </w:tcPr>
          <w:p>
            <w:pPr>
              <w:spacing w:after="0"/>
              <w:rPr>
                <w:sz w:val="19"/>
                <w:szCs w:val="19"/>
                <w:color w:val="auto"/>
              </w:rPr>
            </w:pPr>
          </w:p>
        </w:tc>
      </w:tr>
      <w:tr>
        <w:trPr>
          <w:trHeight w:val="230"/>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Lucidworks, Inc. - Revolver</w:t>
            </w:r>
          </w:p>
        </w:tc>
        <w:tc>
          <w:tcPr>
            <w:tcW w:w="2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3,333</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3,333</w:t>
            </w:r>
          </w:p>
        </w:tc>
        <w:tc>
          <w:tcPr>
            <w:tcW w:w="120" w:type="dxa"/>
            <w:vAlign w:val="bottom"/>
            <w:shd w:val="clear" w:color="auto" w:fill="CFF0FC"/>
          </w:tcPr>
          <w:p>
            <w:pPr>
              <w:spacing w:after="0"/>
              <w:rPr>
                <w:sz w:val="19"/>
                <w:szCs w:val="19"/>
                <w:color w:val="auto"/>
              </w:rPr>
            </w:pPr>
          </w:p>
        </w:tc>
      </w:tr>
      <w:tr>
        <w:trPr>
          <w:trHeight w:val="229"/>
        </w:trPr>
        <w:tc>
          <w:tcPr>
            <w:tcW w:w="6200" w:type="dxa"/>
            <w:vAlign w:val="bottom"/>
          </w:tcPr>
          <w:p>
            <w:pPr>
              <w:spacing w:after="0"/>
              <w:rPr>
                <w:sz w:val="20"/>
                <w:szCs w:val="20"/>
                <w:color w:val="auto"/>
              </w:rPr>
            </w:pPr>
            <w:r>
              <w:rPr>
                <w:rFonts w:ascii="Arial" w:cs="Arial" w:eastAsia="Arial" w:hAnsi="Arial"/>
                <w:sz w:val="18"/>
                <w:szCs w:val="18"/>
                <w:color w:val="auto"/>
              </w:rPr>
              <w:t>Netwrix Corp. - Delayed Draw</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5,400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16,492</w:t>
            </w:r>
          </w:p>
        </w:tc>
        <w:tc>
          <w:tcPr>
            <w:tcW w:w="120" w:type="dxa"/>
            <w:vAlign w:val="bottom"/>
          </w:tcPr>
          <w:p>
            <w:pPr>
              <w:spacing w:after="0"/>
              <w:rPr>
                <w:sz w:val="19"/>
                <w:szCs w:val="19"/>
                <w:color w:val="auto"/>
              </w:rPr>
            </w:pPr>
          </w:p>
        </w:tc>
      </w:tr>
      <w:tr>
        <w:trPr>
          <w:trHeight w:val="230"/>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Netwrix Corp. - Revolver</w:t>
            </w:r>
          </w:p>
        </w:tc>
        <w:tc>
          <w:tcPr>
            <w:tcW w:w="2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2,751</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2,751</w:t>
            </w:r>
          </w:p>
        </w:tc>
        <w:tc>
          <w:tcPr>
            <w:tcW w:w="120" w:type="dxa"/>
            <w:vAlign w:val="bottom"/>
            <w:shd w:val="clear" w:color="auto" w:fill="CFF0FC"/>
          </w:tcPr>
          <w:p>
            <w:pPr>
              <w:spacing w:after="0"/>
              <w:rPr>
                <w:sz w:val="19"/>
                <w:szCs w:val="19"/>
                <w:color w:val="auto"/>
              </w:rPr>
            </w:pPr>
          </w:p>
        </w:tc>
      </w:tr>
      <w:tr>
        <w:trPr>
          <w:trHeight w:val="229"/>
        </w:trPr>
        <w:tc>
          <w:tcPr>
            <w:tcW w:w="6200" w:type="dxa"/>
            <w:vAlign w:val="bottom"/>
          </w:tcPr>
          <w:p>
            <w:pPr>
              <w:spacing w:after="0"/>
              <w:rPr>
                <w:sz w:val="20"/>
                <w:szCs w:val="20"/>
                <w:color w:val="auto"/>
              </w:rPr>
            </w:pPr>
            <w:r>
              <w:rPr>
                <w:rFonts w:ascii="Arial" w:cs="Arial" w:eastAsia="Arial" w:hAnsi="Arial"/>
                <w:sz w:val="18"/>
                <w:szCs w:val="18"/>
                <w:color w:val="auto"/>
              </w:rPr>
              <w:t>Nintex Global, Ltd. - Revolver</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109</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909</w:t>
            </w:r>
          </w:p>
        </w:tc>
        <w:tc>
          <w:tcPr>
            <w:tcW w:w="120" w:type="dxa"/>
            <w:vAlign w:val="bottom"/>
          </w:tcPr>
          <w:p>
            <w:pPr>
              <w:spacing w:after="0"/>
              <w:rPr>
                <w:sz w:val="19"/>
                <w:szCs w:val="19"/>
                <w:color w:val="auto"/>
              </w:rPr>
            </w:pPr>
          </w:p>
        </w:tc>
      </w:tr>
      <w:tr>
        <w:trPr>
          <w:trHeight w:val="230"/>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PageUp People, Ltd. - Revolver</w:t>
            </w:r>
          </w:p>
        </w:tc>
        <w:tc>
          <w:tcPr>
            <w:tcW w:w="2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3,754</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3,858</w:t>
            </w:r>
          </w:p>
        </w:tc>
        <w:tc>
          <w:tcPr>
            <w:tcW w:w="120" w:type="dxa"/>
            <w:vAlign w:val="bottom"/>
            <w:shd w:val="clear" w:color="auto" w:fill="CFF0FC"/>
          </w:tcPr>
          <w:p>
            <w:pPr>
              <w:spacing w:after="0"/>
              <w:rPr>
                <w:sz w:val="19"/>
                <w:szCs w:val="19"/>
                <w:color w:val="auto"/>
              </w:rPr>
            </w:pPr>
          </w:p>
        </w:tc>
      </w:tr>
      <w:tr>
        <w:trPr>
          <w:trHeight w:val="229"/>
        </w:trPr>
        <w:tc>
          <w:tcPr>
            <w:tcW w:w="6200" w:type="dxa"/>
            <w:vAlign w:val="bottom"/>
          </w:tcPr>
          <w:p>
            <w:pPr>
              <w:spacing w:after="0"/>
              <w:rPr>
                <w:sz w:val="20"/>
                <w:szCs w:val="20"/>
                <w:color w:val="auto"/>
              </w:rPr>
            </w:pPr>
            <w:r>
              <w:rPr>
                <w:rFonts w:ascii="Arial" w:cs="Arial" w:eastAsia="Arial" w:hAnsi="Arial"/>
                <w:sz w:val="18"/>
                <w:szCs w:val="18"/>
                <w:color w:val="auto"/>
              </w:rPr>
              <w:t>Passport Labs, Inc. - Delayed Draw</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5,556</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Passport Labs, Inc. - Revolver</w:t>
            </w:r>
          </w:p>
        </w:tc>
        <w:tc>
          <w:tcPr>
            <w:tcW w:w="2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2,778</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PayScale Holdings, Inc. - Delayed Draw</w:t>
            </w:r>
          </w:p>
        </w:tc>
        <w:tc>
          <w:tcPr>
            <w:tcW w:w="260" w:type="dxa"/>
            <w:vAlign w:val="bottom"/>
          </w:tcPr>
          <w:p>
            <w:pPr>
              <w:spacing w:after="0"/>
              <w:rPr>
                <w:sz w:val="19"/>
                <w:szCs w:val="19"/>
                <w:color w:val="auto"/>
              </w:rPr>
            </w:pPr>
          </w:p>
        </w:tc>
        <w:tc>
          <w:tcPr>
            <w:tcW w:w="1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7,667</w:t>
            </w:r>
          </w:p>
        </w:tc>
        <w:tc>
          <w:tcPr>
            <w:tcW w:w="120" w:type="dxa"/>
            <w:vAlign w:val="bottom"/>
          </w:tcPr>
          <w:p>
            <w:pPr>
              <w:spacing w:after="0"/>
              <w:rPr>
                <w:sz w:val="19"/>
                <w:szCs w:val="19"/>
                <w:color w:val="auto"/>
              </w:rPr>
            </w:pPr>
          </w:p>
        </w:tc>
      </w:tr>
      <w:tr>
        <w:trPr>
          <w:trHeight w:val="230"/>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PrimeRevenue, Inc. - Delayed Draw</w:t>
            </w:r>
          </w:p>
        </w:tc>
        <w:tc>
          <w:tcPr>
            <w:tcW w:w="2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w:t>
            </w:r>
          </w:p>
        </w:tc>
        <w:tc>
          <w:tcPr>
            <w:tcW w:w="120" w:type="dxa"/>
            <w:vAlign w:val="bottom"/>
            <w:shd w:val="clear" w:color="auto" w:fill="CFF0FC"/>
          </w:tcPr>
          <w:p>
            <w:pPr>
              <w:spacing w:after="0"/>
              <w:rPr>
                <w:sz w:val="19"/>
                <w:szCs w:val="19"/>
                <w:color w:val="auto"/>
              </w:rPr>
            </w:pPr>
          </w:p>
        </w:tc>
      </w:tr>
      <w:tr>
        <w:trPr>
          <w:trHeight w:val="229"/>
        </w:trPr>
        <w:tc>
          <w:tcPr>
            <w:tcW w:w="6200" w:type="dxa"/>
            <w:vAlign w:val="bottom"/>
          </w:tcPr>
          <w:p>
            <w:pPr>
              <w:spacing w:after="0"/>
              <w:rPr>
                <w:sz w:val="20"/>
                <w:szCs w:val="20"/>
                <w:color w:val="auto"/>
              </w:rPr>
            </w:pPr>
            <w:r>
              <w:rPr>
                <w:rFonts w:ascii="Arial" w:cs="Arial" w:eastAsia="Arial" w:hAnsi="Arial"/>
                <w:sz w:val="18"/>
                <w:szCs w:val="18"/>
                <w:color w:val="auto"/>
              </w:rPr>
              <w:t>PrimeRevenue, Inc. - Revolver</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6,250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6,250</w:t>
            </w:r>
          </w:p>
        </w:tc>
        <w:tc>
          <w:tcPr>
            <w:tcW w:w="120" w:type="dxa"/>
            <w:vAlign w:val="bottom"/>
          </w:tcPr>
          <w:p>
            <w:pPr>
              <w:spacing w:after="0"/>
              <w:rPr>
                <w:sz w:val="19"/>
                <w:szCs w:val="19"/>
                <w:color w:val="auto"/>
              </w:rPr>
            </w:pPr>
          </w:p>
        </w:tc>
      </w:tr>
      <w:tr>
        <w:trPr>
          <w:trHeight w:val="230"/>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ReliaQuest Holdings, LLC - Delayed Draw</w:t>
            </w:r>
          </w:p>
        </w:tc>
        <w:tc>
          <w:tcPr>
            <w:tcW w:w="2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25,873</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29,289</w:t>
            </w:r>
          </w:p>
        </w:tc>
        <w:tc>
          <w:tcPr>
            <w:tcW w:w="120" w:type="dxa"/>
            <w:vAlign w:val="bottom"/>
            <w:shd w:val="clear" w:color="auto" w:fill="CFF0FC"/>
          </w:tcPr>
          <w:p>
            <w:pPr>
              <w:spacing w:after="0"/>
              <w:rPr>
                <w:sz w:val="19"/>
                <w:szCs w:val="19"/>
                <w:color w:val="auto"/>
              </w:rPr>
            </w:pP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ReliaQuest Holdings, LLC - Revolver</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2,800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2,800</w:t>
            </w:r>
          </w:p>
        </w:tc>
        <w:tc>
          <w:tcPr>
            <w:tcW w:w="120" w:type="dxa"/>
            <w:vAlign w:val="bottom"/>
          </w:tcPr>
          <w:p>
            <w:pPr>
              <w:spacing w:after="0"/>
              <w:rPr>
                <w:sz w:val="19"/>
                <w:szCs w:val="19"/>
                <w:color w:val="auto"/>
              </w:rPr>
            </w:pPr>
          </w:p>
        </w:tc>
      </w:tr>
      <w:tr>
        <w:trPr>
          <w:trHeight w:val="230"/>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ResMan, LLC - Delayed Draw</w:t>
            </w:r>
          </w:p>
        </w:tc>
        <w:tc>
          <w:tcPr>
            <w:tcW w:w="2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7,598</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7,414</w:t>
            </w:r>
          </w:p>
        </w:tc>
        <w:tc>
          <w:tcPr>
            <w:tcW w:w="120" w:type="dxa"/>
            <w:vAlign w:val="bottom"/>
            <w:shd w:val="clear" w:color="auto" w:fill="CFF0FC"/>
          </w:tcPr>
          <w:p>
            <w:pPr>
              <w:spacing w:after="0"/>
              <w:rPr>
                <w:sz w:val="19"/>
                <w:szCs w:val="19"/>
                <w:color w:val="auto"/>
              </w:rPr>
            </w:pPr>
          </w:p>
        </w:tc>
      </w:tr>
      <w:tr>
        <w:trPr>
          <w:trHeight w:val="229"/>
        </w:trPr>
        <w:tc>
          <w:tcPr>
            <w:tcW w:w="6200" w:type="dxa"/>
            <w:vAlign w:val="bottom"/>
          </w:tcPr>
          <w:p>
            <w:pPr>
              <w:spacing w:after="0"/>
              <w:rPr>
                <w:sz w:val="20"/>
                <w:szCs w:val="20"/>
                <w:color w:val="auto"/>
              </w:rPr>
            </w:pPr>
            <w:r>
              <w:rPr>
                <w:rFonts w:ascii="Arial" w:cs="Arial" w:eastAsia="Arial" w:hAnsi="Arial"/>
                <w:sz w:val="18"/>
                <w:szCs w:val="18"/>
                <w:color w:val="auto"/>
              </w:rPr>
              <w:t>ResMan, LLC - Revolver</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2,000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19"/>
                <w:szCs w:val="19"/>
                <w:color w:val="auto"/>
              </w:rPr>
            </w:pPr>
          </w:p>
        </w:tc>
      </w:tr>
      <w:tr>
        <w:trPr>
          <w:trHeight w:val="230"/>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Sprinklr - Delayed Draw Convertible Note</w:t>
            </w:r>
          </w:p>
        </w:tc>
        <w:tc>
          <w:tcPr>
            <w:tcW w:w="26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3,750</w:t>
            </w:r>
          </w:p>
        </w:tc>
        <w:tc>
          <w:tcPr>
            <w:tcW w:w="120" w:type="dxa"/>
            <w:vAlign w:val="bottom"/>
            <w:shd w:val="clear" w:color="auto" w:fill="CFF0FC"/>
          </w:tcPr>
          <w:p>
            <w:pPr>
              <w:spacing w:after="0"/>
              <w:rPr>
                <w:sz w:val="19"/>
                <w:szCs w:val="19"/>
                <w:color w:val="auto"/>
              </w:rPr>
            </w:pP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Valant Medical Solutions, Inc. - Delayed Draw</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1,424</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1,964</w:t>
            </w:r>
          </w:p>
        </w:tc>
        <w:tc>
          <w:tcPr>
            <w:tcW w:w="120" w:type="dxa"/>
            <w:vAlign w:val="bottom"/>
          </w:tcPr>
          <w:p>
            <w:pPr>
              <w:spacing w:after="0"/>
              <w:rPr>
                <w:sz w:val="19"/>
                <w:szCs w:val="19"/>
                <w:color w:val="auto"/>
              </w:rPr>
            </w:pPr>
          </w:p>
        </w:tc>
      </w:tr>
      <w:tr>
        <w:trPr>
          <w:trHeight w:val="230"/>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Valant Medical Solutions, Inc. - Revolver</w:t>
            </w:r>
          </w:p>
        </w:tc>
        <w:tc>
          <w:tcPr>
            <w:tcW w:w="2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FF0FC"/>
          </w:tcPr>
          <w:p>
            <w:pPr>
              <w:spacing w:after="0"/>
              <w:rPr>
                <w:sz w:val="19"/>
                <w:szCs w:val="19"/>
                <w:color w:val="auto"/>
              </w:rPr>
            </w:pPr>
          </w:p>
        </w:tc>
      </w:tr>
      <w:tr>
        <w:trPr>
          <w:trHeight w:val="229"/>
        </w:trPr>
        <w:tc>
          <w:tcPr>
            <w:tcW w:w="6200" w:type="dxa"/>
            <w:vAlign w:val="bottom"/>
          </w:tcPr>
          <w:p>
            <w:pPr>
              <w:spacing w:after="0"/>
              <w:rPr>
                <w:sz w:val="20"/>
                <w:szCs w:val="20"/>
                <w:color w:val="auto"/>
              </w:rPr>
            </w:pPr>
            <w:r>
              <w:rPr>
                <w:rFonts w:ascii="Arial" w:cs="Arial" w:eastAsia="Arial" w:hAnsi="Arial"/>
                <w:sz w:val="18"/>
                <w:szCs w:val="18"/>
                <w:color w:val="auto"/>
              </w:rPr>
              <w:t>Verdad Resources Intermediate Holdings, LLC - Delayed Draw</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15,556</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15,556</w:t>
            </w:r>
          </w:p>
        </w:tc>
        <w:tc>
          <w:tcPr>
            <w:tcW w:w="120" w:type="dxa"/>
            <w:vAlign w:val="bottom"/>
          </w:tcPr>
          <w:p>
            <w:pPr>
              <w:spacing w:after="0"/>
              <w:rPr>
                <w:sz w:val="19"/>
                <w:szCs w:val="19"/>
                <w:color w:val="auto"/>
              </w:rPr>
            </w:pPr>
          </w:p>
        </w:tc>
      </w:tr>
      <w:tr>
        <w:trPr>
          <w:trHeight w:val="230"/>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WideOrbit, Inc. - Revolver</w:t>
            </w:r>
          </w:p>
        </w:tc>
        <w:tc>
          <w:tcPr>
            <w:tcW w:w="2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4,756</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4,756</w:t>
            </w:r>
          </w:p>
        </w:tc>
        <w:tc>
          <w:tcPr>
            <w:tcW w:w="120" w:type="dxa"/>
            <w:vAlign w:val="bottom"/>
            <w:shd w:val="clear" w:color="auto" w:fill="CFF0FC"/>
          </w:tcPr>
          <w:p>
            <w:pPr>
              <w:spacing w:after="0"/>
              <w:rPr>
                <w:sz w:val="19"/>
                <w:szCs w:val="19"/>
                <w:color w:val="auto"/>
              </w:rPr>
            </w:pPr>
          </w:p>
        </w:tc>
      </w:tr>
      <w:tr>
        <w:trPr>
          <w:trHeight w:val="230"/>
        </w:trPr>
        <w:tc>
          <w:tcPr>
            <w:tcW w:w="6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Workwell Acquisition Co. - Delayed Draw</w:t>
            </w: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CFF0FC"/>
            </w:tcBorders>
          </w:tcPr>
          <w:p>
            <w:pPr>
              <w:spacing w:after="0"/>
              <w:rPr>
                <w:sz w:val="19"/>
                <w:szCs w:val="19"/>
                <w:color w:val="auto"/>
              </w:rPr>
            </w:pPr>
          </w:p>
        </w:tc>
      </w:tr>
      <w:tr>
        <w:trPr>
          <w:trHeight w:val="223"/>
        </w:trPr>
        <w:tc>
          <w:tcPr>
            <w:tcW w:w="62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 xml:space="preserve">Total Portfolio Company Commitments </w:t>
            </w:r>
            <w:r>
              <w:rPr>
                <w:rFonts w:ascii="Arial" w:cs="Arial" w:eastAsia="Arial" w:hAnsi="Arial"/>
                <w:sz w:val="15"/>
                <w:szCs w:val="15"/>
                <w:b w:val="1"/>
                <w:bCs w:val="1"/>
                <w:color w:val="auto"/>
              </w:rPr>
              <w:t>(1)(2)</w:t>
            </w: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191,106</w:t>
            </w:r>
          </w:p>
        </w:tc>
        <w:tc>
          <w:tcPr>
            <w:tcW w:w="2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192,810</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6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500" w:right="100" w:hanging="492"/>
        <w:spacing w:after="0" w:line="263"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the full amount of the Company’s commitments to fund investments on such date. Commitments may be subject to limitations on borrowings set forth in the agreements between the Company and the applicable portfolio company. As a result, portfolio companies may not be eligible to borrow the full commitment amount on such date.</w:t>
      </w:r>
    </w:p>
    <w:p>
      <w:pPr>
        <w:spacing w:after="0" w:line="8" w:lineRule="exact"/>
        <w:rPr>
          <w:rFonts w:ascii="Arial" w:cs="Arial" w:eastAsia="Arial" w:hAnsi="Arial"/>
          <w:sz w:val="18"/>
          <w:szCs w:val="18"/>
          <w:color w:val="auto"/>
        </w:rPr>
      </w:pPr>
    </w:p>
    <w:p>
      <w:pPr>
        <w:ind w:left="500" w:right="340" w:hanging="492"/>
        <w:spacing w:after="0" w:line="277"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Company’s estimate of the fair value of the current investments in these portfolio companies includes an analysis of the fair value of any unfunded commitments.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Commitments and Contingencies</w:t>
      </w:r>
    </w:p>
    <w:p>
      <w:pPr>
        <w:spacing w:after="0" w:line="117" w:lineRule="exact"/>
        <w:rPr>
          <w:sz w:val="20"/>
          <w:szCs w:val="20"/>
          <w:color w:val="auto"/>
        </w:rPr>
      </w:pPr>
    </w:p>
    <w:p>
      <w:pPr>
        <w:ind w:firstLine="255"/>
        <w:spacing w:after="0" w:line="277" w:lineRule="auto"/>
        <w:rPr>
          <w:sz w:val="20"/>
          <w:szCs w:val="20"/>
          <w:color w:val="auto"/>
        </w:rPr>
      </w:pPr>
      <w:r>
        <w:rPr>
          <w:rFonts w:ascii="Arial" w:cs="Arial" w:eastAsia="Arial" w:hAnsi="Arial"/>
          <w:sz w:val="18"/>
          <w:szCs w:val="18"/>
          <w:color w:val="auto"/>
        </w:rPr>
        <w:t>As of June 30, 2021 and December 31, 2020, the Company did not have any unfunded commitments to fund investments to new borrowers that were not current portfolio companies as of such date.</w:t>
      </w:r>
    </w:p>
    <w:p>
      <w:pPr>
        <w:spacing w:after="0" w:line="17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00"/>
          </w:cols>
          <w:pgMar w:left="320" w:top="557" w:right="579" w:bottom="1440" w:gutter="0" w:footer="0" w:header="0"/>
        </w:sectPr>
      </w:pPr>
    </w:p>
    <w:bookmarkStart w:id="46" w:name="page47"/>
    <w:bookmarkEnd w:id="46"/>
    <w:p>
      <w:pPr>
        <w:jc w:val="both"/>
        <w:ind w:right="200" w:firstLine="255"/>
        <w:spacing w:after="0" w:line="263" w:lineRule="auto"/>
        <w:rPr>
          <w:sz w:val="20"/>
          <w:szCs w:val="20"/>
          <w:color w:val="auto"/>
        </w:rPr>
      </w:pPr>
      <w:r>
        <w:rPr>
          <w:rFonts w:ascii="Arial" w:cs="Arial" w:eastAsia="Arial" w:hAnsi="Arial"/>
          <w:sz w:val="18"/>
          <w:szCs w:val="18"/>
          <w:color w:val="auto"/>
        </w:rPr>
        <w:t>From time to time, the Company may become a party to certain legal proceedings incidental to the normal course of its business. As of June 30, 2021 and December 31, 2020, management is not aware of any material pending or threatened litigation that would require accounting recognition or financial statement disclosure.</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Net Assets</w:t>
      </w:r>
    </w:p>
    <w:p>
      <w:pPr>
        <w:spacing w:after="0" w:line="121" w:lineRule="exact"/>
        <w:rPr>
          <w:sz w:val="20"/>
          <w:szCs w:val="20"/>
          <w:color w:val="auto"/>
        </w:rPr>
      </w:pPr>
    </w:p>
    <w:p>
      <w:pPr>
        <w:ind w:right="20" w:firstLine="255"/>
        <w:spacing w:after="0" w:line="286" w:lineRule="auto"/>
        <w:rPr>
          <w:sz w:val="20"/>
          <w:szCs w:val="20"/>
          <w:color w:val="auto"/>
        </w:rPr>
      </w:pPr>
      <w:r>
        <w:rPr>
          <w:rFonts w:ascii="Arial" w:cs="Arial" w:eastAsia="Arial" w:hAnsi="Arial"/>
          <w:sz w:val="17"/>
          <w:szCs w:val="17"/>
          <w:color w:val="auto"/>
        </w:rPr>
        <w:t>In February 2021, the Company issued a total of 4,000,000 shares of common stock at $21.30 per share. Net of underwriting fees and offering costs, the Company received total cash proceeds of $84.9 million. Subsequent to the offering the Company issued an additional 49,689 shares in March 2021 pursuant to the overallotment option granted to underwriters and received, net of underwriting fees, total cash proceeds of $1.0 million.</w:t>
      </w:r>
    </w:p>
    <w:p>
      <w:pPr>
        <w:spacing w:after="0" w:line="57" w:lineRule="exact"/>
        <w:rPr>
          <w:sz w:val="20"/>
          <w:szCs w:val="20"/>
          <w:color w:val="auto"/>
        </w:rPr>
      </w:pPr>
    </w:p>
    <w:p>
      <w:pPr>
        <w:ind w:firstLine="255"/>
        <w:spacing w:after="0" w:line="270" w:lineRule="auto"/>
        <w:rPr>
          <w:sz w:val="20"/>
          <w:szCs w:val="20"/>
          <w:color w:val="auto"/>
        </w:rPr>
      </w:pPr>
      <w:r>
        <w:rPr>
          <w:rFonts w:ascii="Arial" w:cs="Arial" w:eastAsia="Arial" w:hAnsi="Arial"/>
          <w:sz w:val="17"/>
          <w:szCs w:val="17"/>
          <w:color w:val="auto"/>
        </w:rPr>
        <w:t>The Company has a dividend reinvestment plan, whereby the Company may buy shares of its common stock in the open market or issue new shares in order to satisfy dividend reinvestment requests. The number of shares to be issued to a stockholder is determined by dividing the total dollar amount of the cash dividend or distribution payable to a stockholder by the market price per share of the Company’s common stock at the close of regular trading on the NYSE on the payment date of a distribution, or if no sale is reported for such day, the average of the reported bid and ask prices. However, if the market price per share on the payment date of a cash dividend or distribution exceeds the most recently computed net asset value per share, the Company will issue shares at the greater of (i) the most recently computed net asset value per share and (ii) 95% of the current market price per share (or such lesser discount to the current market price per share that still exceeded the most recently computed net asset value per share). Shares purchased in open market transactions by the plan administrator will be allocated to a stockholder based on the average purchase price, excluding any brokerage charges or other charges, of all shares of common stock purchased in the open market.</w:t>
      </w:r>
    </w:p>
    <w:p>
      <w:pPr>
        <w:spacing w:after="0" w:line="181" w:lineRule="exact"/>
        <w:rPr>
          <w:sz w:val="20"/>
          <w:szCs w:val="20"/>
          <w:color w:val="auto"/>
        </w:rPr>
      </w:pPr>
    </w:p>
    <w:p>
      <w:pPr>
        <w:ind w:right="60" w:firstLine="255"/>
        <w:spacing w:after="0" w:line="263" w:lineRule="auto"/>
        <w:rPr>
          <w:sz w:val="20"/>
          <w:szCs w:val="20"/>
          <w:color w:val="auto"/>
        </w:rPr>
      </w:pPr>
      <w:r>
        <w:rPr>
          <w:rFonts w:ascii="Arial" w:cs="Arial" w:eastAsia="Arial" w:hAnsi="Arial"/>
          <w:sz w:val="18"/>
          <w:szCs w:val="18"/>
          <w:color w:val="auto"/>
        </w:rPr>
        <w:t>Pursuant to the Company’s dividend reinvestment plan, the following tables summarize the shares issued to stockholders who have not opted out of the Company’s dividend reinvestment plan during the six months ended June 30, 2021 and 2020. All shares issued to stockholders in the tables below are newly issued shares.</w:t>
      </w:r>
    </w:p>
    <w:p>
      <w:pPr>
        <w:spacing w:after="0" w:line="256"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20" w:type="dxa"/>
            <w:vAlign w:val="bottom"/>
            <w:gridSpan w:val="4"/>
          </w:tcPr>
          <w:p>
            <w:pPr>
              <w:jc w:val="center"/>
              <w:ind w:left="237"/>
              <w:spacing w:after="0"/>
              <w:rPr>
                <w:sz w:val="20"/>
                <w:szCs w:val="20"/>
                <w:color w:val="auto"/>
              </w:rPr>
            </w:pPr>
            <w:r>
              <w:rPr>
                <w:rFonts w:ascii="Arial" w:cs="Arial" w:eastAsia="Arial" w:hAnsi="Arial"/>
                <w:sz w:val="14"/>
                <w:szCs w:val="14"/>
                <w:b w:val="1"/>
                <w:bCs w:val="1"/>
                <w:color w:val="auto"/>
                <w:w w:val="93"/>
              </w:rPr>
              <w:t>Six Months Ended</w:t>
            </w: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20" w:type="dxa"/>
            <w:vAlign w:val="bottom"/>
            <w:tcBorders>
              <w:bottom w:val="single" w:sz="8" w:color="auto"/>
            </w:tcBorders>
            <w:gridSpan w:val="4"/>
          </w:tcPr>
          <w:p>
            <w:pPr>
              <w:jc w:val="center"/>
              <w:ind w:left="257"/>
              <w:spacing w:after="0"/>
              <w:rPr>
                <w:sz w:val="20"/>
                <w:szCs w:val="20"/>
                <w:color w:val="auto"/>
              </w:rPr>
            </w:pPr>
            <w:r>
              <w:rPr>
                <w:rFonts w:ascii="Arial" w:cs="Arial" w:eastAsia="Arial" w:hAnsi="Arial"/>
                <w:sz w:val="14"/>
                <w:szCs w:val="14"/>
                <w:b w:val="1"/>
                <w:bCs w:val="1"/>
                <w:color w:val="auto"/>
                <w:w w:val="92"/>
              </w:rPr>
              <w:t>June 30, 2021</w:t>
            </w:r>
          </w:p>
        </w:tc>
        <w:tc>
          <w:tcPr>
            <w:tcW w:w="14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w w:val="98"/>
              </w:rPr>
              <w:t>Date</w:t>
            </w: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80" w:type="dxa"/>
            <w:vAlign w:val="bottom"/>
          </w:tcPr>
          <w:p>
            <w:pPr>
              <w:spacing w:after="0"/>
              <w:rPr>
                <w:sz w:val="20"/>
                <w:szCs w:val="20"/>
                <w:color w:val="auto"/>
              </w:rPr>
            </w:pPr>
            <w:r>
              <w:rPr>
                <w:rFonts w:ascii="Arial" w:cs="Arial" w:eastAsia="Arial" w:hAnsi="Arial"/>
                <w:sz w:val="14"/>
                <w:szCs w:val="14"/>
                <w:b w:val="1"/>
                <w:bCs w:val="1"/>
                <w:color w:val="auto"/>
              </w:rPr>
              <w:t>Date Declared</w:t>
            </w:r>
          </w:p>
        </w:tc>
        <w:tc>
          <w:tcPr>
            <w:tcW w:w="100" w:type="dxa"/>
            <w:vAlign w:val="bottom"/>
          </w:tcPr>
          <w:p>
            <w:pPr>
              <w:spacing w:after="0"/>
              <w:rPr>
                <w:sz w:val="14"/>
                <w:szCs w:val="14"/>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 xml:space="preserve">Dividend </w:t>
            </w:r>
            <w:r>
              <w:rPr>
                <w:rFonts w:ascii="Arial" w:cs="Arial" w:eastAsia="Arial" w:hAnsi="Arial"/>
                <w:sz w:val="12"/>
                <w:szCs w:val="12"/>
                <w:b w:val="1"/>
                <w:bCs w:val="1"/>
                <w:color w:val="auto"/>
                <w:w w:val="95"/>
              </w:rPr>
              <w:t>(1)</w:t>
            </w:r>
          </w:p>
        </w:tc>
        <w:tc>
          <w:tcPr>
            <w:tcW w:w="2100" w:type="dxa"/>
            <w:vAlign w:val="bottom"/>
            <w:gridSpan w:val="2"/>
          </w:tcPr>
          <w:p>
            <w:pPr>
              <w:ind w:left="600"/>
              <w:spacing w:after="0"/>
              <w:rPr>
                <w:sz w:val="20"/>
                <w:szCs w:val="20"/>
                <w:color w:val="auto"/>
              </w:rPr>
            </w:pPr>
            <w:r>
              <w:rPr>
                <w:rFonts w:ascii="Arial" w:cs="Arial" w:eastAsia="Arial" w:hAnsi="Arial"/>
                <w:sz w:val="14"/>
                <w:szCs w:val="14"/>
                <w:b w:val="1"/>
                <w:bCs w:val="1"/>
                <w:color w:val="auto"/>
              </w:rPr>
              <w:t>Record Date</w:t>
            </w:r>
          </w:p>
        </w:tc>
        <w:tc>
          <w:tcPr>
            <w:tcW w:w="1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Shares Issued</w:t>
            </w:r>
          </w:p>
        </w:tc>
        <w:tc>
          <w:tcPr>
            <w:tcW w:w="1560" w:type="dxa"/>
            <w:vAlign w:val="bottom"/>
            <w:gridSpan w:val="2"/>
          </w:tcPr>
          <w:p>
            <w:pPr>
              <w:ind w:left="300"/>
              <w:spacing w:after="0"/>
              <w:rPr>
                <w:sz w:val="20"/>
                <w:szCs w:val="20"/>
                <w:color w:val="auto"/>
              </w:rPr>
            </w:pPr>
            <w:r>
              <w:rPr>
                <w:rFonts w:ascii="Arial" w:cs="Arial" w:eastAsia="Arial" w:hAnsi="Arial"/>
                <w:sz w:val="14"/>
                <w:szCs w:val="14"/>
                <w:b w:val="1"/>
                <w:bCs w:val="1"/>
                <w:color w:val="auto"/>
              </w:rPr>
              <w:t>Shares Issued</w:t>
            </w:r>
          </w:p>
        </w:tc>
        <w:tc>
          <w:tcPr>
            <w:tcW w:w="0" w:type="dxa"/>
            <w:vAlign w:val="bottom"/>
          </w:tcPr>
          <w:p>
            <w:pPr>
              <w:spacing w:after="0"/>
              <w:rPr>
                <w:sz w:val="1"/>
                <w:szCs w:val="1"/>
                <w:color w:val="auto"/>
              </w:rPr>
            </w:pPr>
          </w:p>
        </w:tc>
      </w:tr>
      <w:tr>
        <w:trPr>
          <w:trHeight w:val="223"/>
        </w:trPr>
        <w:tc>
          <w:tcPr>
            <w:tcW w:w="2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November 4, 2020</w:t>
            </w:r>
          </w:p>
        </w:tc>
        <w:tc>
          <w:tcPr>
            <w:tcW w:w="1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Base</w:t>
            </w:r>
          </w:p>
        </w:tc>
        <w:tc>
          <w:tcPr>
            <w:tcW w:w="100" w:type="dxa"/>
            <w:vAlign w:val="bottom"/>
            <w:tcBorders>
              <w:top w:val="single" w:sz="8" w:color="CFF0FC"/>
            </w:tcBorders>
            <w:shd w:val="clear" w:color="auto" w:fill="CFF0FC"/>
          </w:tcPr>
          <w:p>
            <w:pPr>
              <w:spacing w:after="0"/>
              <w:rPr>
                <w:sz w:val="19"/>
                <w:szCs w:val="19"/>
                <w:color w:val="auto"/>
              </w:rPr>
            </w:pPr>
          </w:p>
        </w:tc>
        <w:tc>
          <w:tcPr>
            <w:tcW w:w="1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December 15, 2020</w:t>
            </w:r>
          </w:p>
        </w:tc>
        <w:tc>
          <w:tcPr>
            <w:tcW w:w="120" w:type="dxa"/>
            <w:vAlign w:val="bottom"/>
            <w:tcBorders>
              <w:top w:val="single" w:sz="8" w:color="CFF0FC"/>
            </w:tcBorders>
            <w:shd w:val="clear" w:color="auto" w:fill="CFF0FC"/>
          </w:tcPr>
          <w:p>
            <w:pPr>
              <w:spacing w:after="0"/>
              <w:rPr>
                <w:sz w:val="19"/>
                <w:szCs w:val="19"/>
                <w:color w:val="auto"/>
              </w:rPr>
            </w:pPr>
          </w:p>
        </w:tc>
        <w:tc>
          <w:tcPr>
            <w:tcW w:w="1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January 15, 2021</w:t>
            </w:r>
          </w:p>
        </w:tc>
        <w:tc>
          <w:tcPr>
            <w:tcW w:w="120" w:type="dxa"/>
            <w:vAlign w:val="bottom"/>
            <w:tcBorders>
              <w:top w:val="single" w:sz="8" w:color="CFF0FC"/>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211,904</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r>
              <w:rPr>
                <w:rFonts w:ascii="Arial" w:cs="Arial" w:eastAsia="Arial" w:hAnsi="Arial"/>
                <w:sz w:val="18"/>
                <w:szCs w:val="18"/>
                <w:color w:val="auto"/>
              </w:rPr>
              <w:t>February 17, 2021</w:t>
            </w:r>
          </w:p>
        </w:tc>
        <w:tc>
          <w:tcPr>
            <w:tcW w:w="122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Supplemental</w:t>
            </w:r>
          </w:p>
        </w:tc>
        <w:tc>
          <w:tcPr>
            <w:tcW w:w="2100" w:type="dxa"/>
            <w:vAlign w:val="bottom"/>
            <w:gridSpan w:val="2"/>
          </w:tcPr>
          <w:p>
            <w:pPr>
              <w:jc w:val="right"/>
              <w:ind w:right="140"/>
              <w:spacing w:after="0"/>
              <w:rPr>
                <w:sz w:val="20"/>
                <w:szCs w:val="20"/>
                <w:color w:val="auto"/>
              </w:rPr>
            </w:pPr>
            <w:r>
              <w:rPr>
                <w:rFonts w:ascii="Arial" w:cs="Arial" w:eastAsia="Arial" w:hAnsi="Arial"/>
                <w:sz w:val="18"/>
                <w:szCs w:val="18"/>
                <w:color w:val="auto"/>
              </w:rPr>
              <w:t>February 26, 2021</w:t>
            </w:r>
          </w:p>
        </w:tc>
        <w:tc>
          <w:tcPr>
            <w:tcW w:w="1920" w:type="dxa"/>
            <w:vAlign w:val="bottom"/>
            <w:gridSpan w:val="2"/>
          </w:tcPr>
          <w:p>
            <w:pPr>
              <w:jc w:val="right"/>
              <w:ind w:right="140"/>
              <w:spacing w:after="0"/>
              <w:rPr>
                <w:sz w:val="20"/>
                <w:szCs w:val="20"/>
                <w:color w:val="auto"/>
              </w:rPr>
            </w:pPr>
            <w:r>
              <w:rPr>
                <w:rFonts w:ascii="Arial" w:cs="Arial" w:eastAsia="Arial" w:hAnsi="Arial"/>
                <w:sz w:val="18"/>
                <w:szCs w:val="18"/>
                <w:color w:val="auto"/>
              </w:rPr>
              <w:t>March 31, 2021</w:t>
            </w:r>
          </w:p>
        </w:tc>
        <w:tc>
          <w:tcPr>
            <w:tcW w:w="1480" w:type="dxa"/>
            <w:vAlign w:val="bottom"/>
          </w:tcPr>
          <w:p>
            <w:pPr>
              <w:jc w:val="right"/>
              <w:spacing w:after="0"/>
              <w:rPr>
                <w:sz w:val="20"/>
                <w:szCs w:val="20"/>
                <w:color w:val="auto"/>
              </w:rPr>
            </w:pPr>
            <w:r>
              <w:rPr>
                <w:rFonts w:ascii="Arial" w:cs="Arial" w:eastAsia="Arial" w:hAnsi="Arial"/>
                <w:sz w:val="18"/>
                <w:szCs w:val="18"/>
                <w:color w:val="auto"/>
              </w:rPr>
              <w:t>24,196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80" w:type="dxa"/>
            <w:vAlign w:val="bottom"/>
            <w:shd w:val="clear" w:color="auto" w:fill="CFF0FC"/>
          </w:tcPr>
          <w:p>
            <w:pPr>
              <w:spacing w:after="0"/>
              <w:rPr>
                <w:sz w:val="20"/>
                <w:szCs w:val="20"/>
                <w:color w:val="auto"/>
              </w:rPr>
            </w:pPr>
            <w:r>
              <w:rPr>
                <w:rFonts w:ascii="Arial" w:cs="Arial" w:eastAsia="Arial" w:hAnsi="Arial"/>
                <w:sz w:val="18"/>
                <w:szCs w:val="18"/>
                <w:color w:val="auto"/>
              </w:rPr>
              <w:t>February 17, 2021</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87"/>
              </w:rPr>
              <w:t>Base</w:t>
            </w:r>
          </w:p>
        </w:tc>
        <w:tc>
          <w:tcPr>
            <w:tcW w:w="2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March 15, 2021</w:t>
            </w:r>
          </w:p>
        </w:tc>
        <w:tc>
          <w:tcPr>
            <w:tcW w:w="1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April 15, 2021</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165,400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r>
              <w:rPr>
                <w:rFonts w:ascii="Arial" w:cs="Arial" w:eastAsia="Arial" w:hAnsi="Arial"/>
                <w:sz w:val="18"/>
                <w:szCs w:val="18"/>
                <w:color w:val="auto"/>
              </w:rPr>
              <w:t>February 17, 2021</w:t>
            </w:r>
          </w:p>
        </w:tc>
        <w:tc>
          <w:tcPr>
            <w:tcW w:w="100" w:type="dxa"/>
            <w:vAlign w:val="bottom"/>
          </w:tcPr>
          <w:p>
            <w:pPr>
              <w:spacing w:after="0"/>
              <w:rPr>
                <w:sz w:val="19"/>
                <w:szCs w:val="19"/>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Special</w:t>
            </w:r>
          </w:p>
        </w:tc>
        <w:tc>
          <w:tcPr>
            <w:tcW w:w="2100" w:type="dxa"/>
            <w:vAlign w:val="bottom"/>
            <w:gridSpan w:val="2"/>
          </w:tcPr>
          <w:p>
            <w:pPr>
              <w:jc w:val="right"/>
              <w:ind w:right="140"/>
              <w:spacing w:after="0"/>
              <w:rPr>
                <w:sz w:val="20"/>
                <w:szCs w:val="20"/>
                <w:color w:val="auto"/>
              </w:rPr>
            </w:pPr>
            <w:r>
              <w:rPr>
                <w:rFonts w:ascii="Arial" w:cs="Arial" w:eastAsia="Arial" w:hAnsi="Arial"/>
                <w:sz w:val="18"/>
                <w:szCs w:val="18"/>
                <w:color w:val="auto"/>
              </w:rPr>
              <w:t>March 25, 2021</w:t>
            </w:r>
          </w:p>
        </w:tc>
        <w:tc>
          <w:tcPr>
            <w:tcW w:w="1920" w:type="dxa"/>
            <w:vAlign w:val="bottom"/>
            <w:gridSpan w:val="2"/>
          </w:tcPr>
          <w:p>
            <w:pPr>
              <w:jc w:val="right"/>
              <w:ind w:right="140"/>
              <w:spacing w:after="0"/>
              <w:rPr>
                <w:sz w:val="20"/>
                <w:szCs w:val="20"/>
                <w:color w:val="auto"/>
              </w:rPr>
            </w:pPr>
            <w:r>
              <w:rPr>
                <w:rFonts w:ascii="Arial" w:cs="Arial" w:eastAsia="Arial" w:hAnsi="Arial"/>
                <w:sz w:val="18"/>
                <w:szCs w:val="18"/>
                <w:color w:val="auto"/>
              </w:rPr>
              <w:t>April 8, 2021</w:t>
            </w:r>
          </w:p>
        </w:tc>
        <w:tc>
          <w:tcPr>
            <w:tcW w:w="1480" w:type="dxa"/>
            <w:vAlign w:val="bottom"/>
          </w:tcPr>
          <w:p>
            <w:pPr>
              <w:jc w:val="right"/>
              <w:spacing w:after="0"/>
              <w:rPr>
                <w:sz w:val="20"/>
                <w:szCs w:val="20"/>
                <w:color w:val="auto"/>
              </w:rPr>
            </w:pPr>
            <w:r>
              <w:rPr>
                <w:rFonts w:ascii="Arial" w:cs="Arial" w:eastAsia="Arial" w:hAnsi="Arial"/>
                <w:sz w:val="18"/>
                <w:szCs w:val="18"/>
                <w:color w:val="auto"/>
              </w:rPr>
              <w:t>483,361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80" w:type="dxa"/>
            <w:vAlign w:val="bottom"/>
            <w:shd w:val="clear" w:color="auto" w:fill="CFF0FC"/>
          </w:tcPr>
          <w:p>
            <w:pPr>
              <w:spacing w:after="0"/>
              <w:rPr>
                <w:sz w:val="20"/>
                <w:szCs w:val="20"/>
                <w:color w:val="auto"/>
              </w:rPr>
            </w:pPr>
            <w:r>
              <w:rPr>
                <w:rFonts w:ascii="Arial" w:cs="Arial" w:eastAsia="Arial" w:hAnsi="Arial"/>
                <w:sz w:val="18"/>
                <w:szCs w:val="18"/>
                <w:color w:val="auto"/>
              </w:rPr>
              <w:t>May 4, 2021</w:t>
            </w:r>
          </w:p>
        </w:tc>
        <w:tc>
          <w:tcPr>
            <w:tcW w:w="1220" w:type="dxa"/>
            <w:vAlign w:val="bottom"/>
            <w:gridSpan w:val="3"/>
            <w:shd w:val="clear" w:color="auto" w:fill="CFF0FC"/>
          </w:tcPr>
          <w:p>
            <w:pPr>
              <w:jc w:val="center"/>
              <w:ind w:right="20"/>
              <w:spacing w:after="0"/>
              <w:rPr>
                <w:sz w:val="20"/>
                <w:szCs w:val="20"/>
                <w:color w:val="auto"/>
              </w:rPr>
            </w:pPr>
            <w:r>
              <w:rPr>
                <w:rFonts w:ascii="Arial" w:cs="Arial" w:eastAsia="Arial" w:hAnsi="Arial"/>
                <w:sz w:val="18"/>
                <w:szCs w:val="18"/>
                <w:color w:val="auto"/>
                <w:w w:val="90"/>
              </w:rPr>
              <w:t>Supplemental</w:t>
            </w:r>
          </w:p>
        </w:tc>
        <w:tc>
          <w:tcPr>
            <w:tcW w:w="2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May 28, 2021</w:t>
            </w:r>
          </w:p>
        </w:tc>
        <w:tc>
          <w:tcPr>
            <w:tcW w:w="1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June 30, 2021</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30,924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180" w:type="dxa"/>
            <w:vAlign w:val="bottom"/>
          </w:tcPr>
          <w:p>
            <w:pPr>
              <w:ind w:left="240"/>
              <w:spacing w:after="0"/>
              <w:rPr>
                <w:sz w:val="20"/>
                <w:szCs w:val="20"/>
                <w:color w:val="auto"/>
              </w:rPr>
            </w:pPr>
            <w:r>
              <w:rPr>
                <w:rFonts w:ascii="Arial" w:cs="Arial" w:eastAsia="Arial" w:hAnsi="Arial"/>
                <w:sz w:val="18"/>
                <w:szCs w:val="18"/>
                <w:b w:val="1"/>
                <w:bCs w:val="1"/>
                <w:color w:val="auto"/>
              </w:rPr>
              <w:t>Total Shares Issued</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915,785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20" w:type="dxa"/>
            <w:vAlign w:val="bottom"/>
            <w:gridSpan w:val="4"/>
            <w:vMerge w:val="restart"/>
          </w:tcPr>
          <w:p>
            <w:pPr>
              <w:jc w:val="center"/>
              <w:ind w:left="237"/>
              <w:spacing w:after="0"/>
              <w:rPr>
                <w:sz w:val="20"/>
                <w:szCs w:val="20"/>
                <w:color w:val="auto"/>
              </w:rPr>
            </w:pPr>
            <w:r>
              <w:rPr>
                <w:rFonts w:ascii="Arial" w:cs="Arial" w:eastAsia="Arial" w:hAnsi="Arial"/>
                <w:sz w:val="14"/>
                <w:szCs w:val="14"/>
                <w:b w:val="1"/>
                <w:bCs w:val="1"/>
                <w:color w:val="auto"/>
                <w:w w:val="93"/>
              </w:rPr>
              <w:t>Six Months Ended</w:t>
            </w: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20" w:type="dxa"/>
            <w:vAlign w:val="bottom"/>
            <w:gridSpan w:val="4"/>
            <w:vMerge w:val="continue"/>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20" w:type="dxa"/>
            <w:vAlign w:val="bottom"/>
            <w:tcBorders>
              <w:bottom w:val="single" w:sz="8" w:color="auto"/>
            </w:tcBorders>
            <w:gridSpan w:val="4"/>
          </w:tcPr>
          <w:p>
            <w:pPr>
              <w:jc w:val="center"/>
              <w:ind w:left="257"/>
              <w:spacing w:after="0"/>
              <w:rPr>
                <w:sz w:val="20"/>
                <w:szCs w:val="20"/>
                <w:color w:val="auto"/>
              </w:rPr>
            </w:pPr>
            <w:r>
              <w:rPr>
                <w:rFonts w:ascii="Arial" w:cs="Arial" w:eastAsia="Arial" w:hAnsi="Arial"/>
                <w:sz w:val="14"/>
                <w:szCs w:val="14"/>
                <w:b w:val="1"/>
                <w:bCs w:val="1"/>
                <w:color w:val="auto"/>
                <w:w w:val="92"/>
              </w:rPr>
              <w:t>June 30, 2020</w:t>
            </w:r>
          </w:p>
        </w:tc>
        <w:tc>
          <w:tcPr>
            <w:tcW w:w="14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w w:val="98"/>
              </w:rPr>
              <w:t>Date</w:t>
            </w: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80" w:type="dxa"/>
            <w:vAlign w:val="bottom"/>
          </w:tcPr>
          <w:p>
            <w:pPr>
              <w:spacing w:after="0"/>
              <w:rPr>
                <w:sz w:val="20"/>
                <w:szCs w:val="20"/>
                <w:color w:val="auto"/>
              </w:rPr>
            </w:pPr>
            <w:r>
              <w:rPr>
                <w:rFonts w:ascii="Arial" w:cs="Arial" w:eastAsia="Arial" w:hAnsi="Arial"/>
                <w:sz w:val="14"/>
                <w:szCs w:val="14"/>
                <w:b w:val="1"/>
                <w:bCs w:val="1"/>
                <w:color w:val="auto"/>
              </w:rPr>
              <w:t>Date Declared</w:t>
            </w:r>
          </w:p>
        </w:tc>
        <w:tc>
          <w:tcPr>
            <w:tcW w:w="100" w:type="dxa"/>
            <w:vAlign w:val="bottom"/>
          </w:tcPr>
          <w:p>
            <w:pPr>
              <w:spacing w:after="0"/>
              <w:rPr>
                <w:sz w:val="14"/>
                <w:szCs w:val="14"/>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 xml:space="preserve">Dividend </w:t>
            </w:r>
            <w:r>
              <w:rPr>
                <w:rFonts w:ascii="Arial" w:cs="Arial" w:eastAsia="Arial" w:hAnsi="Arial"/>
                <w:sz w:val="12"/>
                <w:szCs w:val="12"/>
                <w:b w:val="1"/>
                <w:bCs w:val="1"/>
                <w:color w:val="auto"/>
                <w:w w:val="95"/>
              </w:rPr>
              <w:t>(1)</w:t>
            </w:r>
          </w:p>
        </w:tc>
        <w:tc>
          <w:tcPr>
            <w:tcW w:w="2100" w:type="dxa"/>
            <w:vAlign w:val="bottom"/>
            <w:gridSpan w:val="2"/>
          </w:tcPr>
          <w:p>
            <w:pPr>
              <w:ind w:left="600"/>
              <w:spacing w:after="0"/>
              <w:rPr>
                <w:sz w:val="20"/>
                <w:szCs w:val="20"/>
                <w:color w:val="auto"/>
              </w:rPr>
            </w:pPr>
            <w:r>
              <w:rPr>
                <w:rFonts w:ascii="Arial" w:cs="Arial" w:eastAsia="Arial" w:hAnsi="Arial"/>
                <w:sz w:val="14"/>
                <w:szCs w:val="14"/>
                <w:b w:val="1"/>
                <w:bCs w:val="1"/>
                <w:color w:val="auto"/>
              </w:rPr>
              <w:t>Record Date</w:t>
            </w:r>
          </w:p>
        </w:tc>
        <w:tc>
          <w:tcPr>
            <w:tcW w:w="1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Shares Issued</w:t>
            </w:r>
          </w:p>
        </w:tc>
        <w:tc>
          <w:tcPr>
            <w:tcW w:w="1560" w:type="dxa"/>
            <w:vAlign w:val="bottom"/>
            <w:gridSpan w:val="2"/>
          </w:tcPr>
          <w:p>
            <w:pPr>
              <w:ind w:left="300"/>
              <w:spacing w:after="0"/>
              <w:rPr>
                <w:sz w:val="20"/>
                <w:szCs w:val="20"/>
                <w:color w:val="auto"/>
              </w:rPr>
            </w:pPr>
            <w:r>
              <w:rPr>
                <w:rFonts w:ascii="Arial" w:cs="Arial" w:eastAsia="Arial" w:hAnsi="Arial"/>
                <w:sz w:val="14"/>
                <w:szCs w:val="14"/>
                <w:b w:val="1"/>
                <w:bCs w:val="1"/>
                <w:color w:val="auto"/>
              </w:rPr>
              <w:t>Shares Issued</w:t>
            </w:r>
          </w:p>
        </w:tc>
        <w:tc>
          <w:tcPr>
            <w:tcW w:w="0" w:type="dxa"/>
            <w:vAlign w:val="bottom"/>
          </w:tcPr>
          <w:p>
            <w:pPr>
              <w:spacing w:after="0"/>
              <w:rPr>
                <w:sz w:val="1"/>
                <w:szCs w:val="1"/>
                <w:color w:val="auto"/>
              </w:rPr>
            </w:pPr>
          </w:p>
        </w:tc>
      </w:tr>
      <w:tr>
        <w:trPr>
          <w:trHeight w:val="223"/>
        </w:trPr>
        <w:tc>
          <w:tcPr>
            <w:tcW w:w="2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November 5, 2019</w:t>
            </w:r>
          </w:p>
        </w:tc>
        <w:tc>
          <w:tcPr>
            <w:tcW w:w="1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Base</w:t>
            </w:r>
          </w:p>
        </w:tc>
        <w:tc>
          <w:tcPr>
            <w:tcW w:w="100" w:type="dxa"/>
            <w:vAlign w:val="bottom"/>
            <w:tcBorders>
              <w:top w:val="single" w:sz="8" w:color="CFF0FC"/>
            </w:tcBorders>
            <w:shd w:val="clear" w:color="auto" w:fill="CFF0FC"/>
          </w:tcPr>
          <w:p>
            <w:pPr>
              <w:spacing w:after="0"/>
              <w:rPr>
                <w:sz w:val="19"/>
                <w:szCs w:val="19"/>
                <w:color w:val="auto"/>
              </w:rPr>
            </w:pPr>
          </w:p>
        </w:tc>
        <w:tc>
          <w:tcPr>
            <w:tcW w:w="1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December 13, 2019</w:t>
            </w:r>
          </w:p>
        </w:tc>
        <w:tc>
          <w:tcPr>
            <w:tcW w:w="120" w:type="dxa"/>
            <w:vAlign w:val="bottom"/>
            <w:tcBorders>
              <w:top w:val="single" w:sz="8" w:color="CFF0FC"/>
            </w:tcBorders>
            <w:shd w:val="clear" w:color="auto" w:fill="CFF0FC"/>
          </w:tcPr>
          <w:p>
            <w:pPr>
              <w:spacing w:after="0"/>
              <w:rPr>
                <w:sz w:val="19"/>
                <w:szCs w:val="19"/>
                <w:color w:val="auto"/>
              </w:rPr>
            </w:pPr>
          </w:p>
        </w:tc>
        <w:tc>
          <w:tcPr>
            <w:tcW w:w="1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January 15, 2020</w:t>
            </w:r>
          </w:p>
        </w:tc>
        <w:tc>
          <w:tcPr>
            <w:tcW w:w="120" w:type="dxa"/>
            <w:vAlign w:val="bottom"/>
            <w:tcBorders>
              <w:top w:val="single" w:sz="8" w:color="CFF0FC"/>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194,470</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r>
              <w:rPr>
                <w:rFonts w:ascii="Arial" w:cs="Arial" w:eastAsia="Arial" w:hAnsi="Arial"/>
                <w:sz w:val="18"/>
                <w:szCs w:val="18"/>
                <w:color w:val="auto"/>
              </w:rPr>
              <w:t>February 19, 2020</w:t>
            </w:r>
          </w:p>
        </w:tc>
        <w:tc>
          <w:tcPr>
            <w:tcW w:w="122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Supplemental</w:t>
            </w:r>
          </w:p>
        </w:tc>
        <w:tc>
          <w:tcPr>
            <w:tcW w:w="2100" w:type="dxa"/>
            <w:vAlign w:val="bottom"/>
            <w:gridSpan w:val="2"/>
          </w:tcPr>
          <w:p>
            <w:pPr>
              <w:jc w:val="right"/>
              <w:ind w:right="140"/>
              <w:spacing w:after="0"/>
              <w:rPr>
                <w:sz w:val="20"/>
                <w:szCs w:val="20"/>
                <w:color w:val="auto"/>
              </w:rPr>
            </w:pPr>
            <w:r>
              <w:rPr>
                <w:rFonts w:ascii="Arial" w:cs="Arial" w:eastAsia="Arial" w:hAnsi="Arial"/>
                <w:sz w:val="18"/>
                <w:szCs w:val="18"/>
                <w:color w:val="auto"/>
              </w:rPr>
              <w:t>February 28, 2020</w:t>
            </w:r>
          </w:p>
        </w:tc>
        <w:tc>
          <w:tcPr>
            <w:tcW w:w="1920" w:type="dxa"/>
            <w:vAlign w:val="bottom"/>
            <w:gridSpan w:val="2"/>
          </w:tcPr>
          <w:p>
            <w:pPr>
              <w:jc w:val="right"/>
              <w:ind w:right="140"/>
              <w:spacing w:after="0"/>
              <w:rPr>
                <w:sz w:val="20"/>
                <w:szCs w:val="20"/>
                <w:color w:val="auto"/>
              </w:rPr>
            </w:pPr>
            <w:r>
              <w:rPr>
                <w:rFonts w:ascii="Arial" w:cs="Arial" w:eastAsia="Arial" w:hAnsi="Arial"/>
                <w:sz w:val="18"/>
                <w:szCs w:val="18"/>
                <w:color w:val="auto"/>
              </w:rPr>
              <w:t>March 31, 2020</w:t>
            </w:r>
          </w:p>
        </w:tc>
        <w:tc>
          <w:tcPr>
            <w:tcW w:w="1480" w:type="dxa"/>
            <w:vAlign w:val="bottom"/>
          </w:tcPr>
          <w:p>
            <w:pPr>
              <w:jc w:val="right"/>
              <w:spacing w:after="0"/>
              <w:rPr>
                <w:sz w:val="20"/>
                <w:szCs w:val="20"/>
                <w:color w:val="auto"/>
              </w:rPr>
            </w:pPr>
            <w:r>
              <w:rPr>
                <w:rFonts w:ascii="Arial" w:cs="Arial" w:eastAsia="Arial" w:hAnsi="Arial"/>
                <w:sz w:val="18"/>
                <w:szCs w:val="18"/>
                <w:color w:val="auto"/>
              </w:rPr>
              <w:t>57,674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80" w:type="dxa"/>
            <w:vAlign w:val="bottom"/>
            <w:shd w:val="clear" w:color="auto" w:fill="CFF0FC"/>
          </w:tcPr>
          <w:p>
            <w:pPr>
              <w:spacing w:after="0"/>
              <w:rPr>
                <w:sz w:val="20"/>
                <w:szCs w:val="20"/>
                <w:color w:val="auto"/>
              </w:rPr>
            </w:pPr>
            <w:r>
              <w:rPr>
                <w:rFonts w:ascii="Arial" w:cs="Arial" w:eastAsia="Arial" w:hAnsi="Arial"/>
                <w:sz w:val="18"/>
                <w:szCs w:val="18"/>
                <w:color w:val="auto"/>
              </w:rPr>
              <w:t>February 19, 2020</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87"/>
              </w:rPr>
              <w:t>Base</w:t>
            </w:r>
          </w:p>
        </w:tc>
        <w:tc>
          <w:tcPr>
            <w:tcW w:w="2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March 13, 2020</w:t>
            </w:r>
          </w:p>
        </w:tc>
        <w:tc>
          <w:tcPr>
            <w:tcW w:w="1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April 15, 2020</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299,058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r>
              <w:rPr>
                <w:rFonts w:ascii="Arial" w:cs="Arial" w:eastAsia="Arial" w:hAnsi="Arial"/>
                <w:sz w:val="18"/>
                <w:szCs w:val="18"/>
                <w:color w:val="auto"/>
              </w:rPr>
              <w:t>February 19, 2020</w:t>
            </w:r>
          </w:p>
        </w:tc>
        <w:tc>
          <w:tcPr>
            <w:tcW w:w="100" w:type="dxa"/>
            <w:vAlign w:val="bottom"/>
          </w:tcPr>
          <w:p>
            <w:pPr>
              <w:spacing w:after="0"/>
              <w:rPr>
                <w:sz w:val="19"/>
                <w:szCs w:val="19"/>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Special</w:t>
            </w:r>
          </w:p>
        </w:tc>
        <w:tc>
          <w:tcPr>
            <w:tcW w:w="2100" w:type="dxa"/>
            <w:vAlign w:val="bottom"/>
            <w:gridSpan w:val="2"/>
          </w:tcPr>
          <w:p>
            <w:pPr>
              <w:jc w:val="right"/>
              <w:ind w:right="140"/>
              <w:spacing w:after="0"/>
              <w:rPr>
                <w:sz w:val="20"/>
                <w:szCs w:val="20"/>
                <w:color w:val="auto"/>
              </w:rPr>
            </w:pPr>
            <w:r>
              <w:rPr>
                <w:rFonts w:ascii="Arial" w:cs="Arial" w:eastAsia="Arial" w:hAnsi="Arial"/>
                <w:sz w:val="18"/>
                <w:szCs w:val="18"/>
                <w:color w:val="auto"/>
              </w:rPr>
              <w:t>April 15, 2020</w:t>
            </w:r>
          </w:p>
        </w:tc>
        <w:tc>
          <w:tcPr>
            <w:tcW w:w="1920" w:type="dxa"/>
            <w:vAlign w:val="bottom"/>
            <w:gridSpan w:val="2"/>
          </w:tcPr>
          <w:p>
            <w:pPr>
              <w:jc w:val="right"/>
              <w:ind w:right="140"/>
              <w:spacing w:after="0"/>
              <w:rPr>
                <w:sz w:val="20"/>
                <w:szCs w:val="20"/>
                <w:color w:val="auto"/>
              </w:rPr>
            </w:pPr>
            <w:r>
              <w:rPr>
                <w:rFonts w:ascii="Arial" w:cs="Arial" w:eastAsia="Arial" w:hAnsi="Arial"/>
                <w:sz w:val="18"/>
                <w:szCs w:val="18"/>
                <w:color w:val="auto"/>
              </w:rPr>
              <w:t>April 30, 2020</w:t>
            </w:r>
          </w:p>
        </w:tc>
        <w:tc>
          <w:tcPr>
            <w:tcW w:w="1480" w:type="dxa"/>
            <w:vAlign w:val="bottom"/>
          </w:tcPr>
          <w:p>
            <w:pPr>
              <w:jc w:val="right"/>
              <w:spacing w:after="0"/>
              <w:rPr>
                <w:sz w:val="20"/>
                <w:szCs w:val="20"/>
                <w:color w:val="auto"/>
              </w:rPr>
            </w:pPr>
            <w:r>
              <w:rPr>
                <w:rFonts w:ascii="Arial" w:cs="Arial" w:eastAsia="Arial" w:hAnsi="Arial"/>
                <w:sz w:val="18"/>
                <w:szCs w:val="18"/>
                <w:color w:val="auto"/>
              </w:rPr>
              <w:t>193,723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80" w:type="dxa"/>
            <w:vAlign w:val="bottom"/>
            <w:shd w:val="clear" w:color="auto" w:fill="CFF0FC"/>
          </w:tcPr>
          <w:p>
            <w:pPr>
              <w:spacing w:after="0"/>
              <w:rPr>
                <w:sz w:val="20"/>
                <w:szCs w:val="20"/>
                <w:color w:val="auto"/>
              </w:rPr>
            </w:pPr>
            <w:r>
              <w:rPr>
                <w:rFonts w:ascii="Arial" w:cs="Arial" w:eastAsia="Arial" w:hAnsi="Arial"/>
                <w:sz w:val="18"/>
                <w:szCs w:val="18"/>
                <w:color w:val="auto"/>
              </w:rPr>
              <w:t>February 19, 2020</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88"/>
              </w:rPr>
              <w:t>Special</w:t>
            </w:r>
          </w:p>
        </w:tc>
        <w:tc>
          <w:tcPr>
            <w:tcW w:w="2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June 15, 2020</w:t>
            </w:r>
          </w:p>
        </w:tc>
        <w:tc>
          <w:tcPr>
            <w:tcW w:w="1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June 30, 2020</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279,861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180" w:type="dxa"/>
            <w:vAlign w:val="bottom"/>
          </w:tcPr>
          <w:p>
            <w:pPr>
              <w:ind w:left="240"/>
              <w:spacing w:after="0"/>
              <w:rPr>
                <w:sz w:val="20"/>
                <w:szCs w:val="20"/>
                <w:color w:val="auto"/>
              </w:rPr>
            </w:pPr>
            <w:r>
              <w:rPr>
                <w:rFonts w:ascii="Arial" w:cs="Arial" w:eastAsia="Arial" w:hAnsi="Arial"/>
                <w:sz w:val="18"/>
                <w:szCs w:val="18"/>
                <w:b w:val="1"/>
                <w:bCs w:val="1"/>
                <w:color w:val="auto"/>
              </w:rPr>
              <w:t>Total Shares Issued</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1,024,786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00" w:hanging="492"/>
        <w:spacing w:after="0"/>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See Note 11 for further information on base, supplemental and special dividends.</w:t>
      </w:r>
    </w:p>
    <w:p>
      <w:pPr>
        <w:spacing w:after="0" w:line="225" w:lineRule="exact"/>
        <w:rPr>
          <w:sz w:val="20"/>
          <w:szCs w:val="20"/>
          <w:color w:val="auto"/>
        </w:rPr>
      </w:pPr>
    </w:p>
    <w:p>
      <w:pPr>
        <w:ind w:firstLine="255"/>
        <w:spacing w:after="0" w:line="301" w:lineRule="auto"/>
        <w:rPr>
          <w:sz w:val="20"/>
          <w:szCs w:val="20"/>
          <w:color w:val="auto"/>
        </w:rPr>
      </w:pPr>
      <w:r>
        <w:rPr>
          <w:rFonts w:ascii="Arial" w:cs="Arial" w:eastAsia="Arial" w:hAnsi="Arial"/>
          <w:sz w:val="16"/>
          <w:szCs w:val="16"/>
          <w:color w:val="auto"/>
        </w:rPr>
        <w:t>On August 4, 2015, the Company's Board authorized the Company to acquire up to $50 million in aggregate of the Company’s common stock from time to time over an initial six month period, and has continued to authorize the refreshment of the $50 million amount authorized under and extension of the stock repurchase program prior to its expiration since that time, most recently as of May 4, 2021. The amount and timing of stock repurchases under the program may vary depending on market conditions, and no assurance can be given that any particular amount of common stock will be repurchased.</w:t>
      </w:r>
    </w:p>
    <w:p>
      <w:pPr>
        <w:spacing w:after="0" w:line="157" w:lineRule="exact"/>
        <w:rPr>
          <w:sz w:val="20"/>
          <w:szCs w:val="20"/>
          <w:color w:val="auto"/>
        </w:rPr>
      </w:pPr>
    </w:p>
    <w:p>
      <w:pPr>
        <w:ind w:right="400" w:firstLine="255"/>
        <w:spacing w:after="0" w:line="308" w:lineRule="auto"/>
        <w:rPr>
          <w:sz w:val="20"/>
          <w:szCs w:val="20"/>
          <w:color w:val="auto"/>
        </w:rPr>
      </w:pPr>
      <w:r>
        <w:rPr>
          <w:rFonts w:ascii="Arial" w:cs="Arial" w:eastAsia="Arial" w:hAnsi="Arial"/>
          <w:sz w:val="17"/>
          <w:szCs w:val="17"/>
          <w:color w:val="auto"/>
        </w:rPr>
        <w:t>During the six months ended June 30, 2020, the Company repurchased 206,964 shares at a weighted average price per share of $14.17 inclusive of commissions, for a total cost of $2.9 million. No shares were repurchased during the six months ended June 30, 2021.</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10. Earnings per share</w:t>
      </w:r>
    </w:p>
    <w:p>
      <w:pPr>
        <w:spacing w:after="0" w:line="121" w:lineRule="exact"/>
        <w:rPr>
          <w:sz w:val="20"/>
          <w:szCs w:val="20"/>
          <w:color w:val="auto"/>
        </w:rPr>
      </w:pPr>
    </w:p>
    <w:p>
      <w:pPr>
        <w:ind w:right="220" w:firstLine="255"/>
        <w:spacing w:after="0" w:line="277" w:lineRule="auto"/>
        <w:rPr>
          <w:sz w:val="20"/>
          <w:szCs w:val="20"/>
          <w:color w:val="auto"/>
        </w:rPr>
      </w:pPr>
      <w:r>
        <w:rPr>
          <w:rFonts w:ascii="Arial" w:cs="Arial" w:eastAsia="Arial" w:hAnsi="Arial"/>
          <w:sz w:val="18"/>
          <w:szCs w:val="18"/>
          <w:color w:val="auto"/>
        </w:rPr>
        <w:t>The following table sets forth the computation of basic and diluted earnings per common share for the three and six months ended June 30, 2021 and 2020:</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0" w:type="dxa"/>
            <w:vAlign w:val="bottom"/>
            <w:gridSpan w:val="4"/>
          </w:tcPr>
          <w:p>
            <w:pPr>
              <w:jc w:val="right"/>
              <w:ind w:right="752"/>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20" w:type="dxa"/>
            <w:vAlign w:val="bottom"/>
            <w:gridSpan w:val="5"/>
          </w:tcPr>
          <w:p>
            <w:pPr>
              <w:ind w:left="740"/>
              <w:spacing w:after="0"/>
              <w:rPr>
                <w:sz w:val="20"/>
                <w:szCs w:val="20"/>
                <w:color w:val="auto"/>
              </w:rPr>
            </w:pPr>
            <w:r>
              <w:rPr>
                <w:rFonts w:ascii="Arial" w:cs="Arial" w:eastAsia="Arial" w:hAnsi="Arial"/>
                <w:sz w:val="14"/>
                <w:szCs w:val="14"/>
                <w:b w:val="1"/>
                <w:bCs w:val="1"/>
                <w:color w:val="auto"/>
              </w:rPr>
              <w:t>Six Months Ended</w:t>
            </w:r>
          </w:p>
        </w:tc>
      </w:tr>
      <w:tr>
        <w:trPr>
          <w:trHeight w:val="156"/>
        </w:trPr>
        <w:tc>
          <w:tcPr>
            <w:tcW w:w="38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gridSpan w:val="2"/>
          </w:tcPr>
          <w:p>
            <w:pPr>
              <w:ind w:left="80"/>
              <w:spacing w:after="0" w:line="155" w:lineRule="exact"/>
              <w:rPr>
                <w:sz w:val="20"/>
                <w:szCs w:val="20"/>
                <w:color w:val="auto"/>
              </w:rPr>
            </w:pPr>
            <w:r>
              <w:rPr>
                <w:rFonts w:ascii="Arial" w:cs="Arial" w:eastAsia="Arial" w:hAnsi="Arial"/>
                <w:sz w:val="14"/>
                <w:szCs w:val="14"/>
                <w:b w:val="1"/>
                <w:bCs w:val="1"/>
                <w:color w:val="auto"/>
              </w:rPr>
              <w:t>June 30, 2021</w:t>
            </w:r>
          </w:p>
        </w:tc>
        <w:tc>
          <w:tcPr>
            <w:tcW w:w="18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192"/>
              <w:spacing w:after="0" w:line="155" w:lineRule="exact"/>
              <w:rPr>
                <w:sz w:val="20"/>
                <w:szCs w:val="20"/>
                <w:color w:val="auto"/>
              </w:rPr>
            </w:pPr>
            <w:r>
              <w:rPr>
                <w:rFonts w:ascii="Arial" w:cs="Arial" w:eastAsia="Arial" w:hAnsi="Arial"/>
                <w:sz w:val="14"/>
                <w:szCs w:val="14"/>
                <w:b w:val="1"/>
                <w:bCs w:val="1"/>
                <w:color w:val="auto"/>
                <w:w w:val="98"/>
              </w:rPr>
              <w:t>June 30, 2020</w:t>
            </w:r>
          </w:p>
        </w:tc>
        <w:tc>
          <w:tcPr>
            <w:tcW w:w="2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gridSpan w:val="2"/>
          </w:tcPr>
          <w:p>
            <w:pPr>
              <w:ind w:left="100"/>
              <w:spacing w:after="0" w:line="155" w:lineRule="exact"/>
              <w:rPr>
                <w:sz w:val="20"/>
                <w:szCs w:val="20"/>
                <w:color w:val="auto"/>
              </w:rPr>
            </w:pPr>
            <w:r>
              <w:rPr>
                <w:rFonts w:ascii="Arial" w:cs="Arial" w:eastAsia="Arial" w:hAnsi="Arial"/>
                <w:sz w:val="14"/>
                <w:szCs w:val="14"/>
                <w:b w:val="1"/>
                <w:bCs w:val="1"/>
                <w:color w:val="auto"/>
              </w:rPr>
              <w:t>June 30, 2021</w:t>
            </w:r>
          </w:p>
        </w:tc>
        <w:tc>
          <w:tcPr>
            <w:tcW w:w="18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192"/>
              <w:spacing w:after="0" w:line="155" w:lineRule="exact"/>
              <w:rPr>
                <w:sz w:val="20"/>
                <w:szCs w:val="20"/>
                <w:color w:val="auto"/>
              </w:rPr>
            </w:pPr>
            <w:r>
              <w:rPr>
                <w:rFonts w:ascii="Arial" w:cs="Arial" w:eastAsia="Arial" w:hAnsi="Arial"/>
                <w:sz w:val="14"/>
                <w:szCs w:val="14"/>
                <w:b w:val="1"/>
                <w:bCs w:val="1"/>
                <w:color w:val="auto"/>
              </w:rPr>
              <w:t>June 30, 2020</w:t>
            </w:r>
          </w:p>
        </w:tc>
        <w:tc>
          <w:tcPr>
            <w:tcW w:w="100" w:type="dxa"/>
            <w:vAlign w:val="bottom"/>
          </w:tcPr>
          <w:p>
            <w:pPr>
              <w:spacing w:after="0"/>
              <w:rPr>
                <w:sz w:val="13"/>
                <w:szCs w:val="13"/>
                <w:color w:val="auto"/>
              </w:rPr>
            </w:pPr>
          </w:p>
        </w:tc>
      </w:tr>
      <w:tr>
        <w:trPr>
          <w:trHeight w:val="223"/>
        </w:trPr>
        <w:tc>
          <w:tcPr>
            <w:tcW w:w="3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Earnings per common share—basic</w:t>
            </w:r>
          </w:p>
        </w:tc>
        <w:tc>
          <w:tcPr>
            <w:tcW w:w="18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3800" w:type="dxa"/>
            <w:vAlign w:val="bottom"/>
          </w:tcPr>
          <w:p>
            <w:pPr>
              <w:spacing w:after="0"/>
              <w:rPr>
                <w:sz w:val="20"/>
                <w:szCs w:val="20"/>
                <w:color w:val="auto"/>
              </w:rPr>
            </w:pPr>
            <w:r>
              <w:rPr>
                <w:rFonts w:ascii="Arial" w:cs="Arial" w:eastAsia="Arial" w:hAnsi="Arial"/>
                <w:sz w:val="18"/>
                <w:szCs w:val="18"/>
                <w:color w:val="auto"/>
              </w:rPr>
              <w:t>Numerator for basic earnings per share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58,354</w:t>
            </w:r>
          </w:p>
        </w:tc>
        <w:tc>
          <w:tcPr>
            <w:tcW w:w="22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95,870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115,006</w:t>
            </w:r>
          </w:p>
        </w:tc>
        <w:tc>
          <w:tcPr>
            <w:tcW w:w="2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42,771</w:t>
            </w:r>
          </w:p>
        </w:tc>
        <w:tc>
          <w:tcPr>
            <w:tcW w:w="100" w:type="dxa"/>
            <w:vAlign w:val="bottom"/>
          </w:tcPr>
          <w:p>
            <w:pPr>
              <w:spacing w:after="0"/>
              <w:rPr>
                <w:sz w:val="19"/>
                <w:szCs w:val="19"/>
                <w:color w:val="auto"/>
              </w:rPr>
            </w:pPr>
          </w:p>
        </w:tc>
      </w:tr>
      <w:tr>
        <w:trPr>
          <w:trHeight w:val="215"/>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Denominator for basic weighted average</w:t>
            </w: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3800" w:type="dxa"/>
            <w:vAlign w:val="bottom"/>
            <w:shd w:val="clear" w:color="auto" w:fill="CFF0FC"/>
          </w:tcPr>
          <w:p>
            <w:pPr>
              <w:ind w:left="80"/>
              <w:spacing w:after="0"/>
              <w:rPr>
                <w:sz w:val="20"/>
                <w:szCs w:val="20"/>
                <w:color w:val="auto"/>
              </w:rPr>
            </w:pPr>
            <w:r>
              <w:rPr>
                <w:rFonts w:ascii="Arial" w:cs="Arial" w:eastAsia="Arial" w:hAnsi="Arial"/>
                <w:sz w:val="18"/>
                <w:szCs w:val="18"/>
                <w:color w:val="auto"/>
              </w:rPr>
              <w:t>shares</w:t>
            </w:r>
          </w:p>
        </w:tc>
        <w:tc>
          <w:tcPr>
            <w:tcW w:w="18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72,556,471</w:t>
            </w:r>
          </w:p>
        </w:tc>
        <w:tc>
          <w:tcPr>
            <w:tcW w:w="22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66,957,883</w:t>
            </w:r>
          </w:p>
        </w:tc>
        <w:tc>
          <w:tcPr>
            <w:tcW w:w="22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71,131,732</w:t>
            </w:r>
          </w:p>
        </w:tc>
        <w:tc>
          <w:tcPr>
            <w:tcW w:w="20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66,807,081</w:t>
            </w:r>
          </w:p>
        </w:tc>
        <w:tc>
          <w:tcPr>
            <w:tcW w:w="100" w:type="dxa"/>
            <w:vAlign w:val="bottom"/>
            <w:shd w:val="clear" w:color="auto" w:fill="CFF0FC"/>
          </w:tcPr>
          <w:p>
            <w:pPr>
              <w:spacing w:after="0"/>
              <w:rPr>
                <w:sz w:val="20"/>
                <w:szCs w:val="20"/>
                <w:color w:val="auto"/>
              </w:rPr>
            </w:pPr>
          </w:p>
        </w:tc>
      </w:tr>
      <w:tr>
        <w:trPr>
          <w:trHeight w:val="223"/>
        </w:trPr>
        <w:tc>
          <w:tcPr>
            <w:tcW w:w="3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Earnings per common share—basic</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0.80</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0.64</w:t>
            </w:r>
          </w:p>
        </w:tc>
        <w:tc>
          <w:tcPr>
            <w:tcW w:w="100" w:type="dxa"/>
            <w:vAlign w:val="bottom"/>
            <w:tcBorders>
              <w:bottom w:val="single" w:sz="8" w:color="CFF0FC"/>
            </w:tcBorders>
          </w:tcPr>
          <w:p>
            <w:pPr>
              <w:spacing w:after="0"/>
              <w:rPr>
                <w:sz w:val="19"/>
                <w:szCs w:val="19"/>
                <w:color w:val="auto"/>
              </w:rPr>
            </w:pPr>
          </w:p>
        </w:tc>
      </w:tr>
      <w:tr>
        <w:trPr>
          <w:trHeight w:val="223"/>
        </w:trPr>
        <w:tc>
          <w:tcPr>
            <w:tcW w:w="3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Earnings per common share—diluted</w:t>
            </w: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5"/>
        </w:trPr>
        <w:tc>
          <w:tcPr>
            <w:tcW w:w="3800" w:type="dxa"/>
            <w:vAlign w:val="bottom"/>
          </w:tcPr>
          <w:p>
            <w:pPr>
              <w:spacing w:after="0"/>
              <w:rPr>
                <w:sz w:val="20"/>
                <w:szCs w:val="20"/>
                <w:color w:val="auto"/>
              </w:rPr>
            </w:pPr>
            <w:r>
              <w:rPr>
                <w:rFonts w:ascii="Arial" w:cs="Arial" w:eastAsia="Arial" w:hAnsi="Arial"/>
                <w:sz w:val="18"/>
                <w:szCs w:val="18"/>
                <w:color w:val="auto"/>
              </w:rPr>
              <w:t>Numerator for increase in net assets per</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800" w:type="dxa"/>
            <w:vAlign w:val="bottom"/>
          </w:tcPr>
          <w:p>
            <w:pPr>
              <w:ind w:left="80"/>
              <w:spacing w:after="0"/>
              <w:rPr>
                <w:sz w:val="20"/>
                <w:szCs w:val="20"/>
                <w:color w:val="auto"/>
              </w:rPr>
            </w:pPr>
            <w:r>
              <w:rPr>
                <w:rFonts w:ascii="Arial" w:cs="Arial" w:eastAsia="Arial" w:hAnsi="Arial"/>
                <w:sz w:val="18"/>
                <w:szCs w:val="18"/>
                <w:color w:val="auto"/>
              </w:rPr>
              <w:t>share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58,354</w:t>
            </w:r>
          </w:p>
        </w:tc>
        <w:tc>
          <w:tcPr>
            <w:tcW w:w="220" w:type="dxa"/>
            <w:vAlign w:val="bottom"/>
          </w:tcPr>
          <w:p>
            <w:pPr>
              <w:spacing w:after="0"/>
              <w:rPr>
                <w:sz w:val="20"/>
                <w:szCs w:val="20"/>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95,870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115,006</w:t>
            </w:r>
          </w:p>
        </w:tc>
        <w:tc>
          <w:tcPr>
            <w:tcW w:w="2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42,771</w:t>
            </w:r>
          </w:p>
        </w:tc>
        <w:tc>
          <w:tcPr>
            <w:tcW w:w="100" w:type="dxa"/>
            <w:vAlign w:val="bottom"/>
          </w:tcPr>
          <w:p>
            <w:pPr>
              <w:spacing w:after="0"/>
              <w:rPr>
                <w:sz w:val="20"/>
                <w:szCs w:val="20"/>
                <w:color w:val="auto"/>
              </w:rPr>
            </w:pPr>
          </w:p>
        </w:tc>
      </w:tr>
      <w:tr>
        <w:trPr>
          <w:trHeight w:val="215"/>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Adjustment for interest expense and</w:t>
            </w: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800" w:type="dxa"/>
            <w:vAlign w:val="bottom"/>
            <w:shd w:val="clear" w:color="auto" w:fill="CFF0FC"/>
          </w:tcPr>
          <w:p>
            <w:pPr>
              <w:ind w:left="80"/>
              <w:spacing w:after="0"/>
              <w:rPr>
                <w:sz w:val="20"/>
                <w:szCs w:val="20"/>
                <w:color w:val="auto"/>
              </w:rPr>
            </w:pPr>
            <w:r>
              <w:rPr>
                <w:rFonts w:ascii="Arial" w:cs="Arial" w:eastAsia="Arial" w:hAnsi="Arial"/>
                <w:sz w:val="18"/>
                <w:szCs w:val="18"/>
                <w:color w:val="auto"/>
              </w:rPr>
              <w:t>deferred financing costs on Convertible</w:t>
            </w: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3800" w:type="dxa"/>
            <w:vAlign w:val="bottom"/>
            <w:shd w:val="clear" w:color="auto" w:fill="CFF0FC"/>
          </w:tcPr>
          <w:p>
            <w:pPr>
              <w:ind w:left="80"/>
              <w:spacing w:after="0"/>
              <w:rPr>
                <w:sz w:val="20"/>
                <w:szCs w:val="20"/>
                <w:color w:val="auto"/>
              </w:rPr>
            </w:pPr>
            <w:r>
              <w:rPr>
                <w:rFonts w:ascii="Arial" w:cs="Arial" w:eastAsia="Arial" w:hAnsi="Arial"/>
                <w:sz w:val="18"/>
                <w:szCs w:val="18"/>
                <w:color w:val="auto"/>
              </w:rPr>
              <w:t>Notes, incentive fee and excise tax, net</w:t>
            </w:r>
          </w:p>
        </w:tc>
        <w:tc>
          <w:tcPr>
            <w:tcW w:w="1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1,427</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2,866</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3800" w:type="dxa"/>
            <w:vAlign w:val="bottom"/>
          </w:tcPr>
          <w:p>
            <w:pPr>
              <w:spacing w:after="0"/>
              <w:rPr>
                <w:sz w:val="20"/>
                <w:szCs w:val="20"/>
                <w:color w:val="auto"/>
              </w:rPr>
            </w:pPr>
            <w:r>
              <w:rPr>
                <w:rFonts w:ascii="Arial" w:cs="Arial" w:eastAsia="Arial" w:hAnsi="Arial"/>
                <w:sz w:val="18"/>
                <w:szCs w:val="18"/>
                <w:color w:val="auto"/>
              </w:rPr>
              <w:t>Numerator for diluted earnings per share</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59,781</w:t>
            </w:r>
          </w:p>
        </w:tc>
        <w:tc>
          <w:tcPr>
            <w:tcW w:w="220" w:type="dxa"/>
            <w:vAlign w:val="bottom"/>
          </w:tcPr>
          <w:p>
            <w:pPr>
              <w:spacing w:after="0"/>
              <w:rPr>
                <w:sz w:val="19"/>
                <w:szCs w:val="19"/>
                <w:color w:val="auto"/>
              </w:rPr>
            </w:pP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95,870</w:t>
            </w:r>
          </w:p>
        </w:tc>
        <w:tc>
          <w:tcPr>
            <w:tcW w:w="2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117,872</w:t>
            </w:r>
          </w:p>
        </w:tc>
        <w:tc>
          <w:tcPr>
            <w:tcW w:w="2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42,771</w:t>
            </w:r>
          </w:p>
        </w:tc>
        <w:tc>
          <w:tcPr>
            <w:tcW w:w="100" w:type="dxa"/>
            <w:vAlign w:val="bottom"/>
          </w:tcPr>
          <w:p>
            <w:pPr>
              <w:spacing w:after="0"/>
              <w:rPr>
                <w:sz w:val="19"/>
                <w:szCs w:val="19"/>
                <w:color w:val="auto"/>
              </w:rPr>
            </w:pPr>
          </w:p>
        </w:tc>
      </w:tr>
      <w:tr>
        <w:trPr>
          <w:trHeight w:val="215"/>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Denominator for basic weighted average</w:t>
            </w: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3800" w:type="dxa"/>
            <w:vAlign w:val="bottom"/>
            <w:shd w:val="clear" w:color="auto" w:fill="CFF0FC"/>
          </w:tcPr>
          <w:p>
            <w:pPr>
              <w:ind w:left="80"/>
              <w:spacing w:after="0"/>
              <w:rPr>
                <w:sz w:val="20"/>
                <w:szCs w:val="20"/>
                <w:color w:val="auto"/>
              </w:rPr>
            </w:pPr>
            <w:r>
              <w:rPr>
                <w:rFonts w:ascii="Arial" w:cs="Arial" w:eastAsia="Arial" w:hAnsi="Arial"/>
                <w:sz w:val="18"/>
                <w:szCs w:val="18"/>
                <w:color w:val="auto"/>
              </w:rPr>
              <w:t>shares</w:t>
            </w:r>
          </w:p>
        </w:tc>
        <w:tc>
          <w:tcPr>
            <w:tcW w:w="1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72,556,471</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66,957,883</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71,131,732</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66,807,081</w:t>
            </w:r>
          </w:p>
        </w:tc>
        <w:tc>
          <w:tcPr>
            <w:tcW w:w="100" w:type="dxa"/>
            <w:vAlign w:val="bottom"/>
            <w:shd w:val="clear" w:color="auto" w:fill="CFF0FC"/>
          </w:tcPr>
          <w:p>
            <w:pPr>
              <w:spacing w:after="0"/>
              <w:rPr>
                <w:sz w:val="20"/>
                <w:szCs w:val="20"/>
                <w:color w:val="auto"/>
              </w:rPr>
            </w:pPr>
          </w:p>
        </w:tc>
      </w:tr>
      <w:tr>
        <w:trPr>
          <w:trHeight w:val="215"/>
        </w:trPr>
        <w:tc>
          <w:tcPr>
            <w:tcW w:w="3800" w:type="dxa"/>
            <w:vAlign w:val="bottom"/>
          </w:tcPr>
          <w:p>
            <w:pPr>
              <w:spacing w:after="0"/>
              <w:rPr>
                <w:sz w:val="20"/>
                <w:szCs w:val="20"/>
                <w:color w:val="auto"/>
              </w:rPr>
            </w:pPr>
            <w:r>
              <w:rPr>
                <w:rFonts w:ascii="Arial" w:cs="Arial" w:eastAsia="Arial" w:hAnsi="Arial"/>
                <w:sz w:val="18"/>
                <w:szCs w:val="18"/>
                <w:color w:val="auto"/>
              </w:rPr>
              <w:t>Adjustment for dilutive effect of Convertible</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Notes</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7,693,056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7,693,056</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9"/>
        </w:trPr>
        <w:tc>
          <w:tcPr>
            <w:tcW w:w="3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Denominator for diluted weighted average</w:t>
            </w:r>
          </w:p>
        </w:tc>
        <w:tc>
          <w:tcPr>
            <w:tcW w:w="18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30"/>
        </w:trPr>
        <w:tc>
          <w:tcPr>
            <w:tcW w:w="3800" w:type="dxa"/>
            <w:vAlign w:val="bottom"/>
            <w:shd w:val="clear" w:color="auto" w:fill="CFF0FC"/>
          </w:tcPr>
          <w:p>
            <w:pPr>
              <w:ind w:left="80"/>
              <w:spacing w:after="0"/>
              <w:rPr>
                <w:sz w:val="20"/>
                <w:szCs w:val="20"/>
                <w:color w:val="auto"/>
              </w:rPr>
            </w:pPr>
            <w:r>
              <w:rPr>
                <w:rFonts w:ascii="Arial" w:cs="Arial" w:eastAsia="Arial" w:hAnsi="Arial"/>
                <w:sz w:val="18"/>
                <w:szCs w:val="18"/>
                <w:color w:val="auto"/>
              </w:rPr>
              <w:t>shares</w:t>
            </w:r>
          </w:p>
        </w:tc>
        <w:tc>
          <w:tcPr>
            <w:tcW w:w="18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80,249,527</w:t>
            </w:r>
          </w:p>
        </w:tc>
        <w:tc>
          <w:tcPr>
            <w:tcW w:w="22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66,957,883</w:t>
            </w:r>
          </w:p>
        </w:tc>
        <w:tc>
          <w:tcPr>
            <w:tcW w:w="22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78,824,788</w:t>
            </w:r>
          </w:p>
        </w:tc>
        <w:tc>
          <w:tcPr>
            <w:tcW w:w="20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66,807,081</w:t>
            </w:r>
          </w:p>
        </w:tc>
        <w:tc>
          <w:tcPr>
            <w:tcW w:w="100" w:type="dxa"/>
            <w:vAlign w:val="bottom"/>
            <w:shd w:val="clear" w:color="auto" w:fill="CFF0FC"/>
          </w:tcPr>
          <w:p>
            <w:pPr>
              <w:spacing w:after="0"/>
              <w:rPr>
                <w:sz w:val="20"/>
                <w:szCs w:val="20"/>
                <w:color w:val="auto"/>
              </w:rPr>
            </w:pPr>
          </w:p>
        </w:tc>
      </w:tr>
      <w:tr>
        <w:trPr>
          <w:trHeight w:val="223"/>
        </w:trPr>
        <w:tc>
          <w:tcPr>
            <w:tcW w:w="3800" w:type="dxa"/>
            <w:vAlign w:val="bottom"/>
          </w:tcPr>
          <w:p>
            <w:pPr>
              <w:spacing w:after="0"/>
              <w:rPr>
                <w:sz w:val="20"/>
                <w:szCs w:val="20"/>
                <w:color w:val="auto"/>
              </w:rPr>
            </w:pPr>
            <w:r>
              <w:rPr>
                <w:rFonts w:ascii="Arial" w:cs="Arial" w:eastAsia="Arial" w:hAnsi="Arial"/>
                <w:sz w:val="18"/>
                <w:szCs w:val="18"/>
                <w:color w:val="auto"/>
              </w:rPr>
              <w:t>Earnings per common share—diluted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0.74</w:t>
            </w: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2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0.64</w:t>
            </w:r>
          </w:p>
        </w:tc>
        <w:tc>
          <w:tcPr>
            <w:tcW w:w="100" w:type="dxa"/>
            <w:vAlign w:val="bottom"/>
          </w:tcPr>
          <w:p>
            <w:pPr>
              <w:spacing w:after="0"/>
              <w:rPr>
                <w:sz w:val="19"/>
                <w:szCs w:val="19"/>
                <w:color w:val="auto"/>
              </w:rPr>
            </w:pPr>
          </w:p>
        </w:tc>
      </w:tr>
    </w:tbl>
    <w:p>
      <w:pPr>
        <w:spacing w:after="0" w:line="242" w:lineRule="exact"/>
        <w:rPr>
          <w:sz w:val="20"/>
          <w:szCs w:val="20"/>
          <w:color w:val="auto"/>
        </w:rPr>
      </w:pPr>
    </w:p>
    <w:p>
      <w:pPr>
        <w:ind w:right="40" w:firstLine="255"/>
        <w:spacing w:after="0" w:line="254" w:lineRule="auto"/>
        <w:rPr>
          <w:sz w:val="20"/>
          <w:szCs w:val="20"/>
          <w:color w:val="auto"/>
        </w:rPr>
      </w:pPr>
      <w:r>
        <w:rPr>
          <w:rFonts w:ascii="Arial" w:cs="Arial" w:eastAsia="Arial" w:hAnsi="Arial"/>
          <w:sz w:val="18"/>
          <w:szCs w:val="18"/>
          <w:color w:val="auto"/>
        </w:rPr>
        <w:t>In certain circumstances, the 2022 Convertible Notes will be convertible into cash, shares of the Company’s common stock or a combination of cash and shares of the Company’s common stock, at the Company’s election which can be dilutive to common stockholders. Diluted earnings (loss) per share is the amount of earnings (loss) available to each share of common stock outstanding during the reporting period including any additional shares of common stock that would be issued if all potentially dilutive securities were exercised. Upon adoption of ASU 2020-06 during the period ended March 31, 2021 the Company is required to disclose diluted EPS using the if-converted method. The if-converted method is a method of computing EPS that assumes conversion of convertible securities at the beginning of the reporting period and is intended to show the maximum dilution effect to common stockholders regardless of how the conversion can occur.</w:t>
      </w:r>
    </w:p>
    <w:p>
      <w:pPr>
        <w:spacing w:after="0" w:line="195" w:lineRule="exact"/>
        <w:rPr>
          <w:sz w:val="20"/>
          <w:szCs w:val="20"/>
          <w:color w:val="auto"/>
        </w:rPr>
      </w:pPr>
    </w:p>
    <w:p>
      <w:pPr>
        <w:ind w:firstLine="255"/>
        <w:spacing w:after="0" w:line="259" w:lineRule="auto"/>
        <w:rPr>
          <w:sz w:val="20"/>
          <w:szCs w:val="20"/>
          <w:color w:val="auto"/>
        </w:rPr>
      </w:pPr>
      <w:r>
        <w:rPr>
          <w:rFonts w:ascii="Arial" w:cs="Arial" w:eastAsia="Arial" w:hAnsi="Arial"/>
          <w:sz w:val="18"/>
          <w:szCs w:val="18"/>
          <w:color w:val="auto"/>
        </w:rPr>
        <w:t>For the purpose of calculating diluted earnings per common share, the average daily closing price of the Company’s common stock for the three and six months ended June 30, 2021 was greater than the estimated adjusted conversion price for the 2022 Convertible Notes outstanding as of June 30, 2021. Therefore, for this period presented in the consolidated financial statements the Company applied the if-converted method for purposes of calculating diluted earnings per common share.</w:t>
      </w:r>
    </w:p>
    <w:p>
      <w:pPr>
        <w:spacing w:after="0" w:line="187" w:lineRule="exact"/>
        <w:rPr>
          <w:sz w:val="20"/>
          <w:szCs w:val="20"/>
          <w:color w:val="auto"/>
        </w:rPr>
      </w:pPr>
    </w:p>
    <w:p>
      <w:pPr>
        <w:ind w:firstLine="255"/>
        <w:spacing w:after="0" w:line="259" w:lineRule="auto"/>
        <w:rPr>
          <w:sz w:val="20"/>
          <w:szCs w:val="20"/>
          <w:color w:val="auto"/>
        </w:rPr>
      </w:pPr>
      <w:r>
        <w:rPr>
          <w:rFonts w:ascii="Arial" w:cs="Arial" w:eastAsia="Arial" w:hAnsi="Arial"/>
          <w:sz w:val="18"/>
          <w:szCs w:val="18"/>
          <w:color w:val="auto"/>
        </w:rPr>
        <w:t>For the purpose of calculating diluted earnings per common share, the average daily closing price of the Company’s common stock for the three and six months ended June 30, 2020 was less than the estimated adjusted conversion price for the 2022 Convertible Notes outstanding as of June 30, 2020. Therefore, for this period presented in the consolidated financial statements, the 2022 Convertible Notes have no impact on the computation of diluted earnings per common share.</w:t>
      </w:r>
    </w:p>
    <w:p>
      <w:pPr>
        <w:spacing w:after="0" w:line="200" w:lineRule="exact"/>
        <w:rPr>
          <w:sz w:val="20"/>
          <w:szCs w:val="20"/>
          <w:color w:val="auto"/>
        </w:rPr>
      </w:pP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742" w:right="37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11. Dividends</w:t>
      </w:r>
    </w:p>
    <w:p>
      <w:pPr>
        <w:spacing w:after="0" w:line="121" w:lineRule="exact"/>
        <w:rPr>
          <w:sz w:val="20"/>
          <w:szCs w:val="20"/>
          <w:color w:val="auto"/>
        </w:rPr>
      </w:pPr>
    </w:p>
    <w:p>
      <w:pPr>
        <w:ind w:right="500" w:firstLine="255"/>
        <w:spacing w:after="0" w:line="342" w:lineRule="auto"/>
        <w:rPr>
          <w:sz w:val="20"/>
          <w:szCs w:val="20"/>
          <w:color w:val="auto"/>
        </w:rPr>
      </w:pPr>
      <w:r>
        <w:rPr>
          <w:rFonts w:ascii="Arial" w:cs="Arial" w:eastAsia="Arial" w:hAnsi="Arial"/>
          <w:sz w:val="16"/>
          <w:szCs w:val="16"/>
          <w:color w:val="auto"/>
        </w:rPr>
        <w:t>The Company has historically paid a dividend to stockholders on a quarterly basis. The Company has a dividend framework that provides for a quarterly base dividend and a variable supplemental dividend, subject to satisfaction of certain measurement tests and the approval of the Board.</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tables summarize dividends declared during the six months ended June 30, 2021 and 2020:</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80" w:type="dxa"/>
            <w:vAlign w:val="bottom"/>
            <w:gridSpan w:val="3"/>
          </w:tcPr>
          <w:p>
            <w:pPr>
              <w:jc w:val="center"/>
              <w:ind w:left="97"/>
              <w:spacing w:after="0"/>
              <w:rPr>
                <w:sz w:val="20"/>
                <w:szCs w:val="20"/>
                <w:color w:val="auto"/>
              </w:rPr>
            </w:pPr>
            <w:r>
              <w:rPr>
                <w:rFonts w:ascii="Arial" w:cs="Arial" w:eastAsia="Arial" w:hAnsi="Arial"/>
                <w:sz w:val="14"/>
                <w:szCs w:val="14"/>
                <w:b w:val="1"/>
                <w:bCs w:val="1"/>
                <w:color w:val="auto"/>
                <w:w w:val="93"/>
              </w:rPr>
              <w:t>Six Months Ended</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60" w:type="dxa"/>
            <w:vAlign w:val="bottom"/>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30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80" w:type="dxa"/>
            <w:vAlign w:val="bottom"/>
            <w:tcBorders>
              <w:bottom w:val="single" w:sz="8" w:color="auto"/>
            </w:tcBorders>
            <w:gridSpan w:val="3"/>
          </w:tcPr>
          <w:p>
            <w:pPr>
              <w:jc w:val="center"/>
              <w:ind w:left="117"/>
              <w:spacing w:after="0"/>
              <w:rPr>
                <w:sz w:val="20"/>
                <w:szCs w:val="20"/>
                <w:color w:val="auto"/>
              </w:rPr>
            </w:pPr>
            <w:r>
              <w:rPr>
                <w:rFonts w:ascii="Arial" w:cs="Arial" w:eastAsia="Arial" w:hAnsi="Arial"/>
                <w:sz w:val="14"/>
                <w:szCs w:val="14"/>
                <w:b w:val="1"/>
                <w:bCs w:val="1"/>
                <w:color w:val="auto"/>
                <w:w w:val="92"/>
              </w:rPr>
              <w:t>June 30, 2021</w:t>
            </w: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46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gridSpan w:val="2"/>
          </w:tcPr>
          <w:p>
            <w:pPr>
              <w:jc w:val="center"/>
              <w:ind w:right="160"/>
              <w:spacing w:after="0" w:line="155" w:lineRule="exact"/>
              <w:rPr>
                <w:sz w:val="20"/>
                <w:szCs w:val="20"/>
                <w:color w:val="auto"/>
              </w:rPr>
            </w:pPr>
            <w:r>
              <w:rPr>
                <w:rFonts w:ascii="Arial" w:cs="Arial" w:eastAsia="Arial" w:hAnsi="Arial"/>
                <w:sz w:val="14"/>
                <w:szCs w:val="14"/>
                <w:b w:val="1"/>
                <w:bCs w:val="1"/>
                <w:color w:val="auto"/>
                <w:w w:val="94"/>
              </w:rPr>
              <w:t>Dividend</w:t>
            </w:r>
          </w:p>
        </w:tc>
        <w:tc>
          <w:tcPr>
            <w:tcW w:w="1840" w:type="dxa"/>
            <w:vAlign w:val="bottom"/>
            <w:gridSpan w:val="2"/>
          </w:tcPr>
          <w:p>
            <w:pPr>
              <w:ind w:left="460"/>
              <w:spacing w:after="0" w:line="155" w:lineRule="exact"/>
              <w:rPr>
                <w:sz w:val="20"/>
                <w:szCs w:val="20"/>
                <w:color w:val="auto"/>
              </w:rPr>
            </w:pPr>
            <w:r>
              <w:rPr>
                <w:rFonts w:ascii="Arial" w:cs="Arial" w:eastAsia="Arial" w:hAnsi="Arial"/>
                <w:sz w:val="14"/>
                <w:szCs w:val="14"/>
                <w:b w:val="1"/>
                <w:bCs w:val="1"/>
                <w:color w:val="auto"/>
              </w:rPr>
              <w:t>Record Date</w:t>
            </w:r>
          </w:p>
        </w:tc>
        <w:tc>
          <w:tcPr>
            <w:tcW w:w="1840" w:type="dxa"/>
            <w:vAlign w:val="bottom"/>
          </w:tcPr>
          <w:p>
            <w:pPr>
              <w:jc w:val="right"/>
              <w:ind w:right="413"/>
              <w:spacing w:after="0" w:line="155" w:lineRule="exact"/>
              <w:rPr>
                <w:sz w:val="20"/>
                <w:szCs w:val="20"/>
                <w:color w:val="auto"/>
              </w:rPr>
            </w:pPr>
            <w:r>
              <w:rPr>
                <w:rFonts w:ascii="Arial" w:cs="Arial" w:eastAsia="Arial" w:hAnsi="Arial"/>
                <w:sz w:val="14"/>
                <w:szCs w:val="14"/>
                <w:b w:val="1"/>
                <w:bCs w:val="1"/>
                <w:color w:val="auto"/>
              </w:rPr>
              <w:t>Payment Date</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w w:val="94"/>
              </w:rPr>
              <w:t>Dividend per Share</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February 17, 2021</w:t>
            </w:r>
          </w:p>
        </w:tc>
        <w:tc>
          <w:tcPr>
            <w:tcW w:w="3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Supplemental</w:t>
            </w:r>
          </w:p>
        </w:tc>
        <w:tc>
          <w:tcPr>
            <w:tcW w:w="120" w:type="dxa"/>
            <w:vAlign w:val="bottom"/>
            <w:tcBorders>
              <w:top w:val="single" w:sz="8" w:color="CFF0FC"/>
            </w:tcBorders>
            <w:shd w:val="clear" w:color="auto" w:fill="CFF0FC"/>
          </w:tcPr>
          <w:p>
            <w:pPr>
              <w:spacing w:after="0"/>
              <w:rPr>
                <w:sz w:val="19"/>
                <w:szCs w:val="19"/>
                <w:color w:val="auto"/>
              </w:rPr>
            </w:pPr>
          </w:p>
        </w:tc>
        <w:tc>
          <w:tcPr>
            <w:tcW w:w="1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February 26, 2021</w:t>
            </w:r>
          </w:p>
        </w:tc>
        <w:tc>
          <w:tcPr>
            <w:tcW w:w="100" w:type="dxa"/>
            <w:vAlign w:val="bottom"/>
            <w:tcBorders>
              <w:top w:val="single" w:sz="8" w:color="CFF0FC"/>
            </w:tcBorders>
            <w:shd w:val="clear" w:color="auto" w:fill="CFF0FC"/>
          </w:tcPr>
          <w:p>
            <w:pPr>
              <w:spacing w:after="0"/>
              <w:rPr>
                <w:sz w:val="19"/>
                <w:szCs w:val="19"/>
                <w:color w:val="auto"/>
              </w:rPr>
            </w:pPr>
          </w:p>
        </w:tc>
        <w:tc>
          <w:tcPr>
            <w:tcW w:w="1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March 31, 2021</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0.05</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60" w:type="dxa"/>
            <w:vAlign w:val="bottom"/>
          </w:tcPr>
          <w:p>
            <w:pPr>
              <w:spacing w:after="0"/>
              <w:rPr>
                <w:sz w:val="20"/>
                <w:szCs w:val="20"/>
                <w:color w:val="auto"/>
              </w:rPr>
            </w:pPr>
            <w:r>
              <w:rPr>
                <w:rFonts w:ascii="Arial" w:cs="Arial" w:eastAsia="Arial" w:hAnsi="Arial"/>
                <w:sz w:val="18"/>
                <w:szCs w:val="18"/>
                <w:color w:val="auto"/>
              </w:rPr>
              <w:t>February 17, 2021</w:t>
            </w:r>
          </w:p>
        </w:tc>
        <w:tc>
          <w:tcPr>
            <w:tcW w:w="300" w:type="dxa"/>
            <w:vAlign w:val="bottom"/>
          </w:tcPr>
          <w:p>
            <w:pPr>
              <w:spacing w:after="0"/>
              <w:rPr>
                <w:sz w:val="19"/>
                <w:szCs w:val="19"/>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8"/>
                <w:szCs w:val="18"/>
                <w:color w:val="auto"/>
                <w:w w:val="82"/>
              </w:rPr>
              <w:t>Base</w:t>
            </w:r>
          </w:p>
        </w:tc>
        <w:tc>
          <w:tcPr>
            <w:tcW w:w="1840" w:type="dxa"/>
            <w:vAlign w:val="bottom"/>
            <w:gridSpan w:val="2"/>
          </w:tcPr>
          <w:p>
            <w:pPr>
              <w:jc w:val="right"/>
              <w:ind w:right="120"/>
              <w:spacing w:after="0"/>
              <w:rPr>
                <w:sz w:val="20"/>
                <w:szCs w:val="20"/>
                <w:color w:val="auto"/>
              </w:rPr>
            </w:pPr>
            <w:r>
              <w:rPr>
                <w:rFonts w:ascii="Arial" w:cs="Arial" w:eastAsia="Arial" w:hAnsi="Arial"/>
                <w:sz w:val="18"/>
                <w:szCs w:val="18"/>
                <w:color w:val="auto"/>
              </w:rPr>
              <w:t>March 15, 2021</w:t>
            </w:r>
          </w:p>
        </w:tc>
        <w:tc>
          <w:tcPr>
            <w:tcW w:w="1840" w:type="dxa"/>
            <w:vAlign w:val="bottom"/>
          </w:tcPr>
          <w:p>
            <w:pPr>
              <w:jc w:val="right"/>
              <w:spacing w:after="0"/>
              <w:rPr>
                <w:sz w:val="20"/>
                <w:szCs w:val="20"/>
                <w:color w:val="auto"/>
              </w:rPr>
            </w:pPr>
            <w:r>
              <w:rPr>
                <w:rFonts w:ascii="Arial" w:cs="Arial" w:eastAsia="Arial" w:hAnsi="Arial"/>
                <w:sz w:val="18"/>
                <w:szCs w:val="18"/>
                <w:color w:val="auto"/>
              </w:rPr>
              <w:t>April 15, 2021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0.41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60" w:type="dxa"/>
            <w:vAlign w:val="bottom"/>
            <w:shd w:val="clear" w:color="auto" w:fill="CFF0FC"/>
          </w:tcPr>
          <w:p>
            <w:pPr>
              <w:spacing w:after="0"/>
              <w:rPr>
                <w:sz w:val="20"/>
                <w:szCs w:val="20"/>
                <w:color w:val="auto"/>
              </w:rPr>
            </w:pPr>
            <w:r>
              <w:rPr>
                <w:rFonts w:ascii="Arial" w:cs="Arial" w:eastAsia="Arial" w:hAnsi="Arial"/>
                <w:sz w:val="18"/>
                <w:szCs w:val="18"/>
                <w:color w:val="auto"/>
              </w:rPr>
              <w:t>February 17, 2021</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1"/>
              </w:rPr>
              <w:t>Special</w:t>
            </w:r>
          </w:p>
        </w:tc>
        <w:tc>
          <w:tcPr>
            <w:tcW w:w="1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March 25, 2021</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April 8, 2021</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May 4, 2021</w:t>
            </w:r>
          </w:p>
        </w:tc>
        <w:tc>
          <w:tcPr>
            <w:tcW w:w="1420" w:type="dxa"/>
            <w:vAlign w:val="bottom"/>
            <w:gridSpan w:val="3"/>
          </w:tcPr>
          <w:p>
            <w:pPr>
              <w:jc w:val="center"/>
              <w:ind w:left="70"/>
              <w:spacing w:after="0"/>
              <w:rPr>
                <w:sz w:val="20"/>
                <w:szCs w:val="20"/>
                <w:color w:val="auto"/>
              </w:rPr>
            </w:pPr>
            <w:r>
              <w:rPr>
                <w:rFonts w:ascii="Arial" w:cs="Arial" w:eastAsia="Arial" w:hAnsi="Arial"/>
                <w:sz w:val="18"/>
                <w:szCs w:val="18"/>
                <w:color w:val="auto"/>
                <w:w w:val="89"/>
              </w:rPr>
              <w:t>Supplemental</w:t>
            </w:r>
          </w:p>
        </w:tc>
        <w:tc>
          <w:tcPr>
            <w:tcW w:w="1840" w:type="dxa"/>
            <w:vAlign w:val="bottom"/>
            <w:gridSpan w:val="2"/>
          </w:tcPr>
          <w:p>
            <w:pPr>
              <w:jc w:val="right"/>
              <w:ind w:right="120"/>
              <w:spacing w:after="0"/>
              <w:rPr>
                <w:sz w:val="20"/>
                <w:szCs w:val="20"/>
                <w:color w:val="auto"/>
              </w:rPr>
            </w:pPr>
            <w:r>
              <w:rPr>
                <w:rFonts w:ascii="Arial" w:cs="Arial" w:eastAsia="Arial" w:hAnsi="Arial"/>
                <w:sz w:val="18"/>
                <w:szCs w:val="18"/>
                <w:color w:val="auto"/>
              </w:rPr>
              <w:t>May 28, 2021</w:t>
            </w:r>
          </w:p>
        </w:tc>
        <w:tc>
          <w:tcPr>
            <w:tcW w:w="1840" w:type="dxa"/>
            <w:vAlign w:val="bottom"/>
          </w:tcPr>
          <w:p>
            <w:pPr>
              <w:jc w:val="right"/>
              <w:spacing w:after="0"/>
              <w:rPr>
                <w:sz w:val="20"/>
                <w:szCs w:val="20"/>
                <w:color w:val="auto"/>
              </w:rPr>
            </w:pPr>
            <w:r>
              <w:rPr>
                <w:rFonts w:ascii="Arial" w:cs="Arial" w:eastAsia="Arial" w:hAnsi="Arial"/>
                <w:sz w:val="18"/>
                <w:szCs w:val="18"/>
                <w:color w:val="auto"/>
              </w:rPr>
              <w:t>June 30, 2021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0.06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60" w:type="dxa"/>
            <w:vAlign w:val="bottom"/>
            <w:shd w:val="clear" w:color="auto" w:fill="CFF0FC"/>
          </w:tcPr>
          <w:p>
            <w:pPr>
              <w:spacing w:after="0"/>
              <w:rPr>
                <w:sz w:val="20"/>
                <w:szCs w:val="20"/>
                <w:color w:val="auto"/>
              </w:rPr>
            </w:pPr>
            <w:r>
              <w:rPr>
                <w:rFonts w:ascii="Arial" w:cs="Arial" w:eastAsia="Arial" w:hAnsi="Arial"/>
                <w:sz w:val="18"/>
                <w:szCs w:val="18"/>
                <w:color w:val="auto"/>
              </w:rPr>
              <w:t>May 4, 2021</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82"/>
              </w:rPr>
              <w:t>Base</w:t>
            </w:r>
          </w:p>
        </w:tc>
        <w:tc>
          <w:tcPr>
            <w:tcW w:w="1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June 15, 2021</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July 15, 2021</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60" w:type="dxa"/>
            <w:vAlign w:val="bottom"/>
          </w:tcPr>
          <w:p>
            <w:pPr>
              <w:ind w:left="240"/>
              <w:spacing w:after="0"/>
              <w:rPr>
                <w:sz w:val="20"/>
                <w:szCs w:val="20"/>
                <w:color w:val="auto"/>
              </w:rPr>
            </w:pPr>
            <w:r>
              <w:rPr>
                <w:rFonts w:ascii="Arial" w:cs="Arial" w:eastAsia="Arial" w:hAnsi="Arial"/>
                <w:sz w:val="18"/>
                <w:szCs w:val="18"/>
                <w:b w:val="1"/>
                <w:bCs w:val="1"/>
                <w:color w:val="auto"/>
              </w:rPr>
              <w:t>Total Dividends Declared</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80" w:type="dxa"/>
            <w:vAlign w:val="bottom"/>
            <w:gridSpan w:val="3"/>
            <w:vMerge w:val="restart"/>
          </w:tcPr>
          <w:p>
            <w:pPr>
              <w:jc w:val="center"/>
              <w:ind w:left="97"/>
              <w:spacing w:after="0"/>
              <w:rPr>
                <w:sz w:val="20"/>
                <w:szCs w:val="20"/>
                <w:color w:val="auto"/>
              </w:rPr>
            </w:pPr>
            <w:r>
              <w:rPr>
                <w:rFonts w:ascii="Arial" w:cs="Arial" w:eastAsia="Arial" w:hAnsi="Arial"/>
                <w:sz w:val="14"/>
                <w:szCs w:val="14"/>
                <w:b w:val="1"/>
                <w:bCs w:val="1"/>
                <w:color w:val="auto"/>
                <w:w w:val="93"/>
              </w:rPr>
              <w:t>Six Months Ended</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2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8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460" w:type="dxa"/>
            <w:vAlign w:val="bottom"/>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30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80" w:type="dxa"/>
            <w:vAlign w:val="bottom"/>
            <w:tcBorders>
              <w:bottom w:val="single" w:sz="8" w:color="auto"/>
            </w:tcBorders>
            <w:gridSpan w:val="3"/>
          </w:tcPr>
          <w:p>
            <w:pPr>
              <w:jc w:val="center"/>
              <w:ind w:left="117"/>
              <w:spacing w:after="0"/>
              <w:rPr>
                <w:sz w:val="20"/>
                <w:szCs w:val="20"/>
                <w:color w:val="auto"/>
              </w:rPr>
            </w:pPr>
            <w:r>
              <w:rPr>
                <w:rFonts w:ascii="Arial" w:cs="Arial" w:eastAsia="Arial" w:hAnsi="Arial"/>
                <w:sz w:val="14"/>
                <w:szCs w:val="14"/>
                <w:b w:val="1"/>
                <w:bCs w:val="1"/>
                <w:color w:val="auto"/>
                <w:w w:val="92"/>
              </w:rPr>
              <w:t>June 30, 2020</w:t>
            </w: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46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gridSpan w:val="2"/>
          </w:tcPr>
          <w:p>
            <w:pPr>
              <w:jc w:val="center"/>
              <w:ind w:right="160"/>
              <w:spacing w:after="0" w:line="155" w:lineRule="exact"/>
              <w:rPr>
                <w:sz w:val="20"/>
                <w:szCs w:val="20"/>
                <w:color w:val="auto"/>
              </w:rPr>
            </w:pPr>
            <w:r>
              <w:rPr>
                <w:rFonts w:ascii="Arial" w:cs="Arial" w:eastAsia="Arial" w:hAnsi="Arial"/>
                <w:sz w:val="14"/>
                <w:szCs w:val="14"/>
                <w:b w:val="1"/>
                <w:bCs w:val="1"/>
                <w:color w:val="auto"/>
                <w:w w:val="94"/>
              </w:rPr>
              <w:t>Dividend</w:t>
            </w:r>
          </w:p>
        </w:tc>
        <w:tc>
          <w:tcPr>
            <w:tcW w:w="1840" w:type="dxa"/>
            <w:vAlign w:val="bottom"/>
            <w:gridSpan w:val="2"/>
          </w:tcPr>
          <w:p>
            <w:pPr>
              <w:ind w:left="460"/>
              <w:spacing w:after="0" w:line="155" w:lineRule="exact"/>
              <w:rPr>
                <w:sz w:val="20"/>
                <w:szCs w:val="20"/>
                <w:color w:val="auto"/>
              </w:rPr>
            </w:pPr>
            <w:r>
              <w:rPr>
                <w:rFonts w:ascii="Arial" w:cs="Arial" w:eastAsia="Arial" w:hAnsi="Arial"/>
                <w:sz w:val="14"/>
                <w:szCs w:val="14"/>
                <w:b w:val="1"/>
                <w:bCs w:val="1"/>
                <w:color w:val="auto"/>
              </w:rPr>
              <w:t>Record Date</w:t>
            </w:r>
          </w:p>
        </w:tc>
        <w:tc>
          <w:tcPr>
            <w:tcW w:w="1840" w:type="dxa"/>
            <w:vAlign w:val="bottom"/>
          </w:tcPr>
          <w:p>
            <w:pPr>
              <w:jc w:val="right"/>
              <w:ind w:right="413"/>
              <w:spacing w:after="0" w:line="155" w:lineRule="exact"/>
              <w:rPr>
                <w:sz w:val="20"/>
                <w:szCs w:val="20"/>
                <w:color w:val="auto"/>
              </w:rPr>
            </w:pPr>
            <w:r>
              <w:rPr>
                <w:rFonts w:ascii="Arial" w:cs="Arial" w:eastAsia="Arial" w:hAnsi="Arial"/>
                <w:sz w:val="14"/>
                <w:szCs w:val="14"/>
                <w:b w:val="1"/>
                <w:bCs w:val="1"/>
                <w:color w:val="auto"/>
              </w:rPr>
              <w:t>Payment Date</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w w:val="94"/>
              </w:rPr>
              <w:t>Dividend per Share</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February 19, 2020</w:t>
            </w:r>
          </w:p>
        </w:tc>
        <w:tc>
          <w:tcPr>
            <w:tcW w:w="3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Supplemental</w:t>
            </w:r>
          </w:p>
        </w:tc>
        <w:tc>
          <w:tcPr>
            <w:tcW w:w="120" w:type="dxa"/>
            <w:vAlign w:val="bottom"/>
            <w:tcBorders>
              <w:top w:val="single" w:sz="8" w:color="CFF0FC"/>
            </w:tcBorders>
            <w:shd w:val="clear" w:color="auto" w:fill="CFF0FC"/>
          </w:tcPr>
          <w:p>
            <w:pPr>
              <w:spacing w:after="0"/>
              <w:rPr>
                <w:sz w:val="19"/>
                <w:szCs w:val="19"/>
                <w:color w:val="auto"/>
              </w:rPr>
            </w:pPr>
          </w:p>
        </w:tc>
        <w:tc>
          <w:tcPr>
            <w:tcW w:w="1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February 28, 2020</w:t>
            </w:r>
          </w:p>
        </w:tc>
        <w:tc>
          <w:tcPr>
            <w:tcW w:w="100" w:type="dxa"/>
            <w:vAlign w:val="bottom"/>
            <w:tcBorders>
              <w:top w:val="single" w:sz="8" w:color="CFF0FC"/>
            </w:tcBorders>
            <w:shd w:val="clear" w:color="auto" w:fill="CFF0FC"/>
          </w:tcPr>
          <w:p>
            <w:pPr>
              <w:spacing w:after="0"/>
              <w:rPr>
                <w:sz w:val="19"/>
                <w:szCs w:val="19"/>
                <w:color w:val="auto"/>
              </w:rPr>
            </w:pPr>
          </w:p>
        </w:tc>
        <w:tc>
          <w:tcPr>
            <w:tcW w:w="1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March 31, 2020</w:t>
            </w:r>
          </w:p>
        </w:tc>
        <w:tc>
          <w:tcPr>
            <w:tcW w:w="120" w:type="dxa"/>
            <w:vAlign w:val="bottom"/>
            <w:tcBorders>
              <w:top w:val="single" w:sz="8" w:color="CFF0FC"/>
            </w:tcBorders>
            <w:gridSpan w:val="2"/>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0.06</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60" w:type="dxa"/>
            <w:vAlign w:val="bottom"/>
          </w:tcPr>
          <w:p>
            <w:pPr>
              <w:spacing w:after="0"/>
              <w:rPr>
                <w:sz w:val="20"/>
                <w:szCs w:val="20"/>
                <w:color w:val="auto"/>
              </w:rPr>
            </w:pPr>
            <w:r>
              <w:rPr>
                <w:rFonts w:ascii="Arial" w:cs="Arial" w:eastAsia="Arial" w:hAnsi="Arial"/>
                <w:sz w:val="18"/>
                <w:szCs w:val="18"/>
                <w:color w:val="auto"/>
              </w:rPr>
              <w:t>February 19, 2020</w:t>
            </w:r>
          </w:p>
        </w:tc>
        <w:tc>
          <w:tcPr>
            <w:tcW w:w="300" w:type="dxa"/>
            <w:vAlign w:val="bottom"/>
          </w:tcPr>
          <w:p>
            <w:pPr>
              <w:spacing w:after="0"/>
              <w:rPr>
                <w:sz w:val="19"/>
                <w:szCs w:val="19"/>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8"/>
                <w:szCs w:val="18"/>
                <w:color w:val="auto"/>
                <w:w w:val="82"/>
              </w:rPr>
              <w:t>Base</w:t>
            </w:r>
          </w:p>
        </w:tc>
        <w:tc>
          <w:tcPr>
            <w:tcW w:w="1840" w:type="dxa"/>
            <w:vAlign w:val="bottom"/>
            <w:gridSpan w:val="2"/>
          </w:tcPr>
          <w:p>
            <w:pPr>
              <w:jc w:val="right"/>
              <w:ind w:right="120"/>
              <w:spacing w:after="0"/>
              <w:rPr>
                <w:sz w:val="20"/>
                <w:szCs w:val="20"/>
                <w:color w:val="auto"/>
              </w:rPr>
            </w:pPr>
            <w:r>
              <w:rPr>
                <w:rFonts w:ascii="Arial" w:cs="Arial" w:eastAsia="Arial" w:hAnsi="Arial"/>
                <w:sz w:val="18"/>
                <w:szCs w:val="18"/>
                <w:color w:val="auto"/>
              </w:rPr>
              <w:t>March 13, 2020</w:t>
            </w:r>
          </w:p>
        </w:tc>
        <w:tc>
          <w:tcPr>
            <w:tcW w:w="1840" w:type="dxa"/>
            <w:vAlign w:val="bottom"/>
          </w:tcPr>
          <w:p>
            <w:pPr>
              <w:jc w:val="right"/>
              <w:spacing w:after="0"/>
              <w:rPr>
                <w:sz w:val="20"/>
                <w:szCs w:val="20"/>
                <w:color w:val="auto"/>
              </w:rPr>
            </w:pPr>
            <w:r>
              <w:rPr>
                <w:rFonts w:ascii="Arial" w:cs="Arial" w:eastAsia="Arial" w:hAnsi="Arial"/>
                <w:sz w:val="18"/>
                <w:szCs w:val="18"/>
                <w:color w:val="auto"/>
              </w:rPr>
              <w:t>April 15, 2020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0.41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60" w:type="dxa"/>
            <w:vAlign w:val="bottom"/>
            <w:shd w:val="clear" w:color="auto" w:fill="CFF0FC"/>
          </w:tcPr>
          <w:p>
            <w:pPr>
              <w:spacing w:after="0"/>
              <w:rPr>
                <w:sz w:val="20"/>
                <w:szCs w:val="20"/>
                <w:color w:val="auto"/>
              </w:rPr>
            </w:pPr>
            <w:r>
              <w:rPr>
                <w:rFonts w:ascii="Arial" w:cs="Arial" w:eastAsia="Arial" w:hAnsi="Arial"/>
                <w:sz w:val="18"/>
                <w:szCs w:val="18"/>
                <w:color w:val="auto"/>
              </w:rPr>
              <w:t>February 19, 2020</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1"/>
              </w:rPr>
              <w:t>Special</w:t>
            </w:r>
          </w:p>
        </w:tc>
        <w:tc>
          <w:tcPr>
            <w:tcW w:w="1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April 15, 2020</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April 30, 2020</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60" w:type="dxa"/>
            <w:vAlign w:val="bottom"/>
          </w:tcPr>
          <w:p>
            <w:pPr>
              <w:spacing w:after="0"/>
              <w:rPr>
                <w:sz w:val="20"/>
                <w:szCs w:val="20"/>
                <w:color w:val="auto"/>
              </w:rPr>
            </w:pPr>
            <w:r>
              <w:rPr>
                <w:rFonts w:ascii="Arial" w:cs="Arial" w:eastAsia="Arial" w:hAnsi="Arial"/>
                <w:sz w:val="18"/>
                <w:szCs w:val="18"/>
                <w:color w:val="auto"/>
              </w:rPr>
              <w:t>February 19, 2020</w:t>
            </w:r>
          </w:p>
        </w:tc>
        <w:tc>
          <w:tcPr>
            <w:tcW w:w="300" w:type="dxa"/>
            <w:vAlign w:val="bottom"/>
          </w:tcPr>
          <w:p>
            <w:pPr>
              <w:spacing w:after="0"/>
              <w:rPr>
                <w:sz w:val="19"/>
                <w:szCs w:val="19"/>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Special</w:t>
            </w:r>
          </w:p>
        </w:tc>
        <w:tc>
          <w:tcPr>
            <w:tcW w:w="1840" w:type="dxa"/>
            <w:vAlign w:val="bottom"/>
            <w:gridSpan w:val="2"/>
          </w:tcPr>
          <w:p>
            <w:pPr>
              <w:jc w:val="right"/>
              <w:ind w:right="120"/>
              <w:spacing w:after="0"/>
              <w:rPr>
                <w:sz w:val="20"/>
                <w:szCs w:val="20"/>
                <w:color w:val="auto"/>
              </w:rPr>
            </w:pPr>
            <w:r>
              <w:rPr>
                <w:rFonts w:ascii="Arial" w:cs="Arial" w:eastAsia="Arial" w:hAnsi="Arial"/>
                <w:sz w:val="18"/>
                <w:szCs w:val="18"/>
                <w:color w:val="auto"/>
              </w:rPr>
              <w:t>June 15, 2020</w:t>
            </w:r>
          </w:p>
        </w:tc>
        <w:tc>
          <w:tcPr>
            <w:tcW w:w="1840" w:type="dxa"/>
            <w:vAlign w:val="bottom"/>
          </w:tcPr>
          <w:p>
            <w:pPr>
              <w:jc w:val="right"/>
              <w:spacing w:after="0"/>
              <w:rPr>
                <w:sz w:val="20"/>
                <w:szCs w:val="20"/>
                <w:color w:val="auto"/>
              </w:rPr>
            </w:pPr>
            <w:r>
              <w:rPr>
                <w:rFonts w:ascii="Arial" w:cs="Arial" w:eastAsia="Arial" w:hAnsi="Arial"/>
                <w:sz w:val="18"/>
                <w:szCs w:val="18"/>
                <w:color w:val="auto"/>
              </w:rPr>
              <w:t>June 30, 2020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0.25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60" w:type="dxa"/>
            <w:vAlign w:val="bottom"/>
            <w:shd w:val="clear" w:color="auto" w:fill="CFF0FC"/>
          </w:tcPr>
          <w:p>
            <w:pPr>
              <w:spacing w:after="0"/>
              <w:rPr>
                <w:sz w:val="20"/>
                <w:szCs w:val="20"/>
                <w:color w:val="auto"/>
              </w:rPr>
            </w:pPr>
            <w:r>
              <w:rPr>
                <w:rFonts w:ascii="Arial" w:cs="Arial" w:eastAsia="Arial" w:hAnsi="Arial"/>
                <w:sz w:val="18"/>
                <w:szCs w:val="18"/>
                <w:color w:val="auto"/>
              </w:rPr>
              <w:t>May 5, 2020</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82"/>
              </w:rPr>
              <w:t>Base</w:t>
            </w:r>
          </w:p>
        </w:tc>
        <w:tc>
          <w:tcPr>
            <w:tcW w:w="1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June 15, 2020</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July 15, 2020</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60" w:type="dxa"/>
            <w:vAlign w:val="bottom"/>
          </w:tcPr>
          <w:p>
            <w:pPr>
              <w:ind w:left="240"/>
              <w:spacing w:after="0"/>
              <w:rPr>
                <w:sz w:val="20"/>
                <w:szCs w:val="20"/>
                <w:color w:val="auto"/>
              </w:rPr>
            </w:pPr>
            <w:r>
              <w:rPr>
                <w:rFonts w:ascii="Arial" w:cs="Arial" w:eastAsia="Arial" w:hAnsi="Arial"/>
                <w:sz w:val="18"/>
                <w:szCs w:val="18"/>
                <w:b w:val="1"/>
                <w:bCs w:val="1"/>
                <w:color w:val="auto"/>
              </w:rPr>
              <w:t>Total Dividends Declared</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255"/>
        <w:spacing w:after="0" w:line="277" w:lineRule="auto"/>
        <w:rPr>
          <w:sz w:val="20"/>
          <w:szCs w:val="20"/>
          <w:color w:val="auto"/>
        </w:rPr>
      </w:pPr>
      <w:r>
        <w:rPr>
          <w:rFonts w:ascii="Arial" w:cs="Arial" w:eastAsia="Arial" w:hAnsi="Arial"/>
          <w:sz w:val="18"/>
          <w:szCs w:val="18"/>
          <w:color w:val="auto"/>
        </w:rPr>
        <w:t>The dividends declared during the three and six months ended June 30, 2021 and 2020 were derived from net investment income, determined on a tax basis.</w:t>
      </w:r>
    </w:p>
    <w:p>
      <w:pPr>
        <w:spacing w:after="0" w:line="38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60"/>
          </w:cols>
          <w:pgMar w:left="320" w:top="553" w:right="51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12. Financial Highlights</w:t>
      </w:r>
    </w:p>
    <w:p>
      <w:pPr>
        <w:spacing w:after="0" w:line="121" w:lineRule="exact"/>
        <w:rPr>
          <w:sz w:val="20"/>
          <w:szCs w:val="20"/>
          <w:color w:val="auto"/>
        </w:rPr>
      </w:pPr>
    </w:p>
    <w:p>
      <w:pPr>
        <w:ind w:right="240" w:firstLine="255"/>
        <w:spacing w:after="0" w:line="277" w:lineRule="auto"/>
        <w:rPr>
          <w:sz w:val="20"/>
          <w:szCs w:val="20"/>
          <w:color w:val="auto"/>
        </w:rPr>
      </w:pPr>
      <w:r>
        <w:rPr>
          <w:rFonts w:ascii="Arial" w:cs="Arial" w:eastAsia="Arial" w:hAnsi="Arial"/>
          <w:sz w:val="18"/>
          <w:szCs w:val="18"/>
          <w:color w:val="auto"/>
        </w:rPr>
        <w:t>The following per share data and ratios have been derived from information provided in the consolidated financial statements. The following are the financial highlights for one share of common stock outstanding during the six months ended June 30, 2021 and 2020.</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6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June 30, 2021</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2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June 30, 2020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 xml:space="preserve">Per Share Data </w:t>
            </w:r>
            <w:r>
              <w:rPr>
                <w:rFonts w:ascii="Arial" w:cs="Arial" w:eastAsia="Arial" w:hAnsi="Arial"/>
                <w:sz w:val="15"/>
                <w:szCs w:val="15"/>
                <w:b w:val="1"/>
                <w:bCs w:val="1"/>
                <w:color w:val="auto"/>
              </w:rPr>
              <w:t>(7)</w:t>
            </w:r>
          </w:p>
        </w:tc>
        <w:tc>
          <w:tcPr>
            <w:tcW w:w="9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7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6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11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17.16</w:t>
            </w:r>
          </w:p>
        </w:tc>
        <w:tc>
          <w:tcPr>
            <w:tcW w:w="260" w:type="dxa"/>
            <w:vAlign w:val="bottom"/>
          </w:tcPr>
          <w:p>
            <w:pPr>
              <w:spacing w:after="0"/>
              <w:rPr>
                <w:sz w:val="19"/>
                <w:szCs w:val="19"/>
                <w:color w:val="auto"/>
              </w:rPr>
            </w:pPr>
          </w:p>
        </w:tc>
        <w:tc>
          <w:tcPr>
            <w:tcW w:w="3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16.83</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36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 xml:space="preserve">Net investment income </w:t>
            </w:r>
            <w:r>
              <w:rPr>
                <w:rFonts w:ascii="Arial" w:cs="Arial" w:eastAsia="Arial" w:hAnsi="Arial"/>
                <w:sz w:val="15"/>
                <w:szCs w:val="15"/>
                <w:color w:val="auto"/>
              </w:rPr>
              <w:t>(1)</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0.84</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1.09</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Net realized and unrealized</w:t>
            </w: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 xml:space="preserve">gain (loss) </w:t>
            </w:r>
            <w:r>
              <w:rPr>
                <w:rFonts w:ascii="Arial" w:cs="Arial" w:eastAsia="Arial" w:hAnsi="Arial"/>
                <w:sz w:val="15"/>
                <w:szCs w:val="15"/>
                <w:color w:val="auto"/>
              </w:rPr>
              <w:t>(1)</w:t>
            </w:r>
          </w:p>
        </w:tc>
        <w:tc>
          <w:tcPr>
            <w:tcW w:w="9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0.78</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9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tcPr>
          <w:p>
            <w:pPr>
              <w:ind w:left="220"/>
              <w:spacing w:after="0"/>
              <w:rPr>
                <w:sz w:val="20"/>
                <w:szCs w:val="20"/>
                <w:color w:val="auto"/>
              </w:rPr>
            </w:pPr>
            <w:r>
              <w:rPr>
                <w:rFonts w:ascii="Arial" w:cs="Arial" w:eastAsia="Arial" w:hAnsi="Arial"/>
                <w:sz w:val="18"/>
                <w:szCs w:val="18"/>
                <w:color w:val="auto"/>
              </w:rPr>
              <w:t>Total from operations</w:t>
            </w:r>
          </w:p>
        </w:tc>
        <w:tc>
          <w:tcPr>
            <w:tcW w:w="9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0.64</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stock, net of</w:t>
            </w: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 xml:space="preserve">offering costs </w:t>
            </w:r>
            <w:r>
              <w:rPr>
                <w:rFonts w:ascii="Arial" w:cs="Arial" w:eastAsia="Arial" w:hAnsi="Arial"/>
                <w:sz w:val="15"/>
                <w:szCs w:val="15"/>
                <w:color w:val="auto"/>
              </w:rPr>
              <w:t>(2)</w:t>
            </w:r>
          </w:p>
        </w:tc>
        <w:tc>
          <w:tcPr>
            <w:tcW w:w="9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0.25</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2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 xml:space="preserve">Repurchase of common stock </w:t>
            </w:r>
            <w:r>
              <w:rPr>
                <w:rFonts w:ascii="Arial" w:cs="Arial" w:eastAsia="Arial" w:hAnsi="Arial"/>
                <w:sz w:val="15"/>
                <w:szCs w:val="15"/>
                <w:color w:val="auto"/>
              </w:rPr>
              <w:t>(2)</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0.01</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Repurchase of debt </w:t>
            </w:r>
            <w:r>
              <w:rPr>
                <w:rFonts w:ascii="Arial" w:cs="Arial" w:eastAsia="Arial" w:hAnsi="Arial"/>
                <w:sz w:val="15"/>
                <w:szCs w:val="15"/>
                <w:color w:val="auto"/>
              </w:rPr>
              <w:t>(2)</w:t>
            </w: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9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9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Dividends declared from net</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tcPr>
          <w:p>
            <w:pPr>
              <w:ind w:left="120"/>
              <w:spacing w:after="0"/>
              <w:rPr>
                <w:sz w:val="20"/>
                <w:szCs w:val="20"/>
                <w:color w:val="auto"/>
              </w:rPr>
            </w:pPr>
            <w:r>
              <w:rPr>
                <w:rFonts w:ascii="Arial" w:cs="Arial" w:eastAsia="Arial" w:hAnsi="Arial"/>
                <w:sz w:val="18"/>
                <w:szCs w:val="18"/>
                <w:color w:val="auto"/>
              </w:rPr>
              <w:t xml:space="preserve">investment income </w:t>
            </w:r>
            <w:r>
              <w:rPr>
                <w:rFonts w:ascii="Arial" w:cs="Arial" w:eastAsia="Arial" w:hAnsi="Arial"/>
                <w:sz w:val="15"/>
                <w:szCs w:val="15"/>
                <w:color w:val="auto"/>
              </w:rPr>
              <w:t>(2)</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60" w:type="dxa"/>
            <w:vAlign w:val="bottom"/>
            <w:gridSpan w:val="2"/>
          </w:tcPr>
          <w:p>
            <w:pPr>
              <w:jc w:val="right"/>
              <w:ind w:right="220"/>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20" w:type="dxa"/>
            <w:vAlign w:val="bottom"/>
            <w:gridSpan w:val="2"/>
          </w:tcPr>
          <w:p>
            <w:pPr>
              <w:jc w:val="right"/>
              <w:ind w:right="18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decrease in net assets</w:t>
            </w:r>
          </w:p>
        </w:tc>
        <w:tc>
          <w:tcPr>
            <w:tcW w:w="9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(0.31)</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(0.75)</w:t>
            </w:r>
          </w:p>
        </w:tc>
        <w:tc>
          <w:tcPr>
            <w:tcW w:w="24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Net Asset Value, End of Period</w:t>
            </w:r>
          </w:p>
        </w:tc>
        <w:tc>
          <w:tcPr>
            <w:tcW w:w="92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16.85</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16.08</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Per share market value at end of</w:t>
            </w:r>
          </w:p>
        </w:tc>
        <w:tc>
          <w:tcPr>
            <w:tcW w:w="9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7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6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period</w:t>
            </w:r>
          </w:p>
        </w:tc>
        <w:tc>
          <w:tcPr>
            <w:tcW w:w="11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22.19</w:t>
            </w:r>
          </w:p>
        </w:tc>
        <w:tc>
          <w:tcPr>
            <w:tcW w:w="260" w:type="dxa"/>
            <w:vAlign w:val="bottom"/>
            <w:shd w:val="clear" w:color="auto" w:fill="CFF0FC"/>
          </w:tcPr>
          <w:p>
            <w:pPr>
              <w:spacing w:after="0"/>
              <w:rPr>
                <w:sz w:val="20"/>
                <w:szCs w:val="20"/>
                <w:color w:val="auto"/>
              </w:rPr>
            </w:pPr>
          </w:p>
        </w:tc>
        <w:tc>
          <w:tcPr>
            <w:tcW w:w="3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16.49</w:t>
            </w:r>
          </w:p>
        </w:tc>
        <w:tc>
          <w:tcPr>
            <w:tcW w:w="2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 xml:space="preserve">Total return based on market value </w:t>
            </w:r>
            <w:r>
              <w:rPr>
                <w:rFonts w:ascii="Arial" w:cs="Arial" w:eastAsia="Arial" w:hAnsi="Arial"/>
                <w:sz w:val="15"/>
                <w:szCs w:val="15"/>
                <w:color w:val="auto"/>
              </w:rPr>
              <w:t>(3)</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gridSpan w:val="2"/>
          </w:tcPr>
          <w:p>
            <w:pPr>
              <w:jc w:val="right"/>
              <w:ind w:right="120"/>
              <w:spacing w:after="0"/>
              <w:rPr>
                <w:sz w:val="20"/>
                <w:szCs w:val="20"/>
                <w:color w:val="auto"/>
              </w:rPr>
            </w:pPr>
            <w:r>
              <w:rPr>
                <w:rFonts w:ascii="Arial" w:cs="Arial" w:eastAsia="Arial" w:hAnsi="Arial"/>
                <w:sz w:val="18"/>
                <w:szCs w:val="18"/>
                <w:color w:val="auto"/>
              </w:rPr>
              <w:t>17.45%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gridSpan w:val="2"/>
          </w:tcPr>
          <w:p>
            <w:pPr>
              <w:jc w:val="right"/>
              <w:ind w:right="20"/>
              <w:spacing w:after="0"/>
              <w:rPr>
                <w:sz w:val="20"/>
                <w:szCs w:val="20"/>
                <w:color w:val="auto"/>
              </w:rPr>
            </w:pPr>
            <w:r>
              <w:rPr>
                <w:rFonts w:ascii="Arial" w:cs="Arial" w:eastAsia="Arial" w:hAnsi="Arial"/>
                <w:sz w:val="18"/>
                <w:szCs w:val="18"/>
                <w:color w:val="auto"/>
              </w:rPr>
              <w:t>(16.77)%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Total return based on net asset</w:t>
            </w: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 xml:space="preserve">value </w:t>
            </w:r>
            <w:r>
              <w:rPr>
                <w:rFonts w:ascii="Arial" w:cs="Arial" w:eastAsia="Arial" w:hAnsi="Arial"/>
                <w:sz w:val="15"/>
                <w:szCs w:val="15"/>
                <w:color w:val="auto"/>
              </w:rPr>
              <w:t>(4)</w:t>
            </w:r>
          </w:p>
        </w:tc>
        <w:tc>
          <w:tcPr>
            <w:tcW w:w="9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10.90%</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Shares Outstanding, End of Period</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72,649,683</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67,342,413</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 xml:space="preserve">Ratios / Supplemental Data </w:t>
            </w:r>
            <w:r>
              <w:rPr>
                <w:rFonts w:ascii="Arial" w:cs="Arial" w:eastAsia="Arial" w:hAnsi="Arial"/>
                <w:sz w:val="15"/>
                <w:szCs w:val="15"/>
                <w:b w:val="1"/>
                <w:bCs w:val="1"/>
                <w:color w:val="auto"/>
              </w:rPr>
              <w:t>(5)</w:t>
            </w: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Ratio of net expenses to average</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tcPr>
          <w:p>
            <w:pPr>
              <w:ind w:left="120"/>
              <w:spacing w:after="0"/>
              <w:rPr>
                <w:sz w:val="20"/>
                <w:szCs w:val="20"/>
                <w:color w:val="auto"/>
              </w:rPr>
            </w:pPr>
            <w:r>
              <w:rPr>
                <w:rFonts w:ascii="Arial" w:cs="Arial" w:eastAsia="Arial" w:hAnsi="Arial"/>
                <w:sz w:val="18"/>
                <w:szCs w:val="18"/>
                <w:color w:val="auto"/>
              </w:rPr>
              <w:t xml:space="preserve">net assets </w:t>
            </w:r>
            <w:r>
              <w:rPr>
                <w:rFonts w:ascii="Arial" w:cs="Arial" w:eastAsia="Arial" w:hAnsi="Arial"/>
                <w:sz w:val="15"/>
                <w:szCs w:val="15"/>
                <w:color w:val="auto"/>
              </w:rPr>
              <w:t>(6)</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60" w:type="dxa"/>
            <w:vAlign w:val="bottom"/>
            <w:gridSpan w:val="2"/>
          </w:tcPr>
          <w:p>
            <w:pPr>
              <w:jc w:val="right"/>
              <w:ind w:right="120"/>
              <w:spacing w:after="0"/>
              <w:rPr>
                <w:sz w:val="20"/>
                <w:szCs w:val="20"/>
                <w:color w:val="auto"/>
              </w:rPr>
            </w:pPr>
            <w:r>
              <w:rPr>
                <w:rFonts w:ascii="Arial" w:cs="Arial" w:eastAsia="Arial" w:hAnsi="Arial"/>
                <w:sz w:val="18"/>
                <w:szCs w:val="18"/>
                <w:color w:val="auto"/>
              </w:rPr>
              <w:t>11.66%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20" w:type="dxa"/>
            <w:vAlign w:val="bottom"/>
            <w:gridSpan w:val="2"/>
          </w:tcPr>
          <w:p>
            <w:pPr>
              <w:jc w:val="right"/>
              <w:ind w:right="80"/>
              <w:spacing w:after="0"/>
              <w:rPr>
                <w:sz w:val="20"/>
                <w:szCs w:val="20"/>
                <w:color w:val="auto"/>
              </w:rPr>
            </w:pPr>
            <w:r>
              <w:rPr>
                <w:rFonts w:ascii="Arial" w:cs="Arial" w:eastAsia="Arial" w:hAnsi="Arial"/>
                <w:sz w:val="18"/>
                <w:szCs w:val="18"/>
                <w:color w:val="auto"/>
              </w:rPr>
              <w:t>11.74%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Ratio of net investment income</w:t>
            </w: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to average net assets</w:t>
            </w:r>
          </w:p>
        </w:tc>
        <w:tc>
          <w:tcPr>
            <w:tcW w:w="9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10.03%</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Portfolio turnover</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gridSpan w:val="2"/>
          </w:tcPr>
          <w:p>
            <w:pPr>
              <w:jc w:val="right"/>
              <w:ind w:right="120"/>
              <w:spacing w:after="0"/>
              <w:rPr>
                <w:sz w:val="20"/>
                <w:szCs w:val="20"/>
                <w:color w:val="auto"/>
              </w:rPr>
            </w:pPr>
            <w:r>
              <w:rPr>
                <w:rFonts w:ascii="Arial" w:cs="Arial" w:eastAsia="Arial" w:hAnsi="Arial"/>
                <w:sz w:val="18"/>
                <w:szCs w:val="18"/>
                <w:color w:val="auto"/>
              </w:rPr>
              <w:t>18.92%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gridSpan w:val="2"/>
          </w:tcPr>
          <w:p>
            <w:pPr>
              <w:jc w:val="right"/>
              <w:ind w:right="80"/>
              <w:spacing w:after="0"/>
              <w:rPr>
                <w:sz w:val="20"/>
                <w:szCs w:val="20"/>
                <w:color w:val="auto"/>
              </w:rPr>
            </w:pPr>
            <w:r>
              <w:rPr>
                <w:rFonts w:ascii="Arial" w:cs="Arial" w:eastAsia="Arial" w:hAnsi="Arial"/>
                <w:sz w:val="18"/>
                <w:szCs w:val="18"/>
                <w:color w:val="auto"/>
              </w:rPr>
              <w:t>18.60%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Net assets, end of period</w:t>
            </w:r>
          </w:p>
        </w:tc>
        <w:tc>
          <w:tcPr>
            <w:tcW w:w="11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1,223,813</w:t>
            </w:r>
          </w:p>
        </w:tc>
        <w:tc>
          <w:tcPr>
            <w:tcW w:w="2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1,082,601</w:t>
            </w: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00" w:hanging="492"/>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per share data was derived by using the weighted average shares outstanding during the period.</w:t>
      </w:r>
    </w:p>
    <w:p>
      <w:pPr>
        <w:spacing w:after="0" w:line="23" w:lineRule="exact"/>
        <w:rPr>
          <w:rFonts w:ascii="Arial" w:cs="Arial" w:eastAsia="Arial" w:hAnsi="Arial"/>
          <w:sz w:val="18"/>
          <w:szCs w:val="18"/>
          <w:color w:val="auto"/>
        </w:rPr>
      </w:pPr>
    </w:p>
    <w:p>
      <w:pPr>
        <w:ind w:left="500" w:hanging="492"/>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per share data was derived by using the actual shares outstanding at the date of the relevant transactions.</w:t>
      </w:r>
    </w:p>
    <w:p>
      <w:pPr>
        <w:spacing w:after="0" w:line="9" w:lineRule="exact"/>
        <w:rPr>
          <w:rFonts w:ascii="Arial" w:cs="Arial" w:eastAsia="Arial" w:hAnsi="Arial"/>
          <w:sz w:val="18"/>
          <w:szCs w:val="18"/>
          <w:color w:val="auto"/>
        </w:rPr>
      </w:pPr>
    </w:p>
    <w:p>
      <w:pPr>
        <w:ind w:left="500" w:hanging="492"/>
        <w:spacing w:after="0" w:line="250" w:lineRule="auto"/>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Total return based on market value is calculated as the change in market value per share during the period plus declared dividends per share, divided by the beginning market value per share.</w:t>
      </w:r>
    </w:p>
    <w:p>
      <w:pPr>
        <w:ind w:left="500" w:right="360" w:hanging="492"/>
        <w:spacing w:after="0" w:line="250" w:lineRule="auto"/>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Total return based on net asset value is calculated as the change in net asset value per share during the period plus declared dividends per share, divided by the beginning net asset value per share.</w:t>
      </w:r>
    </w:p>
    <w:p>
      <w:pPr>
        <w:ind w:left="500" w:hanging="492"/>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ratios reflect an annualized amount.</w:t>
      </w:r>
    </w:p>
    <w:p>
      <w:pPr>
        <w:spacing w:after="0" w:line="9" w:lineRule="exact"/>
        <w:rPr>
          <w:rFonts w:ascii="Arial" w:cs="Arial" w:eastAsia="Arial" w:hAnsi="Arial"/>
          <w:sz w:val="18"/>
          <w:szCs w:val="18"/>
          <w:color w:val="auto"/>
        </w:rPr>
      </w:pPr>
    </w:p>
    <w:p>
      <w:pPr>
        <w:ind w:left="500" w:right="160" w:hanging="492"/>
        <w:spacing w:after="0" w:line="250" w:lineRule="auto"/>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ratio of net expenses to average net assets in the table above reflects the Adviser’s waivers of its right to receive a portion of the Management Fee pursuant to the Leverage Waiver.</w:t>
      </w:r>
    </w:p>
    <w:p>
      <w:pPr>
        <w:ind w:left="500" w:hanging="492"/>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Table may not sum due to rounding.</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121" w:lineRule="exact"/>
        <w:rPr>
          <w:sz w:val="20"/>
          <w:szCs w:val="20"/>
          <w:color w:val="auto"/>
        </w:rPr>
      </w:pPr>
    </w:p>
    <w:p>
      <w:pPr>
        <w:ind w:right="280" w:firstLine="255"/>
        <w:spacing w:after="0" w:line="286" w:lineRule="auto"/>
        <w:rPr>
          <w:sz w:val="20"/>
          <w:szCs w:val="20"/>
          <w:color w:val="auto"/>
        </w:rPr>
      </w:pPr>
      <w:r>
        <w:rPr>
          <w:rFonts w:ascii="Arial" w:cs="Arial" w:eastAsia="Arial" w:hAnsi="Arial"/>
          <w:sz w:val="17"/>
          <w:szCs w:val="17"/>
          <w:color w:val="auto"/>
        </w:rPr>
        <w:t>The Company’s management has evaluated subsequent events through the date of issuance of the consolidated financial statements included herein. There have been no subsequent events that occurred during such period that would require disclosure in this Form 10-Q or would be required to be recognized in the consolidated financial statements as of and for the three and six months ended June 30, 2021.</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702" w:right="39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160" w:firstLine="255"/>
        <w:spacing w:after="0" w:line="263" w:lineRule="auto"/>
        <w:rPr>
          <w:sz w:val="20"/>
          <w:szCs w:val="20"/>
          <w:color w:val="auto"/>
        </w:rPr>
      </w:pPr>
      <w:r>
        <w:rPr>
          <w:rFonts w:ascii="Arial" w:cs="Arial" w:eastAsia="Arial" w:hAnsi="Arial"/>
          <w:sz w:val="18"/>
          <w:szCs w:val="18"/>
          <w:i w:val="1"/>
          <w:iCs w:val="1"/>
          <w:color w:val="auto"/>
        </w:rPr>
        <w:t>The information contained in this section should be read in conjunction with the consolidated financial statements and notes thereto appearing elsewhere in this report. This discussion also should be read in conjunction with the “Cautionary Statement Regarding Forward-Looking Statements” set forth on page 3 of this Quarterly Report on Form 10-Q.</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80" w:firstLine="255"/>
        <w:spacing w:after="0" w:line="257" w:lineRule="auto"/>
        <w:rPr>
          <w:sz w:val="20"/>
          <w:szCs w:val="20"/>
          <w:color w:val="auto"/>
        </w:rPr>
      </w:pPr>
      <w:r>
        <w:rPr>
          <w:rFonts w:ascii="Arial" w:cs="Arial" w:eastAsia="Arial" w:hAnsi="Arial"/>
          <w:sz w:val="18"/>
          <w:szCs w:val="18"/>
          <w:color w:val="auto"/>
        </w:rPr>
        <w:t>Sixth Street Specialty Lending, Inc. is a Delaware corporation formed on July 21, 2010. The Adviser is our external manager. We have four wholly owned subsidiaries, TC Lending, LLC, a Delaware limited liability company, which holds a California finance lender and broker license, Sixth Street SL SPV, LLC, a Delaware limited liability company, in which we hold assets that were previously used to support our asset-backed credit facility, Sixth Street SL Holding, LLC, a Delaware limited liability company, in which we hold certain investments, and Sixth Street Specialty Lending Sub, LLC, a Cayman Islands limited liability company, in which we plan to hold certain investments.</w:t>
      </w:r>
    </w:p>
    <w:p>
      <w:pPr>
        <w:spacing w:after="0" w:line="188" w:lineRule="exact"/>
        <w:rPr>
          <w:sz w:val="20"/>
          <w:szCs w:val="20"/>
          <w:color w:val="auto"/>
        </w:rPr>
      </w:pPr>
    </w:p>
    <w:p>
      <w:pPr>
        <w:ind w:right="100" w:firstLine="255"/>
        <w:spacing w:after="0" w:line="277" w:lineRule="auto"/>
        <w:rPr>
          <w:sz w:val="20"/>
          <w:szCs w:val="20"/>
          <w:color w:val="auto"/>
        </w:rPr>
      </w:pPr>
      <w:r>
        <w:rPr>
          <w:rFonts w:ascii="Arial" w:cs="Arial" w:eastAsia="Arial" w:hAnsi="Arial"/>
          <w:sz w:val="18"/>
          <w:szCs w:val="18"/>
          <w:color w:val="auto"/>
        </w:rPr>
        <w:t>We have elected to be regulated as a BDC under the 1940 Act and as a RIC under the Code. We made our BDC election on April 15, 2011. As a result, we are required to comply with various statutory and regulatory requirements, such as:</w:t>
      </w:r>
    </w:p>
    <w:p>
      <w:pPr>
        <w:spacing w:after="0" w:line="62" w:lineRule="exact"/>
        <w:rPr>
          <w:sz w:val="20"/>
          <w:szCs w:val="20"/>
          <w:color w:val="auto"/>
        </w:rPr>
      </w:pPr>
    </w:p>
    <w:p>
      <w:pPr>
        <w:ind w:left="500" w:hanging="249"/>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requirement to invest at least 70% of our assets in “qualifying assets”;</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source of income limitations;</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asset diversification requirements; and</w:t>
      </w:r>
    </w:p>
    <w:p>
      <w:pPr>
        <w:spacing w:after="0" w:line="117" w:lineRule="exact"/>
        <w:rPr>
          <w:rFonts w:ascii="Arial" w:cs="Arial" w:eastAsia="Arial" w:hAnsi="Arial"/>
          <w:sz w:val="18"/>
          <w:szCs w:val="18"/>
          <w:color w:val="auto"/>
        </w:rPr>
      </w:pPr>
    </w:p>
    <w:p>
      <w:pPr>
        <w:ind w:left="500" w:right="360" w:hanging="249"/>
        <w:spacing w:after="0" w:line="277" w:lineRule="auto"/>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requirement to distribute (or be treated as distributing) in each taxable year at least 90% of our investment company taxable income and tax-exempt interest for that taxable year.</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shares are currently listed on the NYSE under the symbol “TSLX.”</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Framework</w:t>
      </w:r>
    </w:p>
    <w:p>
      <w:pPr>
        <w:spacing w:after="0" w:line="121" w:lineRule="exact"/>
        <w:rPr>
          <w:sz w:val="20"/>
          <w:szCs w:val="20"/>
          <w:color w:val="auto"/>
        </w:rPr>
      </w:pPr>
    </w:p>
    <w:p>
      <w:pPr>
        <w:ind w:right="80" w:firstLine="255"/>
        <w:spacing w:after="0" w:line="275" w:lineRule="auto"/>
        <w:rPr>
          <w:sz w:val="20"/>
          <w:szCs w:val="20"/>
          <w:color w:val="auto"/>
        </w:rPr>
      </w:pPr>
      <w:r>
        <w:rPr>
          <w:rFonts w:ascii="Arial" w:cs="Arial" w:eastAsia="Arial" w:hAnsi="Arial"/>
          <w:sz w:val="17"/>
          <w:szCs w:val="17"/>
          <w:color w:val="auto"/>
        </w:rPr>
        <w:t>We are a specialty finance company focused on lending to middle-market companies. Since we began our investment activities in July 2011, through June 30, 2021, we have originated approximately $16.9 billion aggregate principal amount of investments and retained approximately $7.6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and unsecured loans and investments in corporate bonds and equity securities.</w:t>
      </w:r>
    </w:p>
    <w:p>
      <w:pPr>
        <w:spacing w:after="0" w:line="176" w:lineRule="exact"/>
        <w:rPr>
          <w:sz w:val="20"/>
          <w:szCs w:val="20"/>
          <w:color w:val="auto"/>
        </w:rPr>
      </w:pPr>
    </w:p>
    <w:p>
      <w:pPr>
        <w:ind w:right="80" w:firstLine="255"/>
        <w:spacing w:after="0" w:line="259" w:lineRule="auto"/>
        <w:rPr>
          <w:sz w:val="20"/>
          <w:szCs w:val="20"/>
          <w:color w:val="auto"/>
        </w:rPr>
      </w:pPr>
      <w:r>
        <w:rPr>
          <w:rFonts w:ascii="Arial" w:cs="Arial" w:eastAsia="Arial" w:hAnsi="Arial"/>
          <w:sz w:val="18"/>
          <w:szCs w:val="18"/>
          <w:color w:val="auto"/>
        </w:rPr>
        <w:t>By “middle-market companies,” we mean companies that have annual EBITDA, which we believe is a useful proxy for cash flow, of $10 million to $250 million, although we may invest in larger or smaller companies on occasion. As of June 30, 2021, our core portfolio companies, which exclude certain investments that fall outside of our typical borrower profile and represent 89.0% of our total investments based on fair value, had weighted average annual revenue of $116.5 million and weighted average annual EBITDA of $40.5 million.</w:t>
      </w:r>
    </w:p>
    <w:p>
      <w:pPr>
        <w:spacing w:after="0" w:line="187" w:lineRule="exact"/>
        <w:rPr>
          <w:sz w:val="20"/>
          <w:szCs w:val="20"/>
          <w:color w:val="auto"/>
        </w:rPr>
      </w:pPr>
    </w:p>
    <w:p>
      <w:pPr>
        <w:ind w:firstLine="255"/>
        <w:spacing w:after="0" w:line="257" w:lineRule="auto"/>
        <w:rPr>
          <w:sz w:val="20"/>
          <w:szCs w:val="20"/>
          <w:color w:val="auto"/>
        </w:rPr>
      </w:pPr>
      <w:r>
        <w:rPr>
          <w:rFonts w:ascii="Arial" w:cs="Arial" w:eastAsia="Arial" w:hAnsi="Arial"/>
          <w:sz w:val="18"/>
          <w:szCs w:val="18"/>
          <w:color w:val="auto"/>
        </w:rPr>
        <w:t>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188" w:lineRule="exact"/>
        <w:rPr>
          <w:sz w:val="20"/>
          <w:szCs w:val="20"/>
          <w:color w:val="auto"/>
        </w:rPr>
      </w:pPr>
    </w:p>
    <w:p>
      <w:pPr>
        <w:jc w:val="both"/>
        <w:ind w:right="120" w:firstLine="255"/>
        <w:spacing w:after="0" w:line="263" w:lineRule="auto"/>
        <w:rPr>
          <w:sz w:val="20"/>
          <w:szCs w:val="20"/>
          <w:color w:val="auto"/>
        </w:rPr>
      </w:pPr>
      <w:r>
        <w:rPr>
          <w:rFonts w:ascii="Arial" w:cs="Arial" w:eastAsia="Arial" w:hAnsi="Arial"/>
          <w:sz w:val="18"/>
          <w:szCs w:val="18"/>
          <w:color w:val="auto"/>
        </w:rPr>
        <w:t>The debt in which we invest typically is not rated by any rating agency, but if these instruments were rated, they would likely receive a rating of below investment grade (that is, below BBB- or Baa3 as defined by Standard &amp; Poor’s and Moody’s Investors Services, respectively), which is often referred to as “junk.”</w:t>
      </w:r>
    </w:p>
    <w:p>
      <w:pPr>
        <w:spacing w:after="0" w:line="184" w:lineRule="exact"/>
        <w:rPr>
          <w:sz w:val="20"/>
          <w:szCs w:val="20"/>
          <w:color w:val="auto"/>
        </w:rPr>
      </w:pPr>
    </w:p>
    <w:p>
      <w:pPr>
        <w:ind w:right="40" w:firstLine="255"/>
        <w:spacing w:after="0" w:line="308" w:lineRule="auto"/>
        <w:rPr>
          <w:sz w:val="20"/>
          <w:szCs w:val="20"/>
          <w:color w:val="auto"/>
        </w:rPr>
      </w:pPr>
      <w:r>
        <w:rPr>
          <w:rFonts w:ascii="Arial" w:cs="Arial" w:eastAsia="Arial" w:hAnsi="Arial"/>
          <w:sz w:val="17"/>
          <w:szCs w:val="17"/>
          <w:color w:val="auto"/>
        </w:rPr>
        <w:t>The companies in which we invest use our capital to support organic growth, acquisitions, market or product expansion and recapitalizations (including restructurings). As of June 30, 2021, the largest single investment based on fair value represented 3.4% of our total investment portfolio.</w:t>
      </w:r>
    </w:p>
    <w:p>
      <w:pPr>
        <w:spacing w:after="0" w:line="14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June 30, 2021, the average investment size in each of our portfolio companies was approximately $35.7 million based on fair value.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1" w:name="page52"/>
    <w:bookmarkEnd w:id="51"/>
    <w:p>
      <w:pPr>
        <w:ind w:left="260"/>
        <w:spacing w:after="0"/>
        <w:rPr>
          <w:sz w:val="20"/>
          <w:szCs w:val="20"/>
          <w:color w:val="auto"/>
        </w:rPr>
      </w:pPr>
      <w:r>
        <w:rPr>
          <w:rFonts w:ascii="Arial" w:cs="Arial" w:eastAsia="Arial" w:hAnsi="Arial"/>
          <w:sz w:val="17"/>
          <w:szCs w:val="17"/>
          <w:color w:val="auto"/>
        </w:rPr>
        <w:t>Through our Adviser, we consider potential investments utilizing a four-tiered investment framework and against our existing portfolio as a whole:</w:t>
      </w:r>
    </w:p>
    <w:p>
      <w:pPr>
        <w:spacing w:after="0" w:line="237" w:lineRule="exact"/>
        <w:rPr>
          <w:sz w:val="20"/>
          <w:szCs w:val="20"/>
          <w:color w:val="auto"/>
        </w:rPr>
      </w:pPr>
    </w:p>
    <w:p>
      <w:pPr>
        <w:ind w:right="40" w:firstLine="255"/>
        <w:spacing w:after="0" w:line="259" w:lineRule="auto"/>
        <w:rPr>
          <w:sz w:val="20"/>
          <w:szCs w:val="20"/>
          <w:color w:val="auto"/>
        </w:rPr>
      </w:pPr>
      <w:r>
        <w:rPr>
          <w:rFonts w:ascii="Arial" w:cs="Arial" w:eastAsia="Arial" w:hAnsi="Arial"/>
          <w:sz w:val="18"/>
          <w:szCs w:val="18"/>
          <w:i w:val="1"/>
          <w:iCs w:val="1"/>
          <w:color w:val="auto"/>
        </w:rPr>
        <w:t xml:space="preserve">Business and sector selection. </w:t>
      </w:r>
      <w:r>
        <w:rPr>
          <w:rFonts w:ascii="Arial" w:cs="Arial" w:eastAsia="Arial" w:hAnsi="Arial"/>
          <w:sz w:val="18"/>
          <w:szCs w:val="18"/>
          <w:color w:val="auto"/>
        </w:rPr>
        <w:t>We focus on companies with enterprise value between $50 million and $1 billion. When reviewing potential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we seek to invest in businesses with high marginal cash flow, recurring revenue streams and where we believe credit quality will improve over time. We look for portfolio companies that we think have a sustainable competitive advantage in growing industries or distressed situations. We also seek companies where our investment will have a low loan-to-value ratio.</w:t>
      </w:r>
    </w:p>
    <w:p>
      <w:pPr>
        <w:spacing w:after="0" w:line="187" w:lineRule="exact"/>
        <w:rPr>
          <w:sz w:val="20"/>
          <w:szCs w:val="20"/>
          <w:color w:val="auto"/>
        </w:rPr>
      </w:pPr>
    </w:p>
    <w:p>
      <w:pPr>
        <w:ind w:right="80" w:firstLine="255"/>
        <w:spacing w:after="0" w:line="263" w:lineRule="auto"/>
        <w:rPr>
          <w:sz w:val="20"/>
          <w:szCs w:val="20"/>
          <w:color w:val="auto"/>
        </w:rPr>
      </w:pPr>
      <w:r>
        <w:rPr>
          <w:rFonts w:ascii="Arial" w:cs="Arial" w:eastAsia="Arial" w:hAnsi="Arial"/>
          <w:sz w:val="18"/>
          <w:szCs w:val="18"/>
          <w:color w:val="auto"/>
        </w:rPr>
        <w:t>We currently do not limit our focus to any specific industry and we may invest in larger or smaller companies on occasion. We classify the industries of our portfolio companies by end-market (such as healthcare, and business services) and not by the products or services (such as software) directed to those end-markets.</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June 30, 2021, the largest industry represented 21.2% of our total investment portfolio based on fair value.</w:t>
      </w:r>
    </w:p>
    <w:p>
      <w:pPr>
        <w:spacing w:after="0" w:line="225" w:lineRule="exact"/>
        <w:rPr>
          <w:sz w:val="20"/>
          <w:szCs w:val="20"/>
          <w:color w:val="auto"/>
        </w:rPr>
      </w:pPr>
    </w:p>
    <w:p>
      <w:pPr>
        <w:ind w:firstLine="255"/>
        <w:spacing w:after="0" w:line="272" w:lineRule="auto"/>
        <w:rPr>
          <w:sz w:val="20"/>
          <w:szCs w:val="20"/>
          <w:color w:val="auto"/>
        </w:rPr>
      </w:pPr>
      <w:r>
        <w:rPr>
          <w:rFonts w:ascii="Arial" w:cs="Arial" w:eastAsia="Arial" w:hAnsi="Arial"/>
          <w:sz w:val="17"/>
          <w:szCs w:val="17"/>
          <w:i w:val="1"/>
          <w:iCs w:val="1"/>
          <w:color w:val="auto"/>
        </w:rPr>
        <w:t xml:space="preserve">Investment Structuring. </w:t>
      </w:r>
      <w:r>
        <w:rPr>
          <w:rFonts w:ascii="Arial" w:cs="Arial" w:eastAsia="Arial" w:hAnsi="Arial"/>
          <w:sz w:val="17"/>
          <w:szCs w:val="17"/>
          <w:color w:val="auto"/>
        </w:rPr>
        <w:t>We focus on investing at the top of the capital structure and protecting that position. As of June 30, 2021, approximately 93.8%</w:t>
      </w:r>
      <w:r>
        <w:rPr>
          <w:rFonts w:ascii="Arial" w:cs="Arial" w:eastAsia="Arial" w:hAnsi="Arial"/>
          <w:sz w:val="17"/>
          <w:szCs w:val="17"/>
          <w:i w:val="1"/>
          <w:iCs w:val="1"/>
          <w:color w:val="auto"/>
        </w:rPr>
        <w:t xml:space="preserve"> </w:t>
      </w:r>
      <w:r>
        <w:rPr>
          <w:rFonts w:ascii="Arial" w:cs="Arial" w:eastAsia="Arial" w:hAnsi="Arial"/>
          <w:sz w:val="17"/>
          <w:szCs w:val="17"/>
          <w:color w:val="auto"/>
        </w:rPr>
        <w:t>of our portfolio was invested in secured debt, including 93.6% in first-lien debt investments. We carefully perform diligence and structure investments to include strong investor covenants. As a result, we structure investments with a view to creating opportunities for early intervention in the event of non-performance or stress. In addition, we seek to retain effective voting control in investments over the loans or particular class of securities in which we invest through maintaining affirmative voting positions or negotiating consent rights that allow us to retain a blocking position. We also aim for our loans to mature on a medium term, between two to six years after origination. For the three months ended June 30, 2021, the weighted average term on new investment commitments in new portfolio companies was 4.9 years.</w:t>
      </w:r>
    </w:p>
    <w:p>
      <w:pPr>
        <w:spacing w:after="0" w:line="177" w:lineRule="exact"/>
        <w:rPr>
          <w:sz w:val="20"/>
          <w:szCs w:val="20"/>
          <w:color w:val="auto"/>
        </w:rPr>
      </w:pPr>
    </w:p>
    <w:p>
      <w:pPr>
        <w:ind w:right="180" w:firstLine="255"/>
        <w:spacing w:after="0" w:line="277" w:lineRule="auto"/>
        <w:rPr>
          <w:sz w:val="20"/>
          <w:szCs w:val="20"/>
          <w:color w:val="auto"/>
        </w:rPr>
      </w:pPr>
      <w:r>
        <w:rPr>
          <w:rFonts w:ascii="Arial" w:cs="Arial" w:eastAsia="Arial" w:hAnsi="Arial"/>
          <w:sz w:val="18"/>
          <w:szCs w:val="18"/>
          <w:i w:val="1"/>
          <w:iCs w:val="1"/>
          <w:color w:val="auto"/>
        </w:rPr>
        <w:t xml:space="preserve">Deal Dynamics. </w:t>
      </w:r>
      <w:r>
        <w:rPr>
          <w:rFonts w:ascii="Arial" w:cs="Arial" w:eastAsia="Arial" w:hAnsi="Arial"/>
          <w:sz w:val="18"/>
          <w:szCs w:val="18"/>
          <w:color w:val="auto"/>
        </w:rPr>
        <w:t>We focus on, among other deal dynamics, direct origination of investments, where we identify and lead the investment transaction. A</w:t>
      </w:r>
      <w:r>
        <w:rPr>
          <w:rFonts w:ascii="Arial" w:cs="Arial" w:eastAsia="Arial" w:hAnsi="Arial"/>
          <w:sz w:val="18"/>
          <w:szCs w:val="18"/>
          <w:i w:val="1"/>
          <w:iCs w:val="1"/>
          <w:color w:val="auto"/>
        </w:rPr>
        <w:t xml:space="preserve"> </w:t>
      </w:r>
      <w:r>
        <w:rPr>
          <w:rFonts w:ascii="Arial" w:cs="Arial" w:eastAsia="Arial" w:hAnsi="Arial"/>
          <w:sz w:val="18"/>
          <w:szCs w:val="18"/>
          <w:color w:val="auto"/>
        </w:rPr>
        <w:t>substantial majority of our portfolio investments are sourced through our direct or proprietary relationships.</w:t>
      </w:r>
    </w:p>
    <w:p>
      <w:pPr>
        <w:spacing w:after="0" w:line="170" w:lineRule="exact"/>
        <w:rPr>
          <w:sz w:val="20"/>
          <w:szCs w:val="20"/>
          <w:color w:val="auto"/>
        </w:rPr>
      </w:pPr>
    </w:p>
    <w:p>
      <w:pPr>
        <w:jc w:val="both"/>
        <w:ind w:right="60" w:firstLine="255"/>
        <w:spacing w:after="0" w:line="275" w:lineRule="auto"/>
        <w:rPr>
          <w:sz w:val="20"/>
          <w:szCs w:val="20"/>
          <w:color w:val="auto"/>
        </w:rPr>
      </w:pPr>
      <w:r>
        <w:rPr>
          <w:rFonts w:ascii="Arial" w:cs="Arial" w:eastAsia="Arial" w:hAnsi="Arial"/>
          <w:sz w:val="17"/>
          <w:szCs w:val="17"/>
          <w:i w:val="1"/>
          <w:iCs w:val="1"/>
          <w:color w:val="auto"/>
        </w:rPr>
        <w:t xml:space="preserve">Risk Mitigation. </w:t>
      </w:r>
      <w:r>
        <w:rPr>
          <w:rFonts w:ascii="Arial" w:cs="Arial" w:eastAsia="Arial" w:hAnsi="Arial"/>
          <w:sz w:val="17"/>
          <w:szCs w:val="17"/>
          <w:color w:val="auto"/>
        </w:rPr>
        <w:t>We seek to mitigate non-credit-related risk on our returns in several ways, including call protection provisions to protect future interest</w:t>
      </w:r>
      <w:r>
        <w:rPr>
          <w:rFonts w:ascii="Arial" w:cs="Arial" w:eastAsia="Arial" w:hAnsi="Arial"/>
          <w:sz w:val="17"/>
          <w:szCs w:val="17"/>
          <w:i w:val="1"/>
          <w:iCs w:val="1"/>
          <w:color w:val="auto"/>
        </w:rPr>
        <w:t xml:space="preserve"> </w:t>
      </w:r>
      <w:r>
        <w:rPr>
          <w:rFonts w:ascii="Arial" w:cs="Arial" w:eastAsia="Arial" w:hAnsi="Arial"/>
          <w:sz w:val="17"/>
          <w:szCs w:val="17"/>
          <w:color w:val="auto"/>
        </w:rPr>
        <w:t>income. As of June 30, 2021, we had call protection on 83.2% of our debt investments based on fair value, with weighted average call prices of 106.6% for the first year, 104.1% for the second year and 101.4% for the third year, in each case from the date of the initial investment. As of June 30, 2021, 98.9% of our debt investments based on fair value bore interest at floating rates (when including investment specific hedges), with 99.2% of these subject to interest rate floors, which we believe helps act as a portfolio-wide hedge against inflation.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Relationship with our Adviser and Sixth Street</w:t>
      </w:r>
    </w:p>
    <w:p>
      <w:pPr>
        <w:spacing w:after="0" w:line="117" w:lineRule="exact"/>
        <w:rPr>
          <w:sz w:val="20"/>
          <w:szCs w:val="20"/>
          <w:color w:val="auto"/>
        </w:rPr>
      </w:pPr>
    </w:p>
    <w:p>
      <w:pPr>
        <w:ind w:right="280" w:firstLine="255"/>
        <w:spacing w:after="0" w:line="255" w:lineRule="auto"/>
        <w:rPr>
          <w:sz w:val="20"/>
          <w:szCs w:val="20"/>
          <w:color w:val="auto"/>
        </w:rPr>
      </w:pPr>
      <w:r>
        <w:rPr>
          <w:rFonts w:ascii="Arial" w:cs="Arial" w:eastAsia="Arial" w:hAnsi="Arial"/>
          <w:sz w:val="18"/>
          <w:szCs w:val="18"/>
          <w:color w:val="auto"/>
        </w:rPr>
        <w:t>Our Adviser is a Delaware limited liability company. Our Adviser acts as our investment adviser and administrator and is a registered investment adviser with the SEC under the Advisers Act. Our Adviser sources and manages our portfolio through a dedicated team of investment professionals predominately focused on us. Our Investment Team is led by our Chairman and Chief Executive Officer and our Adviser’s Co-Chief Investment Officer Joshua Easterly and our Adviser’s Co-Chief Investment Officer Alan Waxman, both of whom have substantial experience in credit origination, underwriting and asset management. Our investment decisions are made by our Investment Review Committee, which includes senior personnel of our Adviser and Sixth Street Partners, LLC, or “Sixth Street.”</w:t>
      </w:r>
    </w:p>
    <w:p>
      <w:pPr>
        <w:spacing w:after="0" w:line="192" w:lineRule="exact"/>
        <w:rPr>
          <w:sz w:val="20"/>
          <w:szCs w:val="20"/>
          <w:color w:val="auto"/>
        </w:rPr>
      </w:pPr>
    </w:p>
    <w:p>
      <w:pPr>
        <w:ind w:right="60" w:firstLine="255"/>
        <w:spacing w:after="0" w:line="288" w:lineRule="auto"/>
        <w:rPr>
          <w:sz w:val="20"/>
          <w:szCs w:val="20"/>
          <w:color w:val="auto"/>
        </w:rPr>
      </w:pPr>
      <w:r>
        <w:rPr>
          <w:rFonts w:ascii="Arial" w:cs="Arial" w:eastAsia="Arial" w:hAnsi="Arial"/>
          <w:sz w:val="16"/>
          <w:szCs w:val="16"/>
          <w:color w:val="auto"/>
        </w:rPr>
        <w:t>Sixth Street is a global investment business with over $50 billion of assets under management as of June 30, 2021. Sixth Street’s core platforms include Sixth Street Specialty Lending, Sixth Street Specialty Lending Europe, which is aimed at European middle-market loan originations, Sixth Street TAO, which has the flexibility to invest across all of Sixth Street’s private credit market investments, Sixth Street Opportunities, which focuses on actively managed opportunistic investments across the credit cycle, Sixth Street Credit Market Strategies, which is the firm’s “public-side” credit investment platform focused on investment opportunities in broadly syndicated leveraged loan markets, Sixth Street Growth, which provides financing solutions to growing companies, Sixth Street Fundamental Strategies, which primarily invests in secondary credit, and Sixth Street Agriculture, which invests in niche agricultural opportunities. Sixth Street has a long-term oriented, highly flexible capital base that allows it to invest across industries, geographies, capital structures and asset classes. Sixth Street has extensive experience with highly complex, global public and private investments executed through primary originations, secondary market purchases and restructurings, and has a team of over 320 investment and operating professionals. As of June 30, 2021, thirty-five (35) of these personnel are dedicated to our business, including twenty-seven (27) investment professionals.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2" w:name="page53"/>
    <w:bookmarkEnd w:id="52"/>
    <w:p>
      <w:pPr>
        <w:ind w:right="20" w:firstLine="255"/>
        <w:spacing w:after="0" w:line="273" w:lineRule="auto"/>
        <w:rPr>
          <w:sz w:val="20"/>
          <w:szCs w:val="20"/>
          <w:color w:val="auto"/>
        </w:rPr>
      </w:pPr>
      <w:r>
        <w:rPr>
          <w:rFonts w:ascii="Arial" w:cs="Arial" w:eastAsia="Arial" w:hAnsi="Arial"/>
          <w:sz w:val="17"/>
          <w:szCs w:val="17"/>
          <w:color w:val="auto"/>
        </w:rPr>
        <w:t>Our Adviser consults with Sixth Street in connection with a substantial number of our investments. The Sixth Street platform provides us with a breadth of large and scalable investment resources. We believe we benefit from Sixth Street’s market expertise, insights into industry, sector and macroeconomic trends and intensive due diligence capabilities, which help us discern market conditions that vary across industries and credit cycles, identify favorable investment opportunities and manage our portfolio of investments. Sixth Street and its affiliates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w:t>
      </w:r>
    </w:p>
    <w:p>
      <w:pPr>
        <w:spacing w:after="0" w:line="178" w:lineRule="exact"/>
        <w:rPr>
          <w:sz w:val="20"/>
          <w:szCs w:val="20"/>
          <w:color w:val="auto"/>
        </w:rPr>
      </w:pPr>
    </w:p>
    <w:p>
      <w:pPr>
        <w:ind w:firstLine="255"/>
        <w:spacing w:after="0" w:line="272" w:lineRule="auto"/>
        <w:rPr>
          <w:sz w:val="20"/>
          <w:szCs w:val="20"/>
          <w:color w:val="auto"/>
        </w:rPr>
      </w:pPr>
      <w:r>
        <w:rPr>
          <w:rFonts w:ascii="Arial" w:cs="Arial" w:eastAsia="Arial" w:hAnsi="Arial"/>
          <w:sz w:val="17"/>
          <w:szCs w:val="17"/>
          <w:color w:val="auto"/>
        </w:rPr>
        <w:t>On December 16, 2014, we were granted an exemptive order from the SEC that allows us to co-invest, subject to certain conditions and to the extent the size of an investment opportunity exceeds the amount our Adviser has independently determined is appropriate to invest, with certain of our affiliates (including affiliates of Sixth Street) in middle-market loan origination activities for companies domiciled in the United States and certain “follow-on” investments in companies in which we have already co-invested pursuant to the order and remain invested. On January 16, 2020, we filed a further application for co-investment exemptive relief with the SEC to better align our existing co-investment relief with more recent SEC exemptive orders. There can be no assurance when or if the SEC will grant a further order in response to our application. Until such time a new order is granted, we will continue to operate under the terms of our current exemptive order.</w:t>
      </w:r>
    </w:p>
    <w:p>
      <w:pPr>
        <w:spacing w:after="0" w:line="177" w:lineRule="exact"/>
        <w:rPr>
          <w:sz w:val="20"/>
          <w:szCs w:val="20"/>
          <w:color w:val="auto"/>
        </w:rPr>
      </w:pPr>
    </w:p>
    <w:p>
      <w:pPr>
        <w:ind w:firstLine="255"/>
        <w:spacing w:after="0" w:line="259" w:lineRule="auto"/>
        <w:rPr>
          <w:sz w:val="20"/>
          <w:szCs w:val="20"/>
          <w:color w:val="auto"/>
        </w:rPr>
      </w:pPr>
      <w:r>
        <w:rPr>
          <w:rFonts w:ascii="Arial" w:cs="Arial" w:eastAsia="Arial" w:hAnsi="Arial"/>
          <w:sz w:val="18"/>
          <w:szCs w:val="18"/>
          <w:color w:val="auto"/>
        </w:rPr>
        <w:t>We believe our ability to co-invest with Sixth Street affiliates is particularly useful where we identify larger capital commitments than otherwise would be appropriate for us. We expect that with the ability to co-invest with Sixth Street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spacing w:after="0" w:line="187" w:lineRule="exact"/>
        <w:rPr>
          <w:sz w:val="20"/>
          <w:szCs w:val="20"/>
          <w:color w:val="auto"/>
        </w:rPr>
      </w:pPr>
    </w:p>
    <w:p>
      <w:pPr>
        <w:jc w:val="both"/>
        <w:ind w:right="20" w:firstLine="255"/>
        <w:spacing w:after="0" w:line="311" w:lineRule="auto"/>
        <w:rPr>
          <w:sz w:val="20"/>
          <w:szCs w:val="20"/>
          <w:color w:val="auto"/>
        </w:rPr>
      </w:pPr>
      <w:r>
        <w:rPr>
          <w:rFonts w:ascii="Arial" w:cs="Arial" w:eastAsia="Arial" w:hAnsi="Arial"/>
          <w:sz w:val="16"/>
          <w:szCs w:val="16"/>
          <w:color w:val="auto"/>
        </w:rPr>
        <w:t>Under the terms of the Investment Advisory Agreement and Administration Agreement, the Adviser’s services are not exclusive, and the Adviser is free to furnish similar or other services to others, so long as its services to us are not impaired. Under the terms of the Investment Advisory Agreement, we will pay the Adviser the base management fee, or the Management Fee, and may also pay certain incentive fees, or the Incentive Fees.</w:t>
      </w:r>
    </w:p>
    <w:p>
      <w:pPr>
        <w:spacing w:after="0" w:line="149" w:lineRule="exact"/>
        <w:rPr>
          <w:sz w:val="20"/>
          <w:szCs w:val="20"/>
          <w:color w:val="auto"/>
        </w:rPr>
      </w:pPr>
    </w:p>
    <w:p>
      <w:pPr>
        <w:ind w:right="340" w:firstLine="255"/>
        <w:spacing w:after="0" w:line="259" w:lineRule="auto"/>
        <w:rPr>
          <w:sz w:val="20"/>
          <w:szCs w:val="20"/>
          <w:color w:val="auto"/>
        </w:rPr>
      </w:pPr>
      <w:r>
        <w:rPr>
          <w:rFonts w:ascii="Arial" w:cs="Arial" w:eastAsia="Arial" w:hAnsi="Arial"/>
          <w:sz w:val="18"/>
          <w:szCs w:val="18"/>
          <w:color w:val="auto"/>
        </w:rPr>
        <w:t>Under the terms of the Administration Agreement, the Adviser also provides administrative services to us.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focus primarily on the direct origination of loans to middle-market companies domiciled in the United States.</w:t>
      </w:r>
    </w:p>
    <w:p>
      <w:pPr>
        <w:spacing w:after="0" w:line="225" w:lineRule="exact"/>
        <w:rPr>
          <w:sz w:val="20"/>
          <w:szCs w:val="20"/>
          <w:color w:val="auto"/>
        </w:rPr>
      </w:pPr>
    </w:p>
    <w:p>
      <w:pPr>
        <w:ind w:right="60" w:firstLine="255"/>
        <w:spacing w:after="0" w:line="311" w:lineRule="auto"/>
        <w:rPr>
          <w:sz w:val="20"/>
          <w:szCs w:val="20"/>
          <w:color w:val="auto"/>
        </w:rPr>
      </w:pPr>
      <w:r>
        <w:rPr>
          <w:rFonts w:ascii="Arial" w:cs="Arial" w:eastAsia="Arial" w:hAnsi="Arial"/>
          <w:sz w:val="16"/>
          <w:szCs w:val="16"/>
          <w:color w:val="auto"/>
        </w:rPr>
        <w:t>Our level of investment activity (both the number of investments and the size of each investment) can and does vary substantially from period to period depending on many factors, including the amount of debt and equity capital generally available to middle-market companies, the level of merger and acquisition activity for such companies, the general economic environment and the competitive environment for the types of investments we make.</w:t>
      </w:r>
    </w:p>
    <w:p>
      <w:pPr>
        <w:spacing w:after="0" w:line="108" w:lineRule="exact"/>
        <w:rPr>
          <w:sz w:val="20"/>
          <w:szCs w:val="20"/>
          <w:color w:val="auto"/>
        </w:rPr>
      </w:pPr>
    </w:p>
    <w:p>
      <w:pPr>
        <w:ind w:right="280" w:firstLine="255"/>
        <w:spacing w:after="0" w:line="277" w:lineRule="auto"/>
        <w:rPr>
          <w:sz w:val="20"/>
          <w:szCs w:val="20"/>
          <w:color w:val="auto"/>
        </w:rPr>
      </w:pPr>
      <w:r>
        <w:rPr>
          <w:rFonts w:ascii="Arial" w:cs="Arial" w:eastAsia="Arial" w:hAnsi="Arial"/>
          <w:sz w:val="18"/>
          <w:szCs w:val="18"/>
          <w:color w:val="auto"/>
        </w:rPr>
        <w:t>In addition, as part of our risk strategy on investments, we may reduce certain levels of investments through partial sales or syndication to additional investors.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firstLine="255"/>
        <w:spacing w:after="0" w:line="255" w:lineRule="auto"/>
        <w:rPr>
          <w:sz w:val="20"/>
          <w:szCs w:val="20"/>
          <w:color w:val="auto"/>
        </w:rPr>
      </w:pPr>
      <w:r>
        <w:rPr>
          <w:rFonts w:ascii="Arial" w:cs="Arial" w:eastAsia="Arial" w:hAnsi="Arial"/>
          <w:sz w:val="18"/>
          <w:szCs w:val="18"/>
          <w:color w:val="auto"/>
        </w:rPr>
        <w:t>We generate revenues primarily in the form of interest income from the investments we hold. In addition, we may generate income from dividends on direct equity investments, capital gains on the sale of investments and various loan origination and other fees. Our debt investments typically have a term of two to six years, and, as of June 30, 2021, 98.9% of these investments based on fair value bore interest at a floating rate (when including investment specific hedges), with 99.2% of these subject to interest rate floors. Interest on debt investments is generally payable quarterly or semiannually. Some of our debt investments provide for deferred interest payments or PIK interest. For the three and six months ended June 30, 2021, 3.2% and 3.2%, respectively, of our total investment income was comprised of PIK interest.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3" w:name="page54"/>
    <w:bookmarkEnd w:id="53"/>
    <w:p>
      <w:pPr>
        <w:ind w:right="60" w:firstLine="255"/>
        <w:spacing w:after="0" w:line="290" w:lineRule="auto"/>
        <w:rPr>
          <w:sz w:val="20"/>
          <w:szCs w:val="20"/>
          <w:color w:val="auto"/>
        </w:rPr>
      </w:pPr>
      <w:r>
        <w:rPr>
          <w:rFonts w:ascii="Arial" w:cs="Arial" w:eastAsia="Arial" w:hAnsi="Arial"/>
          <w:sz w:val="16"/>
          <w:szCs w:val="16"/>
          <w:color w:val="auto"/>
        </w:rPr>
        <w:t>Changes in our net investment income are primarily driven by the spread between the payments we receive from our investments in our portfolio companies against our cost of funding, rather than by changes in interest rates. Our investment portfolio primarily consists of floating rate loans, and our credit facilities, 2022 Convertible Notes, 2023 Notes, 2024 Notes and 2026 Notes, after taking into account the effect of the interest rate swaps we have entered into in connection with these securities, all bear interest at floating rates. Macro trends in base interest rates like LIBOR or other alternate reference rates may affect our net investment income over the long term. However, because we generally originate loans to a small number of portfolio companies each quarter, and those investments also vary in size, our results in any given period—including the interest rate on investments that were sold or repaid in a period compared to the interest rate of new investments made during that period—often are idiosyncratic, and reflect the characteristics of the particular portfolio companies that we invested in or exited during the period and not necessarily any trends in our business.</w:t>
      </w:r>
    </w:p>
    <w:p>
      <w:pPr>
        <w:spacing w:after="0" w:line="165" w:lineRule="exact"/>
        <w:rPr>
          <w:sz w:val="20"/>
          <w:szCs w:val="20"/>
          <w:color w:val="auto"/>
        </w:rPr>
      </w:pPr>
    </w:p>
    <w:p>
      <w:pPr>
        <w:ind w:right="40" w:firstLine="255"/>
        <w:spacing w:after="0" w:line="296" w:lineRule="auto"/>
        <w:rPr>
          <w:sz w:val="20"/>
          <w:szCs w:val="20"/>
          <w:color w:val="auto"/>
        </w:rPr>
      </w:pPr>
      <w:r>
        <w:rPr>
          <w:rFonts w:ascii="Arial" w:cs="Arial" w:eastAsia="Arial" w:hAnsi="Arial"/>
          <w:sz w:val="16"/>
          <w:szCs w:val="16"/>
          <w:color w:val="auto"/>
        </w:rPr>
        <w:t>In addition to interest income, our net investment income is also driven by prepayment and other fees, which also can vary significantly from quarter to quarter. The level of prepayment fees is generally correlated to the movement in credit spreads and risk premiums, but also will vary based on corporate events that may take place at an individual portfolio company in a given period—e.g., merger and acquisition activity, initial public offerings and restructurings. As noted above, generally a small but varied number of portfolio companies may make prepayments in any quarter, meaning that changes in the amount of prepayment fees received can vary significantly between periods and can vary without regard to underlying credit trends.</w:t>
      </w:r>
    </w:p>
    <w:p>
      <w:pPr>
        <w:spacing w:after="0" w:line="161" w:lineRule="exact"/>
        <w:rPr>
          <w:sz w:val="20"/>
          <w:szCs w:val="20"/>
          <w:color w:val="auto"/>
        </w:rPr>
      </w:pPr>
    </w:p>
    <w:p>
      <w:pPr>
        <w:ind w:firstLine="255"/>
        <w:spacing w:after="0" w:line="275" w:lineRule="auto"/>
        <w:rPr>
          <w:sz w:val="20"/>
          <w:szCs w:val="20"/>
          <w:color w:val="auto"/>
        </w:rPr>
      </w:pPr>
      <w:r>
        <w:rPr>
          <w:rFonts w:ascii="Arial" w:cs="Arial" w:eastAsia="Arial" w:hAnsi="Arial"/>
          <w:sz w:val="17"/>
          <w:szCs w:val="17"/>
          <w:color w:val="auto"/>
        </w:rPr>
        <w:t>Loan origination fees, original issue discount and market discount or premium are capitalized, and we accrete or amortize such amounts as interest income using the effective interest method for term instruments and the straight-line method for revolving or delayed draw instruments. Repayments of our debt investments can reduce interest income from period to period. We record prepayment premiums on loans as interest income when earned. We also may generate revenue in the form of commitment, amendment, structuring, syndication or due diligence fees, fees for providing managerial assistance and consulting fees. The frequency or volume of these items of revenue may fluctuate significantly.</w:t>
      </w:r>
    </w:p>
    <w:p>
      <w:pPr>
        <w:spacing w:after="0" w:line="176" w:lineRule="exact"/>
        <w:rPr>
          <w:sz w:val="20"/>
          <w:szCs w:val="20"/>
          <w:color w:val="auto"/>
        </w:rPr>
      </w:pPr>
    </w:p>
    <w:p>
      <w:pPr>
        <w:ind w:right="140" w:firstLine="255"/>
        <w:spacing w:after="0" w:line="277" w:lineRule="auto"/>
        <w:rPr>
          <w:sz w:val="20"/>
          <w:szCs w:val="20"/>
          <w:color w:val="auto"/>
        </w:rPr>
      </w:pPr>
      <w:r>
        <w:rPr>
          <w:rFonts w:ascii="Arial" w:cs="Arial" w:eastAsia="Arial" w:hAnsi="Arial"/>
          <w:sz w:val="18"/>
          <w:szCs w:val="18"/>
          <w:color w:val="auto"/>
        </w:rPr>
        <w:t>Dividend income on common equity investments is recorded on the record date for private portfolio companies or on the ex-dividend date for publicly traded portfolio companies.</w:t>
      </w:r>
    </w:p>
    <w:p>
      <w:pPr>
        <w:spacing w:after="0" w:line="170" w:lineRule="exact"/>
        <w:rPr>
          <w:sz w:val="20"/>
          <w:szCs w:val="20"/>
          <w:color w:val="auto"/>
        </w:rPr>
      </w:pPr>
    </w:p>
    <w:p>
      <w:pPr>
        <w:ind w:right="260" w:firstLine="255"/>
        <w:spacing w:after="0" w:line="259" w:lineRule="auto"/>
        <w:rPr>
          <w:sz w:val="20"/>
          <w:szCs w:val="20"/>
          <w:color w:val="auto"/>
        </w:rPr>
      </w:pPr>
      <w:r>
        <w:rPr>
          <w:rFonts w:ascii="Arial" w:cs="Arial" w:eastAsia="Arial" w:hAnsi="Arial"/>
          <w:sz w:val="18"/>
          <w:szCs w:val="18"/>
          <w:color w:val="auto"/>
        </w:rPr>
        <w:t>Our portfolio activity also reflects the proceeds of sales of investments. We recognize realized gains or losses on investments based on the difference between the net proceeds from the disposition and the amortized cost basis of the investment without regard to unrealized gains or losses previously recognized. We record current period changes in fair value of investments that are measured at fair value as a component of the net change in unrealized gains (losses) on investments in the consolidated statements of operations.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ind w:right="120" w:firstLine="255"/>
        <w:spacing w:after="0" w:line="263" w:lineRule="auto"/>
        <w:rPr>
          <w:sz w:val="20"/>
          <w:szCs w:val="20"/>
          <w:color w:val="auto"/>
        </w:rPr>
      </w:pPr>
      <w:r>
        <w:rPr>
          <w:rFonts w:ascii="Arial" w:cs="Arial" w:eastAsia="Arial" w:hAnsi="Arial"/>
          <w:sz w:val="18"/>
          <w:szCs w:val="18"/>
          <w:color w:val="auto"/>
        </w:rPr>
        <w:t>Our primary operating expenses include the payment of fees to our Adviser under the Investment Advisory Agreement, expenses reimbursable under the Administration Agreement and other operating costs described below. Additionally, we pay interest expense on our outstanding debt. We bear all other costs and expenses of our operations, administration and transactions, including those relating to:</w:t>
      </w:r>
    </w:p>
    <w:p>
      <w:pPr>
        <w:spacing w:after="0" w:line="76" w:lineRule="exact"/>
        <w:rPr>
          <w:sz w:val="20"/>
          <w:szCs w:val="20"/>
          <w:color w:val="auto"/>
        </w:rPr>
      </w:pPr>
    </w:p>
    <w:p>
      <w:pPr>
        <w:ind w:left="500" w:hanging="249"/>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calculating individual asset values and our net asset value (including the cost and expenses of any independent valuation firms);</w:t>
      </w:r>
    </w:p>
    <w:p>
      <w:pPr>
        <w:spacing w:after="0" w:line="117" w:lineRule="exact"/>
        <w:rPr>
          <w:rFonts w:ascii="Arial" w:cs="Arial" w:eastAsia="Arial" w:hAnsi="Arial"/>
          <w:sz w:val="18"/>
          <w:szCs w:val="18"/>
          <w:color w:val="auto"/>
        </w:rPr>
      </w:pPr>
    </w:p>
    <w:p>
      <w:pPr>
        <w:ind w:left="500" w:right="320" w:hanging="249"/>
        <w:spacing w:after="0" w:line="263" w:lineRule="auto"/>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w:t>
      </w:r>
    </w:p>
    <w:p>
      <w:pPr>
        <w:spacing w:after="0" w:line="75" w:lineRule="exact"/>
        <w:rPr>
          <w:rFonts w:ascii="Arial" w:cs="Arial" w:eastAsia="Arial" w:hAnsi="Arial"/>
          <w:sz w:val="18"/>
          <w:szCs w:val="18"/>
          <w:color w:val="auto"/>
        </w:rPr>
      </w:pPr>
    </w:p>
    <w:p>
      <w:pPr>
        <w:ind w:left="500" w:hanging="249"/>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costs of any public offerings of our common stock and other securities, including registration and listing fees;</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Management Fee and any Incentive Fee;</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certain costs and expenses relating to distributions paid on our shares;</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administration fees payable under our Administration Agreement;</w:t>
      </w:r>
    </w:p>
    <w:p>
      <w:pPr>
        <w:spacing w:after="0" w:line="117" w:lineRule="exact"/>
        <w:rPr>
          <w:rFonts w:ascii="Arial" w:cs="Arial" w:eastAsia="Arial" w:hAnsi="Arial"/>
          <w:sz w:val="18"/>
          <w:szCs w:val="18"/>
          <w:color w:val="auto"/>
        </w:rPr>
      </w:pPr>
    </w:p>
    <w:p>
      <w:pPr>
        <w:ind w:left="500" w:right="80" w:hanging="249"/>
        <w:spacing w:after="0" w:line="257" w:lineRule="auto"/>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Compliance Officer, Chief Financial Officer and other professionals who provide operational and administrative services to us pursuant to the Administration Agreement (based on the percentage of time those individuals devote, on an estimated basis, to our business and affairs);</w:t>
      </w:r>
    </w:p>
    <w:p>
      <w:pPr>
        <w:spacing w:after="0" w:line="79" w:lineRule="exact"/>
        <w:rPr>
          <w:rFonts w:ascii="Arial" w:cs="Arial" w:eastAsia="Arial" w:hAnsi="Arial"/>
          <w:sz w:val="18"/>
          <w:szCs w:val="18"/>
          <w:color w:val="auto"/>
        </w:rPr>
      </w:pPr>
    </w:p>
    <w:p>
      <w:pPr>
        <w:ind w:left="500" w:hanging="249"/>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debt service and other costs of borrowings or other financing arrangements;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4" w:name="page55"/>
    <w:bookmarkEnd w:id="54"/>
    <w:p>
      <w:pPr>
        <w:ind w:left="500" w:hanging="249"/>
        <w:spacing w:after="0"/>
        <w:tabs>
          <w:tab w:leader="none" w:pos="5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Adviser’s allocable share of costs incurred in providing significant managerial assistance to those portfolio companies that request it;</w:t>
      </w:r>
    </w:p>
    <w:p>
      <w:pPr>
        <w:spacing w:after="0" w:line="128" w:lineRule="exact"/>
        <w:rPr>
          <w:rFonts w:ascii="Arial" w:cs="Arial" w:eastAsia="Arial" w:hAnsi="Arial"/>
          <w:sz w:val="17"/>
          <w:szCs w:val="17"/>
          <w:color w:val="auto"/>
        </w:rPr>
      </w:pPr>
    </w:p>
    <w:p>
      <w:pPr>
        <w:ind w:left="500" w:hanging="249"/>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amounts payable to third parties relating to, or associated with, making or holding investments;</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costs of hedging;</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commissions and other compensation payable to brokers or dealers;</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taxes;</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Independent Director fees and expenses;</w:t>
      </w:r>
    </w:p>
    <w:p>
      <w:pPr>
        <w:spacing w:after="0" w:line="117" w:lineRule="exact"/>
        <w:rPr>
          <w:rFonts w:ascii="Arial" w:cs="Arial" w:eastAsia="Arial" w:hAnsi="Arial"/>
          <w:sz w:val="18"/>
          <w:szCs w:val="18"/>
          <w:color w:val="auto"/>
        </w:rPr>
      </w:pPr>
    </w:p>
    <w:p>
      <w:pPr>
        <w:ind w:left="500" w:right="80" w:hanging="249"/>
        <w:spacing w:after="0" w:line="342" w:lineRule="auto"/>
        <w:tabs>
          <w:tab w:leader="none" w:pos="5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spacing w:after="0" w:line="15" w:lineRule="exact"/>
        <w:rPr>
          <w:rFonts w:ascii="Arial" w:cs="Arial" w:eastAsia="Arial" w:hAnsi="Arial"/>
          <w:sz w:val="16"/>
          <w:szCs w:val="16"/>
          <w:color w:val="auto"/>
        </w:rPr>
      </w:pPr>
    </w:p>
    <w:p>
      <w:pPr>
        <w:ind w:left="500" w:hanging="249"/>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fidelity bond;</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directors and officers/errors and omissions liability insurance, and any other insurance premiums;</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indemnification payments;</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audit, accounting, consulting and legal costs; and</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 other expenses reasonably incurred by us in connection with making investments and administering our business.</w:t>
      </w:r>
    </w:p>
    <w:p>
      <w:pPr>
        <w:spacing w:after="0" w:line="225" w:lineRule="exact"/>
        <w:rPr>
          <w:sz w:val="20"/>
          <w:szCs w:val="20"/>
          <w:color w:val="auto"/>
        </w:rPr>
      </w:pPr>
    </w:p>
    <w:p>
      <w:pPr>
        <w:ind w:right="80" w:firstLine="255"/>
        <w:spacing w:after="0" w:line="277" w:lineRule="auto"/>
        <w:rPr>
          <w:sz w:val="20"/>
          <w:szCs w:val="20"/>
          <w:color w:val="auto"/>
        </w:rPr>
      </w:pPr>
      <w:r>
        <w:rPr>
          <w:rFonts w:ascii="Arial" w:cs="Arial" w:eastAsia="Arial" w:hAnsi="Arial"/>
          <w:sz w:val="18"/>
          <w:szCs w:val="18"/>
          <w:color w:val="auto"/>
        </w:rPr>
        <w:t>We expect that during periods of asset growth, our general and administrative expenses will be relatively stable or will decline as a percentage of total assets, and will increase as a percentage of total assets during periods of asset declines.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Leverage</w:t>
      </w:r>
    </w:p>
    <w:p>
      <w:pPr>
        <w:spacing w:after="0" w:line="117" w:lineRule="exact"/>
        <w:rPr>
          <w:sz w:val="20"/>
          <w:szCs w:val="20"/>
          <w:color w:val="auto"/>
        </w:rPr>
      </w:pPr>
    </w:p>
    <w:p>
      <w:pPr>
        <w:ind w:right="20" w:firstLine="255"/>
        <w:spacing w:after="0" w:line="255" w:lineRule="auto"/>
        <w:rPr>
          <w:sz w:val="20"/>
          <w:szCs w:val="20"/>
          <w:color w:val="auto"/>
        </w:rPr>
      </w:pPr>
      <w:r>
        <w:rPr>
          <w:rFonts w:ascii="Arial" w:cs="Arial" w:eastAsia="Arial" w:hAnsi="Arial"/>
          <w:sz w:val="18"/>
          <w:szCs w:val="18"/>
          <w:color w:val="auto"/>
        </w:rPr>
        <w:t>While as a BDC the amount of leverage that we are permitted to use is limited in significant respects, we use leverage to increase our ability to make investments. The amount of leverage we use in any period depends on a variety of factors, including cash available for investing, the cost of financing and general economic and market conditions, however, under the 1940 Act, our total borrowings are limited so that our asset coverage ratio cannot fall below 150% immediately after any borrowing, as defined in the 1940 Act. In any period, our interest expense will depend largely on the extent of our borrowing and we expect interest expense will increase as we increase leverage over time within the limits of the 1940 Act. In addition, we may dedicate assets as collateral to financing facilities from time to time.</w:t>
      </w:r>
    </w:p>
    <w:p>
      <w:pPr>
        <w:spacing w:after="0" w:line="192" w:lineRule="exact"/>
        <w:rPr>
          <w:sz w:val="20"/>
          <w:szCs w:val="20"/>
          <w:color w:val="auto"/>
        </w:rPr>
      </w:pPr>
    </w:p>
    <w:p>
      <w:pPr>
        <w:ind w:firstLine="255"/>
        <w:spacing w:after="0" w:line="301" w:lineRule="auto"/>
        <w:rPr>
          <w:sz w:val="20"/>
          <w:szCs w:val="20"/>
          <w:color w:val="auto"/>
        </w:rPr>
      </w:pPr>
      <w:r>
        <w:rPr>
          <w:rFonts w:ascii="Arial" w:cs="Arial" w:eastAsia="Arial" w:hAnsi="Arial"/>
          <w:sz w:val="16"/>
          <w:szCs w:val="16"/>
          <w:color w:val="auto"/>
        </w:rPr>
        <w:t>On October 8, 2018, our stockholders approved the application of the minimum asset coverage ratio of 150% to us, as set forth in Section 61(a)(2) of the 1940 Act, as amended by the Small Business Credit Availability Act (“SBCAA”). As a result and subject to certain additional disclosure requirements, as of October 9, 2018, our minimum asset coverage ratio was reduced from 200% to 150%. In other words, pursuant to Section 61(a) of the 1940 Act, as amended by the SBCAA, we are permitted to increase our maximum debt-to-equity ratio from an effective level of one-to-one to two-to-one.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Trends</w:t>
      </w:r>
    </w:p>
    <w:p>
      <w:pPr>
        <w:spacing w:after="0" w:line="117" w:lineRule="exact"/>
        <w:rPr>
          <w:sz w:val="20"/>
          <w:szCs w:val="20"/>
          <w:color w:val="auto"/>
        </w:rPr>
      </w:pPr>
    </w:p>
    <w:p>
      <w:pPr>
        <w:ind w:right="740" w:firstLine="255"/>
        <w:spacing w:after="0" w:line="342" w:lineRule="auto"/>
        <w:rPr>
          <w:sz w:val="20"/>
          <w:szCs w:val="20"/>
          <w:color w:val="auto"/>
        </w:rPr>
      </w:pPr>
      <w:r>
        <w:rPr>
          <w:rFonts w:ascii="Arial" w:cs="Arial" w:eastAsia="Arial" w:hAnsi="Arial"/>
          <w:sz w:val="16"/>
          <w:szCs w:val="16"/>
          <w:color w:val="auto"/>
        </w:rPr>
        <w:t>We believe trends in the middle-market lending environment, including the limited availability of capital, strong demand for debt capital and specialized lending requirements, are likely to continue to create favorable opportunities for us to invest at attractive risk-adjusted rates.</w:t>
      </w:r>
    </w:p>
    <w:p>
      <w:pPr>
        <w:spacing w:after="0" w:line="124" w:lineRule="exact"/>
        <w:rPr>
          <w:sz w:val="20"/>
          <w:szCs w:val="20"/>
          <w:color w:val="auto"/>
        </w:rPr>
      </w:pPr>
    </w:p>
    <w:p>
      <w:pPr>
        <w:ind w:right="40" w:firstLine="255"/>
        <w:spacing w:after="0" w:line="279" w:lineRule="auto"/>
        <w:rPr>
          <w:sz w:val="20"/>
          <w:szCs w:val="20"/>
          <w:color w:val="auto"/>
        </w:rPr>
      </w:pPr>
      <w:r>
        <w:rPr>
          <w:rFonts w:ascii="Arial" w:cs="Arial" w:eastAsia="Arial" w:hAnsi="Arial"/>
          <w:sz w:val="17"/>
          <w:szCs w:val="17"/>
          <w:color w:val="auto"/>
        </w:rPr>
        <w:t>The limited number of dedicated providers of capital to middle-market companies, combined with increases in required capital levels for regulated financial institutions, reduces the capacity of traditional lenders to serve middle-market companies. We believe that the limited availability of capital creates a significant opportunity for us to directly originate investments. We also believe that the large amount of uninvested capital held by private equity firms will continue to drive deal activity, which may in turn create additional demand for debt capital.</w:t>
      </w:r>
    </w:p>
    <w:p>
      <w:pPr>
        <w:spacing w:after="0" w:line="171" w:lineRule="exact"/>
        <w:rPr>
          <w:sz w:val="20"/>
          <w:szCs w:val="20"/>
          <w:color w:val="auto"/>
        </w:rPr>
      </w:pPr>
    </w:p>
    <w:p>
      <w:pPr>
        <w:ind w:right="200" w:firstLine="255"/>
        <w:spacing w:after="0" w:line="286" w:lineRule="auto"/>
        <w:rPr>
          <w:sz w:val="20"/>
          <w:szCs w:val="20"/>
          <w:color w:val="auto"/>
        </w:rPr>
      </w:pPr>
      <w:r>
        <w:rPr>
          <w:rFonts w:ascii="Arial" w:cs="Arial" w:eastAsia="Arial" w:hAnsi="Arial"/>
          <w:sz w:val="17"/>
          <w:szCs w:val="17"/>
          <w:color w:val="auto"/>
        </w:rPr>
        <w:t>The limited number of dedicated providers is further exacerbated by the specialized due diligence and underwriting capabilities, as well as extensive ongoing monitoring, required for middle-market lending. We believe middle-market lending is generally more labor-intensive than lending to larger companies due to smaller investment sizes and the lack of publicly available information on these companies.</w:t>
      </w:r>
    </w:p>
    <w:p>
      <w:pPr>
        <w:spacing w:after="0" w:line="16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40"/>
          </w:cols>
          <w:pgMar w:left="320" w:top="773" w:right="439" w:bottom="1440" w:gutter="0" w:footer="0" w:header="0"/>
        </w:sectPr>
      </w:pPr>
    </w:p>
    <w:bookmarkStart w:id="55" w:name="page56"/>
    <w:bookmarkEnd w:id="55"/>
    <w:p>
      <w:pPr>
        <w:ind w:right="20" w:firstLine="255"/>
        <w:spacing w:after="0" w:line="301" w:lineRule="auto"/>
        <w:rPr>
          <w:sz w:val="20"/>
          <w:szCs w:val="20"/>
          <w:color w:val="auto"/>
        </w:rPr>
      </w:pPr>
      <w:r>
        <w:rPr>
          <w:rFonts w:ascii="Arial" w:cs="Arial" w:eastAsia="Arial" w:hAnsi="Arial"/>
          <w:sz w:val="16"/>
          <w:szCs w:val="16"/>
          <w:color w:val="auto"/>
        </w:rPr>
        <w:t>An imbalance between the supply of, and demand for, middle-market debt capital creates attractive pricing dynamics for investors such as BDCs. The negotiated nature of middle-market financings also generally provides for more favorable terms to the lenders, including stronger covenant and reporting packages, better call protection and lender-protective change of control provisions. We believe that BDCs have flexibility to develop loans that reflect each borrower’s distinct situation, provide long-term relationships and a potential source for future capital, which renders BDCs, including us, attractive lenders.</w:t>
      </w:r>
    </w:p>
    <w:p>
      <w:pPr>
        <w:spacing w:after="0" w:line="157" w:lineRule="exact"/>
        <w:rPr>
          <w:sz w:val="20"/>
          <w:szCs w:val="20"/>
          <w:color w:val="auto"/>
        </w:rPr>
      </w:pPr>
    </w:p>
    <w:p>
      <w:pPr>
        <w:ind w:firstLine="255"/>
        <w:spacing w:after="0" w:line="271" w:lineRule="auto"/>
        <w:rPr>
          <w:sz w:val="20"/>
          <w:szCs w:val="20"/>
          <w:color w:val="auto"/>
        </w:rPr>
      </w:pPr>
      <w:r>
        <w:rPr>
          <w:rFonts w:ascii="Arial" w:cs="Arial" w:eastAsia="Arial" w:hAnsi="Arial"/>
          <w:sz w:val="17"/>
          <w:szCs w:val="17"/>
          <w:color w:val="auto"/>
        </w:rPr>
        <w:t>In late 2019 and early 2020, the novel coronavirus SARS-CoV-2 and related respiratory disease COVID-19 spread rapidly across the world, including to the United States. This outbreak has led to, and for an unknown and potentially significant period of time will continue to lead to, disruptions in local, regional, national and global markets and economies affected thereby. To date, cross border commercial activity and market sentiment have been negatively impacted by the outbreak and government and other measures seeking to contain its spread. The federal government and the Federal Reserve, as well as foreign governments and central banks, have implemented significant fiscal and monetary policies in response to these disruptions, and additional government and regulatory responses may be possible. It is currently impossible to determine the scope of this or any future outbreak, how long any such outbreak and market disruption, volatility or uncertainty may last, the effect any governmental actions and changes in base interest rates will have or the full potential impact on us, our industry and our portfolio companies.</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121" w:lineRule="exact"/>
        <w:rPr>
          <w:sz w:val="20"/>
          <w:szCs w:val="20"/>
          <w:color w:val="auto"/>
        </w:rPr>
      </w:pPr>
    </w:p>
    <w:p>
      <w:pPr>
        <w:ind w:right="120" w:firstLine="255"/>
        <w:spacing w:after="0" w:line="286" w:lineRule="auto"/>
        <w:rPr>
          <w:sz w:val="20"/>
          <w:szCs w:val="20"/>
          <w:color w:val="auto"/>
        </w:rPr>
      </w:pPr>
      <w:r>
        <w:rPr>
          <w:rFonts w:ascii="Arial" w:cs="Arial" w:eastAsia="Arial" w:hAnsi="Arial"/>
          <w:sz w:val="17"/>
          <w:szCs w:val="17"/>
          <w:color w:val="auto"/>
        </w:rPr>
        <w:t>As of June 30, 2021, our portfolio based on fair value consisted of 93.6% first-lien debt investments, 0.2% second-lien debt investments, 0.7% mezzanine debt investments, and 5.5% equity and other investments. As of December 31, 2020, our portfolio based on fair value consisted of 95.6% first-lien debt investments, 0.2% second-lien debt investments, 0.5% mezzanine debt investments, and 3.7% equity and other investments.</w:t>
      </w:r>
    </w:p>
    <w:p>
      <w:pPr>
        <w:spacing w:after="0" w:line="165" w:lineRule="exact"/>
        <w:rPr>
          <w:sz w:val="20"/>
          <w:szCs w:val="20"/>
          <w:color w:val="auto"/>
        </w:rPr>
      </w:pPr>
    </w:p>
    <w:p>
      <w:pPr>
        <w:ind w:right="300" w:firstLine="255"/>
        <w:spacing w:after="0" w:line="311" w:lineRule="auto"/>
        <w:rPr>
          <w:sz w:val="20"/>
          <w:szCs w:val="20"/>
          <w:color w:val="auto"/>
        </w:rPr>
      </w:pPr>
      <w:r>
        <w:rPr>
          <w:rFonts w:ascii="Arial" w:cs="Arial" w:eastAsia="Arial" w:hAnsi="Arial"/>
          <w:sz w:val="16"/>
          <w:szCs w:val="16"/>
          <w:color w:val="auto"/>
        </w:rPr>
        <w:t>As of June 30, 2021 and December 31, 2020, our weighted average total yield of debt and income-producing securities at fair value (which includes interest income and amortization of fees and discounts) was 9.8% and 10.0%, respectively, and our weighted average total yield of debt and income-producing securities at amortized cost (which includes interest income and amortization of fees and discounts) was 10.1% and 10.2%, respectively.</w:t>
      </w:r>
    </w:p>
    <w:p>
      <w:pPr>
        <w:spacing w:after="0" w:line="149" w:lineRule="exact"/>
        <w:rPr>
          <w:sz w:val="20"/>
          <w:szCs w:val="20"/>
          <w:color w:val="auto"/>
        </w:rPr>
      </w:pPr>
    </w:p>
    <w:p>
      <w:pPr>
        <w:ind w:right="580" w:firstLine="255"/>
        <w:spacing w:after="0" w:line="277" w:lineRule="auto"/>
        <w:rPr>
          <w:sz w:val="20"/>
          <w:szCs w:val="20"/>
          <w:color w:val="auto"/>
        </w:rPr>
      </w:pPr>
      <w:r>
        <w:rPr>
          <w:rFonts w:ascii="Arial" w:cs="Arial" w:eastAsia="Arial" w:hAnsi="Arial"/>
          <w:sz w:val="18"/>
          <w:szCs w:val="18"/>
          <w:color w:val="auto"/>
        </w:rPr>
        <w:t>As of June 30, 2021 and December 31, 2020, we had investments in 72 and 70 portfolio companies, respectively, with an aggregate fair value of $2,570.0 million and $2,298.9 million, respectively.</w:t>
      </w:r>
    </w:p>
    <w:p>
      <w:pPr>
        <w:spacing w:after="0" w:line="170" w:lineRule="exact"/>
        <w:rPr>
          <w:sz w:val="20"/>
          <w:szCs w:val="20"/>
          <w:color w:val="auto"/>
        </w:rPr>
      </w:pPr>
    </w:p>
    <w:p>
      <w:pPr>
        <w:ind w:right="160" w:firstLine="255"/>
        <w:spacing w:after="0" w:line="308" w:lineRule="auto"/>
        <w:rPr>
          <w:sz w:val="20"/>
          <w:szCs w:val="20"/>
          <w:color w:val="auto"/>
        </w:rPr>
      </w:pPr>
      <w:r>
        <w:rPr>
          <w:rFonts w:ascii="Arial" w:cs="Arial" w:eastAsia="Arial" w:hAnsi="Arial"/>
          <w:sz w:val="17"/>
          <w:szCs w:val="17"/>
          <w:color w:val="auto"/>
        </w:rPr>
        <w:t>For the three months ended June 30, 2021, the principal amount of new investments funded was $265.2 million in seven new portfolio companies and eight existing portfolio companies. For this period, we had $107.8 million aggregate principal amount in exits and repayments.</w:t>
      </w:r>
    </w:p>
    <w:p>
      <w:pPr>
        <w:spacing w:after="0" w:line="146" w:lineRule="exact"/>
        <w:rPr>
          <w:sz w:val="20"/>
          <w:szCs w:val="20"/>
          <w:color w:val="auto"/>
        </w:rPr>
      </w:pPr>
    </w:p>
    <w:p>
      <w:pPr>
        <w:ind w:right="300" w:firstLine="255"/>
        <w:spacing w:after="0" w:line="308" w:lineRule="auto"/>
        <w:rPr>
          <w:sz w:val="20"/>
          <w:szCs w:val="20"/>
          <w:color w:val="auto"/>
        </w:rPr>
      </w:pPr>
      <w:r>
        <w:rPr>
          <w:rFonts w:ascii="Arial" w:cs="Arial" w:eastAsia="Arial" w:hAnsi="Arial"/>
          <w:sz w:val="17"/>
          <w:szCs w:val="17"/>
          <w:color w:val="auto"/>
        </w:rPr>
        <w:t>For the three months ended June 30, 2020, the principal amount of new investments funded was $80.3 million in three new portfolio companies and four existing portfolio companies. For this period, we had $211.9 million aggregate principal amount in exits and repayments.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6" w:name="page57"/>
    <w:bookmarkEnd w:id="56"/>
    <w:p>
      <w:pPr>
        <w:ind w:right="460" w:firstLine="255"/>
        <w:spacing w:after="0" w:line="277" w:lineRule="auto"/>
        <w:rPr>
          <w:sz w:val="20"/>
          <w:szCs w:val="20"/>
          <w:color w:val="auto"/>
        </w:rPr>
      </w:pPr>
      <w:r>
        <w:rPr>
          <w:rFonts w:ascii="Arial" w:cs="Arial" w:eastAsia="Arial" w:hAnsi="Arial"/>
          <w:sz w:val="18"/>
          <w:szCs w:val="18"/>
          <w:color w:val="auto"/>
        </w:rPr>
        <w:t>Our investment activity for the three months ended June 30, 2021 and 2020 is presented below (information presented herein is at par value unless otherwise indicated).</w:t>
      </w:r>
    </w:p>
    <w:p>
      <w:pPr>
        <w:spacing w:after="0" w:line="243"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46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6"/>
        </w:trPr>
        <w:tc>
          <w:tcPr>
            <w:tcW w:w="4460" w:type="dxa"/>
            <w:vAlign w:val="bottom"/>
            <w:vMerge w:val="continue"/>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w w:val="92"/>
              </w:rPr>
              <w:t>June 30, 2021</w:t>
            </w: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51"/>
              <w:spacing w:after="0" w:line="155" w:lineRule="exact"/>
              <w:rPr>
                <w:sz w:val="20"/>
                <w:szCs w:val="20"/>
                <w:color w:val="auto"/>
              </w:rPr>
            </w:pPr>
            <w:r>
              <w:rPr>
                <w:rFonts w:ascii="Arial" w:cs="Arial" w:eastAsia="Arial" w:hAnsi="Arial"/>
                <w:sz w:val="14"/>
                <w:szCs w:val="14"/>
                <w:b w:val="1"/>
                <w:bCs w:val="1"/>
                <w:color w:val="auto"/>
                <w:w w:val="92"/>
              </w:rPr>
              <w:t>June 30, 2020</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New investment commitments:</w:t>
            </w:r>
          </w:p>
        </w:tc>
        <w:tc>
          <w:tcPr>
            <w:tcW w:w="7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240"/>
              <w:spacing w:after="0"/>
              <w:rPr>
                <w:sz w:val="20"/>
                <w:szCs w:val="20"/>
                <w:color w:val="auto"/>
              </w:rPr>
            </w:pPr>
            <w:r>
              <w:rPr>
                <w:rFonts w:ascii="Arial" w:cs="Arial" w:eastAsia="Arial" w:hAnsi="Arial"/>
                <w:sz w:val="18"/>
                <w:szCs w:val="18"/>
                <w:color w:val="auto"/>
              </w:rPr>
              <w:t>Gross originations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660.3</w:t>
            </w:r>
          </w:p>
        </w:tc>
        <w:tc>
          <w:tcPr>
            <w:tcW w:w="2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441.4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Less: Syndications/sell downs</w:t>
            </w:r>
          </w:p>
        </w:tc>
        <w:tc>
          <w:tcPr>
            <w:tcW w:w="7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357.2</w:t>
            </w:r>
          </w:p>
        </w:tc>
        <w:tc>
          <w:tcPr>
            <w:tcW w:w="2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Pr>
          <w:p>
            <w:pPr>
              <w:ind w:left="480"/>
              <w:spacing w:after="0"/>
              <w:rPr>
                <w:sz w:val="20"/>
                <w:szCs w:val="20"/>
                <w:color w:val="auto"/>
              </w:rPr>
            </w:pPr>
            <w:r>
              <w:rPr>
                <w:rFonts w:ascii="Arial" w:cs="Arial" w:eastAsia="Arial" w:hAnsi="Arial"/>
                <w:sz w:val="18"/>
                <w:szCs w:val="18"/>
                <w:color w:val="auto"/>
              </w:rPr>
              <w:t>Total new investment commitments</w:t>
            </w:r>
          </w:p>
        </w:tc>
        <w:tc>
          <w:tcPr>
            <w:tcW w:w="7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303.1</w:t>
            </w:r>
          </w:p>
        </w:tc>
        <w:tc>
          <w:tcPr>
            <w:tcW w:w="2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89.2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Principal amount of investments funded:</w:t>
            </w: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tcPr>
          <w:p>
            <w:pPr>
              <w:ind w:left="240"/>
              <w:spacing w:after="0"/>
              <w:rPr>
                <w:sz w:val="20"/>
                <w:szCs w:val="20"/>
                <w:color w:val="auto"/>
              </w:rPr>
            </w:pPr>
            <w:r>
              <w:rPr>
                <w:rFonts w:ascii="Arial" w:cs="Arial" w:eastAsia="Arial" w:hAnsi="Arial"/>
                <w:sz w:val="18"/>
                <w:szCs w:val="18"/>
                <w:color w:val="auto"/>
              </w:rPr>
              <w:t>First-lien</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243.8</w:t>
            </w:r>
          </w:p>
        </w:tc>
        <w:tc>
          <w:tcPr>
            <w:tcW w:w="2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62.9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Second-lien</w:t>
            </w: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tcPr>
          <w:p>
            <w:pPr>
              <w:ind w:left="240"/>
              <w:spacing w:after="0"/>
              <w:rPr>
                <w:sz w:val="20"/>
                <w:szCs w:val="20"/>
                <w:color w:val="auto"/>
              </w:rPr>
            </w:pPr>
            <w:r>
              <w:rPr>
                <w:rFonts w:ascii="Arial" w:cs="Arial" w:eastAsia="Arial" w:hAnsi="Arial"/>
                <w:sz w:val="18"/>
                <w:szCs w:val="18"/>
                <w:color w:val="auto"/>
              </w:rPr>
              <w:t>Mezzanine</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Equity and other</w:t>
            </w:r>
          </w:p>
        </w:tc>
        <w:tc>
          <w:tcPr>
            <w:tcW w:w="7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w:t>
            </w:r>
          </w:p>
        </w:tc>
        <w:tc>
          <w:tcPr>
            <w:tcW w:w="2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Pr>
          <w:p>
            <w:pPr>
              <w:ind w:left="480"/>
              <w:spacing w:after="0"/>
              <w:rPr>
                <w:sz w:val="20"/>
                <w:szCs w:val="20"/>
                <w:color w:val="auto"/>
              </w:rPr>
            </w:pPr>
            <w:r>
              <w:rPr>
                <w:rFonts w:ascii="Arial" w:cs="Arial" w:eastAsia="Arial" w:hAnsi="Arial"/>
                <w:sz w:val="18"/>
                <w:szCs w:val="18"/>
                <w:color w:val="auto"/>
              </w:rPr>
              <w:t>Total</w:t>
            </w:r>
          </w:p>
        </w:tc>
        <w:tc>
          <w:tcPr>
            <w:tcW w:w="7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265.2</w:t>
            </w:r>
          </w:p>
        </w:tc>
        <w:tc>
          <w:tcPr>
            <w:tcW w:w="2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76.5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Principal amount of investments sold or repaid:</w:t>
            </w: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240"/>
              <w:spacing w:after="0"/>
              <w:rPr>
                <w:sz w:val="20"/>
                <w:szCs w:val="20"/>
                <w:color w:val="auto"/>
              </w:rPr>
            </w:pPr>
            <w:r>
              <w:rPr>
                <w:rFonts w:ascii="Arial" w:cs="Arial" w:eastAsia="Arial" w:hAnsi="Arial"/>
                <w:sz w:val="18"/>
                <w:szCs w:val="18"/>
                <w:color w:val="auto"/>
              </w:rPr>
              <w:t>First-lien</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101.2</w:t>
            </w:r>
          </w:p>
        </w:tc>
        <w:tc>
          <w:tcPr>
            <w:tcW w:w="2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210.7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Second-lien</w:t>
            </w: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460" w:type="dxa"/>
            <w:vAlign w:val="bottom"/>
          </w:tcPr>
          <w:p>
            <w:pPr>
              <w:ind w:left="240"/>
              <w:spacing w:after="0"/>
              <w:rPr>
                <w:sz w:val="20"/>
                <w:szCs w:val="20"/>
                <w:color w:val="auto"/>
              </w:rPr>
            </w:pPr>
            <w:r>
              <w:rPr>
                <w:rFonts w:ascii="Arial" w:cs="Arial" w:eastAsia="Arial" w:hAnsi="Arial"/>
                <w:sz w:val="18"/>
                <w:szCs w:val="18"/>
                <w:color w:val="auto"/>
              </w:rPr>
              <w:t>Mezzanine</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Equity and other</w:t>
            </w: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46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w:t>
            </w:r>
          </w:p>
        </w:tc>
        <w:tc>
          <w:tcPr>
            <w:tcW w:w="72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107.8</w:t>
            </w:r>
          </w:p>
        </w:tc>
        <w:tc>
          <w:tcPr>
            <w:tcW w:w="28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210.7</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460" w:type="dxa"/>
            <w:vAlign w:val="bottom"/>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Number of new investment commitments in</w:t>
            </w:r>
          </w:p>
        </w:tc>
        <w:tc>
          <w:tcPr>
            <w:tcW w:w="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6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new portfolio companies</w:t>
            </w:r>
          </w:p>
        </w:tc>
        <w:tc>
          <w:tcPr>
            <w:tcW w:w="7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460" w:type="dxa"/>
            <w:vAlign w:val="bottom"/>
          </w:tcPr>
          <w:p>
            <w:pPr>
              <w:spacing w:after="0"/>
              <w:rPr>
                <w:sz w:val="20"/>
                <w:szCs w:val="20"/>
                <w:color w:val="auto"/>
              </w:rPr>
            </w:pPr>
            <w:r>
              <w:rPr>
                <w:rFonts w:ascii="Arial" w:cs="Arial" w:eastAsia="Arial" w:hAnsi="Arial"/>
                <w:sz w:val="18"/>
                <w:szCs w:val="18"/>
                <w:b w:val="1"/>
                <w:bCs w:val="1"/>
                <w:color w:val="auto"/>
              </w:rPr>
              <w:t>Average new investment commitment amount in</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60" w:type="dxa"/>
            <w:vAlign w:val="bottom"/>
          </w:tcPr>
          <w:p>
            <w:pPr>
              <w:ind w:left="140"/>
              <w:spacing w:after="0"/>
              <w:rPr>
                <w:sz w:val="20"/>
                <w:szCs w:val="20"/>
                <w:color w:val="auto"/>
              </w:rPr>
            </w:pPr>
            <w:r>
              <w:rPr>
                <w:rFonts w:ascii="Arial" w:cs="Arial" w:eastAsia="Arial" w:hAnsi="Arial"/>
                <w:sz w:val="18"/>
                <w:szCs w:val="18"/>
                <w:b w:val="1"/>
                <w:bCs w:val="1"/>
                <w:color w:val="auto"/>
              </w:rPr>
              <w:t>new portfolio companies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36.6</w:t>
            </w:r>
          </w:p>
        </w:tc>
        <w:tc>
          <w:tcPr>
            <w:tcW w:w="2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9.5</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 average term for new investment</w:t>
            </w: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commitments in new portfolio companies</w:t>
            </w: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6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(in years)</w:t>
            </w:r>
          </w:p>
        </w:tc>
        <w:tc>
          <w:tcPr>
            <w:tcW w:w="7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460" w:type="dxa"/>
            <w:vAlign w:val="bottom"/>
          </w:tcPr>
          <w:p>
            <w:pPr>
              <w:spacing w:after="0"/>
              <w:rPr>
                <w:sz w:val="20"/>
                <w:szCs w:val="20"/>
                <w:color w:val="auto"/>
              </w:rPr>
            </w:pPr>
            <w:r>
              <w:rPr>
                <w:rFonts w:ascii="Arial" w:cs="Arial" w:eastAsia="Arial" w:hAnsi="Arial"/>
                <w:sz w:val="18"/>
                <w:szCs w:val="18"/>
                <w:b w:val="1"/>
                <w:bCs w:val="1"/>
                <w:color w:val="auto"/>
              </w:rPr>
              <w:t>Percentage of new debt investment commitments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60" w:type="dxa"/>
            <w:vAlign w:val="bottom"/>
          </w:tcPr>
          <w:p>
            <w:pPr>
              <w:ind w:left="140"/>
              <w:spacing w:after="0"/>
              <w:rPr>
                <w:sz w:val="20"/>
                <w:szCs w:val="20"/>
                <w:color w:val="auto"/>
              </w:rPr>
            </w:pPr>
            <w:r>
              <w:rPr>
                <w:rFonts w:ascii="Arial" w:cs="Arial" w:eastAsia="Arial" w:hAnsi="Arial"/>
                <w:sz w:val="18"/>
                <w:szCs w:val="18"/>
                <w:b w:val="1"/>
                <w:bCs w:val="1"/>
                <w:color w:val="auto"/>
              </w:rPr>
              <w:t xml:space="preserve">at floating rates </w:t>
            </w:r>
            <w:r>
              <w:rPr>
                <w:rFonts w:ascii="Arial" w:cs="Arial" w:eastAsia="Arial" w:hAnsi="Arial"/>
                <w:sz w:val="15"/>
                <w:szCs w:val="15"/>
                <w:b w:val="1"/>
                <w:bCs w:val="1"/>
                <w:color w:val="auto"/>
              </w:rPr>
              <w:t>(1)</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98.2%</w:t>
            </w:r>
          </w:p>
        </w:tc>
        <w:tc>
          <w:tcPr>
            <w:tcW w:w="12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11"/>
        </w:trPr>
        <w:tc>
          <w:tcPr>
            <w:tcW w:w="4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Percentage of new debt investment commitments</w:t>
            </w: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6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at fixed rates</w:t>
            </w:r>
          </w:p>
        </w:tc>
        <w:tc>
          <w:tcPr>
            <w:tcW w:w="7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1"/>
        </w:trPr>
        <w:tc>
          <w:tcPr>
            <w:tcW w:w="4460" w:type="dxa"/>
            <w:vAlign w:val="bottom"/>
          </w:tcPr>
          <w:p>
            <w:pPr>
              <w:spacing w:after="0"/>
              <w:rPr>
                <w:sz w:val="20"/>
                <w:szCs w:val="20"/>
                <w:color w:val="auto"/>
              </w:rPr>
            </w:pPr>
            <w:r>
              <w:rPr>
                <w:rFonts w:ascii="Arial" w:cs="Arial" w:eastAsia="Arial" w:hAnsi="Arial"/>
                <w:sz w:val="18"/>
                <w:szCs w:val="18"/>
                <w:b w:val="1"/>
                <w:bCs w:val="1"/>
                <w:color w:val="auto"/>
              </w:rPr>
              <w:t>Weighted average interest rate of new</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60" w:type="dxa"/>
            <w:vAlign w:val="bottom"/>
          </w:tcPr>
          <w:p>
            <w:pPr>
              <w:ind w:left="140"/>
              <w:spacing w:after="0"/>
              <w:rPr>
                <w:sz w:val="20"/>
                <w:szCs w:val="20"/>
                <w:color w:val="auto"/>
              </w:rPr>
            </w:pPr>
            <w:r>
              <w:rPr>
                <w:rFonts w:ascii="Arial" w:cs="Arial" w:eastAsia="Arial" w:hAnsi="Arial"/>
                <w:sz w:val="18"/>
                <w:szCs w:val="18"/>
                <w:b w:val="1"/>
                <w:bCs w:val="1"/>
                <w:color w:val="auto"/>
              </w:rPr>
              <w:t>investment commitments</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1"/>
        </w:trPr>
        <w:tc>
          <w:tcPr>
            <w:tcW w:w="4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 average spread over LIBOR of new</w:t>
            </w: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6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 xml:space="preserve">floating rate investment commitments </w:t>
            </w:r>
            <w:r>
              <w:rPr>
                <w:rFonts w:ascii="Arial" w:cs="Arial" w:eastAsia="Arial" w:hAnsi="Arial"/>
                <w:sz w:val="15"/>
                <w:szCs w:val="15"/>
                <w:b w:val="1"/>
                <w:bCs w:val="1"/>
                <w:color w:val="auto"/>
              </w:rPr>
              <w:t>(1)</w:t>
            </w:r>
          </w:p>
        </w:tc>
        <w:tc>
          <w:tcPr>
            <w:tcW w:w="7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1"/>
        </w:trPr>
        <w:tc>
          <w:tcPr>
            <w:tcW w:w="4460" w:type="dxa"/>
            <w:vAlign w:val="bottom"/>
          </w:tcPr>
          <w:p>
            <w:pPr>
              <w:spacing w:after="0"/>
              <w:rPr>
                <w:sz w:val="20"/>
                <w:szCs w:val="20"/>
                <w:color w:val="auto"/>
              </w:rPr>
            </w:pPr>
            <w:r>
              <w:rPr>
                <w:rFonts w:ascii="Arial" w:cs="Arial" w:eastAsia="Arial" w:hAnsi="Arial"/>
                <w:sz w:val="18"/>
                <w:szCs w:val="18"/>
                <w:b w:val="1"/>
                <w:bCs w:val="1"/>
                <w:color w:val="auto"/>
              </w:rPr>
              <w:t>Weighted average interest rate on investments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60" w:type="dxa"/>
            <w:vAlign w:val="bottom"/>
          </w:tcPr>
          <w:p>
            <w:pPr>
              <w:ind w:left="140"/>
              <w:spacing w:after="0"/>
              <w:rPr>
                <w:sz w:val="20"/>
                <w:szCs w:val="20"/>
                <w:color w:val="auto"/>
              </w:rPr>
            </w:pPr>
            <w:r>
              <w:rPr>
                <w:rFonts w:ascii="Arial" w:cs="Arial" w:eastAsia="Arial" w:hAnsi="Arial"/>
                <w:sz w:val="18"/>
                <w:szCs w:val="18"/>
                <w:b w:val="1"/>
                <w:bCs w:val="1"/>
                <w:color w:val="auto"/>
              </w:rPr>
              <w:t>fully sold or paid down</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80" w:right="220" w:hanging="372"/>
        <w:spacing w:after="0" w:line="277" w:lineRule="auto"/>
        <w:tabs>
          <w:tab w:leader="none" w:pos="3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Includes one fixed rate investment for the three months June 30, 2020, for which we entered into an interest rate swap agreement to swap to floating rates.</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June 30, 2021 and December 31, 2020, our investments consisted of the following:</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40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180" w:type="dxa"/>
            <w:vAlign w:val="bottom"/>
          </w:tcPr>
          <w:p>
            <w:pPr>
              <w:spacing w:after="0"/>
              <w:rPr>
                <w:sz w:val="14"/>
                <w:szCs w:val="14"/>
                <w:color w:val="auto"/>
              </w:rPr>
            </w:pPr>
          </w:p>
        </w:tc>
        <w:tc>
          <w:tcPr>
            <w:tcW w:w="2480" w:type="dxa"/>
            <w:vAlign w:val="bottom"/>
            <w:gridSpan w:val="4"/>
          </w:tcPr>
          <w:p>
            <w:pPr>
              <w:jc w:val="right"/>
              <w:ind w:right="833"/>
              <w:spacing w:after="0"/>
              <w:rPr>
                <w:sz w:val="20"/>
                <w:szCs w:val="20"/>
                <w:color w:val="auto"/>
              </w:rPr>
            </w:pPr>
            <w:r>
              <w:rPr>
                <w:rFonts w:ascii="Arial" w:cs="Arial" w:eastAsia="Arial" w:hAnsi="Arial"/>
                <w:sz w:val="14"/>
                <w:szCs w:val="14"/>
                <w:b w:val="1"/>
                <w:bCs w:val="1"/>
                <w:color w:val="auto"/>
              </w:rPr>
              <w:t>June 30, 2021</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20" w:type="dxa"/>
            <w:vAlign w:val="bottom"/>
            <w:gridSpan w:val="5"/>
          </w:tcPr>
          <w:p>
            <w:pPr>
              <w:ind w:left="580"/>
              <w:spacing w:after="0"/>
              <w:rPr>
                <w:sz w:val="20"/>
                <w:szCs w:val="20"/>
                <w:color w:val="auto"/>
              </w:rPr>
            </w:pPr>
            <w:r>
              <w:rPr>
                <w:rFonts w:ascii="Arial" w:cs="Arial" w:eastAsia="Arial" w:hAnsi="Arial"/>
                <w:sz w:val="14"/>
                <w:szCs w:val="14"/>
                <w:b w:val="1"/>
                <w:bCs w:val="1"/>
                <w:color w:val="auto"/>
              </w:rPr>
              <w:t>December 31, 2020</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4400" w:type="dxa"/>
            <w:vAlign w:val="bottom"/>
            <w:tcBorders>
              <w:bottom w:val="single" w:sz="8" w:color="CFF0FC"/>
            </w:tcBorders>
            <w:vMerge w:val="continue"/>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215"/>
              <w:spacing w:after="0" w:line="155" w:lineRule="exact"/>
              <w:rPr>
                <w:sz w:val="20"/>
                <w:szCs w:val="20"/>
                <w:color w:val="auto"/>
              </w:rPr>
            </w:pPr>
            <w:r>
              <w:rPr>
                <w:rFonts w:ascii="Arial" w:cs="Arial" w:eastAsia="Arial" w:hAnsi="Arial"/>
                <w:sz w:val="14"/>
                <w:szCs w:val="14"/>
                <w:b w:val="1"/>
                <w:bCs w:val="1"/>
                <w:color w:val="auto"/>
              </w:rPr>
              <w:t>Fair Value</w:t>
            </w:r>
          </w:p>
        </w:tc>
        <w:tc>
          <w:tcPr>
            <w:tcW w:w="22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33"/>
              <w:spacing w:after="0" w:line="155" w:lineRule="exact"/>
              <w:rPr>
                <w:sz w:val="20"/>
                <w:szCs w:val="20"/>
                <w:color w:val="auto"/>
              </w:rPr>
            </w:pPr>
            <w:r>
              <w:rPr>
                <w:rFonts w:ascii="Arial" w:cs="Arial" w:eastAsia="Arial" w:hAnsi="Arial"/>
                <w:sz w:val="14"/>
                <w:szCs w:val="14"/>
                <w:b w:val="1"/>
                <w:bCs w:val="1"/>
                <w:color w:val="auto"/>
                <w:w w:val="94"/>
              </w:rPr>
              <w:t>Amortized Cost</w:t>
            </w:r>
          </w:p>
        </w:tc>
        <w:tc>
          <w:tcPr>
            <w:tcW w:w="24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215"/>
              <w:spacing w:after="0" w:line="155" w:lineRule="exact"/>
              <w:rPr>
                <w:sz w:val="20"/>
                <w:szCs w:val="20"/>
                <w:color w:val="auto"/>
              </w:rPr>
            </w:pPr>
            <w:r>
              <w:rPr>
                <w:rFonts w:ascii="Arial" w:cs="Arial" w:eastAsia="Arial" w:hAnsi="Arial"/>
                <w:sz w:val="14"/>
                <w:szCs w:val="14"/>
                <w:b w:val="1"/>
                <w:bCs w:val="1"/>
                <w:color w:val="auto"/>
              </w:rPr>
              <w:t>Fair Value</w:t>
            </w:r>
          </w:p>
        </w:tc>
        <w:tc>
          <w:tcPr>
            <w:tcW w:w="24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53"/>
              <w:spacing w:after="0" w:line="155" w:lineRule="exact"/>
              <w:rPr>
                <w:sz w:val="20"/>
                <w:szCs w:val="20"/>
                <w:color w:val="auto"/>
              </w:rPr>
            </w:pPr>
            <w:r>
              <w:rPr>
                <w:rFonts w:ascii="Arial" w:cs="Arial" w:eastAsia="Arial" w:hAnsi="Arial"/>
                <w:sz w:val="14"/>
                <w:szCs w:val="14"/>
                <w:b w:val="1"/>
                <w:bCs w:val="1"/>
                <w:color w:val="auto"/>
                <w:w w:val="92"/>
              </w:rPr>
              <w:t>Amortized Cost</w:t>
            </w:r>
          </w:p>
        </w:tc>
        <w:tc>
          <w:tcPr>
            <w:tcW w:w="120" w:type="dxa"/>
            <w:vAlign w:val="bottom"/>
            <w:tcBorders>
              <w:bottom w:val="single" w:sz="8" w:color="CFF0FC"/>
            </w:tcBorders>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2,405.0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2,365.3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2,196.9</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2,165.1</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Mezzanine debt investments</w:t>
            </w: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Equity and other investments</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141.9</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111.0</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w:t>
            </w:r>
          </w:p>
        </w:tc>
        <w:tc>
          <w:tcPr>
            <w:tcW w:w="12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4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2,570.0</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2,488.7</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2,298.9</w:t>
            </w: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2,259.0</w:t>
            </w:r>
          </w:p>
        </w:tc>
        <w:tc>
          <w:tcPr>
            <w:tcW w:w="120" w:type="dxa"/>
            <w:vAlign w:val="bottom"/>
            <w:tcBorders>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ind w:right="395"/>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4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57" w:right="319" w:bottom="1440" w:gutter="0" w:footer="0" w:header="0"/>
        </w:sectPr>
      </w:pPr>
    </w:p>
    <w:bookmarkStart w:id="57" w:name="page58"/>
    <w:bookmarkEnd w:id="57"/>
    <w:p>
      <w:pPr>
        <w:ind w:right="380" w:firstLine="255"/>
        <w:spacing w:after="0" w:line="277" w:lineRule="auto"/>
        <w:rPr>
          <w:sz w:val="20"/>
          <w:szCs w:val="20"/>
          <w:color w:val="auto"/>
        </w:rPr>
      </w:pPr>
      <w:r>
        <w:rPr>
          <w:rFonts w:ascii="Arial" w:cs="Arial" w:eastAsia="Arial" w:hAnsi="Arial"/>
          <w:sz w:val="18"/>
          <w:szCs w:val="18"/>
          <w:color w:val="auto"/>
        </w:rPr>
        <w:t>The following tables show the fair value and amortized cost of our performing and non-accrual investments as of June 30, 2021 and December 31, 2020:</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18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40" w:type="dxa"/>
            <w:vAlign w:val="bottom"/>
            <w:gridSpan w:val="6"/>
          </w:tcPr>
          <w:p>
            <w:pPr>
              <w:jc w:val="right"/>
              <w:ind w:right="1190"/>
              <w:spacing w:after="0"/>
              <w:rPr>
                <w:sz w:val="20"/>
                <w:szCs w:val="20"/>
                <w:color w:val="auto"/>
              </w:rPr>
            </w:pPr>
            <w:r>
              <w:rPr>
                <w:rFonts w:ascii="Arial" w:cs="Arial" w:eastAsia="Arial" w:hAnsi="Arial"/>
                <w:sz w:val="14"/>
                <w:szCs w:val="14"/>
                <w:b w:val="1"/>
                <w:bCs w:val="1"/>
                <w:color w:val="auto"/>
              </w:rPr>
              <w:t>June 30, 2021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60" w:type="dxa"/>
            <w:vAlign w:val="bottom"/>
            <w:gridSpan w:val="4"/>
          </w:tcPr>
          <w:p>
            <w:pPr>
              <w:jc w:val="right"/>
              <w:ind w:right="94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55"/>
        </w:trPr>
        <w:tc>
          <w:tcPr>
            <w:tcW w:w="4180" w:type="dxa"/>
            <w:vAlign w:val="bottom"/>
            <w:tcBorders>
              <w:bottom w:val="single" w:sz="8" w:color="CFF0FC"/>
            </w:tcBorders>
            <w:vMerge w:val="continue"/>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197"/>
              <w:spacing w:after="0" w:line="155" w:lineRule="exact"/>
              <w:rPr>
                <w:sz w:val="20"/>
                <w:szCs w:val="20"/>
                <w:color w:val="auto"/>
              </w:rPr>
            </w:pPr>
            <w:r>
              <w:rPr>
                <w:rFonts w:ascii="Arial" w:cs="Arial" w:eastAsia="Arial" w:hAnsi="Arial"/>
                <w:sz w:val="14"/>
                <w:szCs w:val="14"/>
                <w:b w:val="1"/>
                <w:bCs w:val="1"/>
                <w:color w:val="auto"/>
              </w:rPr>
              <w:t>Fair Value</w:t>
            </w:r>
          </w:p>
        </w:tc>
        <w:tc>
          <w:tcPr>
            <w:tcW w:w="300" w:type="dxa"/>
            <w:vAlign w:val="bottom"/>
            <w:tcBorders>
              <w:top w:val="single" w:sz="8" w:color="auto"/>
              <w:bottom w:val="single" w:sz="8" w:color="CFF0FC"/>
            </w:tcBorders>
            <w:gridSpan w:val="2"/>
          </w:tcPr>
          <w:p>
            <w:pPr>
              <w:spacing w:after="0"/>
              <w:rPr>
                <w:sz w:val="13"/>
                <w:szCs w:val="13"/>
                <w:color w:val="auto"/>
              </w:rPr>
            </w:pPr>
          </w:p>
        </w:tc>
        <w:tc>
          <w:tcPr>
            <w:tcW w:w="1180" w:type="dxa"/>
            <w:vAlign w:val="bottom"/>
            <w:tcBorders>
              <w:top w:val="single" w:sz="8" w:color="auto"/>
              <w:bottom w:val="single" w:sz="8" w:color="auto"/>
            </w:tcBorders>
            <w:gridSpan w:val="2"/>
          </w:tcPr>
          <w:p>
            <w:pPr>
              <w:jc w:val="right"/>
              <w:ind w:right="170"/>
              <w:spacing w:after="0" w:line="155" w:lineRule="exact"/>
              <w:rPr>
                <w:sz w:val="20"/>
                <w:szCs w:val="20"/>
                <w:color w:val="auto"/>
              </w:rPr>
            </w:pPr>
            <w:r>
              <w:rPr>
                <w:rFonts w:ascii="Arial" w:cs="Arial" w:eastAsia="Arial" w:hAnsi="Arial"/>
                <w:sz w:val="14"/>
                <w:szCs w:val="14"/>
                <w:b w:val="1"/>
                <w:bCs w:val="1"/>
                <w:color w:val="auto"/>
              </w:rPr>
              <w:t>Percentage</w:t>
            </w:r>
          </w:p>
        </w:tc>
        <w:tc>
          <w:tcPr>
            <w:tcW w:w="3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197"/>
              <w:spacing w:after="0" w:line="155" w:lineRule="exact"/>
              <w:rPr>
                <w:sz w:val="20"/>
                <w:szCs w:val="20"/>
                <w:color w:val="auto"/>
              </w:rPr>
            </w:pPr>
            <w:r>
              <w:rPr>
                <w:rFonts w:ascii="Arial" w:cs="Arial" w:eastAsia="Arial" w:hAnsi="Arial"/>
                <w:sz w:val="14"/>
                <w:szCs w:val="14"/>
                <w:b w:val="1"/>
                <w:bCs w:val="1"/>
                <w:color w:val="auto"/>
              </w:rPr>
              <w:t>Fair Value</w:t>
            </w:r>
          </w:p>
        </w:tc>
        <w:tc>
          <w:tcPr>
            <w:tcW w:w="280" w:type="dxa"/>
            <w:vAlign w:val="bottom"/>
            <w:tcBorders>
              <w:top w:val="single" w:sz="8" w:color="auto"/>
              <w:bottom w:val="single" w:sz="8" w:color="CFF0FC"/>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Percentage</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Performing</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2,569.5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87"/>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2,277.3</w:t>
            </w:r>
          </w:p>
        </w:tc>
        <w:tc>
          <w:tcPr>
            <w:tcW w:w="2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29"/>
        </w:trPr>
        <w:tc>
          <w:tcPr>
            <w:tcW w:w="4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Non-accrual </w:t>
            </w:r>
            <w:r>
              <w:rPr>
                <w:rFonts w:ascii="Arial" w:cs="Arial" w:eastAsia="Arial" w:hAnsi="Arial"/>
                <w:sz w:val="15"/>
                <w:szCs w:val="15"/>
                <w:color w:val="auto"/>
              </w:rPr>
              <w:t>(1)</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0.0</w:t>
            </w:r>
          </w:p>
        </w:tc>
        <w:tc>
          <w:tcPr>
            <w:tcW w:w="3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280" w:type="dxa"/>
            <w:vAlign w:val="bottom"/>
            <w:tcBorders>
              <w:bottom w:val="single" w:sz="8" w:color="CFF0FC"/>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80" w:type="dxa"/>
            <w:vAlign w:val="bottom"/>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2,570.0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540" w:type="dxa"/>
            <w:vAlign w:val="bottom"/>
            <w:gridSpan w:val="3"/>
            <w:shd w:val="clear" w:color="auto" w:fill="CFF0FC"/>
          </w:tcPr>
          <w:p>
            <w:pPr>
              <w:jc w:val="right"/>
              <w:ind w:right="110"/>
              <w:spacing w:after="0"/>
              <w:rPr>
                <w:sz w:val="20"/>
                <w:szCs w:val="20"/>
                <w:color w:val="auto"/>
              </w:rPr>
            </w:pPr>
            <w:r>
              <w:rPr>
                <w:rFonts w:ascii="Arial" w:cs="Arial" w:eastAsia="Arial" w:hAnsi="Arial"/>
                <w:sz w:val="18"/>
                <w:szCs w:val="18"/>
                <w:color w:val="auto"/>
              </w:rPr>
              <w:t>100.0%</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2,298.9</w:t>
            </w:r>
          </w:p>
        </w:tc>
        <w:tc>
          <w:tcPr>
            <w:tcW w:w="2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1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18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40" w:type="dxa"/>
            <w:vAlign w:val="bottom"/>
            <w:gridSpan w:val="6"/>
          </w:tcPr>
          <w:p>
            <w:pPr>
              <w:jc w:val="right"/>
              <w:ind w:right="1210"/>
              <w:spacing w:after="0"/>
              <w:rPr>
                <w:sz w:val="20"/>
                <w:szCs w:val="20"/>
                <w:color w:val="auto"/>
              </w:rPr>
            </w:pPr>
            <w:r>
              <w:rPr>
                <w:rFonts w:ascii="Arial" w:cs="Arial" w:eastAsia="Arial" w:hAnsi="Arial"/>
                <w:sz w:val="14"/>
                <w:szCs w:val="14"/>
                <w:b w:val="1"/>
                <w:bCs w:val="1"/>
                <w:color w:val="auto"/>
              </w:rPr>
              <w:t>June 30, 2021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60" w:type="dxa"/>
            <w:vAlign w:val="bottom"/>
            <w:gridSpan w:val="4"/>
          </w:tcPr>
          <w:p>
            <w:pPr>
              <w:jc w:val="right"/>
              <w:ind w:right="96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56"/>
        </w:trPr>
        <w:tc>
          <w:tcPr>
            <w:tcW w:w="4180" w:type="dxa"/>
            <w:vAlign w:val="bottom"/>
            <w:tcBorders>
              <w:bottom w:val="single" w:sz="8" w:color="CFF0FC"/>
            </w:tcBorders>
            <w:vMerge w:val="continue"/>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57"/>
              <w:spacing w:after="0" w:line="155" w:lineRule="exact"/>
              <w:rPr>
                <w:sz w:val="20"/>
                <w:szCs w:val="20"/>
                <w:color w:val="auto"/>
              </w:rPr>
            </w:pPr>
            <w:r>
              <w:rPr>
                <w:rFonts w:ascii="Arial" w:cs="Arial" w:eastAsia="Arial" w:hAnsi="Arial"/>
                <w:sz w:val="14"/>
                <w:szCs w:val="14"/>
                <w:b w:val="1"/>
                <w:bCs w:val="1"/>
                <w:color w:val="auto"/>
                <w:w w:val="90"/>
              </w:rPr>
              <w:t>Amortized Cost</w:t>
            </w:r>
          </w:p>
        </w:tc>
        <w:tc>
          <w:tcPr>
            <w:tcW w:w="28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Percentage</w:t>
            </w:r>
          </w:p>
        </w:tc>
        <w:tc>
          <w:tcPr>
            <w:tcW w:w="380" w:type="dxa"/>
            <w:vAlign w:val="bottom"/>
            <w:tcBorders>
              <w:bottom w:val="single" w:sz="8" w:color="CFF0FC"/>
            </w:tcBorders>
            <w:gridSpan w:val="2"/>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37"/>
              <w:spacing w:after="0" w:line="155" w:lineRule="exact"/>
              <w:rPr>
                <w:sz w:val="20"/>
                <w:szCs w:val="20"/>
                <w:color w:val="auto"/>
              </w:rPr>
            </w:pPr>
            <w:r>
              <w:rPr>
                <w:rFonts w:ascii="Arial" w:cs="Arial" w:eastAsia="Arial" w:hAnsi="Arial"/>
                <w:sz w:val="14"/>
                <w:szCs w:val="14"/>
                <w:b w:val="1"/>
                <w:bCs w:val="1"/>
                <w:color w:val="auto"/>
                <w:w w:val="92"/>
              </w:rPr>
              <w:t>Amortized Cost</w:t>
            </w:r>
          </w:p>
        </w:tc>
        <w:tc>
          <w:tcPr>
            <w:tcW w:w="280" w:type="dxa"/>
            <w:vAlign w:val="bottom"/>
            <w:tcBorders>
              <w:top w:val="single" w:sz="8" w:color="auto"/>
              <w:bottom w:val="single" w:sz="8" w:color="CFF0FC"/>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Percentage</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Performing</w:t>
            </w: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2,486.7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99.9</w:t>
            </w:r>
          </w:p>
        </w:tc>
        <w:tc>
          <w:tcPr>
            <w:tcW w:w="38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w w:val="87"/>
              </w:rPr>
              <w:t>%</w:t>
            </w:r>
          </w:p>
        </w:tc>
        <w:tc>
          <w:tcPr>
            <w:tcW w:w="10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2,233.7</w:t>
            </w:r>
          </w:p>
        </w:tc>
        <w:tc>
          <w:tcPr>
            <w:tcW w:w="2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98.9%</w:t>
            </w:r>
          </w:p>
        </w:tc>
        <w:tc>
          <w:tcPr>
            <w:tcW w:w="0" w:type="dxa"/>
            <w:vAlign w:val="bottom"/>
          </w:tcPr>
          <w:p>
            <w:pPr>
              <w:spacing w:after="0"/>
              <w:rPr>
                <w:sz w:val="1"/>
                <w:szCs w:val="1"/>
                <w:color w:val="auto"/>
              </w:rPr>
            </w:pPr>
          </w:p>
        </w:tc>
      </w:tr>
      <w:tr>
        <w:trPr>
          <w:trHeight w:val="229"/>
        </w:trPr>
        <w:tc>
          <w:tcPr>
            <w:tcW w:w="4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Non-accrual </w:t>
            </w:r>
            <w:r>
              <w:rPr>
                <w:rFonts w:ascii="Arial" w:cs="Arial" w:eastAsia="Arial" w:hAnsi="Arial"/>
                <w:sz w:val="15"/>
                <w:szCs w:val="15"/>
                <w:color w:val="auto"/>
              </w:rPr>
              <w:t>(1)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0" w:type="dxa"/>
            <w:vAlign w:val="bottom"/>
            <w:tcBorders>
              <w:bottom w:val="single" w:sz="8" w:color="CFF0FC"/>
            </w:tcBorders>
          </w:tcPr>
          <w:p>
            <w:pPr>
              <w:spacing w:after="0"/>
              <w:rPr>
                <w:sz w:val="19"/>
                <w:szCs w:val="19"/>
                <w:color w:val="auto"/>
              </w:rPr>
            </w:pPr>
          </w:p>
        </w:tc>
        <w:tc>
          <w:tcPr>
            <w:tcW w:w="36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280" w:type="dxa"/>
            <w:vAlign w:val="bottom"/>
            <w:tcBorders>
              <w:bottom w:val="single" w:sz="8" w:color="CFF0FC"/>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80" w:type="dxa"/>
            <w:vAlign w:val="bottom"/>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2,488.7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540" w:type="dxa"/>
            <w:vAlign w:val="bottom"/>
            <w:gridSpan w:val="3"/>
            <w:shd w:val="clear" w:color="auto" w:fill="CFF0FC"/>
          </w:tcPr>
          <w:p>
            <w:pPr>
              <w:jc w:val="right"/>
              <w:ind w:right="130"/>
              <w:spacing w:after="0"/>
              <w:rPr>
                <w:sz w:val="20"/>
                <w:szCs w:val="20"/>
                <w:color w:val="auto"/>
              </w:rPr>
            </w:pPr>
            <w:r>
              <w:rPr>
                <w:rFonts w:ascii="Arial" w:cs="Arial" w:eastAsia="Arial" w:hAnsi="Arial"/>
                <w:sz w:val="18"/>
                <w:szCs w:val="18"/>
                <w:color w:val="auto"/>
              </w:rPr>
              <w:t>100.0%</w:t>
            </w:r>
          </w:p>
        </w:tc>
        <w:tc>
          <w:tcPr>
            <w:tcW w:w="10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2,259.0</w:t>
            </w:r>
          </w:p>
        </w:tc>
        <w:tc>
          <w:tcPr>
            <w:tcW w:w="2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1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00" w:right="160" w:hanging="492"/>
        <w:spacing w:after="0" w:line="296" w:lineRule="auto"/>
        <w:tabs>
          <w:tab w:leader="none" w:pos="5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w:t>
      </w:r>
    </w:p>
    <w:p>
      <w:pPr>
        <w:spacing w:after="0" w:line="175" w:lineRule="exact"/>
        <w:rPr>
          <w:sz w:val="20"/>
          <w:szCs w:val="20"/>
          <w:color w:val="auto"/>
        </w:rPr>
      </w:pPr>
    </w:p>
    <w:p>
      <w:pPr>
        <w:ind w:right="320" w:firstLine="255"/>
        <w:spacing w:after="0" w:line="277" w:lineRule="auto"/>
        <w:rPr>
          <w:sz w:val="20"/>
          <w:szCs w:val="20"/>
          <w:color w:val="auto"/>
        </w:rPr>
      </w:pPr>
      <w:r>
        <w:rPr>
          <w:rFonts w:ascii="Arial" w:cs="Arial" w:eastAsia="Arial" w:hAnsi="Arial"/>
          <w:sz w:val="18"/>
          <w:szCs w:val="18"/>
          <w:color w:val="auto"/>
        </w:rPr>
        <w:t>The weighted average yields and interest rates of our performing debt investments at fair value as of June 30, 2021 and December 31, 2020 were as follows:</w:t>
      </w:r>
    </w:p>
    <w:p>
      <w:pPr>
        <w:spacing w:after="0" w:line="243"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1120" w:type="dxa"/>
            <w:vAlign w:val="bottom"/>
          </w:tcPr>
          <w:p>
            <w:pPr>
              <w:ind w:left="260"/>
              <w:spacing w:after="0"/>
              <w:rPr>
                <w:sz w:val="20"/>
                <w:szCs w:val="20"/>
                <w:color w:val="auto"/>
              </w:rPr>
            </w:pPr>
            <w:r>
              <w:rPr>
                <w:rFonts w:ascii="Arial" w:cs="Arial" w:eastAsia="Arial" w:hAnsi="Arial"/>
                <w:sz w:val="14"/>
                <w:szCs w:val="14"/>
                <w:b w:val="1"/>
                <w:bCs w:val="1"/>
                <w:color w:val="auto"/>
                <w:w w:val="92"/>
              </w:rPr>
              <w:t>June 30, 2021</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9"/>
              </w:rPr>
              <w:t>December 31, 2020</w:t>
            </w:r>
          </w:p>
        </w:tc>
      </w:tr>
      <w:tr>
        <w:trPr>
          <w:trHeight w:val="209"/>
        </w:trPr>
        <w:tc>
          <w:tcPr>
            <w:tcW w:w="4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total yield of debt and income</w:t>
            </w:r>
          </w:p>
        </w:tc>
        <w:tc>
          <w:tcPr>
            <w:tcW w:w="1120" w:type="dxa"/>
            <w:vAlign w:val="bottom"/>
            <w:tcBorders>
              <w:top w:val="single" w:sz="8" w:color="auto"/>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r>
      <w:tr>
        <w:trPr>
          <w:trHeight w:val="230"/>
        </w:trPr>
        <w:tc>
          <w:tcPr>
            <w:tcW w:w="57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 xml:space="preserve">producing securities </w:t>
            </w:r>
            <w:r>
              <w:rPr>
                <w:rFonts w:ascii="Arial" w:cs="Arial" w:eastAsia="Arial" w:hAnsi="Arial"/>
                <w:sz w:val="15"/>
                <w:szCs w:val="15"/>
                <w:color w:val="auto"/>
              </w:rPr>
              <w:t>(1)</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9.8%</w:t>
            </w:r>
          </w:p>
        </w:tc>
        <w:tc>
          <w:tcPr>
            <w:tcW w:w="140" w:type="dxa"/>
            <w:vAlign w:val="bottom"/>
            <w:shd w:val="clear" w:color="auto" w:fill="CFF0FC"/>
          </w:tcPr>
          <w:p>
            <w:pPr>
              <w:spacing w:after="0"/>
              <w:rPr>
                <w:sz w:val="20"/>
                <w:szCs w:val="20"/>
                <w:color w:val="auto"/>
              </w:rPr>
            </w:pPr>
          </w:p>
        </w:tc>
        <w:tc>
          <w:tcPr>
            <w:tcW w:w="15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w:t>
            </w:r>
          </w:p>
        </w:tc>
      </w:tr>
      <w:tr>
        <w:trPr>
          <w:trHeight w:val="215"/>
        </w:trPr>
        <w:tc>
          <w:tcPr>
            <w:tcW w:w="5700" w:type="dxa"/>
            <w:vAlign w:val="bottom"/>
            <w:gridSpan w:val="2"/>
          </w:tcPr>
          <w:p>
            <w:pPr>
              <w:spacing w:after="0"/>
              <w:rPr>
                <w:sz w:val="20"/>
                <w:szCs w:val="20"/>
                <w:color w:val="auto"/>
              </w:rPr>
            </w:pPr>
            <w:r>
              <w:rPr>
                <w:rFonts w:ascii="Arial" w:cs="Arial" w:eastAsia="Arial" w:hAnsi="Arial"/>
                <w:sz w:val="18"/>
                <w:szCs w:val="18"/>
                <w:color w:val="auto"/>
              </w:rPr>
              <w:t>Weighted average interest rate of debt and income</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5700" w:type="dxa"/>
            <w:vAlign w:val="bottom"/>
            <w:gridSpan w:val="2"/>
          </w:tcPr>
          <w:p>
            <w:pPr>
              <w:ind w:left="140"/>
              <w:spacing w:after="0"/>
              <w:rPr>
                <w:sz w:val="20"/>
                <w:szCs w:val="20"/>
                <w:color w:val="auto"/>
              </w:rPr>
            </w:pPr>
            <w:r>
              <w:rPr>
                <w:rFonts w:ascii="Arial" w:cs="Arial" w:eastAsia="Arial" w:hAnsi="Arial"/>
                <w:sz w:val="18"/>
                <w:szCs w:val="18"/>
                <w:color w:val="auto"/>
              </w:rPr>
              <w:t>producing securities</w:t>
            </w:r>
          </w:p>
        </w:tc>
        <w:tc>
          <w:tcPr>
            <w:tcW w:w="440" w:type="dxa"/>
            <w:vAlign w:val="bottom"/>
          </w:tcPr>
          <w:p>
            <w:pPr>
              <w:jc w:val="right"/>
              <w:spacing w:after="0"/>
              <w:rPr>
                <w:sz w:val="20"/>
                <w:szCs w:val="20"/>
                <w:color w:val="auto"/>
              </w:rPr>
            </w:pPr>
            <w:r>
              <w:rPr>
                <w:rFonts w:ascii="Arial" w:cs="Arial" w:eastAsia="Arial" w:hAnsi="Arial"/>
                <w:sz w:val="18"/>
                <w:szCs w:val="18"/>
                <w:color w:val="auto"/>
                <w:w w:val="97"/>
              </w:rPr>
              <w:t>9.4%</w:t>
            </w:r>
          </w:p>
        </w:tc>
        <w:tc>
          <w:tcPr>
            <w:tcW w:w="140" w:type="dxa"/>
            <w:vAlign w:val="bottom"/>
          </w:tcPr>
          <w:p>
            <w:pPr>
              <w:spacing w:after="0"/>
              <w:rPr>
                <w:sz w:val="20"/>
                <w:szCs w:val="20"/>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9.5%</w:t>
            </w:r>
          </w:p>
        </w:tc>
      </w:tr>
      <w:tr>
        <w:trPr>
          <w:trHeight w:val="215"/>
        </w:trPr>
        <w:tc>
          <w:tcPr>
            <w:tcW w:w="5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Weighted average spread over LIBOR of all floating</w:t>
            </w:r>
          </w:p>
        </w:tc>
        <w:tc>
          <w:tcPr>
            <w:tcW w:w="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57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 xml:space="preserve">rate investments </w:t>
            </w:r>
            <w:r>
              <w:rPr>
                <w:rFonts w:ascii="Arial" w:cs="Arial" w:eastAsia="Arial" w:hAnsi="Arial"/>
                <w:sz w:val="15"/>
                <w:szCs w:val="15"/>
                <w:color w:val="auto"/>
              </w:rPr>
              <w:t>(2)</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9.3%</w:t>
            </w:r>
          </w:p>
        </w:tc>
        <w:tc>
          <w:tcPr>
            <w:tcW w:w="140" w:type="dxa"/>
            <w:vAlign w:val="bottom"/>
            <w:shd w:val="clear" w:color="auto" w:fill="CFF0FC"/>
          </w:tcPr>
          <w:p>
            <w:pPr>
              <w:spacing w:after="0"/>
              <w:rPr>
                <w:sz w:val="20"/>
                <w:szCs w:val="20"/>
                <w:color w:val="auto"/>
              </w:rPr>
            </w:pPr>
          </w:p>
        </w:tc>
        <w:tc>
          <w:tcPr>
            <w:tcW w:w="15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9.3%</w:t>
            </w:r>
          </w:p>
        </w:tc>
      </w:tr>
    </w:tbl>
    <w:p>
      <w:pPr>
        <w:spacing w:after="0" w:line="229" w:lineRule="exact"/>
        <w:rPr>
          <w:sz w:val="20"/>
          <w:szCs w:val="20"/>
          <w:color w:val="auto"/>
        </w:rPr>
      </w:pPr>
    </w:p>
    <w:p>
      <w:pPr>
        <w:ind w:left="500" w:hanging="492"/>
        <w:spacing w:after="0"/>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Weighted average total portfolio yield at fair value was 9.4% at June 30, 2021 and 9.5% at December 31, 2020.</w:t>
      </w:r>
    </w:p>
    <w:p>
      <w:pPr>
        <w:spacing w:after="0" w:line="49" w:lineRule="exact"/>
        <w:rPr>
          <w:rFonts w:ascii="Arial" w:cs="Arial" w:eastAsia="Arial" w:hAnsi="Arial"/>
          <w:sz w:val="18"/>
          <w:szCs w:val="18"/>
          <w:color w:val="auto"/>
        </w:rPr>
      </w:pPr>
    </w:p>
    <w:p>
      <w:pPr>
        <w:ind w:left="500" w:hanging="492"/>
        <w:spacing w:after="0"/>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Includes fixed rate investments for which we entered into interest rate swap agreements to swap to floating rates.</w:t>
      </w:r>
    </w:p>
    <w:p>
      <w:pPr>
        <w:spacing w:after="0" w:line="239" w:lineRule="exact"/>
        <w:rPr>
          <w:sz w:val="20"/>
          <w:szCs w:val="20"/>
          <w:color w:val="auto"/>
        </w:rPr>
      </w:pPr>
    </w:p>
    <w:p>
      <w:pPr>
        <w:jc w:val="both"/>
        <w:ind w:right="100" w:firstLine="255"/>
        <w:spacing w:after="0" w:line="263" w:lineRule="auto"/>
        <w:rPr>
          <w:sz w:val="20"/>
          <w:szCs w:val="20"/>
          <w:color w:val="auto"/>
        </w:rPr>
      </w:pPr>
      <w:r>
        <w:rPr>
          <w:rFonts w:ascii="Arial" w:cs="Arial" w:eastAsia="Arial" w:hAnsi="Arial"/>
          <w:sz w:val="18"/>
          <w:szCs w:val="18"/>
          <w:color w:val="auto"/>
        </w:rPr>
        <w:t>The Adviser monitors our portfolio companies on an ongoing basis. The Adviser monitors the financial trends of each portfolio company to determine if it is meeting its business plans and to assess the appropriate course of action for each company. The Adviser has a number of methods of evaluating and monitoring the performance and fair value of our investments, which may include the following:</w:t>
      </w:r>
    </w:p>
    <w:p>
      <w:pPr>
        <w:spacing w:after="0" w:line="76" w:lineRule="exact"/>
        <w:rPr>
          <w:sz w:val="20"/>
          <w:szCs w:val="20"/>
          <w:color w:val="auto"/>
        </w:rPr>
      </w:pPr>
    </w:p>
    <w:p>
      <w:pPr>
        <w:ind w:left="500" w:hanging="249"/>
        <w:spacing w:after="0"/>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assessment of success of the portfolio company in adhering to its business plan and compliance with covenants;</w:t>
      </w:r>
    </w:p>
    <w:p>
      <w:pPr>
        <w:spacing w:after="0" w:line="117" w:lineRule="exact"/>
        <w:rPr>
          <w:rFonts w:ascii="Arial" w:cs="Arial" w:eastAsia="Arial" w:hAnsi="Arial"/>
          <w:sz w:val="18"/>
          <w:szCs w:val="18"/>
          <w:color w:val="auto"/>
        </w:rPr>
      </w:pPr>
    </w:p>
    <w:p>
      <w:pPr>
        <w:ind w:left="500" w:right="40" w:hanging="249"/>
        <w:spacing w:after="0" w:line="277" w:lineRule="auto"/>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periodic and regular contact with portfolio company management and, if appropriate, the financial or strategic sponsor, to discuss financial position, requirements and accomplishments;</w:t>
      </w:r>
    </w:p>
    <w:p>
      <w:pPr>
        <w:spacing w:after="0" w:line="62" w:lineRule="exact"/>
        <w:rPr>
          <w:rFonts w:ascii="Arial" w:cs="Arial" w:eastAsia="Arial" w:hAnsi="Arial"/>
          <w:sz w:val="18"/>
          <w:szCs w:val="18"/>
          <w:color w:val="auto"/>
        </w:rPr>
      </w:pPr>
    </w:p>
    <w:p>
      <w:pPr>
        <w:ind w:left="500" w:hanging="249"/>
        <w:spacing w:after="0"/>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comparisons to other companies in the industry;</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and</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review of monthly and quarterly financial statements and financial projections for portfolio companies.</w:t>
      </w:r>
    </w:p>
    <w:p>
      <w:pPr>
        <w:spacing w:after="0" w:line="225" w:lineRule="exact"/>
        <w:rPr>
          <w:sz w:val="20"/>
          <w:szCs w:val="20"/>
          <w:color w:val="auto"/>
        </w:rPr>
      </w:pPr>
    </w:p>
    <w:p>
      <w:pPr>
        <w:ind w:firstLine="255"/>
        <w:spacing w:after="0" w:line="263" w:lineRule="auto"/>
        <w:rPr>
          <w:sz w:val="20"/>
          <w:szCs w:val="20"/>
          <w:color w:val="auto"/>
        </w:rPr>
      </w:pPr>
      <w:r>
        <w:rPr>
          <w:rFonts w:ascii="Arial" w:cs="Arial" w:eastAsia="Arial" w:hAnsi="Arial"/>
          <w:sz w:val="18"/>
          <w:szCs w:val="18"/>
          <w:color w:val="auto"/>
        </w:rPr>
        <w:t>As part of the monitoring process, the Adviser regularly assesses the risk profile of each of our investments and, on a quarterly basis, grades each investment on a risk scale of 1 to 5. Risk assessment is not standardized in our industry and our risk assessment may not be comparable to ones used by our competitors. Our assessment is based on the following categories:</w:t>
      </w:r>
    </w:p>
    <w:p>
      <w:pPr>
        <w:spacing w:after="0" w:line="76" w:lineRule="exact"/>
        <w:rPr>
          <w:sz w:val="20"/>
          <w:szCs w:val="20"/>
          <w:color w:val="auto"/>
        </w:rPr>
      </w:pPr>
    </w:p>
    <w:p>
      <w:pPr>
        <w:jc w:val="both"/>
        <w:ind w:left="500" w:right="620" w:hanging="249"/>
        <w:spacing w:after="0" w:line="263" w:lineRule="auto"/>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 investment is rated 1 if, in the opinion of the Adviser, it is performing as agreed and there are no concerns about the portfolio company’s performance or ability to meet covenant requirements. For these investments, the Adviser generally prepares monthly reports on investment performance and intensive quarterly asset reviews.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98" w:right="379" w:bottom="1440" w:gutter="0" w:footer="0" w:header="0"/>
        </w:sectPr>
      </w:pPr>
    </w:p>
    <w:bookmarkStart w:id="58" w:name="page59"/>
    <w:bookmarkEnd w:id="58"/>
    <w:p>
      <w:pPr>
        <w:ind w:left="500" w:right="160" w:hanging="249"/>
        <w:spacing w:after="0" w:line="263" w:lineRule="auto"/>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 investment is rated 2 if it is performing as agreed, but, in the opinion of the Adviser, there may be concerns about the company’s operating performance or trends in the industry. For these investments, in addition to monthly reports and quarterly asset reviews, the Adviser also researches any areas of concern with the objective of early intervention with the portfolio company.</w:t>
      </w:r>
    </w:p>
    <w:p>
      <w:pPr>
        <w:spacing w:after="0" w:line="75" w:lineRule="exact"/>
        <w:rPr>
          <w:rFonts w:ascii="Arial" w:cs="Arial" w:eastAsia="Arial" w:hAnsi="Arial"/>
          <w:sz w:val="18"/>
          <w:szCs w:val="18"/>
          <w:color w:val="auto"/>
        </w:rPr>
      </w:pPr>
    </w:p>
    <w:p>
      <w:pPr>
        <w:ind w:left="500" w:right="240" w:hanging="249"/>
        <w:spacing w:after="0" w:line="263" w:lineRule="auto"/>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 investment will be assigned a rating of 3 if it is paying its obligations to us as agreed but a material covenant violation is expected. For these investments, in addition to monthly reports and quarterly asset reviews, the Adviser also adds the investment to its “watch list” and researches any areas of concern with the objective of early intervention with the portfolio company.</w:t>
      </w:r>
    </w:p>
    <w:p>
      <w:pPr>
        <w:spacing w:after="0" w:line="75" w:lineRule="exact"/>
        <w:rPr>
          <w:rFonts w:ascii="Arial" w:cs="Arial" w:eastAsia="Arial" w:hAnsi="Arial"/>
          <w:sz w:val="18"/>
          <w:szCs w:val="18"/>
          <w:color w:val="auto"/>
        </w:rPr>
      </w:pPr>
    </w:p>
    <w:p>
      <w:pPr>
        <w:ind w:left="500" w:right="140" w:hanging="249"/>
        <w:spacing w:after="0" w:line="255" w:lineRule="auto"/>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 investment will be assigned a rating of 4 if a material covenant has been violated, but the company is making its scheduled payments on its obligations to us. For these investments, the Adviser generally prepares a bi-monthly asset review email and generally has monthly meetings with the portfolio company’s senior management. For investments where there have been material defaults, including bankruptcy filings, failures to achieve financial performance requirements or failure to maintain liquidity or loan-to-value requirements, the Adviser often will take immediate action to protect its position. These remedies may include negotiating for additional collateral, modifying investment terms or structure, or payment of amendment and waiver fees.</w:t>
      </w:r>
    </w:p>
    <w:p>
      <w:pPr>
        <w:spacing w:after="0" w:line="84" w:lineRule="exact"/>
        <w:rPr>
          <w:rFonts w:ascii="Arial" w:cs="Arial" w:eastAsia="Arial" w:hAnsi="Arial"/>
          <w:sz w:val="18"/>
          <w:szCs w:val="18"/>
          <w:color w:val="auto"/>
        </w:rPr>
      </w:pPr>
    </w:p>
    <w:p>
      <w:pPr>
        <w:ind w:left="500" w:right="320" w:hanging="249"/>
        <w:spacing w:after="0" w:line="279" w:lineRule="auto"/>
        <w:tabs>
          <w:tab w:leader="none" w:pos="5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 rating of 5 indicates an investment is in default on its interest and/or principal payments. For these investments, our Adviser reviews the investments on a bi-monthly basis and, where possible, pursues workouts that achieve an early resolution to avoid further deterioration of our investment. The Adviser retains legal counsel and takes actions to preserve our rights, which may include working with the portfolio company to have the default cured, to have the investment restructured or to have the investment repaid through a consensual workout.</w:t>
      </w:r>
    </w:p>
    <w:p>
      <w:pPr>
        <w:spacing w:after="0" w:line="171" w:lineRule="exact"/>
        <w:rPr>
          <w:sz w:val="20"/>
          <w:szCs w:val="20"/>
          <w:color w:val="auto"/>
        </w:rPr>
      </w:pPr>
    </w:p>
    <w:p>
      <w:pPr>
        <w:ind w:right="300" w:firstLine="255"/>
        <w:spacing w:after="0" w:line="286" w:lineRule="auto"/>
        <w:rPr>
          <w:sz w:val="20"/>
          <w:szCs w:val="20"/>
          <w:color w:val="auto"/>
        </w:rPr>
      </w:pPr>
      <w:r>
        <w:rPr>
          <w:rFonts w:ascii="Arial" w:cs="Arial" w:eastAsia="Arial" w:hAnsi="Arial"/>
          <w:sz w:val="17"/>
          <w:szCs w:val="17"/>
          <w:color w:val="auto"/>
        </w:rPr>
        <w:t>The following table shows the distribution of our investments on the 1 to 5 investment performance rating scale at fair value as of June 30, 2021 and December 31, 2020. Investment performance ratings are accurate only as of those dates and may change due to subsequent developments relating to a portfolio company’s business or financial condition, market conditions or developments, and other factors.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Investment</w:t>
            </w:r>
          </w:p>
        </w:tc>
        <w:tc>
          <w:tcPr>
            <w:tcW w:w="320" w:type="dxa"/>
            <w:vAlign w:val="bottom"/>
            <w:tcBorders>
              <w:bottom w:val="single" w:sz="8" w:color="auto"/>
            </w:tcBorders>
          </w:tcPr>
          <w:p>
            <w:pPr>
              <w:spacing w:after="0"/>
              <w:rPr>
                <w:sz w:val="14"/>
                <w:szCs w:val="14"/>
                <w:color w:val="auto"/>
              </w:rPr>
            </w:pPr>
          </w:p>
        </w:tc>
        <w:tc>
          <w:tcPr>
            <w:tcW w:w="3420" w:type="dxa"/>
            <w:vAlign w:val="bottom"/>
            <w:tcBorders>
              <w:bottom w:val="single" w:sz="8" w:color="auto"/>
            </w:tcBorders>
            <w:gridSpan w:val="3"/>
          </w:tcPr>
          <w:p>
            <w:pPr>
              <w:ind w:left="1380"/>
              <w:spacing w:after="0"/>
              <w:rPr>
                <w:sz w:val="20"/>
                <w:szCs w:val="20"/>
                <w:color w:val="auto"/>
              </w:rPr>
            </w:pPr>
            <w:r>
              <w:rPr>
                <w:rFonts w:ascii="Arial" w:cs="Arial" w:eastAsia="Arial" w:hAnsi="Arial"/>
                <w:sz w:val="14"/>
                <w:szCs w:val="14"/>
                <w:b w:val="1"/>
                <w:bCs w:val="1"/>
                <w:color w:val="auto"/>
              </w:rPr>
              <w:t>June 30, 2021</w:t>
            </w:r>
          </w:p>
        </w:tc>
        <w:tc>
          <w:tcPr>
            <w:tcW w:w="4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3"/>
          </w:tcPr>
          <w:p>
            <w:pPr>
              <w:ind w:left="840"/>
              <w:spacing w:after="0"/>
              <w:rPr>
                <w:sz w:val="20"/>
                <w:szCs w:val="20"/>
                <w:color w:val="auto"/>
              </w:rPr>
            </w:pPr>
            <w:r>
              <w:rPr>
                <w:rFonts w:ascii="Arial" w:cs="Arial" w:eastAsia="Arial" w:hAnsi="Arial"/>
                <w:sz w:val="14"/>
                <w:szCs w:val="14"/>
                <w:b w:val="1"/>
                <w:bCs w:val="1"/>
                <w:color w:val="auto"/>
                <w:w w:val="93"/>
              </w:rPr>
              <w:t>December 31, 2020</w:t>
            </w:r>
          </w:p>
        </w:tc>
        <w:tc>
          <w:tcPr>
            <w:tcW w:w="14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24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640" w:type="dxa"/>
            <w:vAlign w:val="bottom"/>
          </w:tcPr>
          <w:p>
            <w:pPr>
              <w:jc w:val="center"/>
              <w:ind w:right="257"/>
              <w:spacing w:after="0" w:line="147" w:lineRule="exact"/>
              <w:rPr>
                <w:sz w:val="20"/>
                <w:szCs w:val="20"/>
                <w:color w:val="auto"/>
              </w:rPr>
            </w:pPr>
            <w:r>
              <w:rPr>
                <w:rFonts w:ascii="Arial" w:cs="Arial" w:eastAsia="Arial" w:hAnsi="Arial"/>
                <w:sz w:val="14"/>
                <w:szCs w:val="14"/>
                <w:b w:val="1"/>
                <w:bCs w:val="1"/>
                <w:color w:val="auto"/>
                <w:w w:val="91"/>
              </w:rPr>
              <w:t>Investments at</w:t>
            </w:r>
          </w:p>
        </w:tc>
        <w:tc>
          <w:tcPr>
            <w:tcW w:w="3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2"/>
          </w:tcPr>
          <w:p>
            <w:pPr>
              <w:jc w:val="right"/>
              <w:ind w:right="455"/>
              <w:spacing w:after="0" w:line="147" w:lineRule="exact"/>
              <w:rPr>
                <w:sz w:val="20"/>
                <w:szCs w:val="20"/>
                <w:color w:val="auto"/>
              </w:rPr>
            </w:pPr>
            <w:r>
              <w:rPr>
                <w:rFonts w:ascii="Arial" w:cs="Arial" w:eastAsia="Arial" w:hAnsi="Arial"/>
                <w:sz w:val="14"/>
                <w:szCs w:val="14"/>
                <w:b w:val="1"/>
                <w:bCs w:val="1"/>
                <w:color w:val="auto"/>
              </w:rPr>
              <w:t>Investments at</w:t>
            </w: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Performance</w:t>
            </w:r>
          </w:p>
        </w:tc>
        <w:tc>
          <w:tcPr>
            <w:tcW w:w="320" w:type="dxa"/>
            <w:vAlign w:val="bottom"/>
          </w:tcPr>
          <w:p>
            <w:pPr>
              <w:spacing w:after="0"/>
              <w:rPr>
                <w:sz w:val="14"/>
                <w:szCs w:val="14"/>
                <w:color w:val="auto"/>
              </w:rPr>
            </w:pPr>
          </w:p>
        </w:tc>
        <w:tc>
          <w:tcPr>
            <w:tcW w:w="1640" w:type="dxa"/>
            <w:vAlign w:val="bottom"/>
          </w:tcPr>
          <w:p>
            <w:pPr>
              <w:jc w:val="center"/>
              <w:ind w:right="237"/>
              <w:spacing w:after="0"/>
              <w:rPr>
                <w:sz w:val="20"/>
                <w:szCs w:val="20"/>
                <w:color w:val="auto"/>
              </w:rPr>
            </w:pPr>
            <w:r>
              <w:rPr>
                <w:rFonts w:ascii="Arial" w:cs="Arial" w:eastAsia="Arial" w:hAnsi="Arial"/>
                <w:sz w:val="14"/>
                <w:szCs w:val="14"/>
                <w:b w:val="1"/>
                <w:bCs w:val="1"/>
                <w:color w:val="auto"/>
                <w:w w:val="95"/>
              </w:rPr>
              <w:t>Fair Value</w:t>
            </w:r>
          </w:p>
        </w:tc>
        <w:tc>
          <w:tcPr>
            <w:tcW w:w="320" w:type="dxa"/>
            <w:vAlign w:val="bottom"/>
          </w:tcPr>
          <w:p>
            <w:pPr>
              <w:spacing w:after="0"/>
              <w:rPr>
                <w:sz w:val="14"/>
                <w:szCs w:val="14"/>
                <w:color w:val="auto"/>
              </w:rPr>
            </w:pPr>
          </w:p>
        </w:tc>
        <w:tc>
          <w:tcPr>
            <w:tcW w:w="1460" w:type="dxa"/>
            <w:vAlign w:val="bottom"/>
          </w:tcPr>
          <w:p>
            <w:pPr>
              <w:jc w:val="center"/>
              <w:ind w:left="388"/>
              <w:spacing w:after="0"/>
              <w:rPr>
                <w:sz w:val="20"/>
                <w:szCs w:val="20"/>
                <w:color w:val="auto"/>
              </w:rPr>
            </w:pPr>
            <w:r>
              <w:rPr>
                <w:rFonts w:ascii="Arial" w:cs="Arial" w:eastAsia="Arial" w:hAnsi="Arial"/>
                <w:sz w:val="14"/>
                <w:szCs w:val="14"/>
                <w:b w:val="1"/>
                <w:bCs w:val="1"/>
                <w:color w:val="auto"/>
                <w:w w:val="90"/>
              </w:rPr>
              <w:t>Percentage of</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2"/>
          </w:tcPr>
          <w:p>
            <w:pPr>
              <w:jc w:val="right"/>
              <w:ind w:right="575"/>
              <w:spacing w:after="0"/>
              <w:rPr>
                <w:sz w:val="20"/>
                <w:szCs w:val="20"/>
                <w:color w:val="auto"/>
              </w:rPr>
            </w:pPr>
            <w:r>
              <w:rPr>
                <w:rFonts w:ascii="Arial" w:cs="Arial" w:eastAsia="Arial" w:hAnsi="Arial"/>
                <w:sz w:val="14"/>
                <w:szCs w:val="14"/>
                <w:b w:val="1"/>
                <w:bCs w:val="1"/>
                <w:color w:val="auto"/>
              </w:rPr>
              <w:t>Fair Value</w:t>
            </w: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97"/>
              </w:rPr>
              <w:t>Percentage of</w:t>
            </w:r>
          </w:p>
        </w:tc>
        <w:tc>
          <w:tcPr>
            <w:tcW w:w="0" w:type="dxa"/>
            <w:vAlign w:val="bottom"/>
          </w:tcPr>
          <w:p>
            <w:pPr>
              <w:spacing w:after="0"/>
              <w:rPr>
                <w:sz w:val="1"/>
                <w:szCs w:val="1"/>
                <w:color w:val="auto"/>
              </w:rPr>
            </w:pPr>
          </w:p>
        </w:tc>
      </w:tr>
      <w:tr>
        <w:trPr>
          <w:trHeight w:val="171"/>
        </w:trPr>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Rating</w:t>
            </w:r>
          </w:p>
        </w:tc>
        <w:tc>
          <w:tcPr>
            <w:tcW w:w="32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center"/>
              <w:ind w:right="237"/>
              <w:spacing w:after="0"/>
              <w:rPr>
                <w:sz w:val="20"/>
                <w:szCs w:val="20"/>
                <w:color w:val="auto"/>
              </w:rPr>
            </w:pPr>
            <w:r>
              <w:rPr>
                <w:rFonts w:ascii="Arial" w:cs="Arial" w:eastAsia="Arial" w:hAnsi="Arial"/>
                <w:sz w:val="14"/>
                <w:szCs w:val="14"/>
                <w:b w:val="1"/>
                <w:bCs w:val="1"/>
                <w:color w:val="auto"/>
                <w:w w:val="93"/>
              </w:rPr>
              <w:t>($ in millions)</w:t>
            </w:r>
          </w:p>
        </w:tc>
        <w:tc>
          <w:tcPr>
            <w:tcW w:w="320" w:type="dxa"/>
            <w:vAlign w:val="bottom"/>
            <w:tcBorders>
              <w:bottom w:val="single" w:sz="8" w:color="CFF0FC"/>
            </w:tcBorders>
          </w:tcPr>
          <w:p>
            <w:pPr>
              <w:spacing w:after="0"/>
              <w:rPr>
                <w:sz w:val="14"/>
                <w:szCs w:val="14"/>
                <w:color w:val="auto"/>
              </w:rPr>
            </w:pPr>
          </w:p>
        </w:tc>
        <w:tc>
          <w:tcPr>
            <w:tcW w:w="1460" w:type="dxa"/>
            <w:vAlign w:val="bottom"/>
            <w:tcBorders>
              <w:bottom w:val="single" w:sz="8" w:color="auto"/>
            </w:tcBorders>
          </w:tcPr>
          <w:p>
            <w:pPr>
              <w:jc w:val="center"/>
              <w:ind w:left="388"/>
              <w:spacing w:after="0"/>
              <w:rPr>
                <w:sz w:val="20"/>
                <w:szCs w:val="20"/>
                <w:color w:val="auto"/>
              </w:rPr>
            </w:pPr>
            <w:r>
              <w:rPr>
                <w:rFonts w:ascii="Arial" w:cs="Arial" w:eastAsia="Arial" w:hAnsi="Arial"/>
                <w:sz w:val="14"/>
                <w:szCs w:val="14"/>
                <w:b w:val="1"/>
                <w:bCs w:val="1"/>
                <w:color w:val="auto"/>
                <w:w w:val="92"/>
              </w:rPr>
              <w:t>Total Portfolio</w:t>
            </w:r>
          </w:p>
        </w:tc>
        <w:tc>
          <w:tcPr>
            <w:tcW w:w="480" w:type="dxa"/>
            <w:vAlign w:val="bottom"/>
            <w:tcBorders>
              <w:bottom w:val="single" w:sz="8" w:color="auto"/>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w w:val="91"/>
              </w:rPr>
              <w:t>in millions)</w:t>
            </w:r>
          </w:p>
        </w:tc>
        <w:tc>
          <w:tcPr>
            <w:tcW w:w="320" w:type="dxa"/>
            <w:vAlign w:val="bottom"/>
            <w:tcBorders>
              <w:bottom w:val="single" w:sz="8" w:color="CFF0FC"/>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w w:val="99"/>
              </w:rPr>
              <w:t>Total Portfolio</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920" w:type="dxa"/>
            <w:vAlign w:val="bottom"/>
            <w:shd w:val="clear" w:color="auto" w:fill="CFF0FC"/>
          </w:tcPr>
          <w:p>
            <w:pPr>
              <w:jc w:val="right"/>
              <w:ind w:right="776"/>
              <w:spacing w:after="0"/>
              <w:rPr>
                <w:sz w:val="20"/>
                <w:szCs w:val="20"/>
                <w:color w:val="auto"/>
              </w:rPr>
            </w:pPr>
            <w:r>
              <w:rPr>
                <w:rFonts w:ascii="Arial" w:cs="Arial" w:eastAsia="Arial" w:hAnsi="Arial"/>
                <w:sz w:val="18"/>
                <w:szCs w:val="18"/>
                <w:color w:val="auto"/>
              </w:rPr>
              <w:t>1</w:t>
            </w: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2,371.5</w:t>
            </w:r>
          </w:p>
        </w:tc>
        <w:tc>
          <w:tcPr>
            <w:tcW w:w="3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92.3%</w:t>
            </w: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528"/>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1,996.5</w:t>
            </w:r>
          </w:p>
        </w:tc>
        <w:tc>
          <w:tcPr>
            <w:tcW w:w="3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30"/>
        </w:trPr>
        <w:tc>
          <w:tcPr>
            <w:tcW w:w="1920" w:type="dxa"/>
            <w:vAlign w:val="bottom"/>
          </w:tcPr>
          <w:p>
            <w:pPr>
              <w:jc w:val="right"/>
              <w:ind w:right="776"/>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143.6</w:t>
            </w:r>
          </w:p>
        </w:tc>
        <w:tc>
          <w:tcPr>
            <w:tcW w:w="3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5.6</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244.1</w:t>
            </w: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920" w:type="dxa"/>
            <w:vAlign w:val="bottom"/>
            <w:shd w:val="clear" w:color="auto" w:fill="CFF0FC"/>
          </w:tcPr>
          <w:p>
            <w:pPr>
              <w:jc w:val="right"/>
              <w:ind w:right="776"/>
              <w:spacing w:after="0"/>
              <w:rPr>
                <w:sz w:val="20"/>
                <w:szCs w:val="20"/>
                <w:color w:val="auto"/>
              </w:rPr>
            </w:pPr>
            <w:r>
              <w:rPr>
                <w:rFonts w:ascii="Arial" w:cs="Arial" w:eastAsia="Arial" w:hAnsi="Arial"/>
                <w:sz w:val="18"/>
                <w:szCs w:val="18"/>
                <w:color w:val="auto"/>
              </w:rPr>
              <w:t>3</w:t>
            </w: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54.4</w:t>
            </w:r>
          </w:p>
        </w:tc>
        <w:tc>
          <w:tcPr>
            <w:tcW w:w="3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w:t>
            </w:r>
          </w:p>
        </w:tc>
        <w:tc>
          <w:tcPr>
            <w:tcW w:w="3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20" w:type="dxa"/>
            <w:vAlign w:val="bottom"/>
          </w:tcPr>
          <w:p>
            <w:pPr>
              <w:jc w:val="right"/>
              <w:ind w:right="776"/>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920" w:type="dxa"/>
            <w:vAlign w:val="bottom"/>
            <w:shd w:val="clear" w:color="auto" w:fill="CFF0FC"/>
          </w:tcPr>
          <w:p>
            <w:pPr>
              <w:jc w:val="right"/>
              <w:ind w:right="776"/>
              <w:spacing w:after="0"/>
              <w:rPr>
                <w:sz w:val="20"/>
                <w:szCs w:val="20"/>
                <w:color w:val="auto"/>
              </w:rPr>
            </w:pPr>
            <w:r>
              <w:rPr>
                <w:rFonts w:ascii="Arial" w:cs="Arial" w:eastAsia="Arial" w:hAnsi="Arial"/>
                <w:sz w:val="18"/>
                <w:szCs w:val="18"/>
                <w:color w:val="auto"/>
              </w:rPr>
              <w:t>5</w:t>
            </w:r>
          </w:p>
        </w:tc>
        <w:tc>
          <w:tcPr>
            <w:tcW w:w="3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w:t>
            </w:r>
          </w:p>
        </w:tc>
        <w:tc>
          <w:tcPr>
            <w:tcW w:w="146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w:t>
            </w:r>
          </w:p>
        </w:tc>
        <w:tc>
          <w:tcPr>
            <w:tcW w:w="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w:t>
            </w:r>
          </w:p>
        </w:tc>
        <w:tc>
          <w:tcPr>
            <w:tcW w:w="46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4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Total</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2,570.0</w:t>
            </w:r>
          </w:p>
        </w:tc>
        <w:tc>
          <w:tcPr>
            <w:tcW w:w="3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680" w:type="dxa"/>
            <w:vAlign w:val="bottom"/>
          </w:tcPr>
          <w:p>
            <w:pPr>
              <w:jc w:val="right"/>
              <w:ind w:right="528"/>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2,298.9</w:t>
            </w: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00" w:hanging="492"/>
        <w:spacing w:after="0"/>
        <w:tabs>
          <w:tab w:leader="none" w:pos="5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Includes investments with an amortized cost of $1.5 million for which the fair value as of June 30, 2021 and December 31, 2020 was $0.</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Operating results for the three and six months ended June 30, 2021 and 2020 were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20" w:type="dxa"/>
            <w:vAlign w:val="bottom"/>
            <w:gridSpan w:val="3"/>
          </w:tcPr>
          <w:p>
            <w:pPr>
              <w:jc w:val="right"/>
              <w:ind w:right="27"/>
              <w:spacing w:after="0"/>
              <w:rPr>
                <w:sz w:val="20"/>
                <w:szCs w:val="20"/>
                <w:color w:val="auto"/>
              </w:rPr>
            </w:pPr>
            <w:r>
              <w:rPr>
                <w:rFonts w:ascii="Arial" w:cs="Arial" w:eastAsia="Arial" w:hAnsi="Arial"/>
                <w:sz w:val="14"/>
                <w:szCs w:val="14"/>
                <w:b w:val="1"/>
                <w:bCs w:val="1"/>
                <w:color w:val="auto"/>
              </w:rPr>
              <w:t>Six Months Ended</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50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3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gridSpan w:val="3"/>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gridSpan w:val="3"/>
          </w:tcPr>
          <w:p>
            <w:pPr>
              <w:spacing w:after="0"/>
              <w:rPr>
                <w:sz w:val="2"/>
                <w:szCs w:val="2"/>
                <w:color w:val="auto"/>
              </w:rPr>
            </w:pPr>
          </w:p>
        </w:tc>
        <w:tc>
          <w:tcPr>
            <w:tcW w:w="1080" w:type="dxa"/>
            <w:vAlign w:val="bottom"/>
            <w:gridSpan w:val="3"/>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50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96"/>
              </w:rPr>
              <w:t>June 30, 2021</w:t>
            </w:r>
          </w:p>
        </w:tc>
        <w:tc>
          <w:tcPr>
            <w:tcW w:w="4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96"/>
              </w:rPr>
              <w:t>June 30, 2020</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Borders>
              <w:top w:val="single" w:sz="8" w:color="auto"/>
            </w:tcBorders>
            <w:gridSpan w:val="3"/>
          </w:tcPr>
          <w:p>
            <w:pPr>
              <w:ind w:left="80"/>
              <w:spacing w:after="0" w:line="155" w:lineRule="exact"/>
              <w:rPr>
                <w:sz w:val="20"/>
                <w:szCs w:val="20"/>
                <w:color w:val="auto"/>
              </w:rPr>
            </w:pPr>
            <w:r>
              <w:rPr>
                <w:rFonts w:ascii="Arial" w:cs="Arial" w:eastAsia="Arial" w:hAnsi="Arial"/>
                <w:sz w:val="14"/>
                <w:szCs w:val="14"/>
                <w:b w:val="1"/>
                <w:bCs w:val="1"/>
                <w:color w:val="auto"/>
              </w:rPr>
              <w:t>June 30, 2021</w:t>
            </w:r>
          </w:p>
        </w:tc>
        <w:tc>
          <w:tcPr>
            <w:tcW w:w="98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96"/>
              </w:rPr>
              <w:t>June 30, 2020</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investment income</w:t>
            </w:r>
          </w:p>
        </w:tc>
        <w:tc>
          <w:tcPr>
            <w:tcW w:w="36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ind w:right="216"/>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62.8</w:t>
            </w:r>
          </w:p>
        </w:tc>
        <w:tc>
          <w:tcPr>
            <w:tcW w:w="40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jc w:val="right"/>
              <w:ind w:right="356"/>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70.3</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56"/>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129.0</w:t>
            </w:r>
          </w:p>
        </w:tc>
        <w:tc>
          <w:tcPr>
            <w:tcW w:w="42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ind w:right="30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136.5</w:t>
            </w: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Net expenses</w:t>
            </w:r>
          </w:p>
        </w:tc>
        <w:tc>
          <w:tcPr>
            <w:tcW w:w="36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40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w:t>
            </w:r>
          </w:p>
        </w:tc>
        <w:tc>
          <w:tcPr>
            <w:tcW w:w="4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investment income before income taxes</w:t>
            </w:r>
          </w:p>
        </w:tc>
        <w:tc>
          <w:tcPr>
            <w:tcW w:w="3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w:t>
            </w:r>
          </w:p>
        </w:tc>
        <w:tc>
          <w:tcPr>
            <w:tcW w:w="4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60.3</w:t>
            </w:r>
          </w:p>
        </w:tc>
        <w:tc>
          <w:tcPr>
            <w:tcW w:w="4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75.1</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5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Less: Income taxes, including excise taxes</w:t>
            </w:r>
          </w:p>
        </w:tc>
        <w:tc>
          <w:tcPr>
            <w:tcW w:w="36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40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4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investment income</w:t>
            </w:r>
          </w:p>
        </w:tc>
        <w:tc>
          <w:tcPr>
            <w:tcW w:w="3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w:t>
            </w:r>
          </w:p>
        </w:tc>
        <w:tc>
          <w:tcPr>
            <w:tcW w:w="4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w:t>
            </w:r>
          </w:p>
        </w:tc>
        <w:tc>
          <w:tcPr>
            <w:tcW w:w="4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73.1</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 xml:space="preserve">Net realized gains (losses) </w:t>
            </w:r>
            <w:r>
              <w:rPr>
                <w:rFonts w:ascii="Arial" w:cs="Arial" w:eastAsia="Arial" w:hAnsi="Arial"/>
                <w:sz w:val="15"/>
                <w:szCs w:val="15"/>
                <w:color w:val="auto"/>
              </w:rPr>
              <w:t>(1)</w:t>
            </w: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w:t>
            </w: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(0.8)</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16.6</w:t>
            </w:r>
          </w:p>
        </w:tc>
        <w:tc>
          <w:tcPr>
            <w:tcW w:w="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Net change in unrealized gains (losses) </w:t>
            </w:r>
            <w:r>
              <w:rPr>
                <w:rFonts w:ascii="Arial" w:cs="Arial" w:eastAsia="Arial" w:hAnsi="Arial"/>
                <w:sz w:val="15"/>
                <w:szCs w:val="15"/>
                <w:color w:val="auto"/>
              </w:rPr>
              <w:t>(1)</w:t>
            </w:r>
          </w:p>
        </w:tc>
        <w:tc>
          <w:tcPr>
            <w:tcW w:w="3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w:t>
            </w:r>
          </w:p>
        </w:tc>
        <w:tc>
          <w:tcPr>
            <w:tcW w:w="4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w:t>
            </w:r>
          </w:p>
        </w:tc>
        <w:tc>
          <w:tcPr>
            <w:tcW w:w="4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(27.4)</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500" w:type="dxa"/>
            <w:vAlign w:val="bottom"/>
          </w:tcPr>
          <w:p>
            <w:pPr>
              <w:ind w:left="240"/>
              <w:spacing w:after="0"/>
              <w:rPr>
                <w:sz w:val="20"/>
                <w:szCs w:val="20"/>
                <w:color w:val="auto"/>
              </w:rPr>
            </w:pPr>
            <w:r>
              <w:rPr>
                <w:rFonts w:ascii="Arial" w:cs="Arial" w:eastAsia="Arial" w:hAnsi="Arial"/>
                <w:sz w:val="18"/>
                <w:szCs w:val="18"/>
                <w:b w:val="1"/>
                <w:bCs w:val="1"/>
                <w:color w:val="auto"/>
                <w:w w:val="95"/>
              </w:rPr>
              <w:t>Net increase in net assets resulting from operations</w:t>
            </w:r>
          </w:p>
        </w:tc>
        <w:tc>
          <w:tcPr>
            <w:tcW w:w="36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6"/>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58.4</w:t>
            </w:r>
          </w:p>
        </w:tc>
        <w:tc>
          <w:tcPr>
            <w:tcW w:w="4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115.0</w:t>
            </w:r>
          </w:p>
        </w:tc>
        <w:tc>
          <w:tcPr>
            <w:tcW w:w="4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 w:type="dxa"/>
            <w:vAlign w:val="bottom"/>
            <w:vMerge w:val="restart"/>
          </w:tcPr>
          <w:p>
            <w:pPr>
              <w:jc w:val="right"/>
              <w:ind w:right="50"/>
              <w:spacing w:after="0"/>
              <w:rPr>
                <w:sz w:val="20"/>
                <w:szCs w:val="20"/>
                <w:color w:val="auto"/>
              </w:rPr>
            </w:pPr>
            <w:r>
              <w:rPr>
                <w:rFonts w:ascii="Arial" w:cs="Arial" w:eastAsia="Arial" w:hAnsi="Arial"/>
                <w:sz w:val="18"/>
                <w:szCs w:val="18"/>
                <w:color w:val="auto"/>
                <w:w w:val="90"/>
              </w:rPr>
              <w:t>(1)</w:t>
            </w:r>
          </w:p>
        </w:tc>
        <w:tc>
          <w:tcPr>
            <w:tcW w:w="4720" w:type="dxa"/>
            <w:vAlign w:val="bottom"/>
            <w:gridSpan w:val="2"/>
            <w:vMerge w:val="restart"/>
          </w:tcPr>
          <w:p>
            <w:pPr>
              <w:ind w:left="140"/>
              <w:spacing w:after="0"/>
              <w:rPr>
                <w:sz w:val="20"/>
                <w:szCs w:val="20"/>
                <w:color w:val="auto"/>
              </w:rPr>
            </w:pPr>
            <w:r>
              <w:rPr>
                <w:rFonts w:ascii="Arial" w:cs="Arial" w:eastAsia="Arial" w:hAnsi="Arial"/>
                <w:sz w:val="18"/>
                <w:szCs w:val="18"/>
                <w:color w:val="auto"/>
              </w:rPr>
              <w:t>Includes foreign exchange hedging activity.</w:t>
            </w:r>
          </w:p>
        </w:tc>
        <w:tc>
          <w:tcPr>
            <w:tcW w:w="3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60" w:type="dxa"/>
            <w:vAlign w:val="bottom"/>
            <w:vMerge w:val="continue"/>
          </w:tcPr>
          <w:p>
            <w:pPr>
              <w:spacing w:after="0"/>
              <w:rPr>
                <w:sz w:val="24"/>
                <w:szCs w:val="24"/>
                <w:color w:val="auto"/>
              </w:rPr>
            </w:pPr>
          </w:p>
        </w:tc>
        <w:tc>
          <w:tcPr>
            <w:tcW w:w="472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760" w:type="dxa"/>
            <w:vAlign w:val="bottom"/>
            <w:gridSpan w:val="2"/>
          </w:tcPr>
          <w:p>
            <w:pPr>
              <w:jc w:val="right"/>
              <w:ind w:right="36"/>
              <w:spacing w:after="0"/>
              <w:rPr>
                <w:sz w:val="20"/>
                <w:szCs w:val="20"/>
                <w:color w:val="auto"/>
              </w:rPr>
            </w:pPr>
            <w:r>
              <w:rPr>
                <w:rFonts w:ascii="Arial" w:cs="Arial" w:eastAsia="Arial" w:hAnsi="Arial"/>
                <w:sz w:val="18"/>
                <w:szCs w:val="18"/>
                <w:color w:val="auto"/>
              </w:rPr>
              <w:t>59</w:t>
            </w: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5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449" w:right="31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257"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35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20" w:type="dxa"/>
            <w:vAlign w:val="bottom"/>
            <w:gridSpan w:val="3"/>
          </w:tcPr>
          <w:p>
            <w:pPr>
              <w:jc w:val="right"/>
              <w:ind w:right="27"/>
              <w:spacing w:after="0"/>
              <w:rPr>
                <w:sz w:val="20"/>
                <w:szCs w:val="20"/>
                <w:color w:val="auto"/>
              </w:rPr>
            </w:pPr>
            <w:r>
              <w:rPr>
                <w:rFonts w:ascii="Arial" w:cs="Arial" w:eastAsia="Arial" w:hAnsi="Arial"/>
                <w:sz w:val="14"/>
                <w:szCs w:val="14"/>
                <w:b w:val="1"/>
                <w:bCs w:val="1"/>
                <w:color w:val="auto"/>
              </w:rPr>
              <w:t>Six Months Ended</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50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13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gridSpan w:val="3"/>
          </w:tcPr>
          <w:p>
            <w:pPr>
              <w:spacing w:after="0"/>
              <w:rPr>
                <w:sz w:val="2"/>
                <w:szCs w:val="2"/>
                <w:color w:val="auto"/>
              </w:rPr>
            </w:pPr>
          </w:p>
        </w:tc>
        <w:tc>
          <w:tcPr>
            <w:tcW w:w="108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3500" w:type="dxa"/>
            <w:vAlign w:val="bottom"/>
            <w:vMerge w:val="continue"/>
          </w:tcPr>
          <w:p>
            <w:pPr>
              <w:spacing w:after="0"/>
              <w:rPr>
                <w:sz w:val="13"/>
                <w:szCs w:val="13"/>
                <w:color w:val="auto"/>
              </w:rPr>
            </w:pPr>
          </w:p>
        </w:tc>
        <w:tc>
          <w:tcPr>
            <w:tcW w:w="1360" w:type="dxa"/>
            <w:vAlign w:val="bottom"/>
          </w:tcPr>
          <w:p>
            <w:pPr>
              <w:spacing w:after="0"/>
              <w:rPr>
                <w:sz w:val="13"/>
                <w:szCs w:val="13"/>
                <w:color w:val="auto"/>
              </w:rPr>
            </w:pPr>
          </w:p>
        </w:tc>
        <w:tc>
          <w:tcPr>
            <w:tcW w:w="98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96"/>
              </w:rPr>
              <w:t>June 30, 2021</w:t>
            </w:r>
          </w:p>
        </w:tc>
        <w:tc>
          <w:tcPr>
            <w:tcW w:w="4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96"/>
              </w:rPr>
              <w:t>June 30, 2020</w:t>
            </w:r>
          </w:p>
        </w:tc>
        <w:tc>
          <w:tcPr>
            <w:tcW w:w="400" w:type="dxa"/>
            <w:vAlign w:val="bottom"/>
          </w:tcPr>
          <w:p>
            <w:pPr>
              <w:spacing w:after="0"/>
              <w:rPr>
                <w:sz w:val="13"/>
                <w:szCs w:val="13"/>
                <w:color w:val="auto"/>
              </w:rPr>
            </w:pPr>
          </w:p>
        </w:tc>
        <w:tc>
          <w:tcPr>
            <w:tcW w:w="1400" w:type="dxa"/>
            <w:vAlign w:val="bottom"/>
            <w:tcBorders>
              <w:top w:val="single" w:sz="8" w:color="auto"/>
            </w:tcBorders>
            <w:gridSpan w:val="3"/>
          </w:tcPr>
          <w:p>
            <w:pPr>
              <w:ind w:left="80"/>
              <w:spacing w:after="0" w:line="155" w:lineRule="exact"/>
              <w:rPr>
                <w:sz w:val="20"/>
                <w:szCs w:val="20"/>
                <w:color w:val="auto"/>
              </w:rPr>
            </w:pPr>
            <w:r>
              <w:rPr>
                <w:rFonts w:ascii="Arial" w:cs="Arial" w:eastAsia="Arial" w:hAnsi="Arial"/>
                <w:sz w:val="14"/>
                <w:szCs w:val="14"/>
                <w:b w:val="1"/>
                <w:bCs w:val="1"/>
                <w:color w:val="auto"/>
              </w:rPr>
              <w:t>June 30, 2021</w:t>
            </w:r>
          </w:p>
        </w:tc>
        <w:tc>
          <w:tcPr>
            <w:tcW w:w="98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96"/>
              </w:rPr>
              <w:t>June 30, 2020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Interest from investments</w:t>
            </w:r>
          </w:p>
        </w:tc>
        <w:tc>
          <w:tcPr>
            <w:tcW w:w="13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6"/>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60.9</w:t>
            </w:r>
          </w:p>
        </w:tc>
        <w:tc>
          <w:tcPr>
            <w:tcW w:w="40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jc w:val="right"/>
              <w:ind w:right="356"/>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63.4</w:t>
            </w:r>
          </w:p>
        </w:tc>
        <w:tc>
          <w:tcPr>
            <w:tcW w:w="4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56"/>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123.8</w:t>
            </w:r>
          </w:p>
        </w:tc>
        <w:tc>
          <w:tcPr>
            <w:tcW w:w="42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ind w:right="30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Dividend income</w:t>
            </w:r>
          </w:p>
        </w:tc>
        <w:tc>
          <w:tcPr>
            <w:tcW w:w="1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0.8</w:t>
            </w: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0.4</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w:t>
            </w:r>
          </w:p>
        </w:tc>
        <w:tc>
          <w:tcPr>
            <w:tcW w:w="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Other income</w:t>
            </w:r>
          </w:p>
        </w:tc>
        <w:tc>
          <w:tcPr>
            <w:tcW w:w="13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40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4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4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00" w:type="dxa"/>
            <w:vAlign w:val="bottom"/>
          </w:tcPr>
          <w:p>
            <w:pPr>
              <w:ind w:left="240"/>
              <w:spacing w:after="0"/>
              <w:rPr>
                <w:sz w:val="20"/>
                <w:szCs w:val="20"/>
                <w:color w:val="auto"/>
              </w:rPr>
            </w:pPr>
            <w:r>
              <w:rPr>
                <w:rFonts w:ascii="Arial" w:cs="Arial" w:eastAsia="Arial" w:hAnsi="Arial"/>
                <w:sz w:val="18"/>
                <w:szCs w:val="18"/>
                <w:b w:val="1"/>
                <w:bCs w:val="1"/>
                <w:color w:val="auto"/>
              </w:rPr>
              <w:t>Total investment income</w:t>
            </w:r>
          </w:p>
        </w:tc>
        <w:tc>
          <w:tcPr>
            <w:tcW w:w="1360" w:type="dxa"/>
            <w:vAlign w:val="bottom"/>
          </w:tcPr>
          <w:p>
            <w:pPr>
              <w:spacing w:after="0"/>
              <w:rPr>
                <w:sz w:val="19"/>
                <w:szCs w:val="19"/>
                <w:color w:val="auto"/>
              </w:rPr>
            </w:pPr>
          </w:p>
        </w:tc>
        <w:tc>
          <w:tcPr>
            <w:tcW w:w="32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w:t>
            </w:r>
          </w:p>
        </w:tc>
        <w:tc>
          <w:tcPr>
            <w:tcW w:w="400" w:type="dxa"/>
            <w:vAlign w:val="bottom"/>
          </w:tcPr>
          <w:p>
            <w:pPr>
              <w:spacing w:after="0"/>
              <w:rPr>
                <w:sz w:val="19"/>
                <w:szCs w:val="19"/>
                <w:color w:val="auto"/>
              </w:rPr>
            </w:pPr>
          </w:p>
        </w:tc>
        <w:tc>
          <w:tcPr>
            <w:tcW w:w="540" w:type="dxa"/>
            <w:vAlign w:val="bottom"/>
            <w:tcBorders>
              <w:bottom w:val="single" w:sz="8" w:color="auto"/>
            </w:tcBorders>
          </w:tcPr>
          <w:p>
            <w:pPr>
              <w:jc w:val="right"/>
              <w:ind w:right="356"/>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w:t>
            </w:r>
          </w:p>
        </w:tc>
        <w:tc>
          <w:tcPr>
            <w:tcW w:w="400" w:type="dxa"/>
            <w:vAlign w:val="bottom"/>
          </w:tcPr>
          <w:p>
            <w:pPr>
              <w:spacing w:after="0"/>
              <w:rPr>
                <w:sz w:val="19"/>
                <w:szCs w:val="19"/>
                <w:color w:val="auto"/>
              </w:rPr>
            </w:pPr>
          </w:p>
        </w:tc>
        <w:tc>
          <w:tcPr>
            <w:tcW w:w="34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129.0</w:t>
            </w:r>
          </w:p>
        </w:tc>
        <w:tc>
          <w:tcPr>
            <w:tcW w:w="420" w:type="dxa"/>
            <w:vAlign w:val="bottom"/>
          </w:tcPr>
          <w:p>
            <w:pPr>
              <w:spacing w:after="0"/>
              <w:rPr>
                <w:sz w:val="19"/>
                <w:szCs w:val="19"/>
                <w:color w:val="auto"/>
              </w:rPr>
            </w:pPr>
          </w:p>
        </w:tc>
        <w:tc>
          <w:tcPr>
            <w:tcW w:w="460" w:type="dxa"/>
            <w:vAlign w:val="bottom"/>
            <w:tcBorders>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0" w:firstLine="255"/>
        <w:spacing w:after="0" w:line="283" w:lineRule="auto"/>
        <w:rPr>
          <w:sz w:val="20"/>
          <w:szCs w:val="20"/>
          <w:color w:val="auto"/>
        </w:rPr>
      </w:pPr>
      <w:r>
        <w:rPr>
          <w:rFonts w:ascii="Arial" w:cs="Arial" w:eastAsia="Arial" w:hAnsi="Arial"/>
          <w:sz w:val="16"/>
          <w:szCs w:val="16"/>
          <w:color w:val="auto"/>
        </w:rPr>
        <w:t>Interest from investments, which includes amortization of upfront fees and prepayment fees, decreased from $63.4 million for the three months ended June 30, 2020 to $60.9 million for the three months ended June 30, 2021. The decrease in interest from investments was primarily the result of a decrease in prepayment fees and accelerated amortization of upfront fees related to paydowns, offset by an increase in interest earned due to a larger average portfolio size for the period ended June 30, 2021 compared to the same period in 2020. Accelerated amortization of upfront fees, which were primarily from unscheduled paydowns, decreased from $3.8 million for the three months ended June 30, 2020 to $0.9 million for the three months ended June 30, 2021. Prepayment fees decreased from $10.5 million for the three months ended June 30, 2020 to $1.3 million for the three months ended June 30, 2021. Accelerated amortization of upfront fees and prepayment fees primarily resulted from full paydowns on three portfolio investments, partial paydowns on two portfolio investments, partial realizations on two portfolio investments and earning prepayment fees on three portfolio investments during the three months ended June 30, 2020. Accelerated amortization of upfront fees and prepayment fees primarily resulted from full paydowns on two portfolio investments, a partial paydown on one portfolio investment, realizations on two portfolio investments, and earning prepayment fees on two portfolio investments during the three months ended June 30, 2021. Other income decreased from $6.5 million for the three months ended June 30, 2020 to</w:t>
      </w:r>
    </w:p>
    <w:p>
      <w:pPr>
        <w:spacing w:after="0" w:line="4"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$1.1 million for the three months ended June 30, 2021, primarily due to decreased amendment and other fees during the three months ended June 30, 2021 compared to the same period in 2020.</w:t>
      </w:r>
    </w:p>
    <w:p>
      <w:pPr>
        <w:spacing w:after="0" w:line="266" w:lineRule="exact"/>
        <w:rPr>
          <w:sz w:val="20"/>
          <w:szCs w:val="20"/>
          <w:color w:val="auto"/>
        </w:rPr>
      </w:pPr>
    </w:p>
    <w:p>
      <w:pPr>
        <w:ind w:right="20" w:firstLine="255"/>
        <w:spacing w:after="0" w:line="269" w:lineRule="auto"/>
        <w:rPr>
          <w:sz w:val="20"/>
          <w:szCs w:val="20"/>
          <w:color w:val="auto"/>
        </w:rPr>
      </w:pPr>
      <w:r>
        <w:rPr>
          <w:rFonts w:ascii="Arial" w:cs="Arial" w:eastAsia="Arial" w:hAnsi="Arial"/>
          <w:sz w:val="17"/>
          <w:szCs w:val="17"/>
          <w:color w:val="auto"/>
        </w:rPr>
        <w:t>Interest from investments, which includes amortization of upfront fees and prepayment fees, decreased from $126.3 million for the six months ended June 30, 2020 to $123.8 million for the six months ended June 30, 2021. The decrease in interest from investments was primarily a result of a decrease in accelerated amortization of upfront fees and prepayment fees related to paydowns, offset by an increase in interest earned due to a larger average portfolio size for the period ended June 30, 2021 compared to the same period in 2020. Accelerated amortization of upfront fees from unscheduled paydowns decreased from $8.0 million for the six months ended June 30, 2020 to $5.5 million for the six months ended June 30, 2021. Prepayment fees decreased from $13.8 million for the six months ended June 30, 2020 to $4.7 million for the six months ended June 30, 2021. Accelerated amortization of upfront fees and prepayment fees primarily resulted from full paydowns on six portfolio investments, partial paydowns on four portfolio investments, partial realizations on two portfolio investments and earning prepayment fees on six portfolio investments during the six months ended June 30, 2020 and full paydowns on five portfolio investments, partial paydowns on two portfolio investments, realizations on two portfolio investments and earning prepayment fees on five portfolio investments during the six months ended June 30, 2021. Other income decreased from $9.3 million for the six months ended June 30, 2020 to $3.4 million for the six months ended June 30, 2021, primarily due to decreased amendment and other fees earned during the six months ended June 30, 2021 compared to the same period in 2020.</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Operating expenses for the three and six months ended June 30, 2021 and 2020 were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52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6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36"/>
              <w:spacing w:after="0"/>
              <w:rPr>
                <w:sz w:val="20"/>
                <w:szCs w:val="20"/>
                <w:color w:val="auto"/>
              </w:rPr>
            </w:pPr>
            <w:r>
              <w:rPr>
                <w:rFonts w:ascii="Arial" w:cs="Arial" w:eastAsia="Arial" w:hAnsi="Arial"/>
                <w:sz w:val="14"/>
                <w:szCs w:val="14"/>
                <w:b w:val="1"/>
                <w:bCs w:val="1"/>
                <w:color w:val="auto"/>
              </w:rPr>
              <w:t>Six Months Ended</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4520" w:type="dxa"/>
            <w:vAlign w:val="bottom"/>
            <w:vMerge w:val="continue"/>
          </w:tcPr>
          <w:p>
            <w:pPr>
              <w:spacing w:after="0"/>
              <w:rPr>
                <w:sz w:val="13"/>
                <w:szCs w:val="13"/>
                <w:color w:val="auto"/>
              </w:rPr>
            </w:pPr>
          </w:p>
        </w:tc>
        <w:tc>
          <w:tcPr>
            <w:tcW w:w="620" w:type="dxa"/>
            <w:vAlign w:val="bottom"/>
          </w:tcPr>
          <w:p>
            <w:pPr>
              <w:spacing w:after="0"/>
              <w:rPr>
                <w:sz w:val="13"/>
                <w:szCs w:val="13"/>
                <w:color w:val="auto"/>
              </w:rPr>
            </w:pPr>
          </w:p>
        </w:tc>
        <w:tc>
          <w:tcPr>
            <w:tcW w:w="1000" w:type="dxa"/>
            <w:vAlign w:val="bottom"/>
            <w:gridSpan w:val="2"/>
          </w:tcPr>
          <w:p>
            <w:pPr>
              <w:jc w:val="right"/>
              <w:ind w:right="12"/>
              <w:spacing w:after="0" w:line="155" w:lineRule="exact"/>
              <w:rPr>
                <w:sz w:val="20"/>
                <w:szCs w:val="20"/>
                <w:color w:val="auto"/>
              </w:rPr>
            </w:pPr>
            <w:r>
              <w:rPr>
                <w:rFonts w:ascii="Arial" w:cs="Arial" w:eastAsia="Arial" w:hAnsi="Arial"/>
                <w:sz w:val="14"/>
                <w:szCs w:val="14"/>
                <w:b w:val="1"/>
                <w:bCs w:val="1"/>
                <w:color w:val="auto"/>
                <w:w w:val="96"/>
              </w:rPr>
              <w:t>June 30, 2021</w:t>
            </w:r>
          </w:p>
        </w:tc>
        <w:tc>
          <w:tcPr>
            <w:tcW w:w="220" w:type="dxa"/>
            <w:vAlign w:val="bottom"/>
          </w:tcPr>
          <w:p>
            <w:pPr>
              <w:spacing w:after="0"/>
              <w:rPr>
                <w:sz w:val="13"/>
                <w:szCs w:val="13"/>
                <w:color w:val="auto"/>
              </w:rPr>
            </w:pPr>
          </w:p>
        </w:tc>
        <w:tc>
          <w:tcPr>
            <w:tcW w:w="1000" w:type="dxa"/>
            <w:vAlign w:val="bottom"/>
            <w:gridSpan w:val="2"/>
          </w:tcPr>
          <w:p>
            <w:pPr>
              <w:jc w:val="right"/>
              <w:ind w:right="10"/>
              <w:spacing w:after="0" w:line="155" w:lineRule="exact"/>
              <w:rPr>
                <w:sz w:val="20"/>
                <w:szCs w:val="20"/>
                <w:color w:val="auto"/>
              </w:rPr>
            </w:pPr>
            <w:r>
              <w:rPr>
                <w:rFonts w:ascii="Arial" w:cs="Arial" w:eastAsia="Arial" w:hAnsi="Arial"/>
                <w:sz w:val="14"/>
                <w:szCs w:val="14"/>
                <w:b w:val="1"/>
                <w:bCs w:val="1"/>
                <w:color w:val="auto"/>
                <w:w w:val="96"/>
              </w:rPr>
              <w:t>June 30, 2020</w:t>
            </w:r>
          </w:p>
        </w:tc>
        <w:tc>
          <w:tcPr>
            <w:tcW w:w="400" w:type="dxa"/>
            <w:vAlign w:val="bottom"/>
          </w:tcPr>
          <w:p>
            <w:pPr>
              <w:spacing w:after="0"/>
              <w:rPr>
                <w:sz w:val="13"/>
                <w:szCs w:val="13"/>
                <w:color w:val="auto"/>
              </w:rPr>
            </w:pPr>
          </w:p>
        </w:tc>
        <w:tc>
          <w:tcPr>
            <w:tcW w:w="1220" w:type="dxa"/>
            <w:vAlign w:val="bottom"/>
            <w:gridSpan w:val="3"/>
          </w:tcPr>
          <w:p>
            <w:pPr>
              <w:ind w:left="80"/>
              <w:spacing w:after="0" w:line="155" w:lineRule="exact"/>
              <w:rPr>
                <w:sz w:val="20"/>
                <w:szCs w:val="20"/>
                <w:color w:val="auto"/>
              </w:rPr>
            </w:pPr>
            <w:r>
              <w:rPr>
                <w:rFonts w:ascii="Arial" w:cs="Arial" w:eastAsia="Arial" w:hAnsi="Arial"/>
                <w:sz w:val="14"/>
                <w:szCs w:val="14"/>
                <w:b w:val="1"/>
                <w:bCs w:val="1"/>
                <w:color w:val="auto"/>
              </w:rPr>
              <w:t>June 30, 2021</w:t>
            </w:r>
          </w:p>
        </w:tc>
        <w:tc>
          <w:tcPr>
            <w:tcW w:w="1020" w:type="dxa"/>
            <w:vAlign w:val="bottom"/>
            <w:gridSpan w:val="2"/>
          </w:tcPr>
          <w:p>
            <w:pPr>
              <w:jc w:val="right"/>
              <w:ind w:right="10"/>
              <w:spacing w:after="0" w:line="155" w:lineRule="exact"/>
              <w:rPr>
                <w:sz w:val="20"/>
                <w:szCs w:val="20"/>
                <w:color w:val="auto"/>
              </w:rPr>
            </w:pPr>
            <w:r>
              <w:rPr>
                <w:rFonts w:ascii="Arial" w:cs="Arial" w:eastAsia="Arial" w:hAnsi="Arial"/>
                <w:sz w:val="14"/>
                <w:szCs w:val="14"/>
                <w:b w:val="1"/>
                <w:bCs w:val="1"/>
                <w:color w:val="auto"/>
                <w:w w:val="98"/>
              </w:rPr>
              <w:t>June 30, 2020</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Interest</w:t>
            </w:r>
          </w:p>
        </w:tc>
        <w:tc>
          <w:tcPr>
            <w:tcW w:w="6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22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ind w:right="447"/>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4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22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ind w:right="396"/>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Management fees (net of waivers)</w:t>
            </w: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9.3</w:t>
            </w: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7.7</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18.0</w:t>
            </w: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w w:val="99"/>
              </w:rPr>
              <w:t>Incentive fees related to pre-incentive fee net investment</w:t>
            </w:r>
          </w:p>
        </w:tc>
        <w:tc>
          <w:tcPr>
            <w:tcW w:w="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5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income (net of waivers)</w:t>
            </w:r>
          </w:p>
        </w:tc>
        <w:tc>
          <w:tcPr>
            <w:tcW w:w="6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22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4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w:t>
            </w:r>
          </w:p>
        </w:tc>
        <w:tc>
          <w:tcPr>
            <w:tcW w:w="22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FF0FC"/>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9"/>
              </w:rPr>
              <w:t>Incentive fees related to realized/unrealized capital gains</w:t>
            </w: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Professional fees</w:t>
            </w:r>
          </w:p>
        </w:tc>
        <w:tc>
          <w:tcPr>
            <w:tcW w:w="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4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Directors fees</w:t>
            </w: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0.2</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Other general and administrative</w:t>
            </w:r>
          </w:p>
        </w:tc>
        <w:tc>
          <w:tcPr>
            <w:tcW w:w="6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4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2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b w:val="1"/>
                <w:bCs w:val="1"/>
                <w:color w:val="auto"/>
              </w:rPr>
              <w:t>Net Expenses</w:t>
            </w:r>
          </w:p>
        </w:tc>
        <w:tc>
          <w:tcPr>
            <w:tcW w:w="620" w:type="dxa"/>
            <w:vAlign w:val="bottom"/>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220" w:type="dxa"/>
            <w:vAlign w:val="bottom"/>
          </w:tcPr>
          <w:p>
            <w:pPr>
              <w:spacing w:after="0"/>
              <w:rPr>
                <w:sz w:val="19"/>
                <w:szCs w:val="19"/>
                <w:color w:val="auto"/>
              </w:rPr>
            </w:pPr>
          </w:p>
        </w:tc>
        <w:tc>
          <w:tcPr>
            <w:tcW w:w="600" w:type="dxa"/>
            <w:vAlign w:val="bottom"/>
            <w:tcBorders>
              <w:bottom w:val="single" w:sz="8" w:color="auto"/>
            </w:tcBorders>
          </w:tcPr>
          <w:p>
            <w:pPr>
              <w:jc w:val="right"/>
              <w:ind w:right="447"/>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400" w:type="dxa"/>
            <w:vAlign w:val="bottom"/>
          </w:tcPr>
          <w:p>
            <w:pPr>
              <w:spacing w:after="0"/>
              <w:rPr>
                <w:sz w:val="19"/>
                <w:szCs w:val="19"/>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w:t>
            </w:r>
          </w:p>
        </w:tc>
        <w:tc>
          <w:tcPr>
            <w:tcW w:w="220" w:type="dxa"/>
            <w:vAlign w:val="bottom"/>
          </w:tcPr>
          <w:p>
            <w:pPr>
              <w:spacing w:after="0"/>
              <w:rPr>
                <w:sz w:val="19"/>
                <w:szCs w:val="19"/>
                <w:color w:val="auto"/>
              </w:rPr>
            </w:pPr>
          </w:p>
        </w:tc>
        <w:tc>
          <w:tcPr>
            <w:tcW w:w="580" w:type="dxa"/>
            <w:vAlign w:val="bottom"/>
            <w:tcBorders>
              <w:bottom w:val="single" w:sz="8" w:color="auto"/>
            </w:tcBorders>
          </w:tcPr>
          <w:p>
            <w:pPr>
              <w:jc w:val="right"/>
              <w:ind w:right="396"/>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60</w:t>
            </w: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6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5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706" w:right="319" w:bottom="1440" w:gutter="0" w:footer="0" w:header="0"/>
        </w:sectPr>
      </w:pPr>
    </w:p>
    <w:bookmarkStart w:id="60" w:name="page61"/>
    <w:bookmarkEnd w:id="60"/>
    <w:p>
      <w:pPr>
        <w:ind w:left="260"/>
        <w:spacing w:after="0"/>
        <w:rPr>
          <w:sz w:val="20"/>
          <w:szCs w:val="20"/>
          <w:color w:val="auto"/>
        </w:rPr>
      </w:pPr>
      <w:r>
        <w:rPr>
          <w:rFonts w:ascii="Arial" w:cs="Arial" w:eastAsia="Arial" w:hAnsi="Arial"/>
          <w:sz w:val="18"/>
          <w:szCs w:val="18"/>
          <w:i w:val="1"/>
          <w:iCs w:val="1"/>
          <w:color w:val="auto"/>
        </w:rPr>
        <w:t>Interest</w:t>
      </w:r>
    </w:p>
    <w:p>
      <w:pPr>
        <w:spacing w:after="0" w:line="117" w:lineRule="exact"/>
        <w:rPr>
          <w:sz w:val="20"/>
          <w:szCs w:val="20"/>
          <w:color w:val="auto"/>
        </w:rPr>
      </w:pPr>
    </w:p>
    <w:p>
      <w:pPr>
        <w:ind w:firstLine="255"/>
        <w:spacing w:after="0" w:line="296" w:lineRule="auto"/>
        <w:rPr>
          <w:sz w:val="20"/>
          <w:szCs w:val="20"/>
          <w:color w:val="auto"/>
        </w:rPr>
      </w:pPr>
      <w:r>
        <w:rPr>
          <w:rFonts w:ascii="Arial" w:cs="Arial" w:eastAsia="Arial" w:hAnsi="Arial"/>
          <w:sz w:val="16"/>
          <w:szCs w:val="16"/>
          <w:color w:val="auto"/>
        </w:rPr>
        <w:t>Interest expense, including other debt financing expenses, increased from $9.9 million for the three months ended June 30, 2020 to $10.2 million for the three months ended June 30, 2021. This increase was primarily due to an increase in the average debt outstanding from $903.9 million for the three months ended June 31, 2020 to $1,282.2 million for the three months ended June 30, 2021, which was partially offset by a decrease in the average interest rate on our debt outstanding from the three months ended June 30, 2020 to the three months ended June 30, 2021. The average interest rate on our debt outstanding decreased from 3.3% for three months ended June 30, 2020 to 2.3% for the three months ended June 30, 2021 primarily due to changes in LIBOR rates.</w:t>
      </w:r>
    </w:p>
    <w:p>
      <w:pPr>
        <w:spacing w:after="0" w:line="53" w:lineRule="exact"/>
        <w:rPr>
          <w:sz w:val="20"/>
          <w:szCs w:val="20"/>
          <w:color w:val="auto"/>
        </w:rPr>
      </w:pPr>
    </w:p>
    <w:p>
      <w:pPr>
        <w:ind w:right="40" w:firstLine="255"/>
        <w:spacing w:after="0" w:line="263" w:lineRule="auto"/>
        <w:rPr>
          <w:sz w:val="20"/>
          <w:szCs w:val="20"/>
          <w:color w:val="auto"/>
        </w:rPr>
      </w:pPr>
      <w:r>
        <w:rPr>
          <w:rFonts w:ascii="Arial" w:cs="Arial" w:eastAsia="Arial" w:hAnsi="Arial"/>
          <w:sz w:val="18"/>
          <w:szCs w:val="18"/>
          <w:color w:val="auto"/>
        </w:rPr>
        <w:t>Interest expense, including other debt financing expenses, decreased from $22.8 million for the six months ended June 30, 2020 to $19.1 million for the six months ended June 30, 2021. This decrease was primarily due to a decrease in the average interest rate on our debt outstanding from 3.6% for the six months ended June 30, 2020 to 2.3% for the six months ended June 30, 2021.</w:t>
      </w:r>
    </w:p>
    <w:p>
      <w:pPr>
        <w:spacing w:after="0" w:line="29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Management Fees</w:t>
      </w:r>
    </w:p>
    <w:p>
      <w:pPr>
        <w:spacing w:after="0" w:line="117" w:lineRule="exact"/>
        <w:rPr>
          <w:sz w:val="20"/>
          <w:szCs w:val="20"/>
          <w:color w:val="auto"/>
        </w:rPr>
      </w:pPr>
    </w:p>
    <w:p>
      <w:pPr>
        <w:ind w:right="140" w:firstLine="255"/>
        <w:spacing w:after="0" w:line="257" w:lineRule="auto"/>
        <w:rPr>
          <w:sz w:val="20"/>
          <w:szCs w:val="20"/>
          <w:color w:val="auto"/>
        </w:rPr>
      </w:pPr>
      <w:r>
        <w:rPr>
          <w:rFonts w:ascii="Arial" w:cs="Arial" w:eastAsia="Arial" w:hAnsi="Arial"/>
          <w:sz w:val="18"/>
          <w:szCs w:val="18"/>
          <w:color w:val="auto"/>
        </w:rPr>
        <w:t>Management Fees (gross of waivers) increased from $7.7 million for the three months ended June 30, 2020 to $9.4 million for the three month ended June 30, 2021 due to an increase in average assets for the three months ended June 30, 2021 compared to the same period in 2020. Management Fees (net of waivers) increased from $7.7 million for the three months ended June 30, 2020 to $9.3 million for the three months ended June 30, 2021. The Adviser waived Management Fees of $0.1 million for the three months ended June 30, 2021 pursuant to the Leverage Waiver. The Advisers did not waive any management fees for the three months ended June 30, 2020.</w:t>
      </w:r>
    </w:p>
    <w:p>
      <w:pPr>
        <w:spacing w:after="0" w:line="80" w:lineRule="exact"/>
        <w:rPr>
          <w:sz w:val="20"/>
          <w:szCs w:val="20"/>
          <w:color w:val="auto"/>
        </w:rPr>
      </w:pPr>
    </w:p>
    <w:p>
      <w:pPr>
        <w:ind w:right="140" w:firstLine="255"/>
        <w:spacing w:after="0" w:line="257" w:lineRule="auto"/>
        <w:rPr>
          <w:sz w:val="20"/>
          <w:szCs w:val="20"/>
          <w:color w:val="auto"/>
        </w:rPr>
      </w:pPr>
      <w:r>
        <w:rPr>
          <w:rFonts w:ascii="Arial" w:cs="Arial" w:eastAsia="Arial" w:hAnsi="Arial"/>
          <w:sz w:val="18"/>
          <w:szCs w:val="18"/>
          <w:color w:val="auto"/>
        </w:rPr>
        <w:t>Management Fees (gross of waivers) increased from $15.8 million for the six months ended June 30, 2020 to $18.2 million for the three month ended June 30, 2021 due to an increase in average assets for the three months ended June 30, 2021 compared to the same period in 2020. Management Fees (net of waivers) increased from $15.8 million for the six months ended June 30, 2020 to $18.0 million for the six months ended June 30, 2021. The Adviser waived Management Fees of $0.1 million for the six months ended June 30, 2021 pursuant to the Leverage Waiver. The Adviser did not waive any Management Fees for the six months ended June 30, 2020.</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Incentive Fees</w:t>
      </w:r>
    </w:p>
    <w:p>
      <w:pPr>
        <w:spacing w:after="0" w:line="117" w:lineRule="exact"/>
        <w:rPr>
          <w:sz w:val="20"/>
          <w:szCs w:val="20"/>
          <w:color w:val="auto"/>
        </w:rPr>
      </w:pPr>
    </w:p>
    <w:p>
      <w:pPr>
        <w:ind w:firstLine="255"/>
        <w:spacing w:after="0" w:line="254" w:lineRule="auto"/>
        <w:rPr>
          <w:sz w:val="20"/>
          <w:szCs w:val="20"/>
          <w:color w:val="auto"/>
        </w:rPr>
      </w:pPr>
      <w:r>
        <w:rPr>
          <w:rFonts w:ascii="Arial" w:cs="Arial" w:eastAsia="Arial" w:hAnsi="Arial"/>
          <w:sz w:val="18"/>
          <w:szCs w:val="18"/>
          <w:color w:val="auto"/>
        </w:rPr>
        <w:t>Incentive Fees related to pre-Incentive Fee net investment income decreased from $8.4 million for the three months ended June 30, 2020 to $7.0 million for the three months ended June 30, 2021. This decrease resulted from a decrease in investment income resulting from lower interest and other income for the three months ended June 30, 2021. The Adviser did not waive any Incentive Fees related to pre-Incentive Fee net investment income for the three months ended June 30, 2021 or 2020. There were no Incentive Fees related to net capital gains for the three months ended June 30, 2020 due to cumulative realized and unrealized losses on our investments and $5.6 million of Incentive Fees were accrued for the three and six months ended June 30, 2021 related to cumulative unrealized capital gains in excess of cumulative net realized capital gains less cumulative unrealized losses and capital gains incentive fees paid inception to date.</w:t>
      </w:r>
    </w:p>
    <w:p>
      <w:pPr>
        <w:spacing w:after="0" w:line="87" w:lineRule="exact"/>
        <w:rPr>
          <w:sz w:val="20"/>
          <w:szCs w:val="20"/>
          <w:color w:val="auto"/>
        </w:rPr>
      </w:pPr>
    </w:p>
    <w:p>
      <w:pPr>
        <w:ind w:firstLine="255"/>
        <w:spacing w:after="0" w:line="254" w:lineRule="auto"/>
        <w:rPr>
          <w:sz w:val="20"/>
          <w:szCs w:val="20"/>
          <w:color w:val="auto"/>
        </w:rPr>
      </w:pPr>
      <w:r>
        <w:rPr>
          <w:rFonts w:ascii="Arial" w:cs="Arial" w:eastAsia="Arial" w:hAnsi="Arial"/>
          <w:sz w:val="18"/>
          <w:szCs w:val="18"/>
          <w:color w:val="auto"/>
        </w:rPr>
        <w:t>Incentive Fees related to pre-Incentive Fee net investment income decreased from $15.5 million for the six months ended June 31, 2020 to $14.8 million for the six months ended June 30, 2020. This decrease resulted from a decrease in investment income resulting from lower interest and other income for the six months ended June 31, 2021. The Adviser did not waive any Incentive Fees related to pre-Incentive Fee net investment income for the six months ended June 30, 2021 or 2020. There were no Incentive Fees related to net capital gains for the six months ended June 30, 2020 due to cumulative realized and unrealized losses on our investments and $10.1 million of Incentive Fees were accrued for the six months ended June 30, 2021 related to cumulative unrealized capital gains in excess of cumulative net realized capital gains less cumulative unrealized losses and capital gains incentive fees paid inception to date.</w:t>
      </w:r>
    </w:p>
    <w:p>
      <w:pPr>
        <w:spacing w:after="0" w:line="30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Professional Fees and Other General and Administrative Expenses</w:t>
      </w:r>
    </w:p>
    <w:p>
      <w:pPr>
        <w:spacing w:after="0" w:line="117" w:lineRule="exact"/>
        <w:rPr>
          <w:sz w:val="20"/>
          <w:szCs w:val="20"/>
          <w:color w:val="auto"/>
        </w:rPr>
      </w:pPr>
    </w:p>
    <w:p>
      <w:pPr>
        <w:ind w:right="80" w:firstLine="255"/>
        <w:spacing w:after="0" w:line="286" w:lineRule="auto"/>
        <w:rPr>
          <w:sz w:val="20"/>
          <w:szCs w:val="20"/>
          <w:color w:val="auto"/>
        </w:rPr>
      </w:pPr>
      <w:r>
        <w:rPr>
          <w:rFonts w:ascii="Arial" w:cs="Arial" w:eastAsia="Arial" w:hAnsi="Arial"/>
          <w:sz w:val="17"/>
          <w:szCs w:val="17"/>
          <w:color w:val="auto"/>
        </w:rPr>
        <w:t>Professional fees decreased from $1.9 million for the three months ended June 30, 2020 to $1.7 million for the three months ended June 30, 2021 primarily due to lower legal fees. Other general and administrative expenses decreased from $1.7 million for the three months ended June 30, 2020 to $1.2 million for the three months ended June 30, 2021 primarily due to lower administrative expenses payable to the Adviser.</w:t>
      </w:r>
    </w:p>
    <w:p>
      <w:pPr>
        <w:spacing w:after="0" w:line="57" w:lineRule="exact"/>
        <w:rPr>
          <w:sz w:val="20"/>
          <w:szCs w:val="20"/>
          <w:color w:val="auto"/>
        </w:rPr>
      </w:pPr>
    </w:p>
    <w:p>
      <w:pPr>
        <w:jc w:val="both"/>
        <w:ind w:right="80" w:firstLine="255"/>
        <w:spacing w:after="0" w:line="263" w:lineRule="auto"/>
        <w:rPr>
          <w:sz w:val="20"/>
          <w:szCs w:val="20"/>
          <w:color w:val="auto"/>
        </w:rPr>
      </w:pPr>
      <w:r>
        <w:rPr>
          <w:rFonts w:ascii="Arial" w:cs="Arial" w:eastAsia="Arial" w:hAnsi="Arial"/>
          <w:sz w:val="18"/>
          <w:szCs w:val="18"/>
          <w:color w:val="auto"/>
        </w:rPr>
        <w:t>Professional fees decreased from $3.7 million for the six months ended June 30, 2020 to $3.2 million for the six months ended June 30, 2021 primarily due to lower legal fees. Other general and administrative expenses decreased from $3.2 million for the six months ended June 30, 2020 to $3.1 million for the six months ended June 30, 2021.</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706" w:right="35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i w:val="1"/>
          <w:iCs w:val="1"/>
          <w:color w:val="auto"/>
        </w:rPr>
        <w:t>Income Taxes, Including Excise Taxes</w:t>
      </w:r>
    </w:p>
    <w:p>
      <w:pPr>
        <w:spacing w:after="0" w:line="117" w:lineRule="exact"/>
        <w:rPr>
          <w:sz w:val="20"/>
          <w:szCs w:val="20"/>
          <w:color w:val="auto"/>
        </w:rPr>
      </w:pPr>
    </w:p>
    <w:p>
      <w:pPr>
        <w:ind w:right="140" w:firstLine="255"/>
        <w:spacing w:after="0" w:line="257" w:lineRule="auto"/>
        <w:rPr>
          <w:sz w:val="20"/>
          <w:szCs w:val="20"/>
          <w:color w:val="auto"/>
        </w:rPr>
      </w:pPr>
      <w:r>
        <w:rPr>
          <w:rFonts w:ascii="Arial" w:cs="Arial" w:eastAsia="Arial" w:hAnsi="Arial"/>
          <w:sz w:val="18"/>
          <w:szCs w:val="18"/>
          <w:color w:val="auto"/>
        </w:rPr>
        <w:t>We have elected to be treated as a RIC under Subchapter M of the Code, and we intend to operate in a manner so as to continue to qualify for the tax treatment applicable to RICs. To qualify as a RIC, we must, among other things, distribute to our stockholders in each taxable year generally at least 90% of our investment company taxable income, as defined by the Code, and net tax-exempt income for that taxable year. To maintain our RIC status, we, among other things, have made and intend to continue to make the requisite distributions to our stockholders, which generally relieve us from corporate-level U.S. federal income taxes.</w:t>
      </w:r>
    </w:p>
    <w:p>
      <w:pPr>
        <w:spacing w:after="0" w:line="188" w:lineRule="exact"/>
        <w:rPr>
          <w:sz w:val="20"/>
          <w:szCs w:val="20"/>
          <w:color w:val="auto"/>
        </w:rPr>
      </w:pPr>
    </w:p>
    <w:p>
      <w:pPr>
        <w:ind w:right="60" w:firstLine="255"/>
        <w:spacing w:after="0" w:line="279" w:lineRule="auto"/>
        <w:rPr>
          <w:sz w:val="20"/>
          <w:szCs w:val="20"/>
          <w:color w:val="auto"/>
        </w:rPr>
      </w:pPr>
      <w:r>
        <w:rPr>
          <w:rFonts w:ascii="Arial" w:cs="Arial" w:eastAsia="Arial" w:hAnsi="Arial"/>
          <w:sz w:val="17"/>
          <w:szCs w:val="17"/>
          <w:color w:val="auto"/>
        </w:rPr>
        <w:t>Depending on the level of taxable income earned in a tax year, we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we determine that our estimated current year annual taxable income will be in excess of estimated current year dividend distributions from such income, we accrue excise tax on estimated excess taxable income.</w:t>
      </w:r>
    </w:p>
    <w:p>
      <w:pPr>
        <w:spacing w:after="0" w:line="171" w:lineRule="exact"/>
        <w:rPr>
          <w:sz w:val="20"/>
          <w:szCs w:val="20"/>
          <w:color w:val="auto"/>
        </w:rPr>
      </w:pPr>
    </w:p>
    <w:p>
      <w:pPr>
        <w:ind w:right="100" w:firstLine="255"/>
        <w:spacing w:after="0" w:line="263" w:lineRule="auto"/>
        <w:rPr>
          <w:sz w:val="20"/>
          <w:szCs w:val="20"/>
          <w:color w:val="auto"/>
        </w:rPr>
      </w:pPr>
      <w:r>
        <w:rPr>
          <w:rFonts w:ascii="Arial" w:cs="Arial" w:eastAsia="Arial" w:hAnsi="Arial"/>
          <w:sz w:val="18"/>
          <w:szCs w:val="18"/>
          <w:color w:val="auto"/>
        </w:rPr>
        <w:t>For the three and six months ended June 30, 2021, we recorded a net expense of $0.2 million and $0.6 million, respectively, for U.S. federal excise tax and other taxes. For the three and six months ended June 30, 2020, we recorded a net expense of $1.0 million and $2.0 million, respectively, for U.S. federal excise tax and other taxes.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and Unrealized Gains and Losses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following table summarizes our net realized and unrealized gains (losses) for the three and six months ended June 30, 2021 and 2020:</w:t>
      </w:r>
    </w:p>
    <w:p>
      <w:pPr>
        <w:spacing w:after="0" w:line="309"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72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2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4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6"/>
        </w:trPr>
        <w:tc>
          <w:tcPr>
            <w:tcW w:w="4720" w:type="dxa"/>
            <w:vAlign w:val="bottom"/>
            <w:tcBorders>
              <w:bottom w:val="single" w:sz="8" w:color="CFF0FC"/>
            </w:tcBorders>
            <w:vMerge w:val="continue"/>
          </w:tcPr>
          <w:p>
            <w:pPr>
              <w:spacing w:after="0"/>
              <w:rPr>
                <w:sz w:val="13"/>
                <w:szCs w:val="13"/>
                <w:color w:val="auto"/>
              </w:rPr>
            </w:pPr>
          </w:p>
        </w:tc>
        <w:tc>
          <w:tcPr>
            <w:tcW w:w="480" w:type="dxa"/>
            <w:vAlign w:val="bottom"/>
            <w:tcBorders>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12"/>
              <w:spacing w:after="0" w:line="155" w:lineRule="exact"/>
              <w:rPr>
                <w:sz w:val="20"/>
                <w:szCs w:val="20"/>
                <w:color w:val="auto"/>
              </w:rPr>
            </w:pPr>
            <w:r>
              <w:rPr>
                <w:rFonts w:ascii="Arial" w:cs="Arial" w:eastAsia="Arial" w:hAnsi="Arial"/>
                <w:sz w:val="14"/>
                <w:szCs w:val="14"/>
                <w:b w:val="1"/>
                <w:bCs w:val="1"/>
                <w:color w:val="auto"/>
                <w:w w:val="90"/>
              </w:rPr>
              <w:t>June 30, 2021</w:t>
            </w:r>
          </w:p>
        </w:tc>
        <w:tc>
          <w:tcPr>
            <w:tcW w:w="14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11"/>
              <w:spacing w:after="0" w:line="155" w:lineRule="exact"/>
              <w:rPr>
                <w:sz w:val="20"/>
                <w:szCs w:val="20"/>
                <w:color w:val="auto"/>
              </w:rPr>
            </w:pPr>
            <w:r>
              <w:rPr>
                <w:rFonts w:ascii="Arial" w:cs="Arial" w:eastAsia="Arial" w:hAnsi="Arial"/>
                <w:sz w:val="14"/>
                <w:szCs w:val="14"/>
                <w:b w:val="1"/>
                <w:bCs w:val="1"/>
                <w:color w:val="auto"/>
                <w:w w:val="90"/>
              </w:rPr>
              <w:t>June 30, 2020</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2"/>
              <w:spacing w:after="0" w:line="155" w:lineRule="exact"/>
              <w:rPr>
                <w:sz w:val="20"/>
                <w:szCs w:val="20"/>
                <w:color w:val="auto"/>
              </w:rPr>
            </w:pPr>
            <w:r>
              <w:rPr>
                <w:rFonts w:ascii="Arial" w:cs="Arial" w:eastAsia="Arial" w:hAnsi="Arial"/>
                <w:sz w:val="14"/>
                <w:szCs w:val="14"/>
                <w:b w:val="1"/>
                <w:bCs w:val="1"/>
                <w:color w:val="auto"/>
                <w:w w:val="90"/>
              </w:rPr>
              <w:t>June 30, 2021</w:t>
            </w:r>
          </w:p>
        </w:tc>
        <w:tc>
          <w:tcPr>
            <w:tcW w:w="22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1"/>
              <w:spacing w:after="0" w:line="155" w:lineRule="exact"/>
              <w:rPr>
                <w:sz w:val="20"/>
                <w:szCs w:val="20"/>
                <w:color w:val="auto"/>
              </w:rPr>
            </w:pPr>
            <w:r>
              <w:rPr>
                <w:rFonts w:ascii="Arial" w:cs="Arial" w:eastAsia="Arial" w:hAnsi="Arial"/>
                <w:sz w:val="14"/>
                <w:szCs w:val="14"/>
                <w:b w:val="1"/>
                <w:bCs w:val="1"/>
                <w:color w:val="auto"/>
                <w:w w:val="90"/>
              </w:rPr>
              <w:t>June 30, 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Net realized gains (losses) on investments</w:t>
            </w:r>
          </w:p>
        </w:tc>
        <w:tc>
          <w:tcPr>
            <w:tcW w:w="48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9"/>
        </w:trPr>
        <w:tc>
          <w:tcPr>
            <w:tcW w:w="4720" w:type="dxa"/>
            <w:vAlign w:val="bottom"/>
          </w:tcPr>
          <w:p>
            <w:pPr>
              <w:spacing w:after="0"/>
              <w:rPr>
                <w:sz w:val="20"/>
                <w:szCs w:val="20"/>
                <w:color w:val="auto"/>
              </w:rPr>
            </w:pPr>
            <w:r>
              <w:rPr>
                <w:rFonts w:ascii="Arial" w:cs="Arial" w:eastAsia="Arial" w:hAnsi="Arial"/>
                <w:sz w:val="18"/>
                <w:szCs w:val="18"/>
                <w:color w:val="auto"/>
              </w:rPr>
              <w:t>Net realized gains on extinguishment of debt</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w w:val="99"/>
              </w:rPr>
              <w:t>Net realized gains (losses) on foreign currency transactions</w:t>
            </w:r>
          </w:p>
        </w:tc>
        <w:tc>
          <w:tcPr>
            <w:tcW w:w="4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(0.0)</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w w:val="99"/>
              </w:rPr>
              <w:t>Net realized gains (losses) on foreign currency investments</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(0.0)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(0.0)</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Net realized losses on foreign currency borrowings</w:t>
            </w:r>
          </w:p>
        </w:tc>
        <w:tc>
          <w:tcPr>
            <w:tcW w:w="4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(0.0)</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(0.3)</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(0.0)</w:t>
            </w:r>
          </w:p>
        </w:tc>
        <w:tc>
          <w:tcPr>
            <w:tcW w:w="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Arial" w:cs="Arial" w:eastAsia="Arial" w:hAnsi="Arial"/>
                <w:sz w:val="18"/>
                <w:szCs w:val="18"/>
                <w:b w:val="1"/>
                <w:bCs w:val="1"/>
                <w:color w:val="auto"/>
              </w:rPr>
              <w:t>Net Realized Gains (Losses)</w:t>
            </w:r>
          </w:p>
        </w:tc>
        <w:tc>
          <w:tcPr>
            <w:tcW w:w="48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720" w:type="dxa"/>
            <w:vAlign w:val="bottom"/>
            <w:vMerge w:val="continue"/>
          </w:tcPr>
          <w:p>
            <w:pPr>
              <w:spacing w:after="0"/>
              <w:rPr>
                <w:sz w:val="22"/>
                <w:szCs w:val="22"/>
                <w:color w:val="auto"/>
              </w:rPr>
            </w:pPr>
          </w:p>
        </w:tc>
        <w:tc>
          <w:tcPr>
            <w:tcW w:w="480" w:type="dxa"/>
            <w:vAlign w:val="bottom"/>
            <w:vMerge w:val="continue"/>
          </w:tcPr>
          <w:p>
            <w:pPr>
              <w:spacing w:after="0"/>
              <w:rPr>
                <w:sz w:val="22"/>
                <w:szCs w:val="22"/>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22"/>
                <w:szCs w:val="22"/>
                <w:color w:val="auto"/>
              </w:rPr>
            </w:pPr>
          </w:p>
        </w:tc>
        <w:tc>
          <w:tcPr>
            <w:tcW w:w="80" w:type="dxa"/>
            <w:vAlign w:val="bottom"/>
            <w:vMerge w:val="continue"/>
          </w:tcPr>
          <w:p>
            <w:pPr>
              <w:spacing w:after="0"/>
              <w:rPr>
                <w:sz w:val="22"/>
                <w:szCs w:val="22"/>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(0.8)</w:t>
            </w:r>
          </w:p>
        </w:tc>
        <w:tc>
          <w:tcPr>
            <w:tcW w:w="80" w:type="dxa"/>
            <w:vAlign w:val="bottom"/>
            <w:vMerge w:val="continue"/>
          </w:tcPr>
          <w:p>
            <w:pPr>
              <w:spacing w:after="0"/>
              <w:rPr>
                <w:sz w:val="22"/>
                <w:szCs w:val="22"/>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16.6</w:t>
            </w:r>
          </w:p>
        </w:tc>
        <w:tc>
          <w:tcPr>
            <w:tcW w:w="22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0"/>
        </w:trPr>
        <w:tc>
          <w:tcPr>
            <w:tcW w:w="4720" w:type="dxa"/>
            <w:vAlign w:val="bottom"/>
            <w:tcBorders>
              <w:top w:val="single" w:sz="8" w:color="CFF0FC"/>
            </w:tcBorders>
            <w:shd w:val="clear" w:color="auto" w:fill="CFF0FC"/>
          </w:tcPr>
          <w:p>
            <w:pPr>
              <w:spacing w:after="0"/>
              <w:rPr>
                <w:sz w:val="18"/>
                <w:szCs w:val="18"/>
                <w:color w:val="auto"/>
              </w:rPr>
            </w:pPr>
          </w:p>
        </w:tc>
        <w:tc>
          <w:tcPr>
            <w:tcW w:w="48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Change in unrealized gains on investments</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38.4</w:t>
            </w:r>
          </w:p>
        </w:tc>
        <w:tc>
          <w:tcPr>
            <w:tcW w:w="14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87.6</w:t>
            </w:r>
          </w:p>
        </w:tc>
        <w:tc>
          <w:tcPr>
            <w:tcW w:w="14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64.9</w:t>
            </w:r>
          </w:p>
        </w:tc>
        <w:tc>
          <w:tcPr>
            <w:tcW w:w="2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Change in unrealized losses on investments</w:t>
            </w:r>
          </w:p>
        </w:tc>
        <w:tc>
          <w:tcPr>
            <w:tcW w:w="4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(8.4)</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(22.5)</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(23.5)</w:t>
            </w:r>
          </w:p>
        </w:tc>
        <w:tc>
          <w:tcPr>
            <w:tcW w:w="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05"/>
        </w:trPr>
        <w:tc>
          <w:tcPr>
            <w:tcW w:w="4720" w:type="dxa"/>
            <w:vAlign w:val="bottom"/>
          </w:tcPr>
          <w:p>
            <w:pPr>
              <w:spacing w:after="0" w:line="205" w:lineRule="exact"/>
              <w:rPr>
                <w:sz w:val="20"/>
                <w:szCs w:val="20"/>
                <w:color w:val="auto"/>
              </w:rPr>
            </w:pPr>
            <w:r>
              <w:rPr>
                <w:rFonts w:ascii="Arial" w:cs="Arial" w:eastAsia="Arial" w:hAnsi="Arial"/>
                <w:sz w:val="18"/>
                <w:szCs w:val="18"/>
                <w:b w:val="1"/>
                <w:bCs w:val="1"/>
                <w:color w:val="auto"/>
              </w:rPr>
              <w:t>Net Change in Unrealized Gains (Losses) on</w:t>
            </w:r>
          </w:p>
        </w:tc>
        <w:tc>
          <w:tcPr>
            <w:tcW w:w="4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20" w:type="dxa"/>
            <w:vAlign w:val="bottom"/>
          </w:tcPr>
          <w:p>
            <w:pPr>
              <w:ind w:left="140"/>
              <w:spacing w:after="0"/>
              <w:rPr>
                <w:sz w:val="20"/>
                <w:szCs w:val="20"/>
                <w:color w:val="auto"/>
              </w:rPr>
            </w:pPr>
            <w:r>
              <w:rPr>
                <w:rFonts w:ascii="Arial" w:cs="Arial" w:eastAsia="Arial" w:hAnsi="Arial"/>
                <w:sz w:val="18"/>
                <w:szCs w:val="18"/>
                <w:b w:val="1"/>
                <w:bCs w:val="1"/>
                <w:color w:val="auto"/>
              </w:rPr>
              <w:t>Investments</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30.0</w:t>
            </w:r>
          </w:p>
        </w:tc>
        <w:tc>
          <w:tcPr>
            <w:tcW w:w="14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65.1</w:t>
            </w:r>
          </w:p>
        </w:tc>
        <w:tc>
          <w:tcPr>
            <w:tcW w:w="14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41.4</w:t>
            </w:r>
          </w:p>
        </w:tc>
        <w:tc>
          <w:tcPr>
            <w:tcW w:w="2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30"/>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Unrealized gains (losses) on foreign currency borrowings</w:t>
            </w:r>
          </w:p>
        </w:tc>
        <w:tc>
          <w:tcPr>
            <w:tcW w:w="4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(8.4)</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Unrealized gains on foreign currency cash</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Unrealized gains (losses) on interest rate swaps</w:t>
            </w:r>
          </w:p>
        </w:tc>
        <w:tc>
          <w:tcPr>
            <w:tcW w:w="4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(3.3)</w:t>
            </w: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720" w:type="dxa"/>
            <w:vAlign w:val="bottom"/>
          </w:tcPr>
          <w:p>
            <w:pPr>
              <w:spacing w:after="0" w:line="205" w:lineRule="exact"/>
              <w:rPr>
                <w:sz w:val="20"/>
                <w:szCs w:val="20"/>
                <w:color w:val="auto"/>
              </w:rPr>
            </w:pPr>
            <w:r>
              <w:rPr>
                <w:rFonts w:ascii="Arial" w:cs="Arial" w:eastAsia="Arial" w:hAnsi="Arial"/>
                <w:sz w:val="18"/>
                <w:szCs w:val="18"/>
                <w:b w:val="1"/>
                <w:bCs w:val="1"/>
                <w:color w:val="auto"/>
              </w:rPr>
              <w:t>Net Change in Unrealized Gains (Losses) on Foreign</w:t>
            </w:r>
          </w:p>
        </w:tc>
        <w:tc>
          <w:tcPr>
            <w:tcW w:w="4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20" w:type="dxa"/>
            <w:vAlign w:val="bottom"/>
          </w:tcPr>
          <w:p>
            <w:pPr>
              <w:ind w:left="140"/>
              <w:spacing w:after="0"/>
              <w:rPr>
                <w:sz w:val="20"/>
                <w:szCs w:val="20"/>
                <w:color w:val="auto"/>
              </w:rPr>
            </w:pPr>
            <w:r>
              <w:rPr>
                <w:rFonts w:ascii="Arial" w:cs="Arial" w:eastAsia="Arial" w:hAnsi="Arial"/>
                <w:sz w:val="18"/>
                <w:szCs w:val="18"/>
                <w:b w:val="1"/>
                <w:bCs w:val="1"/>
                <w:color w:val="auto"/>
              </w:rPr>
              <w:t>Currency Transactions and Interest Rate Swaps</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(7.9)</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20" w:type="dxa"/>
            <w:vAlign w:val="bottom"/>
          </w:tcPr>
          <w:p>
            <w:pPr>
              <w:spacing w:after="0"/>
              <w:rPr>
                <w:sz w:val="20"/>
                <w:szCs w:val="20"/>
                <w:color w:val="auto"/>
              </w:rPr>
            </w:pPr>
            <w:r>
              <w:rPr>
                <w:rFonts w:ascii="Arial" w:cs="Arial" w:eastAsia="Arial" w:hAnsi="Arial"/>
                <w:sz w:val="18"/>
                <w:szCs w:val="18"/>
                <w:b w:val="1"/>
                <w:bCs w:val="1"/>
                <w:color w:val="auto"/>
              </w:rPr>
              <w:t>Net Change in Unrealized Gains (Losses)</w:t>
            </w:r>
          </w:p>
        </w:tc>
        <w:tc>
          <w:tcPr>
            <w:tcW w:w="4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29.0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57.2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38.7</w:t>
            </w:r>
          </w:p>
        </w:tc>
        <w:tc>
          <w:tcPr>
            <w:tcW w:w="2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firstLine="255"/>
        <w:spacing w:after="0" w:line="273" w:lineRule="auto"/>
        <w:rPr>
          <w:sz w:val="20"/>
          <w:szCs w:val="20"/>
          <w:color w:val="auto"/>
        </w:rPr>
      </w:pPr>
      <w:r>
        <w:rPr>
          <w:rFonts w:ascii="Arial" w:cs="Arial" w:eastAsia="Arial" w:hAnsi="Arial"/>
          <w:sz w:val="17"/>
          <w:szCs w:val="17"/>
          <w:color w:val="auto"/>
        </w:rPr>
        <w:t>For the three and six months ended June 30, 2021, we had net realized gains on investments of $2.0 million and $16.6 million respectively, primarily driven by one investment and three investments, respectively. For the three and six months ended June 30, 2021, we had net realized gains of less than $0.1 million on foreign currency transactions, primarily as a result of translating foreign currency related to our non-USD denominated investments. For the three and six months ended June 30, 2021, we had net realized losses of less than $0.1 million, on foreign currency investments. For the three and six months ended June 30, 2021, we had net realized losses of less than $0.1 million, on foreign currency borrowings. The net realized losses on foreign currency borrowings were a result of payments on our revolving credit facility.</w:t>
      </w:r>
    </w:p>
    <w:p>
      <w:pPr>
        <w:spacing w:after="0" w:line="178" w:lineRule="exact"/>
        <w:rPr>
          <w:sz w:val="20"/>
          <w:szCs w:val="20"/>
          <w:color w:val="auto"/>
        </w:rPr>
      </w:pPr>
    </w:p>
    <w:p>
      <w:pPr>
        <w:ind w:firstLine="255"/>
        <w:spacing w:after="0" w:line="255" w:lineRule="auto"/>
        <w:rPr>
          <w:sz w:val="20"/>
          <w:szCs w:val="20"/>
          <w:color w:val="auto"/>
        </w:rPr>
      </w:pPr>
      <w:r>
        <w:rPr>
          <w:rFonts w:ascii="Arial" w:cs="Arial" w:eastAsia="Arial" w:hAnsi="Arial"/>
          <w:sz w:val="18"/>
          <w:szCs w:val="18"/>
          <w:color w:val="auto"/>
        </w:rPr>
        <w:t>For the three months ended June 30, 2021 we had $38.4 million in unrealized gains on 47 portfolio company investments, which was offset by $8.4 million in unrealized losses on 25 portfolio company investments. Unrealized gains resulted from an increase in fair value, primarily due to tightening of credit spreads and positive portfolio company specific developments. Unrealized losses primarily resulted from the unwind of prior period unrealized gains due to realizations and negative portfolio company specific developments. For the six months ended June 30, 2021 we had $64.9 million in unrealized gains on 56 portfolio company investments, which was offset by $23.5 million in unrealized losses on 23 portfolio company investments. Unrealized gains resulted from an increase in fair</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62" w:name="page63"/>
    <w:bookmarkEnd w:id="62"/>
    <w:p>
      <w:pPr>
        <w:ind w:right="280"/>
        <w:spacing w:after="0" w:line="277" w:lineRule="auto"/>
        <w:rPr>
          <w:sz w:val="20"/>
          <w:szCs w:val="20"/>
          <w:color w:val="auto"/>
        </w:rPr>
      </w:pPr>
      <w:r>
        <w:rPr>
          <w:rFonts w:ascii="Arial" w:cs="Arial" w:eastAsia="Arial" w:hAnsi="Arial"/>
          <w:sz w:val="18"/>
          <w:szCs w:val="18"/>
          <w:color w:val="auto"/>
        </w:rPr>
        <w:t>value, primarily due to tightening of credit spreads and positive portfolio company specific developments. Unrealized losses primarily resulted from the unwind of prior period unrealized gains due to realizations and negative portfolio company specific developments.</w:t>
      </w:r>
    </w:p>
    <w:p>
      <w:pPr>
        <w:spacing w:after="0" w:line="170" w:lineRule="exact"/>
        <w:rPr>
          <w:sz w:val="20"/>
          <w:szCs w:val="20"/>
          <w:color w:val="auto"/>
        </w:rPr>
      </w:pPr>
    </w:p>
    <w:p>
      <w:pPr>
        <w:ind w:right="220" w:firstLine="255"/>
        <w:spacing w:after="0" w:line="259" w:lineRule="auto"/>
        <w:rPr>
          <w:sz w:val="20"/>
          <w:szCs w:val="20"/>
          <w:color w:val="auto"/>
        </w:rPr>
      </w:pPr>
      <w:r>
        <w:rPr>
          <w:rFonts w:ascii="Arial" w:cs="Arial" w:eastAsia="Arial" w:hAnsi="Arial"/>
          <w:sz w:val="18"/>
          <w:szCs w:val="18"/>
          <w:color w:val="auto"/>
        </w:rPr>
        <w:t>For the three and six months ended June 30, 2021 we had unrealized gains on foreign currency borrowings of $0.4 million and $0.6 million, respectively, as a result of fluctuations in the AUD, CAD and EUR exchange rates. For the three and six months ended June 30, 2021, we had unrealized losses on interest rate swaps of $1.4 million and $3.3 million, respectively, due to fluctuations in interest rates and the periodic settlement of interest rate swaps.</w:t>
      </w:r>
    </w:p>
    <w:p>
      <w:pPr>
        <w:spacing w:after="0" w:line="187" w:lineRule="exact"/>
        <w:rPr>
          <w:sz w:val="20"/>
          <w:szCs w:val="20"/>
          <w:color w:val="auto"/>
        </w:rPr>
      </w:pPr>
    </w:p>
    <w:p>
      <w:pPr>
        <w:ind w:right="40" w:firstLine="255"/>
        <w:spacing w:after="0" w:line="291" w:lineRule="auto"/>
        <w:rPr>
          <w:sz w:val="20"/>
          <w:szCs w:val="20"/>
          <w:color w:val="auto"/>
        </w:rPr>
      </w:pPr>
      <w:r>
        <w:rPr>
          <w:rFonts w:ascii="Arial" w:cs="Arial" w:eastAsia="Arial" w:hAnsi="Arial"/>
          <w:sz w:val="16"/>
          <w:szCs w:val="16"/>
          <w:color w:val="auto"/>
        </w:rPr>
        <w:t>For the three and six months ended June 30, 2020, we had net realized losses on investments of $1.5 million and $3.5 million, respectively, primarily driven by one investment. For both the three and six months ended June 30, 2020, we had net realized gains of $0.7 million on extinguishment of debt, as a result of our repurchases of our debt securities. For the three and six months ended June 30, 2020, we had net realized gains of less than $0.1 million and $0.1 million, respectively, on foreign currency transactions, primarily as a result of translating foreign currency related to our non-USD denominated investments. For the three and six months ended June 30, 2020, we had net realized gains of $0.3 million and $0.2 million, respectively, on foreign currency investments. For the three and six months ended June 30, 2020, we had net realized losses of $0.3 million and $0.2 million, respectively, on foreign currency borrowings. The net realized losses on foreign currency borrowings were a result of payments on our revolving credit facility.</w:t>
      </w:r>
    </w:p>
    <w:p>
      <w:pPr>
        <w:spacing w:after="0" w:line="166" w:lineRule="exact"/>
        <w:rPr>
          <w:sz w:val="20"/>
          <w:szCs w:val="20"/>
          <w:color w:val="auto"/>
        </w:rPr>
      </w:pPr>
    </w:p>
    <w:p>
      <w:pPr>
        <w:ind w:right="200" w:firstLine="255"/>
        <w:spacing w:after="0" w:line="255" w:lineRule="auto"/>
        <w:rPr>
          <w:sz w:val="20"/>
          <w:szCs w:val="20"/>
          <w:color w:val="auto"/>
        </w:rPr>
      </w:pPr>
      <w:r>
        <w:rPr>
          <w:rFonts w:ascii="Arial" w:cs="Arial" w:eastAsia="Arial" w:hAnsi="Arial"/>
          <w:sz w:val="18"/>
          <w:szCs w:val="18"/>
          <w:color w:val="auto"/>
        </w:rPr>
        <w:t>For the three months ended June 30, 2020 we had $87.6 million in unrealized gains on 57 portfolio company investments, which was offset by $22.5 million in unrealized losses on 10 portfolio company investments. Unrealized gains resulted from an increase in fair value, primarily due to tightening of credit spreads. Unrealized losses primarily resulted from negative portfolio company specific developments. For the six months ended June 30, 2020 we had $14.9 million in unrealized gains on 27 portfolio company investments, which was offset by $57.4 million in unrealized losses on 47 portfolio company investments. Unrealized gains resulted from an increase in fair value, primarily due positive portfolio company specific developments. Unrealized losses primarily resulted from a widening spread environment.</w:t>
      </w:r>
    </w:p>
    <w:p>
      <w:pPr>
        <w:spacing w:after="0" w:line="192" w:lineRule="exact"/>
        <w:rPr>
          <w:sz w:val="20"/>
          <w:szCs w:val="20"/>
          <w:color w:val="auto"/>
        </w:rPr>
      </w:pPr>
    </w:p>
    <w:p>
      <w:pPr>
        <w:ind w:firstLine="255"/>
        <w:spacing w:after="0" w:line="257" w:lineRule="auto"/>
        <w:rPr>
          <w:sz w:val="20"/>
          <w:szCs w:val="20"/>
          <w:color w:val="auto"/>
        </w:rPr>
      </w:pPr>
      <w:r>
        <w:rPr>
          <w:rFonts w:ascii="Arial" w:cs="Arial" w:eastAsia="Arial" w:hAnsi="Arial"/>
          <w:sz w:val="18"/>
          <w:szCs w:val="18"/>
          <w:color w:val="auto"/>
        </w:rPr>
        <w:t>For the three and six months ended June 30, 2020 we had unrealized losses on foreign currency borrowings of $8.4 million and unrealized gains on foreign currency borrowings of $5.4 million, respectively, as a result of fluctuations in the AUD, CAD and EUR exchange rates. For the three and six months ended June 30, 2020, we had unrealized gains on foreign currency cash of less than $0.1. For the three and six months ended June 30, 2020, we had unrealized gains on interest rate swaps of $0.5 million and $9.7 million, respectively, due to fluctuations in interest rates and the periodic settlement of interest rate swaps.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Realized Gross Internal Rate of Return</w:t>
      </w:r>
    </w:p>
    <w:p>
      <w:pPr>
        <w:spacing w:after="0" w:line="117" w:lineRule="exact"/>
        <w:rPr>
          <w:sz w:val="20"/>
          <w:szCs w:val="20"/>
          <w:color w:val="auto"/>
        </w:rPr>
      </w:pPr>
    </w:p>
    <w:p>
      <w:pPr>
        <w:ind w:right="40" w:firstLine="255"/>
        <w:spacing w:after="0" w:line="286" w:lineRule="auto"/>
        <w:rPr>
          <w:sz w:val="20"/>
          <w:szCs w:val="20"/>
          <w:color w:val="auto"/>
        </w:rPr>
      </w:pPr>
      <w:r>
        <w:rPr>
          <w:rFonts w:ascii="Arial" w:cs="Arial" w:eastAsia="Arial" w:hAnsi="Arial"/>
          <w:sz w:val="17"/>
          <w:szCs w:val="17"/>
          <w:color w:val="auto"/>
        </w:rPr>
        <w:t>Since we began investing in 2011 through June 30, 2021, weighted by capital invested, our exited investments have generated an average realized gross internal rate of return to us of 19.3% (based on total capital invested of $5.1 billion and total proceeds from these exited investments of $6.5 billion). Ninety-two percent of these exited investments resulted in a realized gross internal rate of return to us of 10% or greater.</w:t>
      </w:r>
    </w:p>
    <w:p>
      <w:pPr>
        <w:spacing w:after="0" w:line="165" w:lineRule="exact"/>
        <w:rPr>
          <w:sz w:val="20"/>
          <w:szCs w:val="20"/>
          <w:color w:val="auto"/>
        </w:rPr>
      </w:pPr>
    </w:p>
    <w:p>
      <w:pPr>
        <w:ind w:right="320" w:firstLine="255"/>
        <w:spacing w:after="0" w:line="263" w:lineRule="auto"/>
        <w:rPr>
          <w:sz w:val="20"/>
          <w:szCs w:val="20"/>
          <w:color w:val="auto"/>
        </w:rPr>
      </w:pPr>
      <w:r>
        <w:rPr>
          <w:rFonts w:ascii="Arial" w:cs="Arial" w:eastAsia="Arial" w:hAnsi="Arial"/>
          <w:sz w:val="18"/>
          <w:szCs w:val="18"/>
          <w:color w:val="auto"/>
        </w:rPr>
        <w:t>Gross IRR, with respect to an investment, is calculated based on the dates that we invested capital and dates we received distributions, regardless of when we made distributions to our stockholders. Initial investments are assumed to occur at time zero, and all cash flows are deemed to occur on the fifteenth of each month in which they occur.</w:t>
      </w:r>
    </w:p>
    <w:p>
      <w:pPr>
        <w:spacing w:after="0" w:line="184" w:lineRule="exact"/>
        <w:rPr>
          <w:sz w:val="20"/>
          <w:szCs w:val="20"/>
          <w:color w:val="auto"/>
        </w:rPr>
      </w:pPr>
    </w:p>
    <w:p>
      <w:pPr>
        <w:jc w:val="both"/>
        <w:ind w:right="140" w:firstLine="255"/>
        <w:spacing w:after="0" w:line="342" w:lineRule="auto"/>
        <w:rPr>
          <w:sz w:val="20"/>
          <w:szCs w:val="20"/>
          <w:color w:val="auto"/>
        </w:rPr>
      </w:pPr>
      <w:r>
        <w:rPr>
          <w:rFonts w:ascii="Arial" w:cs="Arial" w:eastAsia="Arial" w:hAnsi="Arial"/>
          <w:sz w:val="16"/>
          <w:szCs w:val="16"/>
          <w:color w:val="auto"/>
        </w:rPr>
        <w:t>Gross IRR reflects historical results relating to our past performance and is not necessarily indicative of our future results. In addition, gross IRR does not reflect the effect of Management Fees, expenses, Incentive Fees or taxes borne, or to be borne, by us or our stockholders, and would be lower if it did.</w:t>
      </w:r>
    </w:p>
    <w:p>
      <w:pPr>
        <w:spacing w:after="0" w:line="124" w:lineRule="exact"/>
        <w:rPr>
          <w:sz w:val="20"/>
          <w:szCs w:val="20"/>
          <w:color w:val="auto"/>
        </w:rPr>
      </w:pPr>
    </w:p>
    <w:p>
      <w:pPr>
        <w:ind w:right="20" w:firstLine="255"/>
        <w:spacing w:after="0" w:line="277" w:lineRule="auto"/>
        <w:rPr>
          <w:sz w:val="20"/>
          <w:szCs w:val="20"/>
          <w:color w:val="auto"/>
        </w:rPr>
      </w:pPr>
      <w:r>
        <w:rPr>
          <w:rFonts w:ascii="Arial" w:cs="Arial" w:eastAsia="Arial" w:hAnsi="Arial"/>
          <w:sz w:val="18"/>
          <w:szCs w:val="18"/>
          <w:color w:val="auto"/>
        </w:rPr>
        <w:t>Average gross IRR is the average of the gross IRR for each of our exited investments (each calculated as described above), weighted by the total capital invested for each of those investments.</w:t>
      </w:r>
    </w:p>
    <w:p>
      <w:pPr>
        <w:spacing w:after="0" w:line="170" w:lineRule="exact"/>
        <w:rPr>
          <w:sz w:val="20"/>
          <w:szCs w:val="20"/>
          <w:color w:val="auto"/>
        </w:rPr>
      </w:pPr>
    </w:p>
    <w:p>
      <w:pPr>
        <w:ind w:right="160" w:firstLine="255"/>
        <w:spacing w:after="0" w:line="277" w:lineRule="auto"/>
        <w:rPr>
          <w:sz w:val="20"/>
          <w:szCs w:val="20"/>
          <w:color w:val="auto"/>
        </w:rPr>
      </w:pPr>
      <w:r>
        <w:rPr>
          <w:rFonts w:ascii="Arial" w:cs="Arial" w:eastAsia="Arial" w:hAnsi="Arial"/>
          <w:sz w:val="18"/>
          <w:szCs w:val="18"/>
          <w:color w:val="auto"/>
        </w:rPr>
        <w:t>Average gross IRR on our exited investments reflects only invested and realized cash amounts as described above, and does not reflect any unrealized gains or losses in our portfolio.</w:t>
      </w:r>
    </w:p>
    <w:p>
      <w:pPr>
        <w:spacing w:after="0" w:line="170" w:lineRule="exact"/>
        <w:rPr>
          <w:sz w:val="20"/>
          <w:szCs w:val="20"/>
          <w:color w:val="auto"/>
        </w:rPr>
      </w:pPr>
    </w:p>
    <w:p>
      <w:pPr>
        <w:ind w:right="140" w:firstLine="255"/>
        <w:spacing w:after="0" w:line="286" w:lineRule="auto"/>
        <w:rPr>
          <w:sz w:val="20"/>
          <w:szCs w:val="20"/>
          <w:color w:val="auto"/>
        </w:rPr>
      </w:pPr>
      <w:r>
        <w:rPr>
          <w:rFonts w:ascii="Arial" w:cs="Arial" w:eastAsia="Arial" w:hAnsi="Arial"/>
          <w:sz w:val="17"/>
          <w:szCs w:val="17"/>
          <w:color w:val="auto"/>
        </w:rPr>
        <w:t>Internal rate of return, or IRR, is a measure of our discounted cash flows (inflows and outflows). Specifically, IRR is the discount rate at which the net present value of all cash flows is equal to zero. That is, IRR is the discount rate at which the present value of total capital invested in each of our investments is equal to the present value of all realized returns from that investment. Our IRR calculations are unaudited.</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3" w:name="page64"/>
    <w:bookmarkEnd w:id="63"/>
    <w:p>
      <w:pPr>
        <w:ind w:right="80" w:firstLine="255"/>
        <w:spacing w:after="0" w:line="311" w:lineRule="auto"/>
        <w:rPr>
          <w:sz w:val="20"/>
          <w:szCs w:val="20"/>
          <w:color w:val="auto"/>
        </w:rPr>
      </w:pPr>
      <w:r>
        <w:rPr>
          <w:rFonts w:ascii="Arial" w:cs="Arial" w:eastAsia="Arial" w:hAnsi="Arial"/>
          <w:sz w:val="16"/>
          <w:szCs w:val="16"/>
          <w:color w:val="auto"/>
        </w:rPr>
        <w:t>Capital invested, with respect to an investment, represents the aggregate cost basis allocable to the realized or unrealized portion of the investment, net of any upfront fees paid at closing for the term loan portion of the investment. Capital invested also includes realized losses on hedging activity, with respect to an investment, which represents any inception-to-date realized losses on foreign currency forward contracts allocable to the investment, if any.</w:t>
      </w:r>
    </w:p>
    <w:p>
      <w:pPr>
        <w:spacing w:after="0" w:line="149" w:lineRule="exact"/>
        <w:rPr>
          <w:sz w:val="20"/>
          <w:szCs w:val="20"/>
          <w:color w:val="auto"/>
        </w:rPr>
      </w:pPr>
    </w:p>
    <w:p>
      <w:pPr>
        <w:ind w:right="20" w:firstLine="255"/>
        <w:spacing w:after="0" w:line="301" w:lineRule="auto"/>
        <w:rPr>
          <w:sz w:val="20"/>
          <w:szCs w:val="20"/>
          <w:color w:val="auto"/>
        </w:rPr>
      </w:pPr>
      <w:r>
        <w:rPr>
          <w:rFonts w:ascii="Arial" w:cs="Arial" w:eastAsia="Arial" w:hAnsi="Arial"/>
          <w:sz w:val="16"/>
          <w:szCs w:val="16"/>
          <w:color w:val="auto"/>
        </w:rPr>
        <w:t>Realized returns, with respect to an investment, represents the total cash received with respect to each investment, including all amortization payments, interest, dividends, prepayment fees, upfront fees (except upfront fees paid at closing for the term loan portion of an investment), administrative fees, agent fees, amendment fees, accrued interest, and other fees and proceeds. Realized returns also include realized gains on hedging activity, with respect to an investment, which represents any inception-to-date realized gains on foreign currency forward contracts allocable to the investment, if any.</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and Foreign Currency Hedging</w:t>
      </w:r>
    </w:p>
    <w:p>
      <w:pPr>
        <w:spacing w:after="0" w:line="117" w:lineRule="exact"/>
        <w:rPr>
          <w:sz w:val="20"/>
          <w:szCs w:val="20"/>
          <w:color w:val="auto"/>
        </w:rPr>
      </w:pPr>
    </w:p>
    <w:p>
      <w:pPr>
        <w:ind w:right="160" w:firstLine="255"/>
        <w:spacing w:after="0" w:line="290" w:lineRule="auto"/>
        <w:rPr>
          <w:sz w:val="20"/>
          <w:szCs w:val="20"/>
          <w:color w:val="auto"/>
        </w:rPr>
      </w:pPr>
      <w:r>
        <w:rPr>
          <w:rFonts w:ascii="Arial" w:cs="Arial" w:eastAsia="Arial" w:hAnsi="Arial"/>
          <w:sz w:val="16"/>
          <w:szCs w:val="16"/>
          <w:color w:val="auto"/>
        </w:rPr>
        <w:t>We use interest rate swaps to hedge our fixed rate debt and certain fixed rate investments. We have designated certain interest rate swaps to be in a hedge accounting relationship. See Note 2 for additional disclosure regarding our accounting for derivative instruments designated in a hedge accounting relationship. See Note 5 for additional disclosure regarding these derivative instruments and the interest payments paid and received. See Note 7 for additional disclosure regarding the carrying value of our debt. Our current approach to hedging the foreign currency exposure in our non-U.S. dollar denominated investments is primarily to borrow the par amount in local currency under our Revolving Credit Facility to fund these investments. For the three and six months ended June 30, 2021, we incurred $0.4 million and $0.6 million of unrealized gains, respectively, on the translation of our non-U.S. dollar denominated debt into U.S. dollars; such amounts approximate the corresponding unrealized gains and losses on the translation of our non-U.S. dollar denominated investments into U.S. dollars for the three and six months ended June 30, 2021.</w:t>
      </w:r>
    </w:p>
    <w:p>
      <w:pPr>
        <w:spacing w:after="0" w:line="57" w:lineRule="exact"/>
        <w:rPr>
          <w:sz w:val="20"/>
          <w:szCs w:val="20"/>
          <w:color w:val="auto"/>
        </w:rPr>
      </w:pPr>
    </w:p>
    <w:p>
      <w:pPr>
        <w:jc w:val="both"/>
        <w:ind w:right="120" w:firstLine="255"/>
        <w:spacing w:after="0" w:line="311" w:lineRule="auto"/>
        <w:rPr>
          <w:sz w:val="20"/>
          <w:szCs w:val="20"/>
          <w:color w:val="auto"/>
        </w:rPr>
      </w:pPr>
      <w:r>
        <w:rPr>
          <w:rFonts w:ascii="Arial" w:cs="Arial" w:eastAsia="Arial" w:hAnsi="Arial"/>
          <w:sz w:val="16"/>
          <w:szCs w:val="16"/>
          <w:color w:val="auto"/>
        </w:rPr>
        <w:t>For the three and six months ended June 30, 2020, we incurred $8.4 million of unrealized losses and $5.4 million of unrealized gains, respectively, on the translation of our non-U.S. dollar denominated debt into U.S. dollars; such amounts approximate the corresponding unrealized gains and losses on the translation of our non-U.S. dollar denominated investments into U.S. dollars for the three and six months ended June 30, 2020.</w:t>
      </w:r>
    </w:p>
    <w:p>
      <w:pPr>
        <w:spacing w:after="0" w:line="41" w:lineRule="exact"/>
        <w:rPr>
          <w:sz w:val="20"/>
          <w:szCs w:val="20"/>
          <w:color w:val="auto"/>
        </w:rPr>
      </w:pPr>
    </w:p>
    <w:p>
      <w:pPr>
        <w:ind w:right="100" w:firstLine="255"/>
        <w:spacing w:after="0" w:line="263" w:lineRule="auto"/>
        <w:rPr>
          <w:sz w:val="20"/>
          <w:szCs w:val="20"/>
          <w:color w:val="auto"/>
        </w:rPr>
      </w:pPr>
      <w:r>
        <w:rPr>
          <w:rFonts w:ascii="Arial" w:cs="Arial" w:eastAsia="Arial" w:hAnsi="Arial"/>
          <w:sz w:val="18"/>
          <w:szCs w:val="18"/>
          <w:color w:val="auto"/>
        </w:rPr>
        <w:t>See Note 2 for additional disclosure regarding our accounting for foreign currency. See Note 7 for additional disclosure regarding the amounts of outstanding debt denominated in each foreign currency at June 30, 2021. See our consolidated schedule of investments for additional disclosure regarding the foreign currency amounts (in both par and fair value) of our non-U.S. dollar denominated investments.</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121" w:lineRule="exact"/>
        <w:rPr>
          <w:sz w:val="20"/>
          <w:szCs w:val="20"/>
          <w:color w:val="auto"/>
        </w:rPr>
      </w:pPr>
    </w:p>
    <w:p>
      <w:pPr>
        <w:ind w:right="100" w:firstLine="255"/>
        <w:spacing w:after="0" w:line="277" w:lineRule="auto"/>
        <w:rPr>
          <w:sz w:val="20"/>
          <w:szCs w:val="20"/>
          <w:color w:val="auto"/>
        </w:rPr>
      </w:pPr>
      <w:r>
        <w:rPr>
          <w:rFonts w:ascii="Arial" w:cs="Arial" w:eastAsia="Arial" w:hAnsi="Arial"/>
          <w:sz w:val="18"/>
          <w:szCs w:val="18"/>
          <w:color w:val="auto"/>
        </w:rPr>
        <w:t>Our liquidity and capital resources are derived primarily from proceeds from equity issuances, advances from our credit facilities, and cash flows from operations. The primary uses of our cash and cash equivalents are:</w:t>
      </w:r>
    </w:p>
    <w:p>
      <w:pPr>
        <w:spacing w:after="0" w:line="62" w:lineRule="exact"/>
        <w:rPr>
          <w:sz w:val="20"/>
          <w:szCs w:val="20"/>
          <w:color w:val="auto"/>
        </w:rPr>
      </w:pPr>
    </w:p>
    <w:p>
      <w:pPr>
        <w:ind w:left="500" w:hanging="249"/>
        <w:spacing w:after="0"/>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investments in portfolio companies and other investments and to comply with certain portfolio diversification requirements;</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cost of operations (including paying our Adviser);</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debt service, repayment, and other financing costs; and</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cash dividends to the holders of our shares.</w:t>
      </w:r>
    </w:p>
    <w:p>
      <w:pPr>
        <w:spacing w:after="0" w:line="225" w:lineRule="exact"/>
        <w:rPr>
          <w:sz w:val="20"/>
          <w:szCs w:val="20"/>
          <w:color w:val="auto"/>
        </w:rPr>
      </w:pPr>
    </w:p>
    <w:p>
      <w:pPr>
        <w:ind w:firstLine="255"/>
        <w:spacing w:after="0" w:line="289" w:lineRule="auto"/>
        <w:rPr>
          <w:sz w:val="20"/>
          <w:szCs w:val="20"/>
          <w:color w:val="auto"/>
        </w:rPr>
      </w:pPr>
      <w:r>
        <w:rPr>
          <w:rFonts w:ascii="Arial" w:cs="Arial" w:eastAsia="Arial" w:hAnsi="Arial"/>
          <w:sz w:val="16"/>
          <w:szCs w:val="16"/>
          <w:color w:val="auto"/>
        </w:rPr>
        <w:t>We intend to continue to generate cash primarily from cash flows from operations, future borrowings and future offerings of securities. We may from time to time enter into additional debt facilities, increase the size of existing facilities or issue debt securities. Any such incurrence or issuance would be subject to prevailing market conditions, our liquidity requirements, contractual and regulatory restrictions and other factors. In accordance with the 1940 Act, with certain limited exceptions, we are only allowed to incur borrowings, issue debt securities or issue preferred stock if immediately after the borrowing or issuance the ratio of total assets (less total liabilities other than indebtedness) to total indebtedness plus preferred stock, is at least 150%. For more information, see “Key Components of Our Results of Operations — Leverage” above. As of June 30, 2021 and December 31, 2020, our asset coverage ratio was 192.5% and 204.5%, respectively. We carefully consider our unfunded commitments for the purpose of planning our capital resources and ongoing liquidity, including our financial leverage. Further, we maintain sufficient borrowing capacity within the 150% asset coverage limitation under the 1940 Act and the asset coverage limitation under our credit facilities to cover any outstanding unfunded commitments we are required to fund.</w:t>
      </w:r>
    </w:p>
    <w:p>
      <w:pPr>
        <w:spacing w:after="0" w:line="166" w:lineRule="exact"/>
        <w:rPr>
          <w:sz w:val="20"/>
          <w:szCs w:val="20"/>
          <w:color w:val="auto"/>
        </w:rPr>
      </w:pPr>
    </w:p>
    <w:p>
      <w:pPr>
        <w:ind w:right="20" w:firstLine="255"/>
        <w:spacing w:after="0" w:line="263" w:lineRule="auto"/>
        <w:rPr>
          <w:sz w:val="20"/>
          <w:szCs w:val="20"/>
          <w:color w:val="auto"/>
        </w:rPr>
      </w:pPr>
      <w:r>
        <w:rPr>
          <w:rFonts w:ascii="Arial" w:cs="Arial" w:eastAsia="Arial" w:hAnsi="Arial"/>
          <w:sz w:val="18"/>
          <w:szCs w:val="18"/>
          <w:color w:val="auto"/>
        </w:rPr>
        <w:t>Cash and cash equivalents as of June 30, 2021, taken together with cash available under our credit facilities, is expected to be sufficient for our investing activities and to conduct our operations in the near term. As of June 30, 2021, we had approximately $1.1 billion of availability on our Revolving Credit Facility, subject to asset coverage limitations.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64" w:name="page65"/>
    <w:bookmarkEnd w:id="64"/>
    <w:p>
      <w:pPr>
        <w:ind w:right="60" w:firstLine="255"/>
        <w:spacing w:after="0" w:line="271" w:lineRule="auto"/>
        <w:rPr>
          <w:sz w:val="20"/>
          <w:szCs w:val="20"/>
          <w:color w:val="auto"/>
        </w:rPr>
      </w:pPr>
      <w:r>
        <w:rPr>
          <w:rFonts w:ascii="Arial" w:cs="Arial" w:eastAsia="Arial" w:hAnsi="Arial"/>
          <w:sz w:val="17"/>
          <w:szCs w:val="17"/>
          <w:color w:val="auto"/>
        </w:rPr>
        <w:t>As of June 30, 2021, we had $18.5 million in cash and cash equivalents, including $15.3 million of restricted cash, an increase of $5.2 million from December 31, 2020. During the six months ended June 30, 2021, we used $148.5 million in cash from operating activities as a result of funding portfolio investments of $439.2 million, and other operating activity of $65.1 million, which was partially offset by repayments and proceeds from investments of $240.8 million and an increase in net assets resulting from operations of $115.0 million. Lastly, cash provided by financing activities was $153.7 million during the period due to borrowings of $827.3 million (including the issuance of $300.0 million principal amount of our 2026 Notes), and proceeds from the issuance of common stock, net of offering and underwriting costs, of $85.9 million, which was partially offset by paydowns on our Revolving Credit Facility of $615.5 million (including $293.7 million net proceeds from our 2026 Notes and $85.9 million net proceeds from our equity offering in February 2021), dividends paid of $136.1 million, and deferred financing costs of $7.9 million.</w:t>
      </w:r>
    </w:p>
    <w:p>
      <w:pPr>
        <w:spacing w:after="0" w:line="178" w:lineRule="exact"/>
        <w:rPr>
          <w:sz w:val="20"/>
          <w:szCs w:val="20"/>
          <w:color w:val="auto"/>
        </w:rPr>
      </w:pPr>
    </w:p>
    <w:p>
      <w:pPr>
        <w:ind w:right="200" w:firstLine="255"/>
        <w:spacing w:after="0" w:line="277" w:lineRule="auto"/>
        <w:rPr>
          <w:sz w:val="20"/>
          <w:szCs w:val="20"/>
          <w:color w:val="auto"/>
        </w:rPr>
      </w:pPr>
      <w:r>
        <w:rPr>
          <w:rFonts w:ascii="Arial" w:cs="Arial" w:eastAsia="Arial" w:hAnsi="Arial"/>
          <w:sz w:val="18"/>
          <w:szCs w:val="18"/>
          <w:color w:val="auto"/>
        </w:rPr>
        <w:t>As of June 30, 2021, we had $15.3 million of restricted cash pledged as collateral under our interest rate swap agreements, an increase of $4.5 million from December 31, 2020 primarily due to increases in the notional amount and fair value of our swaps.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w:t>
      </w:r>
    </w:p>
    <w:p>
      <w:pPr>
        <w:spacing w:after="0" w:line="117" w:lineRule="exact"/>
        <w:rPr>
          <w:sz w:val="20"/>
          <w:szCs w:val="20"/>
          <w:color w:val="auto"/>
        </w:rPr>
      </w:pPr>
    </w:p>
    <w:p>
      <w:pPr>
        <w:ind w:right="380" w:firstLine="255"/>
        <w:spacing w:after="0" w:line="286" w:lineRule="auto"/>
        <w:rPr>
          <w:sz w:val="20"/>
          <w:szCs w:val="20"/>
          <w:color w:val="auto"/>
        </w:rPr>
      </w:pPr>
      <w:r>
        <w:rPr>
          <w:rFonts w:ascii="Arial" w:cs="Arial" w:eastAsia="Arial" w:hAnsi="Arial"/>
          <w:sz w:val="17"/>
          <w:szCs w:val="17"/>
          <w:color w:val="auto"/>
        </w:rPr>
        <w:t>On February 23, 2021, we issued a total of 4,000,000 shares of commons stock at $21.30 per share. Net of underwriting fees and offering costs, we received total cash proceeds of $84.9 million. Subsequent to the offering we issued an additional 49,689 shares in March 2021 pursuant to the overallotment option granted to underwriters and received, net of underwriting fees, total cash proceeds of $1.0 million.</w:t>
      </w:r>
    </w:p>
    <w:p>
      <w:pPr>
        <w:spacing w:after="0" w:line="57" w:lineRule="exact"/>
        <w:rPr>
          <w:sz w:val="20"/>
          <w:szCs w:val="20"/>
          <w:color w:val="auto"/>
        </w:rPr>
      </w:pPr>
    </w:p>
    <w:p>
      <w:pPr>
        <w:ind w:firstLine="255"/>
        <w:spacing w:after="0" w:line="301" w:lineRule="auto"/>
        <w:rPr>
          <w:sz w:val="20"/>
          <w:szCs w:val="20"/>
          <w:color w:val="auto"/>
        </w:rPr>
      </w:pPr>
      <w:r>
        <w:rPr>
          <w:rFonts w:ascii="Arial" w:cs="Arial" w:eastAsia="Arial" w:hAnsi="Arial"/>
          <w:sz w:val="16"/>
          <w:szCs w:val="16"/>
          <w:color w:val="auto"/>
        </w:rPr>
        <w:t>During the six months ended June 30, 2021 and 2020, we also issued 915,785 and 1,024,786 shares of our common stock, respectively, to investors who have not opted out of our dividend reinvestment plan for proceeds of $19.0 million and $16.7 million, respectively. On July 15, 2021, we issued 187,442 shares of our common stock through our dividend reinvestment plan for proceeds of $4.1 million, which is not reflected in the number of shares issued for the six months ended June 30, 2021 in this section or the consolidated financial statements for the three and six months ended June 30, 2021.</w:t>
      </w:r>
    </w:p>
    <w:p>
      <w:pPr>
        <w:spacing w:after="0" w:line="157" w:lineRule="exact"/>
        <w:rPr>
          <w:sz w:val="20"/>
          <w:szCs w:val="20"/>
          <w:color w:val="auto"/>
        </w:rPr>
      </w:pPr>
    </w:p>
    <w:p>
      <w:pPr>
        <w:ind w:right="120" w:firstLine="255"/>
        <w:spacing w:after="0" w:line="279" w:lineRule="auto"/>
        <w:rPr>
          <w:sz w:val="20"/>
          <w:szCs w:val="20"/>
          <w:color w:val="auto"/>
        </w:rPr>
      </w:pPr>
      <w:r>
        <w:rPr>
          <w:rFonts w:ascii="Arial" w:cs="Arial" w:eastAsia="Arial" w:hAnsi="Arial"/>
          <w:sz w:val="17"/>
          <w:szCs w:val="17"/>
          <w:color w:val="auto"/>
        </w:rPr>
        <w:t>On August 4, 2015, our Board authorized us to acquire up to $50 million in aggregate of our common stock from time to time over an initial six month period, and has continued to authorize the refreshment of the $50 million amount authorized under and extension of the stock repurchase program prior to its expiration since that time, most recently as of May 4, 2021. The amount and timing of stock repurchases under the program may vary depending on market conditions, and no assurance can be given that any particular amount of common stock will be repurchased.</w:t>
      </w:r>
    </w:p>
    <w:p>
      <w:pPr>
        <w:spacing w:after="0" w:line="171" w:lineRule="exact"/>
        <w:rPr>
          <w:sz w:val="20"/>
          <w:szCs w:val="20"/>
          <w:color w:val="auto"/>
        </w:rPr>
      </w:pPr>
    </w:p>
    <w:p>
      <w:pPr>
        <w:ind w:right="140" w:firstLine="255"/>
        <w:spacing w:after="0" w:line="277" w:lineRule="auto"/>
        <w:rPr>
          <w:sz w:val="20"/>
          <w:szCs w:val="20"/>
          <w:color w:val="auto"/>
        </w:rPr>
      </w:pPr>
      <w:r>
        <w:rPr>
          <w:rFonts w:ascii="Arial" w:cs="Arial" w:eastAsia="Arial" w:hAnsi="Arial"/>
          <w:sz w:val="18"/>
          <w:szCs w:val="18"/>
          <w:color w:val="auto"/>
        </w:rPr>
        <w:t>During the six months ended June 30, 2020, we repurchased 206,964 shares at a weighted average price per share of $14.17 inclusive of commissions, for a total cost of $2.9 million. No shares were repurchased during the six months ended June 30, 2021.</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Debt obligations consisted of the following as of June 30, 2021 and December 31, 2020:</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5"/>
          </w:tcPr>
          <w:p>
            <w:pPr>
              <w:ind w:left="800"/>
              <w:spacing w:after="0"/>
              <w:rPr>
                <w:sz w:val="20"/>
                <w:szCs w:val="20"/>
                <w:color w:val="auto"/>
              </w:rPr>
            </w:pPr>
            <w:r>
              <w:rPr>
                <w:rFonts w:ascii="Arial" w:cs="Arial" w:eastAsia="Arial" w:hAnsi="Arial"/>
                <w:sz w:val="14"/>
                <w:szCs w:val="14"/>
                <w:b w:val="1"/>
                <w:bCs w:val="1"/>
                <w:color w:val="auto"/>
              </w:rPr>
              <w:t>June 30, 2021</w:t>
            </w: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80"/>
        </w:trPr>
        <w:tc>
          <w:tcPr>
            <w:tcW w:w="38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1500" w:type="dxa"/>
            <w:vAlign w:val="bottom"/>
            <w:gridSpan w:val="3"/>
          </w:tcPr>
          <w:p>
            <w:pPr>
              <w:ind w:left="20"/>
              <w:spacing w:after="0"/>
              <w:rPr>
                <w:sz w:val="20"/>
                <w:szCs w:val="20"/>
                <w:color w:val="auto"/>
              </w:rPr>
            </w:pPr>
            <w:r>
              <w:rPr>
                <w:rFonts w:ascii="Arial" w:cs="Arial" w:eastAsia="Arial" w:hAnsi="Arial"/>
                <w:sz w:val="14"/>
                <w:szCs w:val="14"/>
                <w:b w:val="1"/>
                <w:bCs w:val="1"/>
                <w:color w:val="auto"/>
              </w:rPr>
              <w:t>Aggregate Principal</w:t>
            </w:r>
          </w:p>
        </w:tc>
        <w:tc>
          <w:tcPr>
            <w:tcW w:w="160" w:type="dxa"/>
            <w:vAlign w:val="bottom"/>
          </w:tcPr>
          <w:p>
            <w:pPr>
              <w:spacing w:after="0"/>
              <w:rPr>
                <w:sz w:val="15"/>
                <w:szCs w:val="15"/>
                <w:color w:val="auto"/>
              </w:rPr>
            </w:pPr>
          </w:p>
        </w:tc>
        <w:tc>
          <w:tcPr>
            <w:tcW w:w="1120" w:type="dxa"/>
            <w:vAlign w:val="bottom"/>
          </w:tcPr>
          <w:p>
            <w:pPr>
              <w:jc w:val="right"/>
              <w:ind w:right="176"/>
              <w:spacing w:after="0"/>
              <w:rPr>
                <w:sz w:val="20"/>
                <w:szCs w:val="20"/>
                <w:color w:val="auto"/>
              </w:rPr>
            </w:pPr>
            <w:r>
              <w:rPr>
                <w:rFonts w:ascii="Arial" w:cs="Arial" w:eastAsia="Arial" w:hAnsi="Arial"/>
                <w:sz w:val="14"/>
                <w:szCs w:val="14"/>
                <w:b w:val="1"/>
                <w:bCs w:val="1"/>
                <w:color w:val="auto"/>
              </w:rPr>
              <w:t>Outstanding</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5"/>
                <w:szCs w:val="15"/>
                <w:color w:val="auto"/>
              </w:rPr>
            </w:pPr>
          </w:p>
        </w:tc>
        <w:tc>
          <w:tcPr>
            <w:tcW w:w="1100" w:type="dxa"/>
            <w:vAlign w:val="bottom"/>
          </w:tcPr>
          <w:p>
            <w:pPr>
              <w:jc w:val="center"/>
              <w:ind w:right="115"/>
              <w:spacing w:after="0"/>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5"/>
                <w:szCs w:val="15"/>
                <w:color w:val="auto"/>
              </w:rPr>
            </w:pPr>
          </w:p>
        </w:tc>
      </w:tr>
      <w:tr>
        <w:trPr>
          <w:trHeight w:val="219"/>
        </w:trPr>
        <w:tc>
          <w:tcPr>
            <w:tcW w:w="4200" w:type="dxa"/>
            <w:vAlign w:val="bottom"/>
            <w:gridSpan w:val="2"/>
          </w:tcPr>
          <w:p>
            <w:pPr>
              <w:spacing w:after="0"/>
              <w:rPr>
                <w:sz w:val="20"/>
                <w:szCs w:val="20"/>
                <w:color w:val="auto"/>
              </w:rPr>
            </w:pPr>
            <w:r>
              <w:rPr>
                <w:rFonts w:ascii="Arial" w:cs="Arial" w:eastAsia="Arial" w:hAnsi="Arial"/>
                <w:sz w:val="14"/>
                <w:szCs w:val="14"/>
                <w:color w:val="auto"/>
              </w:rPr>
              <w:t>($ in millions)</w:t>
            </w:r>
          </w:p>
        </w:tc>
        <w:tc>
          <w:tcPr>
            <w:tcW w:w="15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 Committed</w:t>
            </w:r>
          </w:p>
        </w:tc>
        <w:tc>
          <w:tcPr>
            <w:tcW w:w="160" w:type="dxa"/>
            <w:vAlign w:val="bottom"/>
          </w:tcPr>
          <w:p>
            <w:pPr>
              <w:spacing w:after="0"/>
              <w:rPr>
                <w:sz w:val="19"/>
                <w:szCs w:val="19"/>
                <w:color w:val="auto"/>
              </w:rPr>
            </w:pPr>
          </w:p>
        </w:tc>
        <w:tc>
          <w:tcPr>
            <w:tcW w:w="1120" w:type="dxa"/>
            <w:vAlign w:val="bottom"/>
          </w:tcPr>
          <w:p>
            <w:pPr>
              <w:jc w:val="right"/>
              <w:ind w:right="276"/>
              <w:spacing w:after="0"/>
              <w:rPr>
                <w:sz w:val="20"/>
                <w:szCs w:val="20"/>
                <w:color w:val="auto"/>
              </w:rPr>
            </w:pPr>
            <w:r>
              <w:rPr>
                <w:rFonts w:ascii="Arial" w:cs="Arial" w:eastAsia="Arial" w:hAnsi="Arial"/>
                <w:sz w:val="14"/>
                <w:szCs w:val="14"/>
                <w:b w:val="1"/>
                <w:bCs w:val="1"/>
                <w:color w:val="auto"/>
              </w:rPr>
              <w:t>Principal</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 xml:space="preserve">Available </w:t>
            </w:r>
            <w:r>
              <w:rPr>
                <w:rFonts w:ascii="Arial" w:cs="Arial" w:eastAsia="Arial" w:hAnsi="Arial"/>
                <w:sz w:val="12"/>
                <w:szCs w:val="12"/>
                <w:b w:val="1"/>
                <w:bCs w:val="1"/>
                <w:color w:val="auto"/>
                <w:w w:val="92"/>
              </w:rPr>
              <w:t>(1)</w:t>
            </w:r>
          </w:p>
        </w:tc>
        <w:tc>
          <w:tcPr>
            <w:tcW w:w="200" w:type="dxa"/>
            <w:vAlign w:val="bottom"/>
          </w:tcPr>
          <w:p>
            <w:pPr>
              <w:spacing w:after="0"/>
              <w:rPr>
                <w:sz w:val="19"/>
                <w:szCs w:val="19"/>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 xml:space="preserve">Value </w:t>
            </w:r>
            <w:r>
              <w:rPr>
                <w:rFonts w:ascii="Arial" w:cs="Arial" w:eastAsia="Arial" w:hAnsi="Arial"/>
                <w:sz w:val="12"/>
                <w:szCs w:val="12"/>
                <w:b w:val="1"/>
                <w:bCs w:val="1"/>
                <w:color w:val="auto"/>
                <w:w w:val="93"/>
              </w:rPr>
              <w:t>(2)(3)</w:t>
            </w:r>
          </w:p>
        </w:tc>
      </w:tr>
      <w:tr>
        <w:trPr>
          <w:trHeight w:val="223"/>
        </w:trPr>
        <w:tc>
          <w:tcPr>
            <w:tcW w:w="42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4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1,485.0</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385.7</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1,099.3</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372.4</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80" w:type="dxa"/>
            <w:vAlign w:val="bottom"/>
          </w:tcPr>
          <w:p>
            <w:pPr>
              <w:spacing w:after="0"/>
              <w:rPr>
                <w:sz w:val="20"/>
                <w:szCs w:val="20"/>
                <w:color w:val="auto"/>
              </w:rPr>
            </w:pPr>
            <w:r>
              <w:rPr>
                <w:rFonts w:ascii="Arial" w:cs="Arial" w:eastAsia="Arial" w:hAnsi="Arial"/>
                <w:sz w:val="18"/>
                <w:szCs w:val="18"/>
                <w:color w:val="auto"/>
                <w:w w:val="89"/>
              </w:rPr>
              <w:t>2022</w:t>
            </w:r>
          </w:p>
        </w:tc>
        <w:tc>
          <w:tcPr>
            <w:tcW w:w="3820" w:type="dxa"/>
            <w:vAlign w:val="bottom"/>
          </w:tcPr>
          <w:p>
            <w:pPr>
              <w:ind w:left="20"/>
              <w:spacing w:after="0"/>
              <w:rPr>
                <w:sz w:val="20"/>
                <w:szCs w:val="20"/>
                <w:color w:val="auto"/>
              </w:rPr>
            </w:pPr>
            <w:r>
              <w:rPr>
                <w:rFonts w:ascii="Arial" w:cs="Arial" w:eastAsia="Arial" w:hAnsi="Arial"/>
                <w:sz w:val="18"/>
                <w:szCs w:val="18"/>
                <w:color w:val="auto"/>
              </w:rPr>
              <w:t>Convertible Notes</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142.8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142.8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142.0</w:t>
            </w:r>
          </w:p>
        </w:tc>
        <w:tc>
          <w:tcPr>
            <w:tcW w:w="120" w:type="dxa"/>
            <w:vAlign w:val="bottom"/>
          </w:tcPr>
          <w:p>
            <w:pPr>
              <w:spacing w:after="0"/>
              <w:rPr>
                <w:sz w:val="19"/>
                <w:szCs w:val="19"/>
                <w:color w:val="auto"/>
              </w:rPr>
            </w:pPr>
          </w:p>
        </w:tc>
      </w:tr>
      <w:tr>
        <w:trPr>
          <w:trHeight w:val="229"/>
        </w:trPr>
        <w:tc>
          <w:tcPr>
            <w:tcW w:w="380" w:type="dxa"/>
            <w:vAlign w:val="bottom"/>
            <w:shd w:val="clear" w:color="auto" w:fill="CFF0FC"/>
          </w:tcPr>
          <w:p>
            <w:pPr>
              <w:spacing w:after="0"/>
              <w:rPr>
                <w:sz w:val="20"/>
                <w:szCs w:val="20"/>
                <w:color w:val="auto"/>
              </w:rPr>
            </w:pPr>
            <w:r>
              <w:rPr>
                <w:rFonts w:ascii="Arial" w:cs="Arial" w:eastAsia="Arial" w:hAnsi="Arial"/>
                <w:sz w:val="18"/>
                <w:szCs w:val="18"/>
                <w:color w:val="auto"/>
                <w:w w:val="89"/>
              </w:rPr>
              <w:t>2023</w:t>
            </w:r>
          </w:p>
        </w:tc>
        <w:tc>
          <w:tcPr>
            <w:tcW w:w="3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Notes</w:t>
            </w:r>
          </w:p>
        </w:tc>
        <w:tc>
          <w:tcPr>
            <w:tcW w:w="4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149.0</w:t>
            </w:r>
          </w:p>
        </w:tc>
        <w:tc>
          <w:tcPr>
            <w:tcW w:w="120" w:type="dxa"/>
            <w:vAlign w:val="bottom"/>
            <w:shd w:val="clear" w:color="auto" w:fill="CFF0FC"/>
          </w:tcPr>
          <w:p>
            <w:pPr>
              <w:spacing w:after="0"/>
              <w:rPr>
                <w:sz w:val="19"/>
                <w:szCs w:val="19"/>
                <w:color w:val="auto"/>
              </w:rPr>
            </w:pPr>
          </w:p>
        </w:tc>
      </w:tr>
      <w:tr>
        <w:trPr>
          <w:trHeight w:val="230"/>
        </w:trPr>
        <w:tc>
          <w:tcPr>
            <w:tcW w:w="380" w:type="dxa"/>
            <w:vAlign w:val="bottom"/>
          </w:tcPr>
          <w:p>
            <w:pPr>
              <w:spacing w:after="0"/>
              <w:rPr>
                <w:sz w:val="20"/>
                <w:szCs w:val="20"/>
                <w:color w:val="auto"/>
              </w:rPr>
            </w:pPr>
            <w:r>
              <w:rPr>
                <w:rFonts w:ascii="Arial" w:cs="Arial" w:eastAsia="Arial" w:hAnsi="Arial"/>
                <w:sz w:val="18"/>
                <w:szCs w:val="18"/>
                <w:color w:val="auto"/>
                <w:w w:val="89"/>
              </w:rPr>
              <w:t>2024</w:t>
            </w:r>
          </w:p>
        </w:tc>
        <w:tc>
          <w:tcPr>
            <w:tcW w:w="3820" w:type="dxa"/>
            <w:vAlign w:val="bottom"/>
          </w:tcPr>
          <w:p>
            <w:pPr>
              <w:ind w:left="20"/>
              <w:spacing w:after="0"/>
              <w:rPr>
                <w:sz w:val="20"/>
                <w:szCs w:val="20"/>
                <w:color w:val="auto"/>
              </w:rPr>
            </w:pPr>
            <w:r>
              <w:rPr>
                <w:rFonts w:ascii="Arial" w:cs="Arial" w:eastAsia="Arial" w:hAnsi="Arial"/>
                <w:sz w:val="18"/>
                <w:szCs w:val="18"/>
                <w:color w:val="auto"/>
              </w:rPr>
              <w:t>Notes</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347.5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347.5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353.4</w:t>
            </w:r>
          </w:p>
        </w:tc>
        <w:tc>
          <w:tcPr>
            <w:tcW w:w="120" w:type="dxa"/>
            <w:vAlign w:val="bottom"/>
          </w:tcPr>
          <w:p>
            <w:pPr>
              <w:spacing w:after="0"/>
              <w:rPr>
                <w:sz w:val="19"/>
                <w:szCs w:val="19"/>
                <w:color w:val="auto"/>
              </w:rPr>
            </w:pPr>
          </w:p>
        </w:tc>
      </w:tr>
      <w:tr>
        <w:trPr>
          <w:trHeight w:val="230"/>
        </w:trPr>
        <w:tc>
          <w:tcPr>
            <w:tcW w:w="380" w:type="dxa"/>
            <w:vAlign w:val="bottom"/>
            <w:shd w:val="clear" w:color="auto" w:fill="CFF0FC"/>
          </w:tcPr>
          <w:p>
            <w:pPr>
              <w:spacing w:after="0"/>
              <w:rPr>
                <w:sz w:val="20"/>
                <w:szCs w:val="20"/>
                <w:color w:val="auto"/>
              </w:rPr>
            </w:pPr>
            <w:r>
              <w:rPr>
                <w:rFonts w:ascii="Arial" w:cs="Arial" w:eastAsia="Arial" w:hAnsi="Arial"/>
                <w:sz w:val="18"/>
                <w:szCs w:val="18"/>
                <w:color w:val="auto"/>
                <w:w w:val="89"/>
              </w:rPr>
              <w:t>2026</w:t>
            </w:r>
          </w:p>
        </w:tc>
        <w:tc>
          <w:tcPr>
            <w:tcW w:w="3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Notes</w:t>
            </w:r>
          </w:p>
        </w:tc>
        <w:tc>
          <w:tcPr>
            <w:tcW w:w="4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288.0</w:t>
            </w:r>
          </w:p>
        </w:tc>
        <w:tc>
          <w:tcPr>
            <w:tcW w:w="120" w:type="dxa"/>
            <w:vAlign w:val="bottom"/>
            <w:shd w:val="clear" w:color="auto" w:fill="CFF0FC"/>
          </w:tcPr>
          <w:p>
            <w:pPr>
              <w:spacing w:after="0"/>
              <w:rPr>
                <w:sz w:val="19"/>
                <w:szCs w:val="19"/>
                <w:color w:val="auto"/>
              </w:rPr>
            </w:pPr>
          </w:p>
        </w:tc>
      </w:tr>
      <w:tr>
        <w:trPr>
          <w:trHeight w:val="223"/>
        </w:trPr>
        <w:tc>
          <w:tcPr>
            <w:tcW w:w="4200" w:type="dxa"/>
            <w:vAlign w:val="bottom"/>
            <w:gridSpan w:val="2"/>
          </w:tcPr>
          <w:p>
            <w:pPr>
              <w:ind w:left="240"/>
              <w:spacing w:after="0"/>
              <w:rPr>
                <w:sz w:val="20"/>
                <w:szCs w:val="20"/>
                <w:color w:val="auto"/>
              </w:rPr>
            </w:pPr>
            <w:r>
              <w:rPr>
                <w:rFonts w:ascii="Arial" w:cs="Arial" w:eastAsia="Arial" w:hAnsi="Arial"/>
                <w:sz w:val="18"/>
                <w:szCs w:val="18"/>
                <w:b w:val="1"/>
                <w:bCs w:val="1"/>
                <w:color w:val="auto"/>
              </w:rPr>
              <w:t>Total Debt</w:t>
            </w: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2,425.3</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1,326.0</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1,099.3</w:t>
            </w: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1,304.8</w:t>
            </w:r>
          </w:p>
        </w:tc>
        <w:tc>
          <w:tcPr>
            <w:tcW w:w="120" w:type="dxa"/>
            <w:vAlign w:val="bottom"/>
          </w:tcPr>
          <w:p>
            <w:pPr>
              <w:spacing w:after="0"/>
              <w:rPr>
                <w:sz w:val="19"/>
                <w:szCs w:val="19"/>
                <w:color w:val="auto"/>
              </w:rPr>
            </w:pPr>
          </w:p>
        </w:tc>
      </w:tr>
      <w:tr>
        <w:trPr>
          <w:trHeight w:val="20"/>
        </w:trPr>
        <w:tc>
          <w:tcPr>
            <w:tcW w:w="3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left="500" w:right="900" w:hanging="492"/>
        <w:spacing w:after="0" w:line="258" w:lineRule="auto"/>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amount available may be subject to limitations related to the borrowing base under the Revolving Credit Facility and asset coverage requirements.</w:t>
      </w:r>
    </w:p>
    <w:p>
      <w:pPr>
        <w:spacing w:after="0" w:line="1" w:lineRule="exact"/>
        <w:rPr>
          <w:rFonts w:ascii="Arial" w:cs="Arial" w:eastAsia="Arial" w:hAnsi="Arial"/>
          <w:sz w:val="18"/>
          <w:szCs w:val="18"/>
          <w:color w:val="auto"/>
        </w:rPr>
      </w:pPr>
    </w:p>
    <w:p>
      <w:pPr>
        <w:ind w:left="500" w:right="60" w:hanging="492"/>
        <w:spacing w:after="0" w:line="265" w:lineRule="auto"/>
        <w:tabs>
          <w:tab w:leader="none" w:pos="5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carrying values of the Revolving Credit Facility, 2022 Convertible Notes, 2023 Notes, 2024 Notes and 2026 Notes are presented net of deferred financing costs and original issue discounts of $13.2 million, $0.8 million, $1.0 million, $4.7 million and $5.8 million, respectively.</w:t>
      </w:r>
    </w:p>
    <w:p>
      <w:pPr>
        <w:jc w:val="both"/>
        <w:ind w:left="500" w:right="440" w:hanging="492"/>
        <w:spacing w:after="0" w:line="323" w:lineRule="auto"/>
        <w:tabs>
          <w:tab w:leader="none" w:pos="5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carrying values of the 2024 Notes and 2026 Notes are presented inclusive of an incremental $10.6 million and $(6.2) million, respectively, which represents an adjustment in the carrying values of the 2024 Notes and 2026 Notes, each resulting from a hedge accounting relationship.</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5" w:name="page66"/>
    <w:bookmarkEnd w:id="65"/>
    <w:tbl>
      <w:tblPr>
        <w:tblLayout w:type="fixed"/>
        <w:tblInd w:w="58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5"/>
          </w:tcPr>
          <w:p>
            <w:pPr>
              <w:ind w:left="640"/>
              <w:spacing w:after="0"/>
              <w:rPr>
                <w:sz w:val="20"/>
                <w:szCs w:val="20"/>
                <w:color w:val="auto"/>
              </w:rPr>
            </w:pPr>
            <w:r>
              <w:rPr>
                <w:rFonts w:ascii="Arial" w:cs="Arial" w:eastAsia="Arial" w:hAnsi="Arial"/>
                <w:sz w:val="14"/>
                <w:szCs w:val="14"/>
                <w:b w:val="1"/>
                <w:bCs w:val="1"/>
                <w:color w:val="auto"/>
              </w:rPr>
              <w:t>December 31, 2020</w:t>
            </w: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77"/>
        </w:trPr>
        <w:tc>
          <w:tcPr>
            <w:tcW w:w="38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1500" w:type="dxa"/>
            <w:vAlign w:val="bottom"/>
            <w:gridSpan w:val="3"/>
          </w:tcPr>
          <w:p>
            <w:pPr>
              <w:ind w:left="20"/>
              <w:spacing w:after="0"/>
              <w:rPr>
                <w:sz w:val="20"/>
                <w:szCs w:val="20"/>
                <w:color w:val="auto"/>
              </w:rPr>
            </w:pPr>
            <w:r>
              <w:rPr>
                <w:rFonts w:ascii="Arial" w:cs="Arial" w:eastAsia="Arial" w:hAnsi="Arial"/>
                <w:sz w:val="14"/>
                <w:szCs w:val="14"/>
                <w:b w:val="1"/>
                <w:bCs w:val="1"/>
                <w:color w:val="auto"/>
              </w:rPr>
              <w:t>Aggregate Principal</w:t>
            </w:r>
          </w:p>
        </w:tc>
        <w:tc>
          <w:tcPr>
            <w:tcW w:w="160" w:type="dxa"/>
            <w:vAlign w:val="bottom"/>
          </w:tcPr>
          <w:p>
            <w:pPr>
              <w:spacing w:after="0"/>
              <w:rPr>
                <w:sz w:val="15"/>
                <w:szCs w:val="15"/>
                <w:color w:val="auto"/>
              </w:rPr>
            </w:pPr>
          </w:p>
        </w:tc>
        <w:tc>
          <w:tcPr>
            <w:tcW w:w="1120" w:type="dxa"/>
            <w:vAlign w:val="bottom"/>
          </w:tcPr>
          <w:p>
            <w:pPr>
              <w:jc w:val="right"/>
              <w:ind w:right="177"/>
              <w:spacing w:after="0"/>
              <w:rPr>
                <w:sz w:val="20"/>
                <w:szCs w:val="20"/>
                <w:color w:val="auto"/>
              </w:rPr>
            </w:pPr>
            <w:r>
              <w:rPr>
                <w:rFonts w:ascii="Arial" w:cs="Arial" w:eastAsia="Arial" w:hAnsi="Arial"/>
                <w:sz w:val="14"/>
                <w:szCs w:val="14"/>
                <w:b w:val="1"/>
                <w:bCs w:val="1"/>
                <w:color w:val="auto"/>
              </w:rPr>
              <w:t>Outstanding</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5"/>
                <w:szCs w:val="15"/>
                <w:color w:val="auto"/>
              </w:rPr>
            </w:pPr>
          </w:p>
        </w:tc>
        <w:tc>
          <w:tcPr>
            <w:tcW w:w="1100" w:type="dxa"/>
            <w:vAlign w:val="bottom"/>
          </w:tcPr>
          <w:p>
            <w:pPr>
              <w:jc w:val="center"/>
              <w:ind w:right="115"/>
              <w:spacing w:after="0"/>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5"/>
                <w:szCs w:val="15"/>
                <w:color w:val="auto"/>
              </w:rPr>
            </w:pPr>
          </w:p>
        </w:tc>
      </w:tr>
      <w:tr>
        <w:trPr>
          <w:trHeight w:val="208"/>
        </w:trPr>
        <w:tc>
          <w:tcPr>
            <w:tcW w:w="4200" w:type="dxa"/>
            <w:vAlign w:val="bottom"/>
            <w:gridSpan w:val="2"/>
          </w:tcPr>
          <w:p>
            <w:pPr>
              <w:spacing w:after="0"/>
              <w:rPr>
                <w:sz w:val="20"/>
                <w:szCs w:val="20"/>
                <w:color w:val="auto"/>
              </w:rPr>
            </w:pPr>
            <w:r>
              <w:rPr>
                <w:rFonts w:ascii="Arial" w:cs="Arial" w:eastAsia="Arial" w:hAnsi="Arial"/>
                <w:sz w:val="14"/>
                <w:szCs w:val="14"/>
                <w:color w:val="auto"/>
              </w:rPr>
              <w:t>($ in millions)</w:t>
            </w:r>
          </w:p>
        </w:tc>
        <w:tc>
          <w:tcPr>
            <w:tcW w:w="15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 Committed</w:t>
            </w:r>
          </w:p>
        </w:tc>
        <w:tc>
          <w:tcPr>
            <w:tcW w:w="160" w:type="dxa"/>
            <w:vAlign w:val="bottom"/>
          </w:tcPr>
          <w:p>
            <w:pPr>
              <w:spacing w:after="0"/>
              <w:rPr>
                <w:sz w:val="18"/>
                <w:szCs w:val="18"/>
                <w:color w:val="auto"/>
              </w:rPr>
            </w:pPr>
          </w:p>
        </w:tc>
        <w:tc>
          <w:tcPr>
            <w:tcW w:w="1120" w:type="dxa"/>
            <w:vAlign w:val="bottom"/>
          </w:tcPr>
          <w:p>
            <w:pPr>
              <w:jc w:val="right"/>
              <w:ind w:right="277"/>
              <w:spacing w:after="0"/>
              <w:rPr>
                <w:sz w:val="20"/>
                <w:szCs w:val="20"/>
                <w:color w:val="auto"/>
              </w:rPr>
            </w:pPr>
            <w:r>
              <w:rPr>
                <w:rFonts w:ascii="Arial" w:cs="Arial" w:eastAsia="Arial" w:hAnsi="Arial"/>
                <w:sz w:val="14"/>
                <w:szCs w:val="14"/>
                <w:b w:val="1"/>
                <w:bCs w:val="1"/>
                <w:color w:val="auto"/>
              </w:rPr>
              <w:t>Principal</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 xml:space="preserve">Available </w:t>
            </w:r>
            <w:r>
              <w:rPr>
                <w:rFonts w:ascii="Arial" w:cs="Arial" w:eastAsia="Arial" w:hAnsi="Arial"/>
                <w:sz w:val="12"/>
                <w:szCs w:val="12"/>
                <w:b w:val="1"/>
                <w:bCs w:val="1"/>
                <w:color w:val="auto"/>
                <w:w w:val="92"/>
              </w:rPr>
              <w:t>(1)</w:t>
            </w:r>
          </w:p>
        </w:tc>
        <w:tc>
          <w:tcPr>
            <w:tcW w:w="2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 xml:space="preserve">Value </w:t>
            </w:r>
            <w:r>
              <w:rPr>
                <w:rFonts w:ascii="Arial" w:cs="Arial" w:eastAsia="Arial" w:hAnsi="Arial"/>
                <w:sz w:val="12"/>
                <w:szCs w:val="12"/>
                <w:b w:val="1"/>
                <w:bCs w:val="1"/>
                <w:color w:val="auto"/>
                <w:w w:val="93"/>
              </w:rPr>
              <w:t>(2)(3)</w:t>
            </w:r>
          </w:p>
        </w:tc>
      </w:tr>
      <w:tr>
        <w:trPr>
          <w:trHeight w:val="223"/>
        </w:trPr>
        <w:tc>
          <w:tcPr>
            <w:tcW w:w="42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4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1,335.0</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472.3</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862.7</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461.5</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380" w:type="dxa"/>
            <w:vAlign w:val="bottom"/>
          </w:tcPr>
          <w:p>
            <w:pPr>
              <w:spacing w:after="0"/>
              <w:rPr>
                <w:sz w:val="20"/>
                <w:szCs w:val="20"/>
                <w:color w:val="auto"/>
              </w:rPr>
            </w:pPr>
            <w:r>
              <w:rPr>
                <w:rFonts w:ascii="Arial" w:cs="Arial" w:eastAsia="Arial" w:hAnsi="Arial"/>
                <w:sz w:val="18"/>
                <w:szCs w:val="18"/>
                <w:color w:val="auto"/>
                <w:w w:val="89"/>
              </w:rPr>
              <w:t>2022</w:t>
            </w:r>
          </w:p>
        </w:tc>
        <w:tc>
          <w:tcPr>
            <w:tcW w:w="3820" w:type="dxa"/>
            <w:vAlign w:val="bottom"/>
          </w:tcPr>
          <w:p>
            <w:pPr>
              <w:ind w:left="20"/>
              <w:spacing w:after="0"/>
              <w:rPr>
                <w:sz w:val="20"/>
                <w:szCs w:val="20"/>
                <w:color w:val="auto"/>
              </w:rPr>
            </w:pPr>
            <w:r>
              <w:rPr>
                <w:rFonts w:ascii="Arial" w:cs="Arial" w:eastAsia="Arial" w:hAnsi="Arial"/>
                <w:sz w:val="18"/>
                <w:szCs w:val="18"/>
                <w:color w:val="auto"/>
              </w:rPr>
              <w:t>Convertible Notes</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142.8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142.8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141.3</w:t>
            </w:r>
          </w:p>
        </w:tc>
        <w:tc>
          <w:tcPr>
            <w:tcW w:w="120" w:type="dxa"/>
            <w:vAlign w:val="bottom"/>
          </w:tcPr>
          <w:p>
            <w:pPr>
              <w:spacing w:after="0"/>
              <w:rPr>
                <w:sz w:val="19"/>
                <w:szCs w:val="19"/>
                <w:color w:val="auto"/>
              </w:rPr>
            </w:pPr>
          </w:p>
        </w:tc>
      </w:tr>
      <w:tr>
        <w:trPr>
          <w:trHeight w:val="230"/>
        </w:trPr>
        <w:tc>
          <w:tcPr>
            <w:tcW w:w="380" w:type="dxa"/>
            <w:vAlign w:val="bottom"/>
            <w:shd w:val="clear" w:color="auto" w:fill="CFF0FC"/>
          </w:tcPr>
          <w:p>
            <w:pPr>
              <w:spacing w:after="0"/>
              <w:rPr>
                <w:sz w:val="20"/>
                <w:szCs w:val="20"/>
                <w:color w:val="auto"/>
              </w:rPr>
            </w:pPr>
            <w:r>
              <w:rPr>
                <w:rFonts w:ascii="Arial" w:cs="Arial" w:eastAsia="Arial" w:hAnsi="Arial"/>
                <w:sz w:val="18"/>
                <w:szCs w:val="18"/>
                <w:color w:val="auto"/>
                <w:w w:val="89"/>
              </w:rPr>
              <w:t>2023</w:t>
            </w:r>
          </w:p>
        </w:tc>
        <w:tc>
          <w:tcPr>
            <w:tcW w:w="3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Notes</w:t>
            </w:r>
          </w:p>
        </w:tc>
        <w:tc>
          <w:tcPr>
            <w:tcW w:w="4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148.7</w:t>
            </w:r>
          </w:p>
        </w:tc>
        <w:tc>
          <w:tcPr>
            <w:tcW w:w="120" w:type="dxa"/>
            <w:vAlign w:val="bottom"/>
            <w:shd w:val="clear" w:color="auto" w:fill="CFF0FC"/>
          </w:tcPr>
          <w:p>
            <w:pPr>
              <w:spacing w:after="0"/>
              <w:rPr>
                <w:sz w:val="19"/>
                <w:szCs w:val="19"/>
                <w:color w:val="auto"/>
              </w:rPr>
            </w:pPr>
          </w:p>
        </w:tc>
      </w:tr>
      <w:tr>
        <w:trPr>
          <w:trHeight w:val="229"/>
        </w:trPr>
        <w:tc>
          <w:tcPr>
            <w:tcW w:w="380" w:type="dxa"/>
            <w:vAlign w:val="bottom"/>
          </w:tcPr>
          <w:p>
            <w:pPr>
              <w:spacing w:after="0"/>
              <w:rPr>
                <w:sz w:val="20"/>
                <w:szCs w:val="20"/>
                <w:color w:val="auto"/>
              </w:rPr>
            </w:pPr>
            <w:r>
              <w:rPr>
                <w:rFonts w:ascii="Arial" w:cs="Arial" w:eastAsia="Arial" w:hAnsi="Arial"/>
                <w:sz w:val="18"/>
                <w:szCs w:val="18"/>
                <w:color w:val="auto"/>
                <w:w w:val="89"/>
              </w:rPr>
              <w:t>2024</w:t>
            </w:r>
          </w:p>
        </w:tc>
        <w:tc>
          <w:tcPr>
            <w:tcW w:w="3820" w:type="dxa"/>
            <w:vAlign w:val="bottom"/>
          </w:tcPr>
          <w:p>
            <w:pPr>
              <w:ind w:left="20"/>
              <w:spacing w:after="0"/>
              <w:rPr>
                <w:sz w:val="20"/>
                <w:szCs w:val="20"/>
                <w:color w:val="auto"/>
              </w:rPr>
            </w:pPr>
            <w:r>
              <w:rPr>
                <w:rFonts w:ascii="Arial" w:cs="Arial" w:eastAsia="Arial" w:hAnsi="Arial"/>
                <w:sz w:val="18"/>
                <w:szCs w:val="18"/>
                <w:color w:val="auto"/>
              </w:rPr>
              <w:t>Notes</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347.5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347.5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358.9</w:t>
            </w:r>
          </w:p>
        </w:tc>
        <w:tc>
          <w:tcPr>
            <w:tcW w:w="120" w:type="dxa"/>
            <w:vAlign w:val="bottom"/>
          </w:tcPr>
          <w:p>
            <w:pPr>
              <w:spacing w:after="0"/>
              <w:rPr>
                <w:sz w:val="19"/>
                <w:szCs w:val="19"/>
                <w:color w:val="auto"/>
              </w:rPr>
            </w:pPr>
          </w:p>
        </w:tc>
      </w:tr>
      <w:tr>
        <w:trPr>
          <w:trHeight w:val="223"/>
        </w:trPr>
        <w:tc>
          <w:tcPr>
            <w:tcW w:w="4200" w:type="dxa"/>
            <w:vAlign w:val="bottom"/>
            <w:tcBorders>
              <w:top w:val="single" w:sz="8" w:color="CFF0FC"/>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b w:val="1"/>
                <w:bCs w:val="1"/>
                <w:color w:val="auto"/>
              </w:rPr>
              <w:t>Total Debt</w:t>
            </w:r>
          </w:p>
        </w:tc>
        <w:tc>
          <w:tcPr>
            <w:tcW w:w="4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1,975.3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1,112.6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862.7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1,110.4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7" w:lineRule="exact"/>
        <w:rPr>
          <w:sz w:val="20"/>
          <w:szCs w:val="20"/>
          <w:color w:val="auto"/>
        </w:rPr>
      </w:pPr>
    </w:p>
    <w:p>
      <w:pPr>
        <w:ind w:left="500" w:right="900" w:hanging="492"/>
        <w:spacing w:after="0" w:line="258" w:lineRule="auto"/>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amount available may be subject to limitations related to the borrowing base under the Revolving Credit Facility and asset coverage requirements.</w:t>
      </w:r>
    </w:p>
    <w:p>
      <w:pPr>
        <w:spacing w:after="0" w:line="1" w:lineRule="exact"/>
        <w:rPr>
          <w:rFonts w:ascii="Arial" w:cs="Arial" w:eastAsia="Arial" w:hAnsi="Arial"/>
          <w:sz w:val="18"/>
          <w:szCs w:val="18"/>
          <w:color w:val="auto"/>
        </w:rPr>
      </w:pPr>
    </w:p>
    <w:p>
      <w:pPr>
        <w:ind w:left="500" w:right="200" w:hanging="492"/>
        <w:spacing w:after="0" w:line="250" w:lineRule="auto"/>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carrying values of the Revolving Credit Facility, 2022 Convertible Notes, 2023 Notes, and 2024 Notes are presented net of deferred financing costs and original issue discounts of $10.8 million, $1.5 million, $1.3 million and $5.3 million, respectively.</w:t>
      </w:r>
    </w:p>
    <w:p>
      <w:pPr>
        <w:ind w:left="500" w:right="220" w:hanging="492"/>
        <w:spacing w:after="0" w:line="260" w:lineRule="auto"/>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carrying value of the 2024 Notes is presented net of an incremental $16.8 million, which represents an adjustment in the carrying value of the 2024 Notes resulting from a hedge accounting relationship.</w:t>
      </w:r>
    </w:p>
    <w:p>
      <w:pPr>
        <w:spacing w:after="0" w:line="185" w:lineRule="exact"/>
        <w:rPr>
          <w:sz w:val="20"/>
          <w:szCs w:val="20"/>
          <w:color w:val="auto"/>
        </w:rPr>
      </w:pPr>
    </w:p>
    <w:p>
      <w:pPr>
        <w:ind w:firstLine="255"/>
        <w:spacing w:after="0" w:line="277" w:lineRule="auto"/>
        <w:rPr>
          <w:sz w:val="20"/>
          <w:szCs w:val="20"/>
          <w:color w:val="auto"/>
        </w:rPr>
      </w:pPr>
      <w:r>
        <w:rPr>
          <w:rFonts w:ascii="Arial" w:cs="Arial" w:eastAsia="Arial" w:hAnsi="Arial"/>
          <w:sz w:val="18"/>
          <w:szCs w:val="18"/>
          <w:color w:val="auto"/>
        </w:rPr>
        <w:t>As of June 30, 2021 and December 31, 2020, we were in compliance with the terms of our debt arrangements. We intend to continue to utilize our credit facilities to fund investments and for other general corporate purposes.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17" w:lineRule="exact"/>
        <w:rPr>
          <w:sz w:val="20"/>
          <w:szCs w:val="20"/>
          <w:color w:val="auto"/>
        </w:rPr>
      </w:pPr>
    </w:p>
    <w:p>
      <w:pPr>
        <w:ind w:right="220" w:firstLine="255"/>
        <w:spacing w:after="0" w:line="263" w:lineRule="auto"/>
        <w:rPr>
          <w:sz w:val="20"/>
          <w:szCs w:val="20"/>
          <w:color w:val="auto"/>
        </w:rPr>
      </w:pPr>
      <w:r>
        <w:rPr>
          <w:rFonts w:ascii="Arial" w:cs="Arial" w:eastAsia="Arial" w:hAnsi="Arial"/>
          <w:sz w:val="18"/>
          <w:szCs w:val="18"/>
          <w:color w:val="auto"/>
        </w:rPr>
        <w:t>On August 23, 2012, we entered into a senior secured revolving credit agreement with Truist Bank (as successor by merger to SunTrust Bank), as administrative agent, and J.P. Morgan Chase Bank, N.A., as syndication agent, and certain other lenders (as amended and restated, the “Revolving Credit Facility”).</w:t>
      </w:r>
    </w:p>
    <w:p>
      <w:pPr>
        <w:spacing w:after="0" w:line="184" w:lineRule="exact"/>
        <w:rPr>
          <w:sz w:val="20"/>
          <w:szCs w:val="20"/>
          <w:color w:val="auto"/>
        </w:rPr>
      </w:pPr>
    </w:p>
    <w:p>
      <w:pPr>
        <w:ind w:right="240" w:firstLine="255"/>
        <w:spacing w:after="0" w:line="311" w:lineRule="auto"/>
        <w:rPr>
          <w:sz w:val="20"/>
          <w:szCs w:val="20"/>
          <w:color w:val="auto"/>
        </w:rPr>
      </w:pPr>
      <w:r>
        <w:rPr>
          <w:rFonts w:ascii="Arial" w:cs="Arial" w:eastAsia="Arial" w:hAnsi="Arial"/>
          <w:sz w:val="16"/>
          <w:szCs w:val="16"/>
          <w:color w:val="auto"/>
        </w:rPr>
        <w:t>As of December 31, 2020, aggregate commitments under the facility were $1.335 billion. Pursuant to an amendment to the Revolving Credit Facility dated as of February 5, 2021 (the “Tenth Amendment”), the aggregate commitments under the facility were increased to $1.485 billion. The facility includes an uncommitted accordion feature that allows us, under certain circumstances, to increase the size of the facility to up to $2.0 billion.</w:t>
      </w:r>
    </w:p>
    <w:p>
      <w:pPr>
        <w:spacing w:after="0" w:line="149" w:lineRule="exact"/>
        <w:rPr>
          <w:sz w:val="20"/>
          <w:szCs w:val="20"/>
          <w:color w:val="auto"/>
        </w:rPr>
      </w:pPr>
    </w:p>
    <w:p>
      <w:pPr>
        <w:ind w:firstLine="255"/>
        <w:spacing w:after="0" w:line="255" w:lineRule="auto"/>
        <w:rPr>
          <w:sz w:val="20"/>
          <w:szCs w:val="20"/>
          <w:color w:val="auto"/>
        </w:rPr>
      </w:pPr>
      <w:r>
        <w:rPr>
          <w:rFonts w:ascii="Arial" w:cs="Arial" w:eastAsia="Arial" w:hAnsi="Arial"/>
          <w:sz w:val="18"/>
          <w:szCs w:val="18"/>
          <w:color w:val="auto"/>
        </w:rPr>
        <w:t>Pursuant to the Tenth Amendment, with respect to $1.390 billion in commitments, the revolving period, during which period we, subject to certain conditions, may make borrowings under the facility, was extended from January 31, 2024 to February 4, 2025 and the stated maturity date was extended from January 31, 2025 to February 4, 2026. Subsequent to the Tenth Amendment, on April 12, 2021 an additional $70.0 million of existing commitments were extended to these revolving period and stated maturity dates. As a result, $1.460 billion of total commitments are subject to these revolving period and stated maturity dates. For the remaining $25.0 million of commitments, the revolving period ends January 31, 2024 and the stated maturity is January 31, 2025.</w:t>
      </w:r>
    </w:p>
    <w:p>
      <w:pPr>
        <w:spacing w:after="0" w:line="192" w:lineRule="exact"/>
        <w:rPr>
          <w:sz w:val="20"/>
          <w:szCs w:val="20"/>
          <w:color w:val="auto"/>
        </w:rPr>
      </w:pPr>
    </w:p>
    <w:p>
      <w:pPr>
        <w:jc w:val="both"/>
        <w:ind w:right="80" w:firstLine="255"/>
        <w:spacing w:after="0" w:line="263" w:lineRule="auto"/>
        <w:rPr>
          <w:sz w:val="20"/>
          <w:szCs w:val="20"/>
          <w:color w:val="auto"/>
        </w:rPr>
      </w:pPr>
      <w:r>
        <w:rPr>
          <w:rFonts w:ascii="Arial" w:cs="Arial" w:eastAsia="Arial" w:hAnsi="Arial"/>
          <w:sz w:val="18"/>
          <w:szCs w:val="18"/>
          <w:color w:val="auto"/>
        </w:rPr>
        <w:t>We may borrow amounts in U.S. dollars or certain other permitted currencies. As of June 30, 2021, we had outstanding debt denominated in Australian Dollars (AUD) of 51.3 million, Canadian Dollars (CAD) of 74.4 million, and Euro (EUR) of 32.9 million on our Revolving Credit Facility, included in the Outstanding Principal amount in the table above.</w:t>
      </w:r>
    </w:p>
    <w:p>
      <w:pPr>
        <w:spacing w:after="0" w:line="184" w:lineRule="exact"/>
        <w:rPr>
          <w:sz w:val="20"/>
          <w:szCs w:val="20"/>
          <w:color w:val="auto"/>
        </w:rPr>
      </w:pPr>
    </w:p>
    <w:p>
      <w:pPr>
        <w:jc w:val="both"/>
        <w:ind w:right="300" w:firstLine="255"/>
        <w:spacing w:after="0" w:line="263" w:lineRule="auto"/>
        <w:rPr>
          <w:sz w:val="20"/>
          <w:szCs w:val="20"/>
          <w:color w:val="auto"/>
        </w:rPr>
      </w:pPr>
      <w:r>
        <w:rPr>
          <w:rFonts w:ascii="Arial" w:cs="Arial" w:eastAsia="Arial" w:hAnsi="Arial"/>
          <w:sz w:val="18"/>
          <w:szCs w:val="18"/>
          <w:color w:val="auto"/>
        </w:rPr>
        <w:t>The Revolving Credit Facility also provides for the issuance of letters of credit up to an aggregate amount of $75.0 million. As of June 30, 2021 and December 31, 2020, we had no outstanding letters of credit issued through the Revolving Credit Facility. The amount available for borrowing under the Revolving Credit Facility is reduced by any letters of credit issued through the Revolving Credit Facility.</w:t>
      </w:r>
    </w:p>
    <w:p>
      <w:pPr>
        <w:spacing w:after="0" w:line="184" w:lineRule="exact"/>
        <w:rPr>
          <w:sz w:val="20"/>
          <w:szCs w:val="20"/>
          <w:color w:val="auto"/>
        </w:rPr>
      </w:pPr>
    </w:p>
    <w:p>
      <w:pPr>
        <w:ind w:right="40" w:firstLine="255"/>
        <w:spacing w:after="0" w:line="255" w:lineRule="auto"/>
        <w:rPr>
          <w:sz w:val="20"/>
          <w:szCs w:val="20"/>
          <w:color w:val="auto"/>
        </w:rPr>
      </w:pPr>
      <w:r>
        <w:rPr>
          <w:rFonts w:ascii="Arial" w:cs="Arial" w:eastAsia="Arial" w:hAnsi="Arial"/>
          <w:sz w:val="18"/>
          <w:szCs w:val="18"/>
          <w:color w:val="auto"/>
        </w:rPr>
        <w:t>Amounts drawn under the Revolving Credit Facility, including amounts drawn in respect of letters of credit, bear interest at either LIBOR plus a margin of either 1.75% or 1.875%, or the base rate plus a margin of either 0.75% or 0.875%, in each case, based on the total amount of the borrowing base relative to the sum of the total commitments (or, if greater, the total exposure) under the Revolving Credit Facility plus certain other designated secured debt. We may elect either the LIBOR or base rate at the time of drawdown, and loans may be converted from one rate to another at any time, subject to certain conditions. We also pay a fee of 0.375% on undrawn amounts and, in respect of each undrawn letter of credit, a fee and interest rate equal to the then applicable margin while the letter of credit is outstanding.</w:t>
      </w:r>
    </w:p>
    <w:p>
      <w:pPr>
        <w:spacing w:after="0" w:line="192" w:lineRule="exact"/>
        <w:rPr>
          <w:sz w:val="20"/>
          <w:szCs w:val="20"/>
          <w:color w:val="auto"/>
        </w:rPr>
      </w:pPr>
    </w:p>
    <w:p>
      <w:pPr>
        <w:ind w:right="100" w:firstLine="255"/>
        <w:spacing w:after="0" w:line="263" w:lineRule="auto"/>
        <w:rPr>
          <w:sz w:val="20"/>
          <w:szCs w:val="20"/>
          <w:color w:val="auto"/>
        </w:rPr>
      </w:pPr>
      <w:r>
        <w:rPr>
          <w:rFonts w:ascii="Arial" w:cs="Arial" w:eastAsia="Arial" w:hAnsi="Arial"/>
          <w:sz w:val="18"/>
          <w:szCs w:val="18"/>
          <w:color w:val="auto"/>
        </w:rPr>
        <w:t>The Revolving Credit Facility is guaranteed by Sixth Street SL SPV, LLC, TC Lending, LLC and Sixth Street SL Holding, LLC. The Revolving Credit Facility is secured by a perfected first-priority security interest in substantially all the portfolio investments held by us and each guarantor. Proceeds from borrowings may be used for general corporate purposes, including the funding of portfolio investments.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66" w:name="page67"/>
    <w:bookmarkEnd w:id="66"/>
    <w:p>
      <w:pPr>
        <w:ind w:right="140" w:firstLine="255"/>
        <w:spacing w:after="0" w:line="277" w:lineRule="auto"/>
        <w:rPr>
          <w:sz w:val="20"/>
          <w:szCs w:val="20"/>
          <w:color w:val="auto"/>
        </w:rPr>
      </w:pPr>
      <w:r>
        <w:rPr>
          <w:rFonts w:ascii="Arial" w:cs="Arial" w:eastAsia="Arial" w:hAnsi="Arial"/>
          <w:sz w:val="18"/>
          <w:szCs w:val="18"/>
          <w:color w:val="auto"/>
        </w:rPr>
        <w:t>The Revolving Credit Facility includes customary events of default, as well as customary covenants, including restrictions on certain distributions and financial covenants. The financial covenants require:</w:t>
      </w:r>
    </w:p>
    <w:p>
      <w:pPr>
        <w:spacing w:after="0" w:line="62" w:lineRule="exact"/>
        <w:rPr>
          <w:sz w:val="20"/>
          <w:szCs w:val="20"/>
          <w:color w:val="auto"/>
        </w:rPr>
      </w:pPr>
    </w:p>
    <w:p>
      <w:pPr>
        <w:ind w:left="500" w:hanging="249"/>
        <w:spacing w:after="0"/>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 asset coverage ratio of no less than 1.5 to 1 on the last day of any fiscal quarter;</w:t>
      </w:r>
    </w:p>
    <w:p>
      <w:pPr>
        <w:spacing w:after="0" w:line="117" w:lineRule="exact"/>
        <w:rPr>
          <w:rFonts w:ascii="Arial" w:cs="Arial" w:eastAsia="Arial" w:hAnsi="Arial"/>
          <w:sz w:val="18"/>
          <w:szCs w:val="18"/>
          <w:color w:val="auto"/>
        </w:rPr>
      </w:pPr>
    </w:p>
    <w:p>
      <w:pPr>
        <w:ind w:left="500" w:right="260" w:hanging="249"/>
        <w:spacing w:after="0" w:line="375" w:lineRule="auto"/>
        <w:tabs>
          <w:tab w:leader="none" w:pos="500" w:val="left"/>
        </w:tabs>
        <w:numPr>
          <w:ilvl w:val="0"/>
          <w:numId w:val="49"/>
        </w:numPr>
        <w:rPr>
          <w:rFonts w:ascii="Arial" w:cs="Arial" w:eastAsia="Arial" w:hAnsi="Arial"/>
          <w:sz w:val="15"/>
          <w:szCs w:val="15"/>
          <w:color w:val="auto"/>
        </w:rPr>
      </w:pPr>
      <w:r>
        <w:rPr>
          <w:rFonts w:ascii="Arial" w:cs="Arial" w:eastAsia="Arial" w:hAnsi="Arial"/>
          <w:sz w:val="15"/>
          <w:szCs w:val="15"/>
          <w:color w:val="auto"/>
        </w:rPr>
        <w:t>a liquidity test under which we must not maintain cash and liquid investments of less than 10% of the covered debt amount for more than 30 consecutive business days under circumstances where our adjusted covered debt balance is greater than 90% of our adjusted borrowing base under the facility;</w:t>
      </w:r>
    </w:p>
    <w:p>
      <w:pPr>
        <w:ind w:left="500" w:hanging="249"/>
        <w:spacing w:after="0"/>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stockholders’ equity of at least $500 million plus 25% of the net proceeds of the sale of equity interests after January 31, 2020;</w:t>
      </w:r>
    </w:p>
    <w:p>
      <w:pPr>
        <w:spacing w:after="0" w:line="117" w:lineRule="exact"/>
        <w:rPr>
          <w:rFonts w:ascii="Arial" w:cs="Arial" w:eastAsia="Arial" w:hAnsi="Arial"/>
          <w:sz w:val="18"/>
          <w:szCs w:val="18"/>
          <w:color w:val="auto"/>
        </w:rPr>
      </w:pPr>
    </w:p>
    <w:p>
      <w:pPr>
        <w:ind w:left="500" w:hanging="249"/>
        <w:spacing w:after="0" w:line="259" w:lineRule="auto"/>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minimum asset coverage ratio of no less than 2 to 1 with respect to (i) the consolidated assets of the Company and the subsidiary guarantors (including certain limitations on the contribution of equity in financing subsidiaries) to (ii) the secured debt of the Company and its subsidiary guarantors plus unsecured senior securities of the Company and its subsidiary guarantors that mature within 90 days of the date of determination (the “Obligor Asset Coverage Ratio”); and</w:t>
      </w:r>
    </w:p>
    <w:p>
      <w:pPr>
        <w:spacing w:after="0" w:line="78" w:lineRule="exact"/>
        <w:rPr>
          <w:rFonts w:ascii="Arial" w:cs="Arial" w:eastAsia="Arial" w:hAnsi="Arial"/>
          <w:sz w:val="18"/>
          <w:szCs w:val="18"/>
          <w:color w:val="auto"/>
        </w:rPr>
      </w:pPr>
    </w:p>
    <w:p>
      <w:pPr>
        <w:ind w:left="500" w:right="100" w:hanging="249"/>
        <w:spacing w:after="0" w:line="342" w:lineRule="auto"/>
        <w:tabs>
          <w:tab w:leader="none" w:pos="5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minimum consolidated assets of the Company and the subsidiary guarantors (including certain limitations on the contribution of equity in financing subsidiaries), less total secured debt of the Company and the subsidiary guarantors, of at least $350 million at the last day of any fiscal quarter.</w:t>
      </w:r>
    </w:p>
    <w:p>
      <w:pPr>
        <w:spacing w:after="0" w:line="124" w:lineRule="exact"/>
        <w:rPr>
          <w:sz w:val="20"/>
          <w:szCs w:val="20"/>
          <w:color w:val="auto"/>
        </w:rPr>
      </w:pPr>
    </w:p>
    <w:p>
      <w:pPr>
        <w:ind w:right="200" w:firstLine="255"/>
        <w:spacing w:after="0" w:line="277" w:lineRule="auto"/>
        <w:rPr>
          <w:sz w:val="20"/>
          <w:szCs w:val="20"/>
          <w:color w:val="auto"/>
        </w:rPr>
      </w:pPr>
      <w:r>
        <w:rPr>
          <w:rFonts w:ascii="Arial" w:cs="Arial" w:eastAsia="Arial" w:hAnsi="Arial"/>
          <w:sz w:val="18"/>
          <w:szCs w:val="18"/>
          <w:color w:val="auto"/>
        </w:rPr>
        <w:t>The Revolving Credit Facility also contains certain additional concentration limits in connection with the calculation of the borrowing base, based on the Obligor Asset Coverage Ratio.</w:t>
      </w:r>
    </w:p>
    <w:p>
      <w:pPr>
        <w:spacing w:after="0" w:line="170" w:lineRule="exact"/>
        <w:rPr>
          <w:sz w:val="20"/>
          <w:szCs w:val="20"/>
          <w:color w:val="auto"/>
        </w:rPr>
      </w:pPr>
    </w:p>
    <w:p>
      <w:pPr>
        <w:ind w:right="240" w:firstLine="255"/>
        <w:spacing w:after="0" w:line="277" w:lineRule="auto"/>
        <w:rPr>
          <w:sz w:val="20"/>
          <w:szCs w:val="20"/>
          <w:color w:val="auto"/>
        </w:rPr>
      </w:pPr>
      <w:r>
        <w:rPr>
          <w:rFonts w:ascii="Arial" w:cs="Arial" w:eastAsia="Arial" w:hAnsi="Arial"/>
          <w:sz w:val="18"/>
          <w:szCs w:val="18"/>
          <w:color w:val="auto"/>
        </w:rPr>
        <w:t>Net proceeds received from the Company’s common stock issuance in February 2021 and net proceeds received from the issuance of the 2026 Notes were used to pay down borrowings on the Revolving Credit Facility.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Convertible Notes</w:t>
      </w:r>
    </w:p>
    <w:p>
      <w:pPr>
        <w:spacing w:after="0" w:line="117" w:lineRule="exact"/>
        <w:rPr>
          <w:sz w:val="20"/>
          <w:szCs w:val="20"/>
          <w:color w:val="auto"/>
        </w:rPr>
      </w:pPr>
    </w:p>
    <w:p>
      <w:pPr>
        <w:ind w:right="40" w:firstLine="255"/>
        <w:spacing w:after="0" w:line="287" w:lineRule="auto"/>
        <w:rPr>
          <w:sz w:val="20"/>
          <w:szCs w:val="20"/>
          <w:color w:val="auto"/>
        </w:rPr>
      </w:pPr>
      <w:r>
        <w:rPr>
          <w:rFonts w:ascii="Arial" w:cs="Arial" w:eastAsia="Arial" w:hAnsi="Arial"/>
          <w:sz w:val="16"/>
          <w:szCs w:val="16"/>
          <w:color w:val="auto"/>
        </w:rPr>
        <w:t>In February 2017, we issued in a private offering $115 million aggregate principal amount convertible notes due August 2022 (the “2022 Convertible Notes”). The 2022 Convertible Notes were issued in a private placement only to qualified institutional buyers pursuant to Rule 144A under the Securities Act. The 2022 Convertible Notes are unsecured, and bear interest at a rate of 4.50% per year, payable semiannually. The 2022 Convertible Notes will mature on August 1, 2022. In certain circumstances, the 2022 Convertible Notes will be convertible into cash, shares of our common stock or a combination of cash and shares of our common stock, at our election, at an initial conversion rate of 46.8516 shares of common stock per $1,000 principal amount of 2022 Convertible Notes, which is equivalent to an initial conversion price of approximately $21.34 per share of our common stock, subject to customary anti-dilution adjustments. As of June 30, 2021, the estimated adjusted conversion price was approximately $18.56 per share of common stock. The sale of the 2022 Convertible Notes generated net proceeds of approximately $111.2 million. We used the net proceeds of the offering to pay down debt under the Revolving Credit Facility. In connection with the offering of 2022 Convertible Notes, we have entered into an interest rate swap to continue to align the interest rates of our liabilities with our investment portfolio, which consists of predominately floating rate loans. As a result of the swaps, our effective interest rate on the original issuance of 2022 Convertible Notes is three-month LIBOR plus 2.37%.</w:t>
      </w:r>
    </w:p>
    <w:p>
      <w:pPr>
        <w:spacing w:after="0" w:line="172" w:lineRule="exact"/>
        <w:rPr>
          <w:sz w:val="20"/>
          <w:szCs w:val="20"/>
          <w:color w:val="auto"/>
        </w:rPr>
      </w:pPr>
    </w:p>
    <w:p>
      <w:pPr>
        <w:ind w:right="180" w:firstLine="255"/>
        <w:spacing w:after="0" w:line="296" w:lineRule="auto"/>
        <w:rPr>
          <w:sz w:val="20"/>
          <w:szCs w:val="20"/>
          <w:color w:val="auto"/>
        </w:rPr>
      </w:pPr>
      <w:r>
        <w:rPr>
          <w:rFonts w:ascii="Arial" w:cs="Arial" w:eastAsia="Arial" w:hAnsi="Arial"/>
          <w:sz w:val="16"/>
          <w:szCs w:val="16"/>
          <w:color w:val="auto"/>
        </w:rPr>
        <w:t>In June 2018, we issued an additional $57.5 million aggregate principal amount of 2022 Convertible Notes. The additional 2022 Convertible Notes were issued with identical terms, and are fungible with and are part of a single series with the previously outstanding $115 million aggregate principal amount of our 2022 Convertible Notes issued in February 2017. In connection with the reopening of the 2022 Convertible Notes, we entered into interest rate swaps to continue to align the interest rates of its liabilities with its investment portfolio, which consists of predominately floating rate loans. As a result of the additional swaps, our effective interest rate on the additional 2022 Convertible Notes is approximately three-month LIBOR plus 1.60%.</w:t>
      </w:r>
    </w:p>
    <w:p>
      <w:pPr>
        <w:spacing w:after="0" w:line="161" w:lineRule="exact"/>
        <w:rPr>
          <w:sz w:val="20"/>
          <w:szCs w:val="20"/>
          <w:color w:val="auto"/>
        </w:rPr>
      </w:pPr>
    </w:p>
    <w:p>
      <w:pPr>
        <w:ind w:right="40" w:firstLine="255"/>
        <w:spacing w:after="0" w:line="291" w:lineRule="auto"/>
        <w:rPr>
          <w:sz w:val="20"/>
          <w:szCs w:val="20"/>
          <w:color w:val="auto"/>
        </w:rPr>
      </w:pPr>
      <w:r>
        <w:rPr>
          <w:rFonts w:ascii="Arial" w:cs="Arial" w:eastAsia="Arial" w:hAnsi="Arial"/>
          <w:sz w:val="16"/>
          <w:szCs w:val="16"/>
          <w:color w:val="auto"/>
        </w:rPr>
        <w:t>During the year ended December 31, 2020, we repurchased on the open market and extinguished $29.7 million in aggregate principal amount of the 2022 Convertible Notes for $29.5 million. These repurchases resulted in a gain on extinguishment of debt of less than $0.7 million. This gain is included in the extinguishment of debt in the accompanying consolidated statements of operations. In connection with the repurchases of the 2022 Convertible Notes, we entered into floating-to-fixed interest rate swaps with an aggregate notional amount equal to the amount of 2022 Convertible Notes repurchased, which has the effect of reducing the notional exposure of the fixed-to-floating interest rate swaps, which were entered into in connection with the issuance of the 2022 Convertible Notes, to match the current principal amount of the 2022 Convertible Notes outstanding. As a result of the swaps, our effective interest rate on the outstanding 2022 Convertible Notes is three-month LIBOR plus 2.11% (on a weighted-average basis).</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7"/>
          <w:szCs w:val="17"/>
          <w:color w:val="auto"/>
        </w:rPr>
        <w:t>Holders may convert their 2022 Convertible Notes at their option at any time prior to February 1, 2022 only under the following circumstances:</w:t>
      </w:r>
    </w:p>
    <w:p>
      <w:pPr>
        <w:spacing w:after="0" w:line="35" w:lineRule="exact"/>
        <w:rPr>
          <w:sz w:val="20"/>
          <w:szCs w:val="20"/>
          <w:color w:val="auto"/>
        </w:rPr>
      </w:pPr>
    </w:p>
    <w:p>
      <w:pPr>
        <w:ind w:right="60" w:firstLine="8"/>
        <w:spacing w:after="0" w:line="260" w:lineRule="auto"/>
        <w:tabs>
          <w:tab w:leader="none" w:pos="2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during any calendar quarter commencing after the calendar quarter ending on June 30, 2017 (and only during such calendar quarter), if the last reported sale price of the common stock for at least 20 trading days (whether or not consecutive) during a</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7" w:name="page68"/>
    <w:bookmarkEnd w:id="67"/>
    <w:p>
      <w:pPr>
        <w:spacing w:after="0" w:line="254" w:lineRule="auto"/>
        <w:rPr>
          <w:sz w:val="20"/>
          <w:szCs w:val="20"/>
          <w:color w:val="auto"/>
        </w:rPr>
      </w:pPr>
      <w:r>
        <w:rPr>
          <w:rFonts w:ascii="Arial" w:cs="Arial" w:eastAsia="Arial" w:hAnsi="Arial"/>
          <w:sz w:val="18"/>
          <w:szCs w:val="18"/>
          <w:color w:val="auto"/>
        </w:rPr>
        <w:t>period of 30 consecutive trading days ending on the last trading day of the immediately preceding calendar quarter is greater than or equal to 130% of the conversion price on each applicable trading day; (2) during the five business day period after any five consecutive trading day period (the “measurement period”) in which the trading price (as defined in the indenture governing the 2022 Convertible Notes) per $1,000 principal amount of notes for each trading day of the measurement period was less than 98% of the product of the last reported sale price of our common stock and the conversion rate on each such trading day; or (3) upon the occurrence of specified corporate events. On or after February 1, 2022 until the close of business on the scheduled trading day immediately preceding the maturity date, holders may convert their notes at any time, regardless of the occurrence or nonoccurrence of any of the foregoing circumstances.</w:t>
      </w:r>
    </w:p>
    <w:p>
      <w:pPr>
        <w:spacing w:after="0" w:line="195" w:lineRule="exact"/>
        <w:rPr>
          <w:sz w:val="20"/>
          <w:szCs w:val="20"/>
          <w:color w:val="auto"/>
        </w:rPr>
      </w:pPr>
    </w:p>
    <w:p>
      <w:pPr>
        <w:jc w:val="both"/>
        <w:ind w:right="40" w:firstLine="255"/>
        <w:spacing w:after="0" w:line="257" w:lineRule="auto"/>
        <w:rPr>
          <w:sz w:val="20"/>
          <w:szCs w:val="20"/>
          <w:color w:val="auto"/>
        </w:rPr>
      </w:pPr>
      <w:r>
        <w:rPr>
          <w:rFonts w:ascii="Arial" w:cs="Arial" w:eastAsia="Arial" w:hAnsi="Arial"/>
          <w:sz w:val="18"/>
          <w:szCs w:val="18"/>
          <w:color w:val="auto"/>
        </w:rPr>
        <w:t>The 2022 Convertible Notes are our unsecured obligations and rank senior in right of payment to our future indebtedness that is expressly subordinated in right of payment to the 2022 Convertible Notes; equal in right of payment to our existing and future indebtedness that is not so subordinated; effectively junior in right of payment to any of our secured indebtedness (including unsecured indebtedness that we later secure) to the extent of the value of the assets securing such indebtedness; and structurally junior to all existing and future indebtedness (including trade payables) incurred by our subsidiaries, financing vehicles or similar facilities.</w:t>
      </w:r>
    </w:p>
    <w:p>
      <w:pPr>
        <w:spacing w:after="0" w:line="188" w:lineRule="exact"/>
        <w:rPr>
          <w:sz w:val="20"/>
          <w:szCs w:val="20"/>
          <w:color w:val="auto"/>
        </w:rPr>
      </w:pPr>
    </w:p>
    <w:p>
      <w:pPr>
        <w:ind w:right="200" w:firstLine="255"/>
        <w:spacing w:after="0" w:line="279" w:lineRule="auto"/>
        <w:rPr>
          <w:sz w:val="20"/>
          <w:szCs w:val="20"/>
          <w:color w:val="auto"/>
        </w:rPr>
      </w:pPr>
      <w:r>
        <w:rPr>
          <w:rFonts w:ascii="Arial" w:cs="Arial" w:eastAsia="Arial" w:hAnsi="Arial"/>
          <w:sz w:val="17"/>
          <w:szCs w:val="17"/>
          <w:color w:val="auto"/>
        </w:rPr>
        <w:t>The indenture governing the 2022 Convertible Notes contains certain covenants, including covenants requiring us to comply with the applicable asset coverage ratio requirement under the 1940 Act and to provide financial information to the holders of the 2022 Convertible Notes under certain circumstances. These covenants are subject to important limitations and exceptions that are described in the indenture governing the 2022 Convertible Notes. As of June 30, 2021, we were in compliance with the terms of the indenture governing the 2022 Convertible Notes.</w:t>
      </w:r>
    </w:p>
    <w:p>
      <w:pPr>
        <w:spacing w:after="0" w:line="171" w:lineRule="exact"/>
        <w:rPr>
          <w:sz w:val="20"/>
          <w:szCs w:val="20"/>
          <w:color w:val="auto"/>
        </w:rPr>
      </w:pPr>
    </w:p>
    <w:p>
      <w:pPr>
        <w:ind w:right="80" w:firstLine="255"/>
        <w:spacing w:after="0" w:line="269" w:lineRule="auto"/>
        <w:rPr>
          <w:sz w:val="20"/>
          <w:szCs w:val="20"/>
          <w:color w:val="auto"/>
        </w:rPr>
      </w:pPr>
      <w:r>
        <w:rPr>
          <w:rFonts w:ascii="Arial" w:cs="Arial" w:eastAsia="Arial" w:hAnsi="Arial"/>
          <w:sz w:val="17"/>
          <w:szCs w:val="17"/>
          <w:color w:val="auto"/>
        </w:rPr>
        <w:t>The 2022 Convertible Notes are accounted for in accordance with ASC Topic 470-20. Upon conversion of any of the 2022 Convertible Notes, we currently intend to pay the outstanding principal amount in cash and, to the extent that the conversion value exceeds the principal amount, we have the option to pay in cash or shares of our common stock (or a combination of cash and shares) in respect of the excess amount, subject to the requirements of the indenture governing the 2022 Convertible Notes. We have determined that the embedded conversion options in the 2022 Convertible Notes are not required to be separately accounted for as a derivative under U.S. GAAP. In accounting for the 2022 Convertible Notes, we estimated at the time of issuance separate debt and equity components of the 2022 Convertible Notes. A discount equal to the equity components of the 2022 Convertible Notes was recorded in “additional paid-in capital” in the accompanying consolidated balance sheet. Additionally, the issuance costs associated with the 2022 Convertible Notes were allocated to the debt and equity components in proportion to the allocation of the proceeds and accounted for as deferred financing costs and equity issuance costs, respectively. During the period ended March 31, 2021, we early adopted ASU 2020-06 and in accordance with this guidance reclassed the remaining unamortized discount on the 2022 Convertible Notes from the carrying value of the instrument to “additional paid-in capital” in the accompanying consolidated balance sheet.</w:t>
      </w:r>
    </w:p>
    <w:p>
      <w:pPr>
        <w:spacing w:after="0" w:line="182" w:lineRule="exact"/>
        <w:rPr>
          <w:sz w:val="20"/>
          <w:szCs w:val="20"/>
          <w:color w:val="auto"/>
        </w:rPr>
      </w:pPr>
    </w:p>
    <w:p>
      <w:pPr>
        <w:ind w:right="680" w:firstLine="255"/>
        <w:spacing w:after="0" w:line="277" w:lineRule="auto"/>
        <w:rPr>
          <w:sz w:val="20"/>
          <w:szCs w:val="20"/>
          <w:color w:val="auto"/>
        </w:rPr>
      </w:pPr>
      <w:r>
        <w:rPr>
          <w:rFonts w:ascii="Arial" w:cs="Arial" w:eastAsia="Arial" w:hAnsi="Arial"/>
          <w:sz w:val="18"/>
          <w:szCs w:val="18"/>
          <w:color w:val="auto"/>
        </w:rPr>
        <w:t>The average daily closing price of our common stock for the three and six months ended June 30, 2021 was greater than the estimated adjusted conversion price for the 2022 Convertible Notes outstanding as of June 30, 2021.</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2023 Notes</w:t>
      </w:r>
    </w:p>
    <w:p>
      <w:pPr>
        <w:spacing w:after="0" w:line="117" w:lineRule="exact"/>
        <w:rPr>
          <w:sz w:val="20"/>
          <w:szCs w:val="20"/>
          <w:color w:val="auto"/>
        </w:rPr>
      </w:pPr>
    </w:p>
    <w:p>
      <w:pPr>
        <w:ind w:right="60" w:firstLine="255"/>
        <w:spacing w:after="0" w:line="257" w:lineRule="auto"/>
        <w:rPr>
          <w:sz w:val="20"/>
          <w:szCs w:val="20"/>
          <w:color w:val="auto"/>
        </w:rPr>
      </w:pPr>
      <w:r>
        <w:rPr>
          <w:rFonts w:ascii="Arial" w:cs="Arial" w:eastAsia="Arial" w:hAnsi="Arial"/>
          <w:sz w:val="18"/>
          <w:szCs w:val="18"/>
          <w:color w:val="auto"/>
        </w:rPr>
        <w:t>In January 2018, we issued $150.0 million aggregate principal amount of unsecured notes that mature on January 22, 2023 (the “2023 Notes”). The principal amount of the 2023 Notes is payable at maturity. The 2023 Notes bear interest at a rate of 4.50% per year, payable semi-annually commencing on July 22, 2018, and may be redeemed in whole or in part at our option at any time at par plus a “make whole” premium. Total proceeds from the issuance of the 2023 Notes, net of underwriting discounts and offering costs, were $146.9 million. We used the net proceeds of the 2023 Notes to repay outstanding indebtedness under the Revolving Credit Facility.</w:t>
      </w:r>
    </w:p>
    <w:p>
      <w:pPr>
        <w:spacing w:after="0" w:line="188" w:lineRule="exact"/>
        <w:rPr>
          <w:sz w:val="20"/>
          <w:szCs w:val="20"/>
          <w:color w:val="auto"/>
        </w:rPr>
      </w:pPr>
    </w:p>
    <w:p>
      <w:pPr>
        <w:ind w:right="380" w:firstLine="255"/>
        <w:spacing w:after="0" w:line="263" w:lineRule="auto"/>
        <w:rPr>
          <w:sz w:val="20"/>
          <w:szCs w:val="20"/>
          <w:color w:val="auto"/>
        </w:rPr>
      </w:pPr>
      <w:r>
        <w:rPr>
          <w:rFonts w:ascii="Arial" w:cs="Arial" w:eastAsia="Arial" w:hAnsi="Arial"/>
          <w:sz w:val="18"/>
          <w:szCs w:val="18"/>
          <w:color w:val="auto"/>
        </w:rPr>
        <w:t>In connection with the 2023 Notes offering, we entered into an interest rate swap to continue to align the interest rates of our liabilities with our investment portfolio, which consists of predominately floating rate loans. As a result of the swap, our effective interest rate on the 2023 Notes is three-month LIBOR plus 1.99%.</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2024 Notes</w:t>
      </w:r>
    </w:p>
    <w:p>
      <w:pPr>
        <w:spacing w:after="0" w:line="117" w:lineRule="exact"/>
        <w:rPr>
          <w:sz w:val="20"/>
          <w:szCs w:val="20"/>
          <w:color w:val="auto"/>
        </w:rPr>
      </w:pPr>
    </w:p>
    <w:p>
      <w:pPr>
        <w:ind w:right="60" w:firstLine="255"/>
        <w:spacing w:after="0" w:line="275" w:lineRule="auto"/>
        <w:rPr>
          <w:sz w:val="20"/>
          <w:szCs w:val="20"/>
          <w:color w:val="auto"/>
        </w:rPr>
      </w:pPr>
      <w:r>
        <w:rPr>
          <w:rFonts w:ascii="Arial" w:cs="Arial" w:eastAsia="Arial" w:hAnsi="Arial"/>
          <w:sz w:val="17"/>
          <w:szCs w:val="17"/>
          <w:color w:val="auto"/>
        </w:rPr>
        <w:t>In November 2019, we issued $300.0 million aggregate principal amount of unsecured notes that mature on November 1, 2024 (the “2024 Notes”). The principal amount of the 2024 Notes is payable at maturity. The 2024 Notes bear interest at a rate of 3.875% per year, payable semi-annually commencing on May 1, 2020, and may be redeemed in whole or in part at our option at any time at par plus a “make whole” premium. Total proceeds from the issuance of the 2024 Notes, net of underwriting discounts, offering costs and original issue discount were $292.9 million. We used the net proceeds of the 2024 Notes to repay outstanding indebtedness under the Revolving Credit Facility.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8" w:name="page69"/>
    <w:bookmarkEnd w:id="68"/>
    <w:p>
      <w:pPr>
        <w:ind w:right="60" w:firstLine="255"/>
        <w:spacing w:after="0" w:line="257" w:lineRule="auto"/>
        <w:rPr>
          <w:sz w:val="20"/>
          <w:szCs w:val="20"/>
          <w:color w:val="auto"/>
        </w:rPr>
      </w:pPr>
      <w:r>
        <w:rPr>
          <w:rFonts w:ascii="Arial" w:cs="Arial" w:eastAsia="Arial" w:hAnsi="Arial"/>
          <w:sz w:val="18"/>
          <w:szCs w:val="18"/>
          <w:color w:val="auto"/>
        </w:rPr>
        <w:t>On February 5, 2020, we issued an additional $50.0 million aggregate principal amount of unsecured notes that mature on November 1, 2024. The additional 2024 Notes are a further issuance of, fungible with, rank equally in right of payment with and have the same terms (other than the issue date and the public offering price) as the initial issuance of 2024 Notes. Total proceeds from the issuance of the additional 2024 Notes, net of underwriting discounts, offering costs and original issue premium were $50.1 million. We used the net proceeds of the 2024 Notes to repay outstanding indebtedness under the Revolving Credit Facility.</w:t>
      </w:r>
    </w:p>
    <w:p>
      <w:pPr>
        <w:spacing w:after="0" w:line="188" w:lineRule="exact"/>
        <w:rPr>
          <w:sz w:val="20"/>
          <w:szCs w:val="20"/>
          <w:color w:val="auto"/>
        </w:rPr>
      </w:pPr>
    </w:p>
    <w:p>
      <w:pPr>
        <w:ind w:right="20" w:firstLine="255"/>
        <w:spacing w:after="0" w:line="263" w:lineRule="auto"/>
        <w:rPr>
          <w:sz w:val="20"/>
          <w:szCs w:val="20"/>
          <w:color w:val="auto"/>
        </w:rPr>
      </w:pPr>
      <w:r>
        <w:rPr>
          <w:rFonts w:ascii="Arial" w:cs="Arial" w:eastAsia="Arial" w:hAnsi="Arial"/>
          <w:sz w:val="18"/>
          <w:szCs w:val="18"/>
          <w:color w:val="auto"/>
        </w:rPr>
        <w:t>In connection with the 2024 Notes offering and reopening of the 2024 Notes, we entered into interest rate swaps to continue to align the interest rates of our liabilities with our investment portfolio, which consists of predominately floating rate loans. As a result of the swaps, our effective interest rate on the 2024 Notes is three-month LIBOR plus 2.28% (on a weighted average basis).</w:t>
      </w:r>
    </w:p>
    <w:p>
      <w:pPr>
        <w:spacing w:after="0" w:line="184" w:lineRule="exact"/>
        <w:rPr>
          <w:sz w:val="20"/>
          <w:szCs w:val="20"/>
          <w:color w:val="auto"/>
        </w:rPr>
      </w:pPr>
    </w:p>
    <w:p>
      <w:pPr>
        <w:ind w:firstLine="255"/>
        <w:spacing w:after="0" w:line="254" w:lineRule="auto"/>
        <w:rPr>
          <w:sz w:val="20"/>
          <w:szCs w:val="20"/>
          <w:color w:val="auto"/>
        </w:rPr>
      </w:pPr>
      <w:r>
        <w:rPr>
          <w:rFonts w:ascii="Arial" w:cs="Arial" w:eastAsia="Arial" w:hAnsi="Arial"/>
          <w:sz w:val="18"/>
          <w:szCs w:val="18"/>
          <w:color w:val="auto"/>
        </w:rPr>
        <w:t>During the year ended December 31, 2020, we repurchased on the open market and extinguished $2.5 million in aggregate principal amount of the 2024 Notes for $2.4 million. These repurchases resulted in a gain on extinguishment of debt of less than $0.1 million. This gain is included in the extinguishment of debt in the accompanying consolidated statements of operations. In connection with the repurchase of the 2024 Notes, we entered into a floating-to-fixed interest rate swap with a notional amount equal to the amount of 2024 Notes repurchased, which has the effect of reducing the notional exposure of the fixed-to-floating interest rate swaps, which were entered into in connection with the issuance of the 2024 Notes, to match the current principal amount of the 2024 Notes outstanding. As a result of the swap, our effective interest rate on the outstanding 2024 Notes is three-month LIBOR plus 2.28% (on a weighted average basis).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2026 Notes</w:t>
      </w:r>
    </w:p>
    <w:p>
      <w:pPr>
        <w:spacing w:after="0" w:line="117" w:lineRule="exact"/>
        <w:rPr>
          <w:sz w:val="20"/>
          <w:szCs w:val="20"/>
          <w:color w:val="auto"/>
        </w:rPr>
      </w:pPr>
    </w:p>
    <w:p>
      <w:pPr>
        <w:ind w:right="40" w:firstLine="255"/>
        <w:spacing w:after="0" w:line="275" w:lineRule="auto"/>
        <w:rPr>
          <w:sz w:val="20"/>
          <w:szCs w:val="20"/>
          <w:color w:val="auto"/>
        </w:rPr>
      </w:pPr>
      <w:r>
        <w:rPr>
          <w:rFonts w:ascii="Arial" w:cs="Arial" w:eastAsia="Arial" w:hAnsi="Arial"/>
          <w:sz w:val="17"/>
          <w:szCs w:val="17"/>
          <w:color w:val="auto"/>
        </w:rPr>
        <w:t>On February 3, 2021, we issued $300.0 million aggregate principal amount of unsecured notes that mature on August 1, 2026 (the “2026 Notes”). The principal amount of the 2026 Notes is payable at maturity. The 2026 Notes bear interest at a rate of 2.50% per year, payable semi-annually commencing on August 1, 2021, and may be redeemed in whole or in part at our option at any time at par plus a “make whole” premium. Total proceeds from the issuance of the 2026 Notes, net of underwriting discounts, offering costs and original issue discount were $293.7 million. We used the net proceeds of the 2026 Notes to repay outstanding indebtedness under the Revolving Credit Facility.</w:t>
      </w:r>
    </w:p>
    <w:p>
      <w:pPr>
        <w:spacing w:after="0" w:line="176" w:lineRule="exact"/>
        <w:rPr>
          <w:sz w:val="20"/>
          <w:szCs w:val="20"/>
          <w:color w:val="auto"/>
        </w:rPr>
      </w:pPr>
    </w:p>
    <w:p>
      <w:pPr>
        <w:ind w:right="140" w:firstLine="255"/>
        <w:spacing w:after="0" w:line="263" w:lineRule="auto"/>
        <w:rPr>
          <w:sz w:val="20"/>
          <w:szCs w:val="20"/>
          <w:color w:val="auto"/>
        </w:rPr>
      </w:pPr>
      <w:r>
        <w:rPr>
          <w:rFonts w:ascii="Arial" w:cs="Arial" w:eastAsia="Arial" w:hAnsi="Arial"/>
          <w:sz w:val="18"/>
          <w:szCs w:val="18"/>
          <w:color w:val="auto"/>
        </w:rPr>
        <w:t>In connection with the issuance of the 2026 Notes, we entered into an interest rate swap to continue to align the interest rates of our liabilities with our investment portfolio, which consists of predominately floating rate loans. As a result of the swap, our effective interest rate on the 2026 Notes is three-month LIBOR plus 1.91%.</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Company Commitments</w:t>
      </w:r>
    </w:p>
    <w:p>
      <w:pPr>
        <w:spacing w:after="0" w:line="117" w:lineRule="exact"/>
        <w:rPr>
          <w:sz w:val="20"/>
          <w:szCs w:val="20"/>
          <w:color w:val="auto"/>
        </w:rPr>
      </w:pPr>
    </w:p>
    <w:p>
      <w:pPr>
        <w:ind w:firstLine="255"/>
        <w:spacing w:after="0" w:line="255" w:lineRule="auto"/>
        <w:rPr>
          <w:sz w:val="20"/>
          <w:szCs w:val="20"/>
          <w:color w:val="auto"/>
        </w:rPr>
      </w:pPr>
      <w:r>
        <w:rPr>
          <w:rFonts w:ascii="Arial" w:cs="Arial" w:eastAsia="Arial" w:hAnsi="Arial"/>
          <w:sz w:val="18"/>
          <w:szCs w:val="18"/>
          <w:color w:val="auto"/>
        </w:rPr>
        <w:t>From time to time, we may enter into commitments to fund investments. We incorporate these commitments into our assessment of our liquidity position. Our senior secured revolving loan commitments are generally available on a borrower’s demand and may remain outstanding until the maturity date of the applicable loan. Our senior secured term loan commitments are generally available on a borrower’s demand and, once drawn, generally have the same remaining term as the associated loan agreement. Undrawn senior secured term loan commitments generally have a shorter availability period than the term of the associated loan agreement. As of June 30, 2021 and December 31, 2020, we had the following commitments to fund investments in current portfolio companies:</w:t>
      </w:r>
    </w:p>
    <w:p>
      <w:pPr>
        <w:spacing w:after="0" w:line="198"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44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 in millions)</w:t>
            </w:r>
          </w:p>
        </w:tc>
        <w:tc>
          <w:tcPr>
            <w:tcW w:w="3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June 30, 2021</w:t>
            </w:r>
          </w:p>
        </w:tc>
        <w:tc>
          <w:tcPr>
            <w:tcW w:w="2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w w:val="90"/>
              </w:rPr>
              <w:t>December 31, 2020</w:t>
            </w:r>
          </w:p>
        </w:tc>
        <w:tc>
          <w:tcPr>
            <w:tcW w:w="80" w:type="dxa"/>
            <w:vAlign w:val="bottom"/>
            <w:tcBorders>
              <w:bottom w:val="single" w:sz="8" w:color="CFF0FC"/>
            </w:tcBorders>
          </w:tcPr>
          <w:p>
            <w:pPr>
              <w:spacing w:after="0"/>
              <w:rPr>
                <w:sz w:val="14"/>
                <w:szCs w:val="14"/>
                <w:color w:val="auto"/>
              </w:rPr>
            </w:pPr>
          </w:p>
        </w:tc>
      </w:tr>
      <w:tr>
        <w:trPr>
          <w:trHeight w:val="209"/>
        </w:trPr>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Alpha Midco, Inc. - Delayed Draw</w:t>
            </w:r>
          </w:p>
        </w:tc>
        <w:tc>
          <w:tcPr>
            <w:tcW w:w="5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w:t>
            </w:r>
          </w:p>
        </w:tc>
        <w:tc>
          <w:tcPr>
            <w:tcW w:w="80" w:type="dxa"/>
            <w:vAlign w:val="bottom"/>
            <w:shd w:val="clear" w:color="auto" w:fill="CFF0FC"/>
          </w:tcPr>
          <w:p>
            <w:pPr>
              <w:spacing w:after="0"/>
              <w:rPr>
                <w:sz w:val="18"/>
                <w:szCs w:val="18"/>
                <w:color w:val="auto"/>
              </w:rPr>
            </w:pPr>
          </w:p>
        </w:tc>
      </w:tr>
      <w:tr>
        <w:trPr>
          <w:trHeight w:val="213"/>
        </w:trPr>
        <w:tc>
          <w:tcPr>
            <w:tcW w:w="4440" w:type="dxa"/>
            <w:vAlign w:val="bottom"/>
          </w:tcPr>
          <w:p>
            <w:pPr>
              <w:spacing w:after="0"/>
              <w:rPr>
                <w:sz w:val="20"/>
                <w:szCs w:val="20"/>
                <w:color w:val="auto"/>
              </w:rPr>
            </w:pPr>
            <w:r>
              <w:rPr>
                <w:rFonts w:ascii="Arial" w:cs="Arial" w:eastAsia="Arial" w:hAnsi="Arial"/>
                <w:sz w:val="16"/>
                <w:szCs w:val="16"/>
                <w:color w:val="auto"/>
              </w:rPr>
              <w:t>American Achievement, Corp. - Revolver</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219"/>
        </w:trPr>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AvidXchange, Inc. - Delayed Draw</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w:t>
            </w:r>
          </w:p>
        </w:tc>
        <w:tc>
          <w:tcPr>
            <w:tcW w:w="80" w:type="dxa"/>
            <w:vAlign w:val="bottom"/>
            <w:shd w:val="clear" w:color="auto" w:fill="CFF0FC"/>
          </w:tcPr>
          <w:p>
            <w:pPr>
              <w:spacing w:after="0"/>
              <w:rPr>
                <w:sz w:val="19"/>
                <w:szCs w:val="19"/>
                <w:color w:val="auto"/>
              </w:rPr>
            </w:pPr>
          </w:p>
        </w:tc>
      </w:tr>
      <w:tr>
        <w:trPr>
          <w:trHeight w:val="213"/>
        </w:trPr>
        <w:tc>
          <w:tcPr>
            <w:tcW w:w="4440" w:type="dxa"/>
            <w:vAlign w:val="bottom"/>
          </w:tcPr>
          <w:p>
            <w:pPr>
              <w:spacing w:after="0"/>
              <w:rPr>
                <w:sz w:val="20"/>
                <w:szCs w:val="20"/>
                <w:color w:val="auto"/>
              </w:rPr>
            </w:pPr>
            <w:r>
              <w:rPr>
                <w:rFonts w:ascii="Arial" w:cs="Arial" w:eastAsia="Arial" w:hAnsi="Arial"/>
                <w:sz w:val="16"/>
                <w:szCs w:val="16"/>
                <w:color w:val="auto"/>
              </w:rPr>
              <w:t>Axonify, Inc. - Delayed Draw</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219"/>
        </w:trPr>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Biohaven Pharmaceuticals, Inc. - Delayed Draw</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22.5</w:t>
            </w:r>
          </w:p>
        </w:tc>
        <w:tc>
          <w:tcPr>
            <w:tcW w:w="80" w:type="dxa"/>
            <w:vAlign w:val="bottom"/>
            <w:shd w:val="clear" w:color="auto" w:fill="CFF0FC"/>
          </w:tcPr>
          <w:p>
            <w:pPr>
              <w:spacing w:after="0"/>
              <w:rPr>
                <w:sz w:val="19"/>
                <w:szCs w:val="19"/>
                <w:color w:val="auto"/>
              </w:rPr>
            </w:pPr>
          </w:p>
        </w:tc>
      </w:tr>
      <w:tr>
        <w:trPr>
          <w:trHeight w:val="213"/>
        </w:trPr>
        <w:tc>
          <w:tcPr>
            <w:tcW w:w="4440" w:type="dxa"/>
            <w:vAlign w:val="bottom"/>
          </w:tcPr>
          <w:p>
            <w:pPr>
              <w:spacing w:after="0"/>
              <w:rPr>
                <w:sz w:val="20"/>
                <w:szCs w:val="20"/>
                <w:color w:val="auto"/>
              </w:rPr>
            </w:pPr>
            <w:r>
              <w:rPr>
                <w:rFonts w:ascii="Arial" w:cs="Arial" w:eastAsia="Arial" w:hAnsi="Arial"/>
                <w:sz w:val="16"/>
                <w:szCs w:val="16"/>
                <w:color w:val="auto"/>
              </w:rPr>
              <w:t>Clinicient, Inc. - Revolver</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w:t>
            </w:r>
          </w:p>
        </w:tc>
        <w:tc>
          <w:tcPr>
            <w:tcW w:w="80" w:type="dxa"/>
            <w:vAlign w:val="bottom"/>
          </w:tcPr>
          <w:p>
            <w:pPr>
              <w:spacing w:after="0"/>
              <w:rPr>
                <w:sz w:val="18"/>
                <w:szCs w:val="18"/>
                <w:color w:val="auto"/>
              </w:rPr>
            </w:pPr>
          </w:p>
        </w:tc>
      </w:tr>
      <w:tr>
        <w:trPr>
          <w:trHeight w:val="219"/>
        </w:trPr>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DaySmart Holdings, LLC - Delayed Draw</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w:t>
            </w:r>
          </w:p>
        </w:tc>
        <w:tc>
          <w:tcPr>
            <w:tcW w:w="80" w:type="dxa"/>
            <w:vAlign w:val="bottom"/>
            <w:shd w:val="clear" w:color="auto" w:fill="CFF0FC"/>
          </w:tcPr>
          <w:p>
            <w:pPr>
              <w:spacing w:after="0"/>
              <w:rPr>
                <w:sz w:val="19"/>
                <w:szCs w:val="19"/>
                <w:color w:val="auto"/>
              </w:rPr>
            </w:pPr>
          </w:p>
        </w:tc>
      </w:tr>
      <w:tr>
        <w:trPr>
          <w:trHeight w:val="213"/>
        </w:trPr>
        <w:tc>
          <w:tcPr>
            <w:tcW w:w="4440" w:type="dxa"/>
            <w:vAlign w:val="bottom"/>
          </w:tcPr>
          <w:p>
            <w:pPr>
              <w:spacing w:after="0"/>
              <w:rPr>
                <w:sz w:val="20"/>
                <w:szCs w:val="20"/>
                <w:color w:val="auto"/>
              </w:rPr>
            </w:pPr>
            <w:r>
              <w:rPr>
                <w:rFonts w:ascii="Arial" w:cs="Arial" w:eastAsia="Arial" w:hAnsi="Arial"/>
                <w:sz w:val="16"/>
                <w:szCs w:val="16"/>
                <w:color w:val="auto"/>
              </w:rPr>
              <w:t>Destiny Solutions Parent Holding Company - Delayed Draw</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219"/>
        </w:trPr>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Factor Systems, Inc. - Delayed Draw</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w:t>
            </w:r>
          </w:p>
        </w:tc>
        <w:tc>
          <w:tcPr>
            <w:tcW w:w="80" w:type="dxa"/>
            <w:vAlign w:val="bottom"/>
            <w:shd w:val="clear" w:color="auto" w:fill="CFF0FC"/>
          </w:tcPr>
          <w:p>
            <w:pPr>
              <w:spacing w:after="0"/>
              <w:rPr>
                <w:sz w:val="19"/>
                <w:szCs w:val="19"/>
                <w:color w:val="auto"/>
              </w:rPr>
            </w:pPr>
          </w:p>
        </w:tc>
      </w:tr>
      <w:tr>
        <w:trPr>
          <w:trHeight w:val="213"/>
        </w:trPr>
        <w:tc>
          <w:tcPr>
            <w:tcW w:w="4440" w:type="dxa"/>
            <w:vAlign w:val="bottom"/>
          </w:tcPr>
          <w:p>
            <w:pPr>
              <w:spacing w:after="0"/>
              <w:rPr>
                <w:sz w:val="20"/>
                <w:szCs w:val="20"/>
                <w:color w:val="auto"/>
              </w:rPr>
            </w:pPr>
            <w:r>
              <w:rPr>
                <w:rFonts w:ascii="Arial" w:cs="Arial" w:eastAsia="Arial" w:hAnsi="Arial"/>
                <w:sz w:val="16"/>
                <w:szCs w:val="16"/>
                <w:color w:val="auto"/>
              </w:rPr>
              <w:t>ForeScout Technologies, Inc. - Revolver</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0.5</w:t>
            </w:r>
          </w:p>
        </w:tc>
        <w:tc>
          <w:tcPr>
            <w:tcW w:w="80" w:type="dxa"/>
            <w:vAlign w:val="bottom"/>
          </w:tcPr>
          <w:p>
            <w:pPr>
              <w:spacing w:after="0"/>
              <w:rPr>
                <w:sz w:val="18"/>
                <w:szCs w:val="18"/>
                <w:color w:val="auto"/>
              </w:rPr>
            </w:pPr>
          </w:p>
        </w:tc>
      </w:tr>
      <w:tr>
        <w:trPr>
          <w:trHeight w:val="219"/>
        </w:trPr>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G Treasury SS, LLC - Delayed Draw</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w:t>
            </w:r>
          </w:p>
        </w:tc>
        <w:tc>
          <w:tcPr>
            <w:tcW w:w="80" w:type="dxa"/>
            <w:vAlign w:val="bottom"/>
            <w:shd w:val="clear" w:color="auto" w:fill="CFF0FC"/>
          </w:tcPr>
          <w:p>
            <w:pPr>
              <w:spacing w:after="0"/>
              <w:rPr>
                <w:sz w:val="19"/>
                <w:szCs w:val="19"/>
                <w:color w:val="auto"/>
              </w:rPr>
            </w:pPr>
          </w:p>
        </w:tc>
      </w:tr>
      <w:tr>
        <w:trPr>
          <w:trHeight w:val="213"/>
        </w:trPr>
        <w:tc>
          <w:tcPr>
            <w:tcW w:w="4440" w:type="dxa"/>
            <w:vAlign w:val="bottom"/>
          </w:tcPr>
          <w:p>
            <w:pPr>
              <w:spacing w:after="0"/>
              <w:rPr>
                <w:sz w:val="20"/>
                <w:szCs w:val="20"/>
                <w:color w:val="auto"/>
              </w:rPr>
            </w:pPr>
            <w:r>
              <w:rPr>
                <w:rFonts w:ascii="Arial" w:cs="Arial" w:eastAsia="Arial" w:hAnsi="Arial"/>
                <w:sz w:val="16"/>
                <w:szCs w:val="16"/>
                <w:color w:val="auto"/>
              </w:rPr>
              <w:t>Ibis Intermediate Co. - Delayed Draw</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219"/>
        </w:trPr>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Integration Appliance, Inc. - Revolver</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80" w:type="dxa"/>
            <w:vAlign w:val="bottom"/>
            <w:shd w:val="clear" w:color="auto" w:fill="CFF0FC"/>
          </w:tcPr>
          <w:p>
            <w:pPr>
              <w:spacing w:after="0"/>
              <w:rPr>
                <w:sz w:val="19"/>
                <w:szCs w:val="19"/>
                <w:color w:val="auto"/>
              </w:rPr>
            </w:pPr>
          </w:p>
        </w:tc>
      </w:tr>
      <w:tr>
        <w:trPr>
          <w:trHeight w:val="213"/>
        </w:trPr>
        <w:tc>
          <w:tcPr>
            <w:tcW w:w="4440" w:type="dxa"/>
            <w:vAlign w:val="bottom"/>
          </w:tcPr>
          <w:p>
            <w:pPr>
              <w:spacing w:after="0"/>
              <w:rPr>
                <w:sz w:val="20"/>
                <w:szCs w:val="20"/>
                <w:color w:val="auto"/>
              </w:rPr>
            </w:pPr>
            <w:r>
              <w:rPr>
                <w:rFonts w:ascii="Arial" w:cs="Arial" w:eastAsia="Arial" w:hAnsi="Arial"/>
                <w:sz w:val="16"/>
                <w:szCs w:val="16"/>
                <w:color w:val="auto"/>
              </w:rPr>
              <w:t>IntelePeer Holdings, Inc. - Delayed Draw</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2.9</w:t>
            </w:r>
          </w:p>
        </w:tc>
        <w:tc>
          <w:tcPr>
            <w:tcW w:w="80" w:type="dxa"/>
            <w:vAlign w:val="bottom"/>
          </w:tcPr>
          <w:p>
            <w:pPr>
              <w:spacing w:after="0"/>
              <w:rPr>
                <w:sz w:val="18"/>
                <w:szCs w:val="18"/>
                <w:color w:val="auto"/>
              </w:rPr>
            </w:pPr>
          </w:p>
        </w:tc>
      </w:tr>
      <w:tr>
        <w:trPr>
          <w:trHeight w:val="219"/>
        </w:trPr>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InvMetrics Holdings, Inc. - Revolver</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w:t>
            </w:r>
          </w:p>
        </w:tc>
        <w:tc>
          <w:tcPr>
            <w:tcW w:w="80" w:type="dxa"/>
            <w:vAlign w:val="bottom"/>
            <w:shd w:val="clear" w:color="auto" w:fill="CFF0FC"/>
          </w:tcPr>
          <w:p>
            <w:pPr>
              <w:spacing w:after="0"/>
              <w:rPr>
                <w:sz w:val="19"/>
                <w:szCs w:val="19"/>
                <w:color w:val="auto"/>
              </w:rPr>
            </w:pPr>
          </w:p>
        </w:tc>
      </w:tr>
      <w:tr>
        <w:trPr>
          <w:trHeight w:val="213"/>
        </w:trPr>
        <w:tc>
          <w:tcPr>
            <w:tcW w:w="4440" w:type="dxa"/>
            <w:vAlign w:val="bottom"/>
          </w:tcPr>
          <w:p>
            <w:pPr>
              <w:spacing w:after="0"/>
              <w:rPr>
                <w:sz w:val="20"/>
                <w:szCs w:val="20"/>
                <w:color w:val="auto"/>
              </w:rPr>
            </w:pPr>
            <w:r>
              <w:rPr>
                <w:rFonts w:ascii="Arial" w:cs="Arial" w:eastAsia="Arial" w:hAnsi="Arial"/>
                <w:sz w:val="16"/>
                <w:szCs w:val="16"/>
                <w:color w:val="auto"/>
              </w:rPr>
              <w:t>IRGSE Holding Corp. - Revolver</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0.1</w:t>
            </w:r>
          </w:p>
        </w:tc>
        <w:tc>
          <w:tcPr>
            <w:tcW w:w="80" w:type="dxa"/>
            <w:vAlign w:val="bottom"/>
          </w:tcPr>
          <w:p>
            <w:pPr>
              <w:spacing w:after="0"/>
              <w:rPr>
                <w:sz w:val="18"/>
                <w:szCs w:val="18"/>
                <w:color w:val="auto"/>
              </w:rPr>
            </w:pPr>
          </w:p>
        </w:tc>
      </w:tr>
      <w:tr>
        <w:trPr>
          <w:trHeight w:val="219"/>
        </w:trPr>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Kyriba Corp. - Delayed Draw</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w:t>
            </w:r>
          </w:p>
        </w:tc>
        <w:tc>
          <w:tcPr>
            <w:tcW w:w="80" w:type="dxa"/>
            <w:vAlign w:val="bottom"/>
            <w:shd w:val="clear" w:color="auto" w:fill="CFF0FC"/>
          </w:tcPr>
          <w:p>
            <w:pPr>
              <w:spacing w:after="0"/>
              <w:rPr>
                <w:sz w:val="19"/>
                <w:szCs w:val="19"/>
                <w:color w:val="auto"/>
              </w:rPr>
            </w:pPr>
          </w:p>
        </w:tc>
      </w:tr>
      <w:tr>
        <w:trPr>
          <w:trHeight w:val="213"/>
        </w:trPr>
        <w:tc>
          <w:tcPr>
            <w:tcW w:w="4440" w:type="dxa"/>
            <w:vAlign w:val="bottom"/>
          </w:tcPr>
          <w:p>
            <w:pPr>
              <w:spacing w:after="0"/>
              <w:rPr>
                <w:sz w:val="20"/>
                <w:szCs w:val="20"/>
                <w:color w:val="auto"/>
              </w:rPr>
            </w:pPr>
            <w:r>
              <w:rPr>
                <w:rFonts w:ascii="Arial" w:cs="Arial" w:eastAsia="Arial" w:hAnsi="Arial"/>
                <w:sz w:val="16"/>
                <w:szCs w:val="16"/>
                <w:color w:val="auto"/>
              </w:rPr>
              <w:t>Kyriba Corp. - Revolver</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0.0</w:t>
            </w:r>
          </w:p>
        </w:tc>
        <w:tc>
          <w:tcPr>
            <w:tcW w:w="80" w:type="dxa"/>
            <w:vAlign w:val="bottom"/>
          </w:tcPr>
          <w:p>
            <w:pPr>
              <w:spacing w:after="0"/>
              <w:rPr>
                <w:sz w:val="18"/>
                <w:szCs w:val="18"/>
                <w:color w:val="auto"/>
              </w:rPr>
            </w:pPr>
          </w:p>
        </w:tc>
      </w:tr>
      <w:tr>
        <w:trPr>
          <w:trHeight w:val="219"/>
        </w:trPr>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Lexipol, LLC - Delayed Draw</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0.2</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0.2</w:t>
            </w:r>
          </w:p>
        </w:tc>
        <w:tc>
          <w:tcPr>
            <w:tcW w:w="80" w:type="dxa"/>
            <w:vAlign w:val="bottom"/>
            <w:shd w:val="clear" w:color="auto" w:fill="CFF0FC"/>
          </w:tcPr>
          <w:p>
            <w:pPr>
              <w:spacing w:after="0"/>
              <w:rPr>
                <w:sz w:val="19"/>
                <w:szCs w:val="19"/>
                <w:color w:val="auto"/>
              </w:rPr>
            </w:pPr>
          </w:p>
        </w:tc>
      </w:tr>
      <w:tr>
        <w:trPr>
          <w:trHeight w:val="213"/>
        </w:trPr>
        <w:tc>
          <w:tcPr>
            <w:tcW w:w="4440" w:type="dxa"/>
            <w:vAlign w:val="bottom"/>
          </w:tcPr>
          <w:p>
            <w:pPr>
              <w:spacing w:after="0"/>
              <w:rPr>
                <w:sz w:val="20"/>
                <w:szCs w:val="20"/>
                <w:color w:val="auto"/>
              </w:rPr>
            </w:pPr>
            <w:r>
              <w:rPr>
                <w:rFonts w:ascii="Arial" w:cs="Arial" w:eastAsia="Arial" w:hAnsi="Arial"/>
                <w:sz w:val="16"/>
                <w:szCs w:val="16"/>
                <w:color w:val="auto"/>
              </w:rPr>
              <w:t>Lithium Technologies, LLC - Revolver</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w:t>
            </w:r>
          </w:p>
        </w:tc>
        <w:tc>
          <w:tcPr>
            <w:tcW w:w="80" w:type="dxa"/>
            <w:vAlign w:val="bottom"/>
          </w:tcPr>
          <w:p>
            <w:pPr>
              <w:spacing w:after="0"/>
              <w:rPr>
                <w:sz w:val="18"/>
                <w:szCs w:val="18"/>
                <w:color w:val="auto"/>
              </w:rPr>
            </w:pPr>
          </w:p>
        </w:tc>
      </w:tr>
      <w:tr>
        <w:trPr>
          <w:trHeight w:val="219"/>
        </w:trPr>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Lucidworks, Inc. - Revolver</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w:t>
            </w:r>
          </w:p>
        </w:tc>
        <w:tc>
          <w:tcPr>
            <w:tcW w:w="80" w:type="dxa"/>
            <w:vAlign w:val="bottom"/>
            <w:shd w:val="clear" w:color="auto" w:fill="CFF0FC"/>
          </w:tcPr>
          <w:p>
            <w:pPr>
              <w:spacing w:after="0"/>
              <w:rPr>
                <w:sz w:val="19"/>
                <w:szCs w:val="19"/>
                <w:color w:val="auto"/>
              </w:rPr>
            </w:pPr>
          </w:p>
        </w:tc>
      </w:tr>
      <w:tr>
        <w:trPr>
          <w:trHeight w:val="213"/>
        </w:trPr>
        <w:tc>
          <w:tcPr>
            <w:tcW w:w="4440" w:type="dxa"/>
            <w:vAlign w:val="bottom"/>
          </w:tcPr>
          <w:p>
            <w:pPr>
              <w:spacing w:after="0"/>
              <w:rPr>
                <w:sz w:val="20"/>
                <w:szCs w:val="20"/>
                <w:color w:val="auto"/>
              </w:rPr>
            </w:pPr>
            <w:r>
              <w:rPr>
                <w:rFonts w:ascii="Arial" w:cs="Arial" w:eastAsia="Arial" w:hAnsi="Arial"/>
                <w:sz w:val="16"/>
                <w:szCs w:val="16"/>
                <w:color w:val="auto"/>
              </w:rPr>
              <w:t>Netwrix Corp. - Delayed Draw</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16.5</w:t>
            </w:r>
          </w:p>
        </w:tc>
        <w:tc>
          <w:tcPr>
            <w:tcW w:w="80" w:type="dxa"/>
            <w:vAlign w:val="bottom"/>
          </w:tcPr>
          <w:p>
            <w:pPr>
              <w:spacing w:after="0"/>
              <w:rPr>
                <w:sz w:val="18"/>
                <w:szCs w:val="18"/>
                <w:color w:val="auto"/>
              </w:rPr>
            </w:pPr>
          </w:p>
        </w:tc>
      </w:tr>
      <w:tr>
        <w:trPr>
          <w:trHeight w:val="219"/>
        </w:trPr>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Netwrix Corp. - Revolver</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w:t>
            </w:r>
          </w:p>
        </w:tc>
        <w:tc>
          <w:tcPr>
            <w:tcW w:w="80" w:type="dxa"/>
            <w:vAlign w:val="bottom"/>
            <w:shd w:val="clear" w:color="auto" w:fill="CFF0FC"/>
          </w:tcPr>
          <w:p>
            <w:pPr>
              <w:spacing w:after="0"/>
              <w:rPr>
                <w:sz w:val="19"/>
                <w:szCs w:val="19"/>
                <w:color w:val="auto"/>
              </w:rPr>
            </w:pPr>
          </w:p>
        </w:tc>
      </w:tr>
      <w:tr>
        <w:trPr>
          <w:trHeight w:val="213"/>
        </w:trPr>
        <w:tc>
          <w:tcPr>
            <w:tcW w:w="4440" w:type="dxa"/>
            <w:vAlign w:val="bottom"/>
          </w:tcPr>
          <w:p>
            <w:pPr>
              <w:spacing w:after="0"/>
              <w:rPr>
                <w:sz w:val="20"/>
                <w:szCs w:val="20"/>
                <w:color w:val="auto"/>
              </w:rPr>
            </w:pPr>
            <w:r>
              <w:rPr>
                <w:rFonts w:ascii="Arial" w:cs="Arial" w:eastAsia="Arial" w:hAnsi="Arial"/>
                <w:sz w:val="16"/>
                <w:szCs w:val="16"/>
                <w:color w:val="auto"/>
              </w:rPr>
              <w:t>Nintex Global, Ltd. - Revolver</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0.9</w:t>
            </w:r>
          </w:p>
        </w:tc>
        <w:tc>
          <w:tcPr>
            <w:tcW w:w="80" w:type="dxa"/>
            <w:vAlign w:val="bottom"/>
          </w:tcPr>
          <w:p>
            <w:pPr>
              <w:spacing w:after="0"/>
              <w:rPr>
                <w:sz w:val="18"/>
                <w:szCs w:val="18"/>
                <w:color w:val="auto"/>
              </w:rPr>
            </w:pPr>
          </w:p>
        </w:tc>
      </w:tr>
      <w:tr>
        <w:trPr>
          <w:trHeight w:val="219"/>
        </w:trPr>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PageUp People, Ltd. - Revolver</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w:t>
            </w:r>
          </w:p>
        </w:tc>
        <w:tc>
          <w:tcPr>
            <w:tcW w:w="80" w:type="dxa"/>
            <w:vAlign w:val="bottom"/>
            <w:shd w:val="clear" w:color="auto" w:fill="CFF0FC"/>
          </w:tcPr>
          <w:p>
            <w:pPr>
              <w:spacing w:after="0"/>
              <w:rPr>
                <w:sz w:val="19"/>
                <w:szCs w:val="19"/>
                <w:color w:val="auto"/>
              </w:rPr>
            </w:pPr>
          </w:p>
        </w:tc>
      </w:tr>
      <w:tr>
        <w:trPr>
          <w:trHeight w:val="213"/>
        </w:trPr>
        <w:tc>
          <w:tcPr>
            <w:tcW w:w="4440" w:type="dxa"/>
            <w:vAlign w:val="bottom"/>
          </w:tcPr>
          <w:p>
            <w:pPr>
              <w:spacing w:after="0"/>
              <w:rPr>
                <w:sz w:val="20"/>
                <w:szCs w:val="20"/>
                <w:color w:val="auto"/>
              </w:rPr>
            </w:pPr>
            <w:r>
              <w:rPr>
                <w:rFonts w:ascii="Arial" w:cs="Arial" w:eastAsia="Arial" w:hAnsi="Arial"/>
                <w:sz w:val="16"/>
                <w:szCs w:val="16"/>
                <w:color w:val="auto"/>
              </w:rPr>
              <w:t>Passport Labs, Inc. - Delayed Draw</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219"/>
        </w:trPr>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Passport Labs, Inc. - Revolver</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r>
      <w:tr>
        <w:trPr>
          <w:trHeight w:val="213"/>
        </w:trPr>
        <w:tc>
          <w:tcPr>
            <w:tcW w:w="4440" w:type="dxa"/>
            <w:vAlign w:val="bottom"/>
          </w:tcPr>
          <w:p>
            <w:pPr>
              <w:spacing w:after="0"/>
              <w:rPr>
                <w:sz w:val="20"/>
                <w:szCs w:val="20"/>
                <w:color w:val="auto"/>
              </w:rPr>
            </w:pPr>
            <w:r>
              <w:rPr>
                <w:rFonts w:ascii="Arial" w:cs="Arial" w:eastAsia="Arial" w:hAnsi="Arial"/>
                <w:sz w:val="16"/>
                <w:szCs w:val="16"/>
                <w:color w:val="auto"/>
              </w:rPr>
              <w:t>PayScale Holdings, Inc. - Delayed Draw</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7.7</w:t>
            </w:r>
          </w:p>
        </w:tc>
        <w:tc>
          <w:tcPr>
            <w:tcW w:w="80" w:type="dxa"/>
            <w:vAlign w:val="bottom"/>
          </w:tcPr>
          <w:p>
            <w:pPr>
              <w:spacing w:after="0"/>
              <w:rPr>
                <w:sz w:val="18"/>
                <w:szCs w:val="18"/>
                <w:color w:val="auto"/>
              </w:rPr>
            </w:pPr>
          </w:p>
        </w:tc>
      </w:tr>
      <w:tr>
        <w:trPr>
          <w:trHeight w:val="219"/>
        </w:trPr>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PrimeRevenue, Inc. - Delayed Draw</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0.2</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0.6</w:t>
            </w:r>
          </w:p>
        </w:tc>
        <w:tc>
          <w:tcPr>
            <w:tcW w:w="80" w:type="dxa"/>
            <w:vAlign w:val="bottom"/>
            <w:shd w:val="clear" w:color="auto" w:fill="CFF0FC"/>
          </w:tcPr>
          <w:p>
            <w:pPr>
              <w:spacing w:after="0"/>
              <w:rPr>
                <w:sz w:val="19"/>
                <w:szCs w:val="19"/>
                <w:color w:val="auto"/>
              </w:rPr>
            </w:pPr>
          </w:p>
        </w:tc>
      </w:tr>
      <w:tr>
        <w:trPr>
          <w:trHeight w:val="213"/>
        </w:trPr>
        <w:tc>
          <w:tcPr>
            <w:tcW w:w="4440" w:type="dxa"/>
            <w:vAlign w:val="bottom"/>
          </w:tcPr>
          <w:p>
            <w:pPr>
              <w:spacing w:after="0"/>
              <w:rPr>
                <w:sz w:val="20"/>
                <w:szCs w:val="20"/>
                <w:color w:val="auto"/>
              </w:rPr>
            </w:pPr>
            <w:r>
              <w:rPr>
                <w:rFonts w:ascii="Arial" w:cs="Arial" w:eastAsia="Arial" w:hAnsi="Arial"/>
                <w:sz w:val="16"/>
                <w:szCs w:val="16"/>
                <w:color w:val="auto"/>
              </w:rPr>
              <w:t>PrimeRevenue, Inc. - Revolver</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6.3</w:t>
            </w:r>
          </w:p>
        </w:tc>
        <w:tc>
          <w:tcPr>
            <w:tcW w:w="80" w:type="dxa"/>
            <w:vAlign w:val="bottom"/>
          </w:tcPr>
          <w:p>
            <w:pPr>
              <w:spacing w:after="0"/>
              <w:rPr>
                <w:sz w:val="18"/>
                <w:szCs w:val="18"/>
                <w:color w:val="auto"/>
              </w:rPr>
            </w:pPr>
          </w:p>
        </w:tc>
      </w:tr>
      <w:tr>
        <w:trPr>
          <w:trHeight w:val="219"/>
        </w:trPr>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ReliaQuest Holdings, LLC - Delayed Draw</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25.9</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29.3</w:t>
            </w:r>
          </w:p>
        </w:tc>
        <w:tc>
          <w:tcPr>
            <w:tcW w:w="80" w:type="dxa"/>
            <w:vAlign w:val="bottom"/>
            <w:shd w:val="clear" w:color="auto" w:fill="CFF0FC"/>
          </w:tcPr>
          <w:p>
            <w:pPr>
              <w:spacing w:after="0"/>
              <w:rPr>
                <w:sz w:val="19"/>
                <w:szCs w:val="19"/>
                <w:color w:val="auto"/>
              </w:rPr>
            </w:pPr>
          </w:p>
        </w:tc>
      </w:tr>
      <w:tr>
        <w:trPr>
          <w:trHeight w:val="213"/>
        </w:trPr>
        <w:tc>
          <w:tcPr>
            <w:tcW w:w="4440" w:type="dxa"/>
            <w:vAlign w:val="bottom"/>
          </w:tcPr>
          <w:p>
            <w:pPr>
              <w:spacing w:after="0"/>
              <w:rPr>
                <w:sz w:val="20"/>
                <w:szCs w:val="20"/>
                <w:color w:val="auto"/>
              </w:rPr>
            </w:pPr>
            <w:r>
              <w:rPr>
                <w:rFonts w:ascii="Arial" w:cs="Arial" w:eastAsia="Arial" w:hAnsi="Arial"/>
                <w:sz w:val="16"/>
                <w:szCs w:val="16"/>
                <w:color w:val="auto"/>
              </w:rPr>
              <w:t>ReliaQuest Holdings, LLC - Revolver</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2.8</w:t>
            </w:r>
          </w:p>
        </w:tc>
        <w:tc>
          <w:tcPr>
            <w:tcW w:w="80" w:type="dxa"/>
            <w:vAlign w:val="bottom"/>
          </w:tcPr>
          <w:p>
            <w:pPr>
              <w:spacing w:after="0"/>
              <w:rPr>
                <w:sz w:val="18"/>
                <w:szCs w:val="18"/>
                <w:color w:val="auto"/>
              </w:rPr>
            </w:pPr>
          </w:p>
        </w:tc>
      </w:tr>
      <w:tr>
        <w:trPr>
          <w:trHeight w:val="219"/>
        </w:trPr>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ResMan, LLC - Delayed Draw</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w:t>
            </w:r>
          </w:p>
        </w:tc>
        <w:tc>
          <w:tcPr>
            <w:tcW w:w="80" w:type="dxa"/>
            <w:vAlign w:val="bottom"/>
            <w:shd w:val="clear" w:color="auto" w:fill="CFF0FC"/>
          </w:tcPr>
          <w:p>
            <w:pPr>
              <w:spacing w:after="0"/>
              <w:rPr>
                <w:sz w:val="19"/>
                <w:szCs w:val="19"/>
                <w:color w:val="auto"/>
              </w:rPr>
            </w:pPr>
          </w:p>
        </w:tc>
      </w:tr>
      <w:tr>
        <w:trPr>
          <w:trHeight w:val="213"/>
        </w:trPr>
        <w:tc>
          <w:tcPr>
            <w:tcW w:w="4440" w:type="dxa"/>
            <w:vAlign w:val="bottom"/>
          </w:tcPr>
          <w:p>
            <w:pPr>
              <w:spacing w:after="0"/>
              <w:rPr>
                <w:sz w:val="20"/>
                <w:szCs w:val="20"/>
                <w:color w:val="auto"/>
              </w:rPr>
            </w:pPr>
            <w:r>
              <w:rPr>
                <w:rFonts w:ascii="Arial" w:cs="Arial" w:eastAsia="Arial" w:hAnsi="Arial"/>
                <w:sz w:val="16"/>
                <w:szCs w:val="16"/>
                <w:color w:val="auto"/>
              </w:rPr>
              <w:t>ResMan, LLC - Revolver</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w:t>
            </w:r>
          </w:p>
        </w:tc>
        <w:tc>
          <w:tcPr>
            <w:tcW w:w="80" w:type="dxa"/>
            <w:vAlign w:val="bottom"/>
          </w:tcPr>
          <w:p>
            <w:pPr>
              <w:spacing w:after="0"/>
              <w:rPr>
                <w:sz w:val="18"/>
                <w:szCs w:val="18"/>
                <w:color w:val="auto"/>
              </w:rPr>
            </w:pPr>
          </w:p>
        </w:tc>
      </w:tr>
      <w:tr>
        <w:trPr>
          <w:trHeight w:val="219"/>
        </w:trPr>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Sprinklr - Delayed Draw Convertible Note</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w:t>
            </w:r>
          </w:p>
        </w:tc>
        <w:tc>
          <w:tcPr>
            <w:tcW w:w="80" w:type="dxa"/>
            <w:vAlign w:val="bottom"/>
            <w:shd w:val="clear" w:color="auto" w:fill="CFF0FC"/>
          </w:tcPr>
          <w:p>
            <w:pPr>
              <w:spacing w:after="0"/>
              <w:rPr>
                <w:sz w:val="19"/>
                <w:szCs w:val="19"/>
                <w:color w:val="auto"/>
              </w:rPr>
            </w:pPr>
          </w:p>
        </w:tc>
      </w:tr>
      <w:tr>
        <w:trPr>
          <w:trHeight w:val="213"/>
        </w:trPr>
        <w:tc>
          <w:tcPr>
            <w:tcW w:w="4440" w:type="dxa"/>
            <w:vAlign w:val="bottom"/>
          </w:tcPr>
          <w:p>
            <w:pPr>
              <w:spacing w:after="0"/>
              <w:rPr>
                <w:sz w:val="20"/>
                <w:szCs w:val="20"/>
                <w:color w:val="auto"/>
              </w:rPr>
            </w:pPr>
            <w:r>
              <w:rPr>
                <w:rFonts w:ascii="Arial" w:cs="Arial" w:eastAsia="Arial" w:hAnsi="Arial"/>
                <w:sz w:val="16"/>
                <w:szCs w:val="16"/>
                <w:color w:val="auto"/>
              </w:rPr>
              <w:t>Valant Medical Solutions, Inc. - Delayed Draw</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w:t>
            </w:r>
          </w:p>
        </w:tc>
        <w:tc>
          <w:tcPr>
            <w:tcW w:w="80" w:type="dxa"/>
            <w:vAlign w:val="bottom"/>
          </w:tcPr>
          <w:p>
            <w:pPr>
              <w:spacing w:after="0"/>
              <w:rPr>
                <w:sz w:val="18"/>
                <w:szCs w:val="18"/>
                <w:color w:val="auto"/>
              </w:rPr>
            </w:pPr>
          </w:p>
        </w:tc>
      </w:tr>
      <w:tr>
        <w:trPr>
          <w:trHeight w:val="219"/>
        </w:trPr>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Valant Medical Solutions, Inc. - Revolver</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0.5</w:t>
            </w:r>
          </w:p>
        </w:tc>
        <w:tc>
          <w:tcPr>
            <w:tcW w:w="80" w:type="dxa"/>
            <w:vAlign w:val="bottom"/>
            <w:shd w:val="clear" w:color="auto" w:fill="CFF0FC"/>
          </w:tcPr>
          <w:p>
            <w:pPr>
              <w:spacing w:after="0"/>
              <w:rPr>
                <w:sz w:val="19"/>
                <w:szCs w:val="19"/>
                <w:color w:val="auto"/>
              </w:rPr>
            </w:pPr>
          </w:p>
        </w:tc>
      </w:tr>
      <w:tr>
        <w:trPr>
          <w:trHeight w:val="213"/>
        </w:trPr>
        <w:tc>
          <w:tcPr>
            <w:tcW w:w="4440" w:type="dxa"/>
            <w:vAlign w:val="bottom"/>
          </w:tcPr>
          <w:p>
            <w:pPr>
              <w:spacing w:after="0"/>
              <w:rPr>
                <w:sz w:val="20"/>
                <w:szCs w:val="20"/>
                <w:color w:val="auto"/>
              </w:rPr>
            </w:pPr>
            <w:r>
              <w:rPr>
                <w:rFonts w:ascii="Arial" w:cs="Arial" w:eastAsia="Arial" w:hAnsi="Arial"/>
                <w:sz w:val="16"/>
                <w:szCs w:val="16"/>
                <w:color w:val="auto"/>
                <w:w w:val="99"/>
              </w:rPr>
              <w:t>Verdad Resources Intermediate Holdings, LLC - Delayed Draw</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15.6</w:t>
            </w:r>
          </w:p>
        </w:tc>
        <w:tc>
          <w:tcPr>
            <w:tcW w:w="80" w:type="dxa"/>
            <w:vAlign w:val="bottom"/>
          </w:tcPr>
          <w:p>
            <w:pPr>
              <w:spacing w:after="0"/>
              <w:rPr>
                <w:sz w:val="18"/>
                <w:szCs w:val="18"/>
                <w:color w:val="auto"/>
              </w:rPr>
            </w:pPr>
          </w:p>
        </w:tc>
      </w:tr>
      <w:tr>
        <w:trPr>
          <w:trHeight w:val="219"/>
        </w:trPr>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WideOrbit, Inc. - Revolver</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w:t>
            </w:r>
          </w:p>
        </w:tc>
        <w:tc>
          <w:tcPr>
            <w:tcW w:w="80" w:type="dxa"/>
            <w:vAlign w:val="bottom"/>
            <w:shd w:val="clear" w:color="auto" w:fill="CFF0FC"/>
          </w:tcPr>
          <w:p>
            <w:pPr>
              <w:spacing w:after="0"/>
              <w:rPr>
                <w:sz w:val="19"/>
                <w:szCs w:val="19"/>
                <w:color w:val="auto"/>
              </w:rPr>
            </w:pPr>
          </w:p>
        </w:tc>
      </w:tr>
      <w:tr>
        <w:trPr>
          <w:trHeight w:val="213"/>
        </w:trPr>
        <w:tc>
          <w:tcPr>
            <w:tcW w:w="44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Workwell Acquisition Co. - Delayed Draw</w:t>
            </w:r>
          </w:p>
        </w:tc>
        <w:tc>
          <w:tcPr>
            <w:tcW w:w="3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80" w:type="dxa"/>
            <w:vAlign w:val="bottom"/>
            <w:tcBorders>
              <w:bottom w:val="single" w:sz="8" w:color="CFF0FC"/>
            </w:tcBorders>
          </w:tcPr>
          <w:p>
            <w:pPr>
              <w:spacing w:after="0"/>
              <w:rPr>
                <w:sz w:val="18"/>
                <w:szCs w:val="18"/>
                <w:color w:val="auto"/>
              </w:rPr>
            </w:pPr>
          </w:p>
        </w:tc>
      </w:tr>
      <w:tr>
        <w:trPr>
          <w:trHeight w:val="212"/>
        </w:trPr>
        <w:tc>
          <w:tcPr>
            <w:tcW w:w="4440" w:type="dxa"/>
            <w:vAlign w:val="bottom"/>
            <w:shd w:val="clear" w:color="auto" w:fill="CFF0FC"/>
          </w:tcPr>
          <w:p>
            <w:pPr>
              <w:ind w:left="240"/>
              <w:spacing w:after="0" w:line="212" w:lineRule="exact"/>
              <w:rPr>
                <w:sz w:val="20"/>
                <w:szCs w:val="20"/>
                <w:color w:val="auto"/>
              </w:rPr>
            </w:pPr>
            <w:r>
              <w:rPr>
                <w:rFonts w:ascii="Arial" w:cs="Arial" w:eastAsia="Arial" w:hAnsi="Arial"/>
                <w:sz w:val="15"/>
                <w:szCs w:val="15"/>
                <w:b w:val="1"/>
                <w:bCs w:val="1"/>
                <w:color w:val="auto"/>
              </w:rPr>
              <w:t xml:space="preserve">Total Portfolio Company Commitments </w:t>
            </w:r>
            <w:r>
              <w:rPr>
                <w:rFonts w:ascii="Arial" w:cs="Arial" w:eastAsia="Arial" w:hAnsi="Arial"/>
                <w:sz w:val="24"/>
                <w:szCs w:val="24"/>
                <w:b w:val="1"/>
                <w:bCs w:val="1"/>
                <w:color w:val="auto"/>
                <w:vertAlign w:val="superscript"/>
              </w:rPr>
              <w:t>(1)(2)</w:t>
            </w:r>
          </w:p>
        </w:tc>
        <w:tc>
          <w:tcPr>
            <w:tcW w:w="5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191.1</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192.8</w:t>
            </w:r>
          </w:p>
        </w:tc>
        <w:tc>
          <w:tcPr>
            <w:tcW w:w="80" w:type="dxa"/>
            <w:vAlign w:val="bottom"/>
            <w:shd w:val="clear" w:color="auto" w:fill="CFF0FC"/>
          </w:tcPr>
          <w:p>
            <w:pPr>
              <w:spacing w:after="0"/>
              <w:rPr>
                <w:sz w:val="18"/>
                <w:szCs w:val="18"/>
                <w:color w:val="auto"/>
              </w:rPr>
            </w:pPr>
          </w:p>
        </w:tc>
      </w:tr>
      <w:tr>
        <w:trPr>
          <w:trHeight w:val="20"/>
        </w:trPr>
        <w:tc>
          <w:tcPr>
            <w:tcW w:w="444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29" w:lineRule="exact"/>
        <w:rPr>
          <w:sz w:val="20"/>
          <w:szCs w:val="20"/>
          <w:color w:val="auto"/>
        </w:rPr>
      </w:pPr>
    </w:p>
    <w:p>
      <w:pPr>
        <w:jc w:val="both"/>
        <w:ind w:left="500" w:right="300" w:hanging="492"/>
        <w:spacing w:after="0" w:line="263" w:lineRule="auto"/>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Represents the full amount of our commitments to fund investments on such date. Commitments may be subject to limitations on borrowings set forth in the agreements between us and the applicable portfolio company. As a result, portfolio companies may not be eligible to borrow the full commitment amount on such date.</w:t>
      </w:r>
    </w:p>
    <w:p>
      <w:pPr>
        <w:spacing w:after="0" w:line="8" w:lineRule="exact"/>
        <w:rPr>
          <w:rFonts w:ascii="Arial" w:cs="Arial" w:eastAsia="Arial" w:hAnsi="Arial"/>
          <w:sz w:val="18"/>
          <w:szCs w:val="18"/>
          <w:color w:val="auto"/>
        </w:rPr>
      </w:pPr>
    </w:p>
    <w:p>
      <w:pPr>
        <w:ind w:left="500" w:right="700" w:hanging="492"/>
        <w:spacing w:after="0" w:line="277" w:lineRule="auto"/>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estimate of the fair value of the current investments in these portfolio companies includes an analysis of the fair value of any unfunded commitments.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i w:val="1"/>
          <w:iCs w:val="1"/>
          <w:color w:val="auto"/>
        </w:rPr>
        <w:t>Other Commitments and Contingencies</w:t>
      </w:r>
    </w:p>
    <w:p>
      <w:pPr>
        <w:spacing w:after="0" w:line="117" w:lineRule="exact"/>
        <w:rPr>
          <w:sz w:val="20"/>
          <w:szCs w:val="20"/>
          <w:color w:val="auto"/>
        </w:rPr>
      </w:pPr>
    </w:p>
    <w:p>
      <w:pPr>
        <w:ind w:right="380" w:firstLine="255"/>
        <w:spacing w:after="0" w:line="277" w:lineRule="auto"/>
        <w:rPr>
          <w:sz w:val="20"/>
          <w:szCs w:val="20"/>
          <w:color w:val="auto"/>
        </w:rPr>
      </w:pPr>
      <w:r>
        <w:rPr>
          <w:rFonts w:ascii="Arial" w:cs="Arial" w:eastAsia="Arial" w:hAnsi="Arial"/>
          <w:sz w:val="18"/>
          <w:szCs w:val="18"/>
          <w:color w:val="auto"/>
        </w:rPr>
        <w:t>As of June 30, 2021 and December 31, 2020, we did not have any unfunded commitments to fund new investments to new borrowers that were not current portfolio companies as of such date.</w:t>
      </w:r>
    </w:p>
    <w:p>
      <w:pPr>
        <w:spacing w:after="0" w:line="170" w:lineRule="exact"/>
        <w:rPr>
          <w:sz w:val="20"/>
          <w:szCs w:val="20"/>
          <w:color w:val="auto"/>
        </w:rPr>
      </w:pPr>
    </w:p>
    <w:p>
      <w:pPr>
        <w:ind w:right="20" w:firstLine="255"/>
        <w:spacing w:after="0" w:line="277" w:lineRule="auto"/>
        <w:rPr>
          <w:sz w:val="20"/>
          <w:szCs w:val="20"/>
          <w:color w:val="auto"/>
        </w:rPr>
      </w:pPr>
      <w:r>
        <w:rPr>
          <w:rFonts w:ascii="Arial" w:cs="Arial" w:eastAsia="Arial" w:hAnsi="Arial"/>
          <w:sz w:val="18"/>
          <w:szCs w:val="18"/>
          <w:color w:val="auto"/>
        </w:rPr>
        <w:t>We have certain contracts under which we have material future commitments. Under the Investment Advisory Agreement, our Adviser provides us with investment advisory and management services. For these services, we pay the Management Fee and the Incentive Fee.</w:t>
      </w:r>
    </w:p>
    <w:p>
      <w:pPr>
        <w:spacing w:after="0" w:line="170" w:lineRule="exact"/>
        <w:rPr>
          <w:sz w:val="20"/>
          <w:szCs w:val="20"/>
          <w:color w:val="auto"/>
        </w:rPr>
      </w:pPr>
    </w:p>
    <w:p>
      <w:pPr>
        <w:ind w:right="40" w:firstLine="255"/>
        <w:spacing w:after="0" w:line="269" w:lineRule="auto"/>
        <w:rPr>
          <w:sz w:val="20"/>
          <w:szCs w:val="20"/>
          <w:color w:val="auto"/>
        </w:rPr>
      </w:pPr>
      <w:r>
        <w:rPr>
          <w:rFonts w:ascii="Arial" w:cs="Arial" w:eastAsia="Arial" w:hAnsi="Arial"/>
          <w:sz w:val="17"/>
          <w:szCs w:val="17"/>
          <w:color w:val="auto"/>
        </w:rPr>
        <w:t>Under the Administration Agreement, our Adviser furnishes us with office facilities and equipment, provides us clerical, bookkeeping and record keeping services at such facilities and provides us with other administrative services necessary to conduct our day-to-day operations. We reimburse our Adviser or its affiliates for the allocable portion (subject to the review and approval of our Board) of expenses incurred by it in performing its obligations under the Administration Agreement, and the fees and expenses associated with performing compliance functions. Such reimbursable amounts include the allocable portion of the compensation of our Chief Compliance Officer, Chief Financial Officer and other professionals who provide operational and administrative services to us pursuant to the Administration Agreement. We reimburse the Adviser (or its affiliates) for the allocable portion of the compensation paid by the Adviser (or its affiliates) to such individuals based on a percentage of time those individuals devote, on an estimated basis, to our business and affairs. We may also reimburse the Adviser or its affiliates for the allocable portion of overhead expenses (including rent, office equipment and utilities) attributable thereto. Our Adviser also offers on our behalf significant managerial assistance to those portfolio companies to which we are required to offer to provide such assistance.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 summary of our contractual payment obligations as of June 30, 2021 is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5"/>
          </w:tcPr>
          <w:p>
            <w:pPr>
              <w:jc w:val="right"/>
              <w:ind w:right="67"/>
              <w:spacing w:after="0"/>
              <w:rPr>
                <w:sz w:val="20"/>
                <w:szCs w:val="20"/>
                <w:color w:val="auto"/>
              </w:rPr>
            </w:pPr>
            <w:r>
              <w:rPr>
                <w:rFonts w:ascii="Arial" w:cs="Arial" w:eastAsia="Arial" w:hAnsi="Arial"/>
                <w:sz w:val="14"/>
                <w:szCs w:val="14"/>
                <w:b w:val="1"/>
                <w:bCs w:val="1"/>
                <w:color w:val="auto"/>
                <w:w w:val="90"/>
              </w:rPr>
              <w:t>Payments Due by Period</w:t>
            </w:r>
          </w:p>
        </w:tc>
        <w:tc>
          <w:tcPr>
            <w:tcW w:w="8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5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ind w:left="40"/>
              <w:spacing w:after="0" w:line="147" w:lineRule="exact"/>
              <w:rPr>
                <w:sz w:val="20"/>
                <w:szCs w:val="20"/>
                <w:color w:val="auto"/>
              </w:rPr>
            </w:pPr>
            <w:r>
              <w:rPr>
                <w:rFonts w:ascii="Arial" w:cs="Arial" w:eastAsia="Arial" w:hAnsi="Arial"/>
                <w:sz w:val="14"/>
                <w:szCs w:val="14"/>
                <w:b w:val="1"/>
                <w:bCs w:val="1"/>
                <w:color w:val="auto"/>
              </w:rPr>
              <w:t>Less than</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1"/>
        </w:trPr>
        <w:tc>
          <w:tcPr>
            <w:tcW w:w="5180" w:type="dxa"/>
            <w:vAlign w:val="bottom"/>
          </w:tcPr>
          <w:p>
            <w:pPr>
              <w:spacing w:after="0"/>
              <w:rPr>
                <w:sz w:val="20"/>
                <w:szCs w:val="20"/>
                <w:color w:val="auto"/>
              </w:rPr>
            </w:pPr>
            <w:r>
              <w:rPr>
                <w:rFonts w:ascii="Arial" w:cs="Arial" w:eastAsia="Arial" w:hAnsi="Arial"/>
                <w:sz w:val="14"/>
                <w:szCs w:val="14"/>
                <w:color w:val="auto"/>
              </w:rPr>
              <w:t>($ in millions)</w:t>
            </w:r>
          </w:p>
        </w:tc>
        <w:tc>
          <w:tcPr>
            <w:tcW w:w="220" w:type="dxa"/>
            <w:vAlign w:val="bottom"/>
          </w:tcPr>
          <w:p>
            <w:pPr>
              <w:spacing w:after="0"/>
              <w:rPr>
                <w:sz w:val="14"/>
                <w:szCs w:val="14"/>
                <w:color w:val="auto"/>
              </w:rPr>
            </w:pPr>
          </w:p>
        </w:tc>
        <w:tc>
          <w:tcPr>
            <w:tcW w:w="100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840" w:type="dxa"/>
            <w:vAlign w:val="bottom"/>
          </w:tcPr>
          <w:p>
            <w:pPr>
              <w:ind w:left="160"/>
              <w:spacing w:after="0"/>
              <w:rPr>
                <w:sz w:val="20"/>
                <w:szCs w:val="20"/>
                <w:color w:val="auto"/>
              </w:rPr>
            </w:pPr>
            <w:r>
              <w:rPr>
                <w:rFonts w:ascii="Arial" w:cs="Arial" w:eastAsia="Arial" w:hAnsi="Arial"/>
                <w:sz w:val="14"/>
                <w:szCs w:val="14"/>
                <w:b w:val="1"/>
                <w:bCs w:val="1"/>
                <w:color w:val="auto"/>
              </w:rPr>
              <w:t>1 year</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ind w:right="133"/>
              <w:spacing w:after="0"/>
              <w:rPr>
                <w:sz w:val="20"/>
                <w:szCs w:val="20"/>
                <w:color w:val="auto"/>
              </w:rPr>
            </w:pPr>
            <w:r>
              <w:rPr>
                <w:rFonts w:ascii="Arial" w:cs="Arial" w:eastAsia="Arial" w:hAnsi="Arial"/>
                <w:sz w:val="14"/>
                <w:szCs w:val="14"/>
                <w:b w:val="1"/>
                <w:bCs w:val="1"/>
                <w:color w:val="auto"/>
                <w:w w:val="98"/>
              </w:rPr>
              <w:t>1-3 years</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3-5 years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After 5 years</w:t>
            </w:r>
          </w:p>
        </w:tc>
      </w:tr>
      <w:tr>
        <w:trPr>
          <w:trHeight w:val="223"/>
        </w:trPr>
        <w:tc>
          <w:tcPr>
            <w:tcW w:w="5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385.7</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ind w:left="660"/>
              <w:spacing w:after="0"/>
              <w:rPr>
                <w:sz w:val="20"/>
                <w:szCs w:val="20"/>
                <w:color w:val="auto"/>
              </w:rPr>
            </w:pPr>
            <w:r>
              <w:rPr>
                <w:rFonts w:ascii="Arial" w:cs="Arial" w:eastAsia="Arial" w:hAnsi="Arial"/>
                <w:sz w:val="18"/>
                <w:szCs w:val="18"/>
                <w:color w:val="auto"/>
                <w:w w:val="88"/>
              </w:rPr>
              <w:t>—</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385.7</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180" w:type="dxa"/>
            <w:vAlign w:val="bottom"/>
          </w:tcPr>
          <w:p>
            <w:pPr>
              <w:spacing w:after="0"/>
              <w:rPr>
                <w:sz w:val="20"/>
                <w:szCs w:val="20"/>
                <w:color w:val="auto"/>
              </w:rPr>
            </w:pPr>
            <w:r>
              <w:rPr>
                <w:rFonts w:ascii="Arial" w:cs="Arial" w:eastAsia="Arial" w:hAnsi="Arial"/>
                <w:sz w:val="18"/>
                <w:szCs w:val="18"/>
                <w:color w:val="auto"/>
              </w:rPr>
              <w:t>2022 Convertible Notes</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142.8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ind w:left="66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142.8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2023 Notes</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ind w:left="66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2024 Notes</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347.5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ind w:left="66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347.5</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2026 Notes</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ind w:left="66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FF0FC"/>
          </w:tcPr>
          <w:p>
            <w:pPr>
              <w:spacing w:after="0"/>
              <w:rPr>
                <w:sz w:val="19"/>
                <w:szCs w:val="19"/>
                <w:color w:val="auto"/>
              </w:rPr>
            </w:pPr>
          </w:p>
        </w:tc>
      </w:tr>
      <w:tr>
        <w:trPr>
          <w:trHeight w:val="223"/>
        </w:trPr>
        <w:tc>
          <w:tcPr>
            <w:tcW w:w="5180" w:type="dxa"/>
            <w:vAlign w:val="bottom"/>
          </w:tcPr>
          <w:p>
            <w:pPr>
              <w:ind w:left="260"/>
              <w:spacing w:after="0"/>
              <w:rPr>
                <w:sz w:val="20"/>
                <w:szCs w:val="20"/>
                <w:color w:val="auto"/>
              </w:rPr>
            </w:pPr>
            <w:r>
              <w:rPr>
                <w:rFonts w:ascii="Arial" w:cs="Arial" w:eastAsia="Arial" w:hAnsi="Arial"/>
                <w:sz w:val="18"/>
                <w:szCs w:val="18"/>
                <w:b w:val="1"/>
                <w:bCs w:val="1"/>
                <w:color w:val="auto"/>
              </w:rPr>
              <w:t>Total Contractual Obligations</w:t>
            </w: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1,326.0</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292.8</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733.2</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19"/>
                <w:szCs w:val="19"/>
                <w:color w:val="auto"/>
              </w:rPr>
            </w:pPr>
          </w:p>
        </w:tc>
      </w:tr>
      <w:tr>
        <w:trPr>
          <w:trHeight w:val="20"/>
        </w:trPr>
        <w:tc>
          <w:tcPr>
            <w:tcW w:w="5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100" w:firstLine="255"/>
        <w:spacing w:after="0" w:line="277" w:lineRule="auto"/>
        <w:rPr>
          <w:sz w:val="20"/>
          <w:szCs w:val="20"/>
          <w:color w:val="auto"/>
        </w:rPr>
      </w:pPr>
      <w:r>
        <w:rPr>
          <w:rFonts w:ascii="Arial" w:cs="Arial" w:eastAsia="Arial" w:hAnsi="Arial"/>
          <w:sz w:val="18"/>
          <w:szCs w:val="18"/>
          <w:color w:val="auto"/>
        </w:rPr>
        <w:t>In addition to the contractual payment obligations in the tables above, we also have commitments to fund investments and to pledge assets as collateral under the terms of our derivatives agreements.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117" w:lineRule="exact"/>
        <w:rPr>
          <w:sz w:val="20"/>
          <w:szCs w:val="20"/>
          <w:color w:val="auto"/>
        </w:rPr>
      </w:pPr>
    </w:p>
    <w:p>
      <w:pPr>
        <w:ind w:right="80" w:firstLine="255"/>
        <w:spacing w:after="0" w:line="342" w:lineRule="auto"/>
        <w:rPr>
          <w:sz w:val="20"/>
          <w:szCs w:val="20"/>
          <w:color w:val="auto"/>
        </w:rPr>
      </w:pPr>
      <w:r>
        <w:rPr>
          <w:rFonts w:ascii="Arial" w:cs="Arial" w:eastAsia="Arial" w:hAnsi="Arial"/>
          <w:sz w:val="16"/>
          <w:szCs w:val="16"/>
          <w:color w:val="auto"/>
        </w:rPr>
        <w:t>We have elected and qualified to be treated for U.S. federal income tax purposes as a RIC under subchapter M of the Code. To maintain our RIC status, we must distribute (or be treated as distributing) in each taxable year dividends for tax purposes equal to at least 90 percent of the sum of our:</w:t>
      </w:r>
    </w:p>
    <w:p>
      <w:pPr>
        <w:spacing w:after="0" w:line="16" w:lineRule="exact"/>
        <w:rPr>
          <w:sz w:val="20"/>
          <w:szCs w:val="20"/>
          <w:color w:val="auto"/>
        </w:rPr>
      </w:pPr>
    </w:p>
    <w:p>
      <w:pPr>
        <w:ind w:left="500" w:right="260" w:hanging="249"/>
        <w:spacing w:after="0" w:line="308" w:lineRule="auto"/>
        <w:tabs>
          <w:tab w:leader="none" w:pos="5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investment company taxable income (which is generally our ordinary income plus the excess of realized net short-term capital gains over realized net long-term capital losses), determined without regard to the deduction for dividends paid, for such taxable year; and</w:t>
      </w:r>
    </w:p>
    <w:p>
      <w:pPr>
        <w:spacing w:after="0" w:line="38" w:lineRule="exact"/>
        <w:rPr>
          <w:rFonts w:ascii="Arial" w:cs="Arial" w:eastAsia="Arial" w:hAnsi="Arial"/>
          <w:sz w:val="17"/>
          <w:szCs w:val="17"/>
          <w:color w:val="auto"/>
        </w:rPr>
      </w:pPr>
    </w:p>
    <w:p>
      <w:pPr>
        <w:ind w:left="500" w:right="320" w:hanging="249"/>
        <w:spacing w:after="0" w:line="277" w:lineRule="auto"/>
        <w:tabs>
          <w:tab w:leader="none" w:pos="5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net tax-exempt interest income (which is the excess of our gross tax-exempt interest income over certain disallowed deductions) for such taxable year.</w:t>
      </w:r>
    </w:p>
    <w:p>
      <w:pPr>
        <w:spacing w:after="0" w:line="170" w:lineRule="exact"/>
        <w:rPr>
          <w:sz w:val="20"/>
          <w:szCs w:val="20"/>
          <w:color w:val="auto"/>
        </w:rPr>
      </w:pPr>
    </w:p>
    <w:p>
      <w:pPr>
        <w:ind w:right="80" w:firstLine="255"/>
        <w:spacing w:after="0" w:line="277" w:lineRule="auto"/>
        <w:rPr>
          <w:sz w:val="20"/>
          <w:szCs w:val="20"/>
          <w:color w:val="auto"/>
        </w:rPr>
      </w:pPr>
      <w:r>
        <w:rPr>
          <w:rFonts w:ascii="Arial" w:cs="Arial" w:eastAsia="Arial" w:hAnsi="Arial"/>
          <w:sz w:val="18"/>
          <w:szCs w:val="18"/>
          <w:color w:val="auto"/>
        </w:rPr>
        <w:t>As a RIC, we (but not our stockholders) generally will not be subject to U.S. federal income tax on investment company taxable income and net capital gains that we distribute to our stockholders.</w:t>
      </w:r>
    </w:p>
    <w:p>
      <w:pPr>
        <w:spacing w:after="0" w:line="170" w:lineRule="exact"/>
        <w:rPr>
          <w:sz w:val="20"/>
          <w:szCs w:val="20"/>
          <w:color w:val="auto"/>
        </w:rPr>
      </w:pPr>
    </w:p>
    <w:p>
      <w:pPr>
        <w:jc w:val="both"/>
        <w:ind w:right="260" w:firstLine="255"/>
        <w:spacing w:after="0" w:line="263" w:lineRule="auto"/>
        <w:rPr>
          <w:sz w:val="20"/>
          <w:szCs w:val="20"/>
          <w:color w:val="auto"/>
        </w:rPr>
      </w:pPr>
      <w:r>
        <w:rPr>
          <w:rFonts w:ascii="Arial" w:cs="Arial" w:eastAsia="Arial" w:hAnsi="Arial"/>
          <w:sz w:val="18"/>
          <w:szCs w:val="18"/>
          <w:color w:val="auto"/>
        </w:rPr>
        <w:t>We intend to distribute annually all or substantially all of such income. To the extent that we retain our net capital gains or any investment company taxable income, we generally will be subject to corporate-level U.S. federal income tax. We may choose to retain our net capital gains or any investment company taxable income, and pay the U.S. federal excise tax described below.</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1" w:name="page72"/>
    <w:bookmarkEnd w:id="71"/>
    <w:p>
      <w:pPr>
        <w:ind w:right="160" w:firstLine="255"/>
        <w:spacing w:after="0" w:line="263" w:lineRule="auto"/>
        <w:rPr>
          <w:sz w:val="20"/>
          <w:szCs w:val="20"/>
          <w:color w:val="auto"/>
        </w:rPr>
      </w:pPr>
      <w:r>
        <w:rPr>
          <w:rFonts w:ascii="Arial" w:cs="Arial" w:eastAsia="Arial" w:hAnsi="Arial"/>
          <w:sz w:val="18"/>
          <w:szCs w:val="18"/>
          <w:color w:val="auto"/>
        </w:rPr>
        <w:t>Amounts not distributed on a timely basis in accordance with a calendar year distribution requirement are subject to a nondeductible 4% U.S. federal excise tax payable by us. To avoid this tax, we must distribute (or be treated as distributing) during each calendar year an amount at least equal to the sum of:</w:t>
      </w:r>
    </w:p>
    <w:p>
      <w:pPr>
        <w:spacing w:after="0" w:line="76" w:lineRule="exact"/>
        <w:rPr>
          <w:sz w:val="20"/>
          <w:szCs w:val="20"/>
          <w:color w:val="auto"/>
        </w:rPr>
      </w:pPr>
    </w:p>
    <w:p>
      <w:pPr>
        <w:ind w:left="500" w:hanging="249"/>
        <w:spacing w:after="0"/>
        <w:tabs>
          <w:tab w:leader="none" w:pos="5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98% of our net ordinary income excluding certain ordinary gains or losses for that calendar year;</w:t>
      </w:r>
    </w:p>
    <w:p>
      <w:pPr>
        <w:spacing w:after="0" w:line="117" w:lineRule="exact"/>
        <w:rPr>
          <w:rFonts w:ascii="Arial" w:cs="Arial" w:eastAsia="Arial" w:hAnsi="Arial"/>
          <w:sz w:val="18"/>
          <w:szCs w:val="18"/>
          <w:color w:val="auto"/>
        </w:rPr>
      </w:pPr>
    </w:p>
    <w:p>
      <w:pPr>
        <w:ind w:left="500" w:right="180" w:hanging="249"/>
        <w:spacing w:after="0" w:line="277" w:lineRule="auto"/>
        <w:tabs>
          <w:tab w:leader="none" w:pos="5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98.2% of our capital gain net income, adjusted for certain ordinary gains and losses, recognized for the twelve-month period ending on October 31 of that calendar year; and</w:t>
      </w:r>
    </w:p>
    <w:p>
      <w:pPr>
        <w:spacing w:after="0" w:line="62" w:lineRule="exact"/>
        <w:rPr>
          <w:rFonts w:ascii="Arial" w:cs="Arial" w:eastAsia="Arial" w:hAnsi="Arial"/>
          <w:sz w:val="18"/>
          <w:szCs w:val="18"/>
          <w:color w:val="auto"/>
        </w:rPr>
      </w:pPr>
    </w:p>
    <w:p>
      <w:pPr>
        <w:ind w:left="500" w:hanging="249"/>
        <w:spacing w:after="0"/>
        <w:tabs>
          <w:tab w:leader="none" w:pos="5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100% of any income or gains recognized, but not distributed, in preceding years.</w:t>
      </w:r>
    </w:p>
    <w:p>
      <w:pPr>
        <w:spacing w:after="0" w:line="225" w:lineRule="exact"/>
        <w:rPr>
          <w:sz w:val="20"/>
          <w:szCs w:val="20"/>
          <w:color w:val="auto"/>
        </w:rPr>
      </w:pPr>
    </w:p>
    <w:p>
      <w:pPr>
        <w:ind w:right="60" w:firstLine="255"/>
        <w:spacing w:after="0" w:line="263" w:lineRule="auto"/>
        <w:rPr>
          <w:sz w:val="20"/>
          <w:szCs w:val="20"/>
          <w:color w:val="auto"/>
        </w:rPr>
      </w:pPr>
      <w:r>
        <w:rPr>
          <w:rFonts w:ascii="Arial" w:cs="Arial" w:eastAsia="Arial" w:hAnsi="Arial"/>
          <w:sz w:val="18"/>
          <w:szCs w:val="18"/>
          <w:color w:val="auto"/>
        </w:rPr>
        <w:t>While we intend to distribute any income and capital gains in the manner necessary to minimize imposition of the 4% U.S. federal excise tax, sufficient amounts of our taxable income and capital gains may not be distributed to avoid entirely the imposition of this tax. In that event, we will be liable for this tax only on the amount by which we do not meet the foregoing distribution requirement.</w:t>
      </w:r>
    </w:p>
    <w:p>
      <w:pPr>
        <w:spacing w:after="0" w:line="184" w:lineRule="exact"/>
        <w:rPr>
          <w:sz w:val="20"/>
          <w:szCs w:val="20"/>
          <w:color w:val="auto"/>
        </w:rPr>
      </w:pPr>
    </w:p>
    <w:p>
      <w:pPr>
        <w:ind w:firstLine="255"/>
        <w:spacing w:after="0" w:line="263" w:lineRule="auto"/>
        <w:rPr>
          <w:sz w:val="20"/>
          <w:szCs w:val="20"/>
          <w:color w:val="auto"/>
        </w:rPr>
      </w:pPr>
      <w:r>
        <w:rPr>
          <w:rFonts w:ascii="Arial" w:cs="Arial" w:eastAsia="Arial" w:hAnsi="Arial"/>
          <w:sz w:val="18"/>
          <w:szCs w:val="18"/>
          <w:color w:val="auto"/>
        </w:rPr>
        <w:t>We intend to pay quarterly dividends to our stockholders out of assets legally available for distribution. All dividends will be paid at the discretion of our Board and will depend on our earnings, financial condition, maintenance of our RIC status, compliance with applicable BDC regulations and such other factors as our Board may deem relevant from time to time.</w:t>
      </w:r>
    </w:p>
    <w:p>
      <w:pPr>
        <w:spacing w:after="0" w:line="184" w:lineRule="exact"/>
        <w:rPr>
          <w:sz w:val="20"/>
          <w:szCs w:val="20"/>
          <w:color w:val="auto"/>
        </w:rPr>
      </w:pPr>
    </w:p>
    <w:p>
      <w:pPr>
        <w:ind w:right="60" w:firstLine="255"/>
        <w:spacing w:after="0" w:line="259" w:lineRule="auto"/>
        <w:rPr>
          <w:sz w:val="20"/>
          <w:szCs w:val="20"/>
          <w:color w:val="auto"/>
        </w:rPr>
      </w:pPr>
      <w:r>
        <w:rPr>
          <w:rFonts w:ascii="Arial" w:cs="Arial" w:eastAsia="Arial" w:hAnsi="Arial"/>
          <w:sz w:val="18"/>
          <w:szCs w:val="18"/>
          <w:color w:val="auto"/>
        </w:rPr>
        <w:t>To the extent our current taxable earnings for a year fall below the total amount of our distributions for that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any written disclosure carefully and should not assume that the source of any distribution is our ordinary income or gains.</w:t>
      </w:r>
    </w:p>
    <w:p>
      <w:pPr>
        <w:spacing w:after="0" w:line="187" w:lineRule="exact"/>
        <w:rPr>
          <w:sz w:val="20"/>
          <w:szCs w:val="20"/>
          <w:color w:val="auto"/>
        </w:rPr>
      </w:pPr>
    </w:p>
    <w:p>
      <w:pPr>
        <w:ind w:right="60" w:firstLine="255"/>
        <w:spacing w:after="0" w:line="279" w:lineRule="auto"/>
        <w:rPr>
          <w:sz w:val="20"/>
          <w:szCs w:val="20"/>
          <w:color w:val="auto"/>
        </w:rPr>
      </w:pPr>
      <w:r>
        <w:rPr>
          <w:rFonts w:ascii="Arial" w:cs="Arial" w:eastAsia="Arial" w:hAnsi="Arial"/>
          <w:sz w:val="17"/>
          <w:szCs w:val="17"/>
          <w:color w:val="auto"/>
        </w:rPr>
        <w:t>We have adopted an “opt out” dividend reinvestment plan for our common stockholders. As a result, if we declare a cash dividend or other distribution, each stockholder that has not “opted out” of our dividend reinvestment plan will have their dividends or distributions automatically reinvested in additional shares of our common stock rather than receiving cash dividends. Stockholders who receive distributions in the form of shares of common stock will be subject to the same U.S. federal, state and local tax consequences as if they received cash distributions.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Related-Party Transactions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have entered into a number of business relationships with affiliated or related parties, including the following:</w:t>
      </w:r>
    </w:p>
    <w:p>
      <w:pPr>
        <w:spacing w:after="0" w:line="117" w:lineRule="exact"/>
        <w:rPr>
          <w:sz w:val="20"/>
          <w:szCs w:val="20"/>
          <w:color w:val="auto"/>
        </w:rPr>
      </w:pPr>
    </w:p>
    <w:p>
      <w:pPr>
        <w:ind w:left="500" w:hanging="249"/>
        <w:spacing w:after="0"/>
        <w:tabs>
          <w:tab w:leader="none" w:pos="5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Investment Advisory Agreement;</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Administration Agreement; and</w:t>
      </w:r>
    </w:p>
    <w:p>
      <w:pPr>
        <w:spacing w:after="0" w:line="117" w:lineRule="exact"/>
        <w:rPr>
          <w:rFonts w:ascii="Arial" w:cs="Arial" w:eastAsia="Arial" w:hAnsi="Arial"/>
          <w:sz w:val="18"/>
          <w:szCs w:val="18"/>
          <w:color w:val="auto"/>
        </w:rPr>
      </w:pPr>
    </w:p>
    <w:p>
      <w:pPr>
        <w:ind w:left="500" w:right="260" w:hanging="249"/>
        <w:spacing w:after="0" w:line="277" w:lineRule="auto"/>
        <w:tabs>
          <w:tab w:leader="none" w:pos="5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 ongoing agreement with an affiliate of TPG Global, LLC governing, inter alia, the parties’ respective ownership of and rights to use the “Sixth Street” and “TPG” trademarks and certain variations thereof.</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120" w:firstLine="255"/>
        <w:spacing w:after="0" w:line="257" w:lineRule="auto"/>
        <w:rPr>
          <w:sz w:val="20"/>
          <w:szCs w:val="20"/>
          <w:color w:val="auto"/>
        </w:rPr>
      </w:pPr>
      <w:r>
        <w:rPr>
          <w:rFonts w:ascii="Arial" w:cs="Arial" w:eastAsia="Arial" w:hAnsi="Arial"/>
          <w:sz w:val="18"/>
          <w:szCs w:val="18"/>
          <w:color w:val="auto"/>
        </w:rPr>
        <w:t>The preparation of our consolidated financial statements requires us to make estimates and assumptions that affect the reported amounts of assets, liabilities, revenues, and expenses. Changes in the economic environment, financial markets, and any other parameters used in determining such estimates could cause actual results to differ. Our critical accounting policies, including those relating to the valuation of our investment portfolio, are described in our Annual Report on Form 10-K for the year ended December 31, 2020, filed with the SEC on February 17, 2021, and elsewhere in our filings with the SEC.</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are subject to financial market risks, including valuation risk, interest rate risk and currency risk.</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Risk</w:t>
      </w:r>
    </w:p>
    <w:p>
      <w:pPr>
        <w:spacing w:after="0" w:line="117" w:lineRule="exact"/>
        <w:rPr>
          <w:sz w:val="20"/>
          <w:szCs w:val="20"/>
          <w:color w:val="auto"/>
        </w:rPr>
      </w:pPr>
    </w:p>
    <w:p>
      <w:pPr>
        <w:ind w:right="40" w:firstLine="255"/>
        <w:spacing w:after="0" w:line="255" w:lineRule="auto"/>
        <w:rPr>
          <w:sz w:val="20"/>
          <w:szCs w:val="20"/>
          <w:color w:val="auto"/>
        </w:rPr>
      </w:pPr>
      <w:r>
        <w:rPr>
          <w:rFonts w:ascii="Arial" w:cs="Arial" w:eastAsia="Arial" w:hAnsi="Arial"/>
          <w:sz w:val="18"/>
          <w:szCs w:val="18"/>
          <w:color w:val="auto"/>
        </w:rPr>
        <w:t>We have invested, and plan to continue to invest, primarily in illiquid debt and equity securities of private companies. Most of our investments will not have a readily available market price, and we value these investments at fair value as determined in good faith by our Board in accordance with our valuation policy. There is no single standard for determining fair value. As a result, determining fair value requires that judgment be applied to the specific facts and circumstances of each portfolio investment while employing a consistently applied valuation process for the types of investments we make. If we were required to liquidate a portfolio investment in a forced or liquidation sale, we may realize amounts that are different from the amounts presented and such differences could be material.</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firstLine="255"/>
        <w:spacing w:after="0" w:line="311" w:lineRule="auto"/>
        <w:rPr>
          <w:sz w:val="20"/>
          <w:szCs w:val="20"/>
          <w:color w:val="auto"/>
        </w:rPr>
      </w:pPr>
      <w:r>
        <w:rPr>
          <w:rFonts w:ascii="Arial" w:cs="Arial" w:eastAsia="Arial" w:hAnsi="Arial"/>
          <w:sz w:val="16"/>
          <w:szCs w:val="16"/>
          <w:color w:val="auto"/>
        </w:rPr>
        <w:t>Interest rate sensitivity refers to the change in earnings that may result from changes in the level of interest rates. We also fund portions of our investments with borrowings. Our net investment income is affected by the difference between the rate at which we invest and the rate at which we borrow. Accordingly, we cannot assure you that a significant change in market interest rates will not have a material adverse effect on our net investment income.</w:t>
      </w:r>
    </w:p>
    <w:p>
      <w:pPr>
        <w:spacing w:after="0" w:line="149" w:lineRule="exact"/>
        <w:rPr>
          <w:sz w:val="20"/>
          <w:szCs w:val="20"/>
          <w:color w:val="auto"/>
        </w:rPr>
      </w:pPr>
    </w:p>
    <w:p>
      <w:pPr>
        <w:ind w:right="500" w:firstLine="255"/>
        <w:spacing w:after="0" w:line="263" w:lineRule="auto"/>
        <w:rPr>
          <w:sz w:val="20"/>
          <w:szCs w:val="20"/>
          <w:color w:val="auto"/>
        </w:rPr>
      </w:pPr>
      <w:r>
        <w:rPr>
          <w:rFonts w:ascii="Arial" w:cs="Arial" w:eastAsia="Arial" w:hAnsi="Arial"/>
          <w:sz w:val="18"/>
          <w:szCs w:val="18"/>
          <w:color w:val="auto"/>
        </w:rPr>
        <w:t>We regularly measure our exposure to interest rate risk. We assess interest rate risk and manage our interest rate exposure on an ongoing basis by comparing our interest rate-sensitive assets to our interest rate-sensitive liabilities. Based on that review, we determine whether or not any hedging transactions are necessary to mitigate exposure to changes in interest rates.</w:t>
      </w:r>
    </w:p>
    <w:p>
      <w:pPr>
        <w:spacing w:after="0" w:line="184" w:lineRule="exact"/>
        <w:rPr>
          <w:sz w:val="20"/>
          <w:szCs w:val="20"/>
          <w:color w:val="auto"/>
        </w:rPr>
      </w:pPr>
    </w:p>
    <w:p>
      <w:pPr>
        <w:ind w:right="20" w:firstLine="255"/>
        <w:spacing w:after="0" w:line="259" w:lineRule="auto"/>
        <w:rPr>
          <w:sz w:val="20"/>
          <w:szCs w:val="20"/>
          <w:color w:val="auto"/>
        </w:rPr>
      </w:pPr>
      <w:r>
        <w:rPr>
          <w:rFonts w:ascii="Arial" w:cs="Arial" w:eastAsia="Arial" w:hAnsi="Arial"/>
          <w:sz w:val="18"/>
          <w:szCs w:val="18"/>
          <w:color w:val="auto"/>
        </w:rPr>
        <w:t>As of June 30, 2021, 98.9% of our debt investments based on fair value in our portfolio bore interest at floating rates (when including investment specific hedges), with 99.2% of these subject to interest rate floors. Our credit facilities also bear interest at floating rates, and in connection with our 2022 Convertible Notes, 2023 Notes, 2024 Notes and 2026 Notes, which bear interest at fixed rates, we entered into fixed-to-floating interest rate swaps in order to continue to align the interest rates of our liabilities with our investment portfolio.</w:t>
      </w:r>
    </w:p>
    <w:p>
      <w:pPr>
        <w:spacing w:after="0" w:line="187" w:lineRule="exact"/>
        <w:rPr>
          <w:sz w:val="20"/>
          <w:szCs w:val="20"/>
          <w:color w:val="auto"/>
        </w:rPr>
      </w:pPr>
    </w:p>
    <w:p>
      <w:pPr>
        <w:jc w:val="both"/>
        <w:ind w:right="80" w:firstLine="255"/>
        <w:spacing w:after="0" w:line="263" w:lineRule="auto"/>
        <w:rPr>
          <w:sz w:val="20"/>
          <w:szCs w:val="20"/>
          <w:color w:val="auto"/>
        </w:rPr>
      </w:pPr>
      <w:r>
        <w:rPr>
          <w:rFonts w:ascii="Arial" w:cs="Arial" w:eastAsia="Arial" w:hAnsi="Arial"/>
          <w:sz w:val="18"/>
          <w:szCs w:val="18"/>
          <w:color w:val="auto"/>
        </w:rPr>
        <w:t>Assuming that our consolidated balance sheet as of June 30, 2021 were to remain constant and that we took no actions to alter our existing interest rate sensitivity, the following table shows the annualized impact of hypothetical base rate changes in interest rates (considering interest rate floors for floating rate instruments):</w:t>
      </w:r>
    </w:p>
    <w:p>
      <w:pPr>
        <w:spacing w:after="0" w:line="19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180" w:type="dxa"/>
            <w:vAlign w:val="bottom"/>
          </w:tcPr>
          <w:p>
            <w:pPr>
              <w:spacing w:after="0"/>
              <w:rPr>
                <w:sz w:val="20"/>
                <w:szCs w:val="20"/>
                <w:color w:val="auto"/>
              </w:rPr>
            </w:pPr>
            <w:r>
              <w:rPr>
                <w:rFonts w:ascii="Arial" w:cs="Arial" w:eastAsia="Arial" w:hAnsi="Arial"/>
                <w:sz w:val="14"/>
                <w:szCs w:val="14"/>
                <w:color w:val="auto"/>
              </w:rPr>
              <w:t>($ in millions)</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4180" w:type="dxa"/>
            <w:vAlign w:val="bottom"/>
          </w:tcPr>
          <w:p>
            <w:pPr>
              <w:spacing w:after="0"/>
              <w:rPr>
                <w:sz w:val="20"/>
                <w:szCs w:val="20"/>
                <w:color w:val="auto"/>
              </w:rPr>
            </w:pPr>
            <w:r>
              <w:rPr>
                <w:rFonts w:ascii="Arial" w:cs="Arial" w:eastAsia="Arial" w:hAnsi="Arial"/>
                <w:sz w:val="14"/>
                <w:szCs w:val="14"/>
                <w:b w:val="1"/>
                <w:bCs w:val="1"/>
                <w:color w:val="auto"/>
              </w:rPr>
              <w:t>Basis Point Change</w:t>
            </w:r>
          </w:p>
        </w:tc>
        <w:tc>
          <w:tcPr>
            <w:tcW w:w="140" w:type="dxa"/>
            <w:vAlign w:val="bottom"/>
          </w:tcPr>
          <w:p>
            <w:pPr>
              <w:spacing w:after="0"/>
              <w:rPr>
                <w:sz w:val="14"/>
                <w:szCs w:val="14"/>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8"/>
              </w:rPr>
              <w:t>Interest Income</w:t>
            </w:r>
          </w:p>
        </w:tc>
        <w:tc>
          <w:tcPr>
            <w:tcW w:w="80" w:type="dxa"/>
            <w:vAlign w:val="bottom"/>
          </w:tcPr>
          <w:p>
            <w:pPr>
              <w:spacing w:after="0"/>
              <w:rPr>
                <w:sz w:val="14"/>
                <w:szCs w:val="14"/>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2"/>
              </w:rPr>
              <w:t>Interest Expense</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Net Interest Income</w:t>
            </w:r>
          </w:p>
        </w:tc>
      </w:tr>
      <w:tr>
        <w:trPr>
          <w:trHeight w:val="223"/>
        </w:trPr>
        <w:tc>
          <w:tcPr>
            <w:tcW w:w="4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Up 300 basis points</w:t>
            </w:r>
          </w:p>
        </w:tc>
        <w:tc>
          <w:tcPr>
            <w:tcW w:w="14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49.4</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39.8</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Up 200 basis points</w:t>
            </w:r>
          </w:p>
        </w:tc>
        <w:tc>
          <w:tcPr>
            <w:tcW w:w="580" w:type="dxa"/>
            <w:vAlign w:val="bottom"/>
            <w:gridSpan w:val="2"/>
          </w:tcPr>
          <w:p>
            <w:pPr>
              <w:jc w:val="right"/>
              <w:ind w:right="287"/>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25.5</w:t>
            </w:r>
          </w:p>
        </w:tc>
        <w:tc>
          <w:tcPr>
            <w:tcW w:w="140" w:type="dxa"/>
            <w:vAlign w:val="bottom"/>
          </w:tcPr>
          <w:p>
            <w:pPr>
              <w:spacing w:after="0"/>
              <w:rPr>
                <w:sz w:val="19"/>
                <w:szCs w:val="19"/>
                <w:color w:val="auto"/>
              </w:rPr>
            </w:pPr>
          </w:p>
        </w:tc>
        <w:tc>
          <w:tcPr>
            <w:tcW w:w="520" w:type="dxa"/>
            <w:vAlign w:val="bottom"/>
            <w:gridSpan w:val="2"/>
          </w:tcPr>
          <w:p>
            <w:pPr>
              <w:jc w:val="right"/>
              <w:ind w:right="287"/>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26.5</w:t>
            </w:r>
          </w:p>
        </w:tc>
        <w:tc>
          <w:tcPr>
            <w:tcW w:w="140" w:type="dxa"/>
            <w:vAlign w:val="bottom"/>
          </w:tcPr>
          <w:p>
            <w:pPr>
              <w:spacing w:after="0"/>
              <w:rPr>
                <w:sz w:val="19"/>
                <w:szCs w:val="19"/>
                <w:color w:val="auto"/>
              </w:rPr>
            </w:pPr>
          </w:p>
        </w:tc>
        <w:tc>
          <w:tcPr>
            <w:tcW w:w="2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230"/>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Up 100 basis points</w:t>
            </w:r>
          </w:p>
        </w:tc>
        <w:tc>
          <w:tcPr>
            <w:tcW w:w="580" w:type="dxa"/>
            <w:vAlign w:val="bottom"/>
            <w:gridSpan w:val="2"/>
            <w:shd w:val="clear" w:color="auto" w:fill="CFF0FC"/>
          </w:tcPr>
          <w:p>
            <w:pPr>
              <w:jc w:val="right"/>
              <w:ind w:right="287"/>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87"/>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1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(9.9)</w:t>
            </w: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Down 25 basis points</w:t>
            </w:r>
          </w:p>
        </w:tc>
        <w:tc>
          <w:tcPr>
            <w:tcW w:w="580" w:type="dxa"/>
            <w:vAlign w:val="bottom"/>
            <w:gridSpan w:val="2"/>
          </w:tcPr>
          <w:p>
            <w:pPr>
              <w:jc w:val="right"/>
              <w:ind w:right="287"/>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(0.0)</w:t>
            </w:r>
          </w:p>
        </w:tc>
        <w:tc>
          <w:tcPr>
            <w:tcW w:w="520" w:type="dxa"/>
            <w:vAlign w:val="bottom"/>
            <w:gridSpan w:val="2"/>
          </w:tcPr>
          <w:p>
            <w:pPr>
              <w:jc w:val="right"/>
              <w:ind w:right="287"/>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(2.8)</w:t>
            </w:r>
          </w:p>
        </w:tc>
        <w:tc>
          <w:tcPr>
            <w:tcW w:w="2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r>
      <w:tr>
        <w:trPr>
          <w:trHeight w:val="229"/>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Down 50 basis points</w:t>
            </w:r>
          </w:p>
        </w:tc>
        <w:tc>
          <w:tcPr>
            <w:tcW w:w="580" w:type="dxa"/>
            <w:vAlign w:val="bottom"/>
            <w:gridSpan w:val="2"/>
            <w:shd w:val="clear" w:color="auto" w:fill="CFF0FC"/>
          </w:tcPr>
          <w:p>
            <w:pPr>
              <w:jc w:val="right"/>
              <w:ind w:right="287"/>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(0.1)</w:t>
            </w:r>
          </w:p>
        </w:tc>
        <w:tc>
          <w:tcPr>
            <w:tcW w:w="520" w:type="dxa"/>
            <w:vAlign w:val="bottom"/>
            <w:gridSpan w:val="2"/>
            <w:shd w:val="clear" w:color="auto" w:fill="CFF0FC"/>
          </w:tcPr>
          <w:p>
            <w:pPr>
              <w:jc w:val="right"/>
              <w:ind w:right="287"/>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(5.3)</w:t>
            </w:r>
          </w:p>
        </w:tc>
        <w:tc>
          <w:tcPr>
            <w:tcW w:w="28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FF0FC"/>
          </w:tcPr>
          <w:p>
            <w:pPr>
              <w:spacing w:after="0"/>
              <w:rPr>
                <w:sz w:val="19"/>
                <w:szCs w:val="19"/>
                <w:color w:val="auto"/>
              </w:rPr>
            </w:pPr>
          </w:p>
        </w:tc>
      </w:tr>
    </w:tbl>
    <w:p>
      <w:pPr>
        <w:spacing w:after="0" w:line="242" w:lineRule="exact"/>
        <w:rPr>
          <w:sz w:val="20"/>
          <w:szCs w:val="20"/>
          <w:color w:val="auto"/>
        </w:rPr>
      </w:pPr>
    </w:p>
    <w:p>
      <w:pPr>
        <w:ind w:firstLine="255"/>
        <w:spacing w:after="0" w:line="263" w:lineRule="auto"/>
        <w:rPr>
          <w:sz w:val="20"/>
          <w:szCs w:val="20"/>
          <w:color w:val="auto"/>
        </w:rPr>
      </w:pPr>
      <w:r>
        <w:rPr>
          <w:rFonts w:ascii="Arial" w:cs="Arial" w:eastAsia="Arial" w:hAnsi="Arial"/>
          <w:sz w:val="18"/>
          <w:szCs w:val="18"/>
          <w:color w:val="auto"/>
        </w:rPr>
        <w:t>Although we believe that this analysis is indicative of our existing sensitivity to interest rate changes, it does not adjust for changes in the credit market, credit quality, the size and composition of the assets in our portfolio and other business developments that could affect our net income. Accordingly, we cannot assure you that actual results would not differ materially from the analysis above.</w:t>
      </w:r>
    </w:p>
    <w:p>
      <w:pPr>
        <w:spacing w:after="0" w:line="184" w:lineRule="exact"/>
        <w:rPr>
          <w:sz w:val="20"/>
          <w:szCs w:val="20"/>
          <w:color w:val="auto"/>
        </w:rPr>
      </w:pPr>
    </w:p>
    <w:p>
      <w:pPr>
        <w:ind w:right="220" w:firstLine="255"/>
        <w:spacing w:after="0" w:line="259" w:lineRule="auto"/>
        <w:rPr>
          <w:sz w:val="20"/>
          <w:szCs w:val="20"/>
          <w:color w:val="auto"/>
        </w:rPr>
      </w:pPr>
      <w:r>
        <w:rPr>
          <w:rFonts w:ascii="Arial" w:cs="Arial" w:eastAsia="Arial" w:hAnsi="Arial"/>
          <w:sz w:val="18"/>
          <w:szCs w:val="18"/>
          <w:color w:val="auto"/>
        </w:rPr>
        <w:t>We may in the future hedge against interest rate fluctuations by using hedging instruments such as additional interest rate swaps, futures, options and forward contracts. While hedging activities may mitigate our exposure to adverse fluctuations in interest rates, certain hedging transactions that we may enter into in the future, such as interest rate swap agreements, may also limit our ability to participate in the benefits of changes in interest rates with respect to our portfolio investments.</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i w:val="1"/>
          <w:iCs w:val="1"/>
          <w:color w:val="auto"/>
        </w:rPr>
        <w:t>Currency Risk</w:t>
      </w:r>
    </w:p>
    <w:p>
      <w:pPr>
        <w:spacing w:after="0" w:line="117" w:lineRule="exact"/>
        <w:rPr>
          <w:sz w:val="20"/>
          <w:szCs w:val="20"/>
          <w:color w:val="auto"/>
        </w:rPr>
      </w:pPr>
    </w:p>
    <w:p>
      <w:pPr>
        <w:ind w:firstLine="255"/>
        <w:spacing w:after="0" w:line="271" w:lineRule="auto"/>
        <w:rPr>
          <w:sz w:val="20"/>
          <w:szCs w:val="20"/>
          <w:color w:val="auto"/>
        </w:rPr>
      </w:pPr>
      <w:r>
        <w:rPr>
          <w:rFonts w:ascii="Arial" w:cs="Arial" w:eastAsia="Arial" w:hAnsi="Arial"/>
          <w:sz w:val="17"/>
          <w:szCs w:val="17"/>
          <w:color w:val="auto"/>
        </w:rPr>
        <w:t>From time to time, we may make investments that are denominated in a foreign currency. These investments are translated into U.S. dollars at each balance sheet date, exposing us to movements in foreign exchange rates. We may employ hedging techniques to minimize these risks, but we cannot assure you that such strategies will be effective or without risk to us. We may seek to utilize instruments such as, but not limited to, forward contracts to seek to hedge against fluctuations in the relative values of our portfolio positions from changes in currency exchange rates. We also have the ability to borrow in certain foreign currencies under our Revolving Credit Facility. Instead of entering into a foreign exchange forward contract in connection with loans or other investments we have made that are denominated in a foreign currency, we may borrow in that currency to establish a natural hedge against our loan or investment. To the extent the loan or investment is based on a floating rate other than a rate under which we can borrow under our Revolving Credit Facility, we may seek to utilize interest rate derivatives to hedge our exposure to changes in the associated rate.</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firstLine="255"/>
        <w:spacing w:after="0" w:line="296" w:lineRule="auto"/>
        <w:rPr>
          <w:sz w:val="20"/>
          <w:szCs w:val="20"/>
          <w:color w:val="auto"/>
        </w:rPr>
      </w:pPr>
      <w:r>
        <w:rPr>
          <w:rFonts w:ascii="Arial" w:cs="Arial" w:eastAsia="Arial" w:hAnsi="Arial"/>
          <w:sz w:val="16"/>
          <w:szCs w:val="16"/>
          <w:b w:val="1"/>
          <w:bCs w:val="1"/>
          <w:i w:val="1"/>
          <w:iCs w:val="1"/>
          <w:color w:val="auto"/>
        </w:rPr>
        <w:t xml:space="preserve">Evaluation of Disclosure Controls and Procedures. </w:t>
      </w:r>
      <w:r>
        <w:rPr>
          <w:rFonts w:ascii="Arial" w:cs="Arial" w:eastAsia="Arial" w:hAnsi="Arial"/>
          <w:sz w:val="16"/>
          <w:szCs w:val="16"/>
          <w:color w:val="auto"/>
        </w:rPr>
        <w:t>As of the end of the period covered by this report, we carried out an evaluation, under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supervision and with the participation of our management, including our Chief Executive Officer and Chief Financial Officer, of the effectiveness of the design and operation of our disclosure controls and procedures (as defined in Rule 13a-15 under the Exchange Act). Based on that evaluation, our Chief Executive Officer and Chief Financial Officer have concluded that our current disclosure controls and procedures are effective in timely alerting them to material information relating to us that is required to be disclosed by us in the reports we file or submit under the Exchange Act.</w:t>
      </w:r>
    </w:p>
    <w:p>
      <w:pPr>
        <w:spacing w:after="0" w:line="161" w:lineRule="exact"/>
        <w:rPr>
          <w:sz w:val="20"/>
          <w:szCs w:val="20"/>
          <w:color w:val="auto"/>
        </w:rPr>
      </w:pPr>
    </w:p>
    <w:p>
      <w:pPr>
        <w:jc w:val="both"/>
        <w:ind w:right="200" w:firstLine="255"/>
        <w:spacing w:after="0" w:line="263" w:lineRule="auto"/>
        <w:rPr>
          <w:sz w:val="20"/>
          <w:szCs w:val="20"/>
          <w:color w:val="auto"/>
        </w:rPr>
      </w:pPr>
      <w:r>
        <w:rPr>
          <w:rFonts w:ascii="Arial" w:cs="Arial" w:eastAsia="Arial" w:hAnsi="Arial"/>
          <w:sz w:val="18"/>
          <w:szCs w:val="18"/>
          <w:b w:val="1"/>
          <w:bCs w:val="1"/>
          <w:i w:val="1"/>
          <w:iCs w:val="1"/>
          <w:color w:val="auto"/>
        </w:rPr>
        <w:t xml:space="preserve">Changes in Internal Control over Financial Reporting. </w:t>
      </w:r>
      <w:r>
        <w:rPr>
          <w:rFonts w:ascii="Arial" w:cs="Arial" w:eastAsia="Arial" w:hAnsi="Arial"/>
          <w:sz w:val="18"/>
          <w:szCs w:val="18"/>
          <w:color w:val="auto"/>
        </w:rPr>
        <w:t>There have been no changes in our internal control over financial reporting that occurred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our most recently completed fiscal quarter that have materially affected, or are reasonably likely to materially affect, our internal control over financial reporting.</w:t>
      </w:r>
    </w:p>
    <w:p>
      <w:pPr>
        <w:spacing w:after="0" w:line="18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980"/>
          </w:cols>
          <w:pgMar w:left="320" w:top="553" w:right="59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100" w:firstLine="255"/>
        <w:spacing w:after="0" w:line="263" w:lineRule="auto"/>
        <w:rPr>
          <w:sz w:val="20"/>
          <w:szCs w:val="20"/>
          <w:color w:val="auto"/>
        </w:rPr>
      </w:pPr>
      <w:r>
        <w:rPr>
          <w:rFonts w:ascii="Arial" w:cs="Arial" w:eastAsia="Arial" w:hAnsi="Arial"/>
          <w:sz w:val="18"/>
          <w:szCs w:val="18"/>
          <w:color w:val="auto"/>
        </w:rPr>
        <w:t>From time to time, we may be a party to certain legal proceedings in the ordinary course of business, including proceedings relating to the enforcement of our rights under loans to or other contracts with our portfolio companies. We are not currently subject to any material legal proceedings, nor, to our knowledge, is any material legal proceeding threatened against us.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100" w:firstLine="255"/>
        <w:spacing w:after="0" w:line="257" w:lineRule="auto"/>
        <w:rPr>
          <w:sz w:val="20"/>
          <w:szCs w:val="20"/>
          <w:color w:val="auto"/>
        </w:rPr>
      </w:pPr>
      <w:r>
        <w:rPr>
          <w:rFonts w:ascii="Arial" w:cs="Arial" w:eastAsia="Arial" w:hAnsi="Arial"/>
          <w:sz w:val="18"/>
          <w:szCs w:val="18"/>
          <w:color w:val="auto"/>
        </w:rPr>
        <w:t>In addition to the other information set forth in this report, you should carefully consider the risk factors discussed in Part I, “Item 1A. Risk Factors” in our Annual Report on Form 10-K for the fiscal year ended December 31, 2020 and the risk factors set forth below, which could materially affect our business, financial condition and/or operating results. These risks are not the only risks facing our Company. Additional risks and uncertainties not currently known to us or that we currently deem to be immaterial also may materially and adversely affect our business, financial condition and/or operating results.</w:t>
      </w:r>
    </w:p>
    <w:p>
      <w:pPr>
        <w:spacing w:after="0" w:line="188" w:lineRule="exact"/>
        <w:rPr>
          <w:sz w:val="20"/>
          <w:szCs w:val="20"/>
          <w:color w:val="auto"/>
        </w:rPr>
      </w:pPr>
    </w:p>
    <w:p>
      <w:pPr>
        <w:ind w:right="200" w:firstLine="255"/>
        <w:spacing w:after="0" w:line="286" w:lineRule="auto"/>
        <w:rPr>
          <w:sz w:val="20"/>
          <w:szCs w:val="20"/>
          <w:color w:val="auto"/>
        </w:rPr>
      </w:pPr>
      <w:r>
        <w:rPr>
          <w:rFonts w:ascii="Arial" w:cs="Arial" w:eastAsia="Arial" w:hAnsi="Arial"/>
          <w:sz w:val="17"/>
          <w:szCs w:val="17"/>
          <w:i w:val="1"/>
          <w:iCs w:val="1"/>
          <w:color w:val="auto"/>
        </w:rPr>
        <w:t>Pursuant to Section 61(a)(2)(C)(ii) of the 1940 Act, the principal risk factors associated with our senior securities are set forth below. However, since we already use leverage in optimizing our investment portfolio, the principal risk factors associated with our senior securities do not represent material changes to the risk factors previously disclosed in our Annual Report on Form 10-K for the fiscal year ended December 31, 2020.</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Legislation allows us to incur additional leverage.</w:t>
      </w:r>
    </w:p>
    <w:p>
      <w:pPr>
        <w:spacing w:after="0" w:line="117" w:lineRule="exact"/>
        <w:rPr>
          <w:sz w:val="20"/>
          <w:szCs w:val="20"/>
          <w:color w:val="auto"/>
        </w:rPr>
      </w:pPr>
    </w:p>
    <w:p>
      <w:pPr>
        <w:ind w:right="80" w:firstLine="255"/>
        <w:spacing w:after="0" w:line="301" w:lineRule="auto"/>
        <w:rPr>
          <w:sz w:val="20"/>
          <w:szCs w:val="20"/>
          <w:color w:val="auto"/>
        </w:rPr>
      </w:pPr>
      <w:r>
        <w:rPr>
          <w:rFonts w:ascii="Arial" w:cs="Arial" w:eastAsia="Arial" w:hAnsi="Arial"/>
          <w:sz w:val="16"/>
          <w:szCs w:val="16"/>
          <w:color w:val="auto"/>
        </w:rPr>
        <w:t>Under the 1940 Act, a BDC generally is not permitted to incur borrowings, issue debt securities or issue preferred stock unless immediately after the borrowing or issuance the ratio of total assets (less total liabilities other than indebtedness) to total indebtedness plus preferred stock is at least 200%. However, under the SBCAA, which became law in March 2018, BDCs have the ability to elect to become subject to a lower asset coverage requirement of 150%, subject to the receipt of the requisite board or stockholder approvals under the SBCAA and satisfaction of certain other conditions.</w:t>
      </w:r>
    </w:p>
    <w:p>
      <w:pPr>
        <w:spacing w:after="0" w:line="157" w:lineRule="exact"/>
        <w:rPr>
          <w:sz w:val="20"/>
          <w:szCs w:val="20"/>
          <w:color w:val="auto"/>
        </w:rPr>
      </w:pPr>
    </w:p>
    <w:p>
      <w:pPr>
        <w:jc w:val="both"/>
        <w:ind w:right="160" w:firstLine="255"/>
        <w:spacing w:after="0" w:line="279" w:lineRule="auto"/>
        <w:rPr>
          <w:sz w:val="20"/>
          <w:szCs w:val="20"/>
          <w:color w:val="auto"/>
        </w:rPr>
      </w:pPr>
      <w:r>
        <w:rPr>
          <w:rFonts w:ascii="Arial" w:cs="Arial" w:eastAsia="Arial" w:hAnsi="Arial"/>
          <w:sz w:val="17"/>
          <w:szCs w:val="17"/>
          <w:color w:val="auto"/>
        </w:rPr>
        <w:t>On October 8, 2018, our stockholders approved the application of the minimum asset coverage ratio of 150% to us, as set forth in Section 61(a)(2) of the 1940 Act, as amended by the SBCAA. As a result and subject to certain additional disclosure requirements, as of October 9, 2018, our minimum asset coverage ratio was reduced from 200% to 150%. In other words, pursuant to Section 61(a) of the 1940 Act, as amended by the SBCAA, we are permitted to potentially increase our maximum debt-to-equity ratio from an effective level of one-to-one to two-to-one.</w:t>
      </w:r>
    </w:p>
    <w:p>
      <w:pPr>
        <w:spacing w:after="0" w:line="171" w:lineRule="exact"/>
        <w:rPr>
          <w:sz w:val="20"/>
          <w:szCs w:val="20"/>
          <w:color w:val="auto"/>
        </w:rPr>
      </w:pPr>
    </w:p>
    <w:p>
      <w:pPr>
        <w:ind w:right="460" w:firstLine="255"/>
        <w:spacing w:after="0" w:line="277" w:lineRule="auto"/>
        <w:rPr>
          <w:sz w:val="20"/>
          <w:szCs w:val="20"/>
          <w:color w:val="auto"/>
        </w:rPr>
      </w:pPr>
      <w:r>
        <w:rPr>
          <w:rFonts w:ascii="Arial" w:cs="Arial" w:eastAsia="Arial" w:hAnsi="Arial"/>
          <w:sz w:val="18"/>
          <w:szCs w:val="18"/>
          <w:color w:val="auto"/>
        </w:rPr>
        <w:t>As a result, you may face increased investment risk. We may not be able to implement our strategy to utilize additional leverage successfully. Any impact on returns or equity or our business associated with additional leverage may not outweigh the additional risk.</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governing our operation as a BDC affect our ability to, and the way in which we, raise additional capital.</w:t>
      </w:r>
    </w:p>
    <w:p>
      <w:pPr>
        <w:spacing w:after="0" w:line="117" w:lineRule="exact"/>
        <w:rPr>
          <w:sz w:val="20"/>
          <w:szCs w:val="20"/>
          <w:color w:val="auto"/>
        </w:rPr>
      </w:pPr>
    </w:p>
    <w:p>
      <w:pPr>
        <w:ind w:right="200" w:firstLine="255"/>
        <w:spacing w:after="0" w:line="259" w:lineRule="auto"/>
        <w:rPr>
          <w:sz w:val="20"/>
          <w:szCs w:val="20"/>
          <w:color w:val="auto"/>
        </w:rPr>
      </w:pPr>
      <w:r>
        <w:rPr>
          <w:rFonts w:ascii="Arial" w:cs="Arial" w:eastAsia="Arial" w:hAnsi="Arial"/>
          <w:sz w:val="18"/>
          <w:szCs w:val="18"/>
          <w:color w:val="auto"/>
        </w:rPr>
        <w:t>The 1940 Act imposes numerous constraints on the operations of BDCs. For example, BDCs are required to invest at least 70% of their total assets in securities of nonpublic or thinly traded U.S. companies, cash, cash equivalents, U.S. government securities and other high-quality debt investments that mature in one year or less. These constraints may hinder the Adviser’s ability to take advantage of attractive investment opportunities and to achieve our investment objective.</w:t>
      </w:r>
    </w:p>
    <w:p>
      <w:pPr>
        <w:spacing w:after="0" w:line="187" w:lineRule="exact"/>
        <w:rPr>
          <w:sz w:val="20"/>
          <w:szCs w:val="20"/>
          <w:color w:val="auto"/>
        </w:rPr>
      </w:pPr>
    </w:p>
    <w:p>
      <w:pPr>
        <w:ind w:right="100" w:firstLine="255"/>
        <w:spacing w:after="0" w:line="263" w:lineRule="auto"/>
        <w:rPr>
          <w:sz w:val="20"/>
          <w:szCs w:val="20"/>
          <w:color w:val="auto"/>
        </w:rPr>
      </w:pPr>
      <w:r>
        <w:rPr>
          <w:rFonts w:ascii="Arial" w:cs="Arial" w:eastAsia="Arial" w:hAnsi="Arial"/>
          <w:sz w:val="18"/>
          <w:szCs w:val="18"/>
          <w:color w:val="auto"/>
        </w:rPr>
        <w:t>We may need to periodically access the debt and equity capital markets to raise cash to fund new investments in excess of our repayments, and we may also need to access the capital markets to refinance existing debt obligations to the extent such maturing obligations are not repaid with availability under our revolving credit facilities or cash flows from operations.</w:t>
      </w:r>
    </w:p>
    <w:p>
      <w:pPr>
        <w:spacing w:after="0" w:line="184" w:lineRule="exact"/>
        <w:rPr>
          <w:sz w:val="20"/>
          <w:szCs w:val="20"/>
          <w:color w:val="auto"/>
        </w:rPr>
      </w:pPr>
    </w:p>
    <w:p>
      <w:pPr>
        <w:ind w:right="40" w:firstLine="255"/>
        <w:spacing w:after="0" w:line="301" w:lineRule="auto"/>
        <w:rPr>
          <w:sz w:val="20"/>
          <w:szCs w:val="20"/>
          <w:color w:val="auto"/>
        </w:rPr>
      </w:pPr>
      <w:r>
        <w:rPr>
          <w:rFonts w:ascii="Arial" w:cs="Arial" w:eastAsia="Arial" w:hAnsi="Arial"/>
          <w:sz w:val="16"/>
          <w:szCs w:val="16"/>
          <w:color w:val="auto"/>
        </w:rPr>
        <w:t>Regulations governing our operation as a BDC affect our ability to raise additional capital, and the ways in which we can do so. Raising additional capital may expose us to risks, including the typical risks associated with leverage, and may result in dilution to our current stockholders. The 1940 Act limits our ability to incur borrowings and issue debt securities and preferred stock, which we refer to as senior securities, requiring that after any borrowing or issuance the ratio of total assets (less total liabilities other than indebtedness) to total indebtedness plus preferred stock, is at least 150%.</w:t>
      </w:r>
    </w:p>
    <w:p>
      <w:pPr>
        <w:spacing w:after="0" w:line="157" w:lineRule="exact"/>
        <w:rPr>
          <w:sz w:val="20"/>
          <w:szCs w:val="20"/>
          <w:color w:val="auto"/>
        </w:rPr>
      </w:pPr>
    </w:p>
    <w:p>
      <w:pPr>
        <w:ind w:firstLine="255"/>
        <w:spacing w:after="0" w:line="257" w:lineRule="auto"/>
        <w:rPr>
          <w:sz w:val="20"/>
          <w:szCs w:val="20"/>
          <w:color w:val="auto"/>
        </w:rPr>
      </w:pPr>
      <w:r>
        <w:rPr>
          <w:rFonts w:ascii="Arial" w:cs="Arial" w:eastAsia="Arial" w:hAnsi="Arial"/>
          <w:sz w:val="18"/>
          <w:szCs w:val="18"/>
          <w:color w:val="auto"/>
        </w:rPr>
        <w:t>We may need to continue to borrow from financial institutions and issue additional securities to fund our growth. Unfavorable economic or capital market conditions may increase our funding costs, limit our access to the capital markets or could result in a decision by lenders not to extend credit to us. An inability to successfully access the capital markets may limit our ability to refinance our existing debt obligations as they come due and/or to fully execute our business strategy and could limit our ability to grow or cause us to have to shrink the size of our business, which could decrease our earnings, if any. Consequently, if the value of our assets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6" w:name="page77"/>
    <w:bookmarkEnd w:id="76"/>
    <w:p>
      <w:pPr>
        <w:ind w:right="340"/>
        <w:spacing w:after="0" w:line="259" w:lineRule="auto"/>
        <w:rPr>
          <w:sz w:val="20"/>
          <w:szCs w:val="20"/>
          <w:color w:val="auto"/>
        </w:rPr>
      </w:pPr>
      <w:r>
        <w:rPr>
          <w:rFonts w:ascii="Arial" w:cs="Arial" w:eastAsia="Arial" w:hAnsi="Arial"/>
          <w:sz w:val="18"/>
          <w:szCs w:val="18"/>
          <w:color w:val="auto"/>
        </w:rPr>
        <w:t>declines or we are unable to access the capital markets we may be required to sell a portion of our investments and, depending on the nature of our leverage, repay a portion of our indebtedness at a time when this may be disadvantageous. Also, any amounts that we use to service our indebtedness would not be available for distributions to our common stockholders. If we borrow money or issue senior securities, we will be exposed to typical risks associated with leverage, including an increased risk of loss.</w:t>
      </w:r>
    </w:p>
    <w:p>
      <w:pPr>
        <w:spacing w:after="0" w:line="187" w:lineRule="exact"/>
        <w:rPr>
          <w:sz w:val="20"/>
          <w:szCs w:val="20"/>
          <w:color w:val="auto"/>
        </w:rPr>
      </w:pPr>
    </w:p>
    <w:p>
      <w:pPr>
        <w:ind w:right="100" w:firstLine="255"/>
        <w:spacing w:after="0" w:line="254" w:lineRule="auto"/>
        <w:rPr>
          <w:sz w:val="20"/>
          <w:szCs w:val="20"/>
          <w:color w:val="auto"/>
        </w:rPr>
      </w:pPr>
      <w:r>
        <w:rPr>
          <w:rFonts w:ascii="Arial" w:cs="Arial" w:eastAsia="Arial" w:hAnsi="Arial"/>
          <w:sz w:val="18"/>
          <w:szCs w:val="18"/>
          <w:color w:val="auto"/>
        </w:rPr>
        <w:t>If we issue preferred stock, the preferred stock would rank senior to common stock in our capital structure. Preferred stockholders would have separate voting rights on certain matters and may have other rights, preferences or privileges more favorable than those of our common stockholders. The issuance of preferred stock could have the effect of delaying, deferring or preventing a transaction or a change of control that might involve a premium price for holders of our common stock or otherwise be in your best interest. Holders of our common stock will directly or indirectly bear all of the costs associated with offering and servicing any preferred stock that we issue. In addition, any interests of preferred stockholders may not necessarily align with the interests of holders of our common stock and the rights of holders of shares of preferred stock to receive dividends would be senior to those of holders of shares of our common stock.</w:t>
      </w:r>
    </w:p>
    <w:p>
      <w:pPr>
        <w:spacing w:after="0" w:line="195" w:lineRule="exact"/>
        <w:rPr>
          <w:sz w:val="20"/>
          <w:szCs w:val="20"/>
          <w:color w:val="auto"/>
        </w:rPr>
      </w:pPr>
    </w:p>
    <w:p>
      <w:pPr>
        <w:ind w:firstLine="255"/>
        <w:spacing w:after="0" w:line="286" w:lineRule="auto"/>
        <w:rPr>
          <w:sz w:val="20"/>
          <w:szCs w:val="20"/>
          <w:color w:val="auto"/>
        </w:rPr>
      </w:pPr>
      <w:r>
        <w:rPr>
          <w:rFonts w:ascii="Arial" w:cs="Arial" w:eastAsia="Arial" w:hAnsi="Arial"/>
          <w:sz w:val="16"/>
          <w:szCs w:val="16"/>
          <w:color w:val="auto"/>
        </w:rPr>
        <w:t>Our Board may decide to issue additional common stock to finance our operations rather than issuing debt or other senior securities. However, we generally are not able to issue and sell our common stock at a price below net asset value per share. We may, however, elect to issue and sell our common stock, or warrants, options or rights to acquire our common stock, at a price below the then-current net asset value of our common stock if our Board determines that the sale is in our best interests and the best interests of our stockholders, and our stockholders have approved our policy and practice of making these sales within the preceding 12 months. Pursuant to approval granted at a special meeting of stockholders held on May 26, 2021, we are currently permitted to sell or otherwise issue shares of our common stock at a price below our then-current net asset value per share, subject to the approval of our Board and certain other conditions. Such stockholder approval expires on May 26, 2022. In any such case, the price at which our securities are to be issued and sold may not be less than a price that, in the determination of our Board, closely approximates the market value of those securities (less any distribution commission or discount). In the event we sell shares of our common stock at a price below net asset value per share, existing stockholders will experience net asset value dilution. This dilution would occur as a result of the sale of shares at a price below the then current net asset value per share of our common stock and would cause a proportionately greater decrease in the stockholders’ interest in our earnings and assets and their voting interest in us than the increase in our assets resulting from such issuance. As a result of any such dilution, our market price per share may decline. Because the number of shares of common stock that could be so issued and the timing of any issuance is not currently known, the actual dilutive effect cannot be predicted.</w:t>
      </w:r>
    </w:p>
    <w:p>
      <w:pPr>
        <w:spacing w:after="0" w:line="174" w:lineRule="exact"/>
        <w:rPr>
          <w:sz w:val="20"/>
          <w:szCs w:val="20"/>
          <w:color w:val="auto"/>
        </w:rPr>
      </w:pPr>
    </w:p>
    <w:p>
      <w:pPr>
        <w:ind w:right="20" w:firstLine="255"/>
        <w:spacing w:after="0" w:line="289" w:lineRule="auto"/>
        <w:rPr>
          <w:sz w:val="20"/>
          <w:szCs w:val="20"/>
          <w:color w:val="auto"/>
        </w:rPr>
      </w:pPr>
      <w:r>
        <w:rPr>
          <w:rFonts w:ascii="Arial" w:cs="Arial" w:eastAsia="Arial" w:hAnsi="Arial"/>
          <w:sz w:val="16"/>
          <w:szCs w:val="16"/>
          <w:color w:val="auto"/>
        </w:rPr>
        <w:t>In addition to issuing securities to raise capital as described above, we could securitize our investments to generate cash for funding new investments. To securitize our investments, we likely would create a wholly owned subsidiary, contribute a pool of loans to the subsidiary and have the subsidiary issue primarily investment grade debt securities to purchasers who we would expect would be willing to accept a substantially lower interest rate than the loans earn. We would retain all or a portion of the equity in the securitized pool of loans. Our retained equity would be exposed to any losses on the portfolio of investments before any of the debt securities would be exposed to the losses. An inability to successfully securitize our investment portfolio could limit our ability to grow or fully execute our business and could adversely affect our earnings, if any. The successful securitization of our investment could expose us to losses because the portions of the securitized investments that we would typically retain tend to be those that are riskier and more apt to generate losses. The 1940 Act also may impose restrictions on the structure of any securitization. In connection with any future securitization of investments, we may incur greater set-up and administration fees relating to such vehicles than we have in connection with financing of our investments in the past.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borrow money, which magnifies the potential for gain or loss and increases the risk of investing in us.</w:t>
      </w:r>
    </w:p>
    <w:p>
      <w:pPr>
        <w:spacing w:after="0" w:line="117" w:lineRule="exact"/>
        <w:rPr>
          <w:sz w:val="20"/>
          <w:szCs w:val="20"/>
          <w:color w:val="auto"/>
        </w:rPr>
      </w:pPr>
    </w:p>
    <w:p>
      <w:pPr>
        <w:ind w:right="20" w:firstLine="255"/>
        <w:spacing w:after="0" w:line="289" w:lineRule="auto"/>
        <w:rPr>
          <w:sz w:val="20"/>
          <w:szCs w:val="20"/>
          <w:color w:val="auto"/>
        </w:rPr>
      </w:pPr>
      <w:r>
        <w:rPr>
          <w:rFonts w:ascii="Arial" w:cs="Arial" w:eastAsia="Arial" w:hAnsi="Arial"/>
          <w:sz w:val="16"/>
          <w:szCs w:val="16"/>
          <w:color w:val="auto"/>
        </w:rPr>
        <w:t>As part of our business strategy, we borrow from and may in the future issue additional senior debt securities to banks, insurance companies and other lenders. Holders of these loans or senior securities would have fixed-dollar claims on our assets that have priority over the claims of our stockholders. If the value of our assets decreases, leverage will cause our net asset value to decline more sharply than it otherwise would have without leverage. Similarly, any decrease in our income would cause our net income to decline more sharply than it would have if we had not borrowed. This decline could negatively affect our ability to make dividend payments on our common stock. Our ability to service our borrowings depends largely on our financial performance and is subject to prevailing economic conditions and competitive pressures. In addition, the Management Fee is payable based on our gross assets, including cash and assets acquired through the use of leverage, which may give our Adviser an incentive to use leverage to make additional investments. The amount of leverage that we employ will depend on our Adviser’s and our Board’s assessment of market and other factors at the time of any proposed borrowing. We cannot assure you that we will be able to obtain credit at all or on terms acceptable to us.</w:t>
      </w:r>
    </w:p>
    <w:p>
      <w:pPr>
        <w:spacing w:after="0" w:line="166" w:lineRule="exact"/>
        <w:rPr>
          <w:sz w:val="20"/>
          <w:szCs w:val="20"/>
          <w:color w:val="auto"/>
        </w:rPr>
      </w:pPr>
    </w:p>
    <w:p>
      <w:pPr>
        <w:ind w:right="540" w:firstLine="255"/>
        <w:spacing w:after="0" w:line="277" w:lineRule="auto"/>
        <w:rPr>
          <w:sz w:val="20"/>
          <w:szCs w:val="20"/>
          <w:color w:val="auto"/>
        </w:rPr>
      </w:pPr>
      <w:r>
        <w:rPr>
          <w:rFonts w:ascii="Arial" w:cs="Arial" w:eastAsia="Arial" w:hAnsi="Arial"/>
          <w:sz w:val="18"/>
          <w:szCs w:val="18"/>
          <w:color w:val="auto"/>
        </w:rPr>
        <w:t>Our credit facilities and indentures governing our indebtedness also impose financial and operating covenants that restrict our business activities, remedies on default and similar matters. As of June 30, 2021, we are in compliance with the covenants of our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7" w:name="page78"/>
    <w:bookmarkEnd w:id="77"/>
    <w:p>
      <w:pPr>
        <w:ind w:right="40"/>
        <w:spacing w:after="0" w:line="255" w:lineRule="auto"/>
        <w:rPr>
          <w:sz w:val="20"/>
          <w:szCs w:val="20"/>
          <w:color w:val="auto"/>
        </w:rPr>
      </w:pPr>
      <w:r>
        <w:rPr>
          <w:rFonts w:ascii="Arial" w:cs="Arial" w:eastAsia="Arial" w:hAnsi="Arial"/>
          <w:sz w:val="18"/>
          <w:szCs w:val="18"/>
          <w:color w:val="auto"/>
        </w:rPr>
        <w:t>credit facilities and indentures. However, our continued compliance with these covenants depends on many factors, some of which are beyond our control. Accordingly, although we believe we will continue to be in compliance, we cannot assure you that we will continue to comply with the covenants in our credit facilities and indentures. Failure to comply with these covenants could result in a default. If we were unable to obtain a waiver of a default from the lenders or holders of that indebtedness, as applicable, those lenders or holders could accelerate repayment under that indebtedness. An acceleration could have a material adverse impact on our business, financial condition and results of operations. Lastly, we may be unable to obtain additional leverage, which would, in turn, affect our return on capital.</w:t>
      </w:r>
    </w:p>
    <w:p>
      <w:pPr>
        <w:spacing w:after="0" w:line="192" w:lineRule="exact"/>
        <w:rPr>
          <w:sz w:val="20"/>
          <w:szCs w:val="20"/>
          <w:color w:val="auto"/>
        </w:rPr>
      </w:pPr>
    </w:p>
    <w:p>
      <w:pPr>
        <w:ind w:right="100" w:firstLine="255"/>
        <w:spacing w:after="0" w:line="273" w:lineRule="auto"/>
        <w:rPr>
          <w:sz w:val="20"/>
          <w:szCs w:val="20"/>
          <w:color w:val="auto"/>
        </w:rPr>
      </w:pPr>
      <w:r>
        <w:rPr>
          <w:rFonts w:ascii="Arial" w:cs="Arial" w:eastAsia="Arial" w:hAnsi="Arial"/>
          <w:sz w:val="17"/>
          <w:szCs w:val="17"/>
          <w:color w:val="auto"/>
        </w:rPr>
        <w:t>As of June 30, 2021, we had $1,326.0 million of outstanding indebtedness, which had an annualized interest cost of 2.30% under the terms of our debt, excluding fees (such as fees on undrawn amounts and amortization of upfront fees) and giving effect to the swap-adjusted interest rates on our 2022 Convertible Notes, 2023 Notes, 2024 Notes and 2026 Notes. As of June 30, 2021, as adjusted to give effect to the interest rate swaps, the interest rate on the 2022 Convertible Notes was three-month LIBOR plus 2.11% (on a weighted-average basis) and the interest rate on the 2023 Notes was three-month LIBOR plus 1.99%, and the interest rate on the 2024 Notes was three-month LIBOR plus 2.28% (on a weighted-average basis), and the interest rate on the 2026 Notes was three-month LIBOR plus 1.91%.</w:t>
      </w:r>
    </w:p>
    <w:p>
      <w:pPr>
        <w:spacing w:after="0" w:line="178" w:lineRule="exact"/>
        <w:rPr>
          <w:sz w:val="20"/>
          <w:szCs w:val="20"/>
          <w:color w:val="auto"/>
        </w:rPr>
      </w:pPr>
    </w:p>
    <w:p>
      <w:pPr>
        <w:ind w:right="140" w:firstLine="255"/>
        <w:spacing w:after="0" w:line="263" w:lineRule="auto"/>
        <w:rPr>
          <w:sz w:val="20"/>
          <w:szCs w:val="20"/>
          <w:color w:val="auto"/>
        </w:rPr>
      </w:pPr>
      <w:r>
        <w:rPr>
          <w:rFonts w:ascii="Arial" w:cs="Arial" w:eastAsia="Arial" w:hAnsi="Arial"/>
          <w:sz w:val="18"/>
          <w:szCs w:val="18"/>
          <w:color w:val="auto"/>
        </w:rPr>
        <w:t>For us to cover these annualized interest payments on indebtedness, we must achieve annual returns on our investments of at least 1.2%. Since we generally pay interest at a floating rate on our debt, an increase in interest rates will generally increase our borrowing costs. We expect that our annualized interest cost and returns required to cover interest will increase if we issue additional debt securities.</w:t>
      </w:r>
    </w:p>
    <w:p>
      <w:pPr>
        <w:spacing w:after="0" w:line="184" w:lineRule="exact"/>
        <w:rPr>
          <w:sz w:val="20"/>
          <w:szCs w:val="20"/>
          <w:color w:val="auto"/>
        </w:rPr>
      </w:pPr>
    </w:p>
    <w:p>
      <w:pPr>
        <w:ind w:right="40" w:firstLine="255"/>
        <w:spacing w:after="0" w:line="279" w:lineRule="auto"/>
        <w:rPr>
          <w:sz w:val="20"/>
          <w:szCs w:val="20"/>
          <w:color w:val="auto"/>
        </w:rPr>
      </w:pPr>
      <w:r>
        <w:rPr>
          <w:rFonts w:ascii="Arial" w:cs="Arial" w:eastAsia="Arial" w:hAnsi="Arial"/>
          <w:sz w:val="17"/>
          <w:szCs w:val="17"/>
          <w:color w:val="auto"/>
        </w:rPr>
        <w:t>In order to assist investors in understanding the effects of leverage, the following table illustrates the effect of leverage on returns from an investment in our common stock assuming various annual returns, net of expenses. Leverage generally magnifies the return of stockholders when the portfolio return is positive and magnifies their losses when the portfolio return is negative. Actual returns may be greater or less than those appearing in the table. The calculations in the table below are hypothetical and actual returns may be higher or lower than those appearing below.</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Effects of Leverage Based on Actual Amount of Borrowings Incurred by us as of June 30, 2021</w:t>
      </w:r>
    </w:p>
    <w:p>
      <w:pPr>
        <w:spacing w:after="0" w:line="221" w:lineRule="exact"/>
        <w:rPr>
          <w:sz w:val="20"/>
          <w:szCs w:val="20"/>
          <w:color w:val="auto"/>
        </w:rPr>
      </w:pPr>
    </w:p>
    <w:p>
      <w:pPr>
        <w:jc w:val="center"/>
        <w:ind w:left="4420"/>
        <w:spacing w:after="0"/>
        <w:rPr>
          <w:sz w:val="20"/>
          <w:szCs w:val="20"/>
          <w:color w:val="auto"/>
        </w:rPr>
      </w:pPr>
      <w:r>
        <w:rPr>
          <w:rFonts w:ascii="Arial" w:cs="Arial" w:eastAsia="Arial" w:hAnsi="Arial"/>
          <w:sz w:val="14"/>
          <w:szCs w:val="14"/>
          <w:b w:val="1"/>
          <w:bCs w:val="1"/>
          <w:color w:val="auto"/>
        </w:rPr>
        <w:t>Assumed Return on Our Portfolio</w:t>
      </w:r>
    </w:p>
    <w:p>
      <w:pPr>
        <w:spacing w:after="0" w:line="4" w:lineRule="exact"/>
        <w:rPr>
          <w:sz w:val="20"/>
          <w:szCs w:val="20"/>
          <w:color w:val="auto"/>
        </w:rPr>
      </w:pPr>
    </w:p>
    <w:p>
      <w:pPr>
        <w:jc w:val="center"/>
        <w:ind w:left="4420"/>
        <w:spacing w:after="0"/>
        <w:rPr>
          <w:sz w:val="20"/>
          <w:szCs w:val="20"/>
          <w:color w:val="auto"/>
        </w:rPr>
      </w:pPr>
      <w:r>
        <w:rPr>
          <w:rFonts w:ascii="Arial" w:cs="Arial" w:eastAsia="Arial" w:hAnsi="Arial"/>
          <w:sz w:val="14"/>
          <w:szCs w:val="14"/>
          <w:b w:val="1"/>
          <w:bCs w:val="1"/>
          <w:color w:val="auto"/>
        </w:rPr>
        <w:t xml:space="preserve">(net of expenses) </w:t>
      </w:r>
      <w:r>
        <w:rPr>
          <w:rFonts w:ascii="Arial" w:cs="Arial" w:eastAsia="Arial" w:hAnsi="Arial"/>
          <w:sz w:val="12"/>
          <w:szCs w:val="12"/>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2996565</wp:posOffset>
            </wp:positionH>
            <wp:positionV relativeFrom="paragraph">
              <wp:posOffset>-3175</wp:posOffset>
            </wp:positionV>
            <wp:extent cx="396049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960495" cy="8255"/>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-10%</w:t>
            </w:r>
          </w:p>
        </w:tc>
        <w:tc>
          <w:tcPr>
            <w:tcW w:w="4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-5%</w:t>
            </w:r>
          </w:p>
        </w:tc>
        <w:tc>
          <w:tcPr>
            <w:tcW w:w="4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0%</w:t>
            </w:r>
          </w:p>
        </w:tc>
        <w:tc>
          <w:tcPr>
            <w:tcW w:w="40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5%</w:t>
            </w:r>
          </w:p>
        </w:tc>
        <w:tc>
          <w:tcPr>
            <w:tcW w:w="42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10%</w:t>
            </w:r>
          </w:p>
        </w:tc>
        <w:tc>
          <w:tcPr>
            <w:tcW w:w="280" w:type="dxa"/>
            <w:vAlign w:val="bottom"/>
            <w:tcBorders>
              <w:bottom w:val="single" w:sz="8" w:color="CCEEFF"/>
            </w:tcBorders>
          </w:tcPr>
          <w:p>
            <w:pPr>
              <w:spacing w:after="0"/>
              <w:rPr>
                <w:sz w:val="14"/>
                <w:szCs w:val="14"/>
                <w:color w:val="auto"/>
              </w:rPr>
            </w:pPr>
          </w:p>
        </w:tc>
      </w:tr>
      <w:tr>
        <w:trPr>
          <w:trHeight w:val="210"/>
        </w:trPr>
        <w:tc>
          <w:tcPr>
            <w:tcW w:w="4580" w:type="dxa"/>
            <w:vAlign w:val="bottom"/>
            <w:shd w:val="clear" w:color="auto" w:fill="CCEEFF"/>
          </w:tcPr>
          <w:p>
            <w:pPr>
              <w:spacing w:after="0" w:line="210" w:lineRule="exact"/>
              <w:rPr>
                <w:sz w:val="20"/>
                <w:szCs w:val="20"/>
                <w:color w:val="auto"/>
              </w:rPr>
            </w:pPr>
            <w:r>
              <w:rPr>
                <w:rFonts w:ascii="Arial" w:cs="Arial" w:eastAsia="Arial" w:hAnsi="Arial"/>
                <w:sz w:val="18"/>
                <w:szCs w:val="18"/>
                <w:color w:val="auto"/>
              </w:rPr>
              <w:t xml:space="preserve">Corresponding return to stockholder </w:t>
            </w:r>
            <w:r>
              <w:rPr>
                <w:rFonts w:ascii="Arial" w:cs="Arial" w:eastAsia="Arial" w:hAnsi="Arial"/>
                <w:sz w:val="21"/>
                <w:szCs w:val="21"/>
                <w:color w:val="auto"/>
                <w:vertAlign w:val="superscript"/>
              </w:rPr>
              <w:t>(2)</w:t>
            </w:r>
          </w:p>
        </w:tc>
        <w:tc>
          <w:tcPr>
            <w:tcW w:w="15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-23.8%</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-13.2%</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18.8%</w:t>
            </w:r>
          </w:p>
        </w:tc>
      </w:tr>
    </w:tbl>
    <w:p>
      <w:pPr>
        <w:spacing w:after="0" w:line="202" w:lineRule="exact"/>
        <w:rPr>
          <w:sz w:val="20"/>
          <w:szCs w:val="20"/>
          <w:color w:val="auto"/>
        </w:rPr>
      </w:pPr>
    </w:p>
    <w:p>
      <w:pPr>
        <w:ind w:left="500" w:right="40" w:hanging="492"/>
        <w:spacing w:after="0" w:line="271" w:lineRule="auto"/>
        <w:tabs>
          <w:tab w:leader="none" w:pos="5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assumed portfolio return is required by SEC regulations and is not a prediction of, and does not represent, our projected or actual performance. Actual returns may be greater or less than those appearing in the table. Pursuant to SEC regulations, this table is calculated as of June 30, 2021. As a result, it has not been updated to take into account any changes in assets or leverage since June 30, 2021.</w:t>
      </w:r>
    </w:p>
    <w:p>
      <w:pPr>
        <w:ind w:left="500" w:right="100" w:hanging="492"/>
        <w:spacing w:after="0" w:line="253" w:lineRule="auto"/>
        <w:tabs>
          <w:tab w:leader="none" w:pos="5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 order to compute the “Corresponding return to stockholder,” the “Assumed Return on Our Portfolio” is multiplied by the total value of our assets at June 30, 2021 to obtain an assumed return to us. From this amount, the interest expense (calculated by multiplying the weighted average stated interest rate of 2.3% by the approximately $1,326.0 million of principal debt outstanding) is subtracted to determine the return available to stockholders. The return available to stockholders is then divided by the total value of our net assets at June 30, 2021 to determine the “Corresponding return to stockholder.”</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indebtedness could adversely affect our business, financial conditions or results of operations.</w:t>
      </w:r>
    </w:p>
    <w:p>
      <w:pPr>
        <w:spacing w:after="0" w:line="117" w:lineRule="exact"/>
        <w:rPr>
          <w:sz w:val="20"/>
          <w:szCs w:val="20"/>
          <w:color w:val="auto"/>
        </w:rPr>
      </w:pPr>
    </w:p>
    <w:p>
      <w:pPr>
        <w:ind w:right="60" w:firstLine="255"/>
        <w:spacing w:after="0" w:line="293" w:lineRule="auto"/>
        <w:rPr>
          <w:sz w:val="20"/>
          <w:szCs w:val="20"/>
          <w:color w:val="auto"/>
        </w:rPr>
      </w:pPr>
      <w:r>
        <w:rPr>
          <w:rFonts w:ascii="Arial" w:cs="Arial" w:eastAsia="Arial" w:hAnsi="Arial"/>
          <w:sz w:val="16"/>
          <w:szCs w:val="16"/>
          <w:color w:val="auto"/>
        </w:rPr>
        <w:t>We cannot assure you that our business will generate sufficient cash flow from operations or that future borrowings will be available to us under our credit facilities or otherwise in an amount sufficient to enable us to pay our indebtedness or to fund our other liquidity needs. We may need to refinance all or a portion of our indebtedness on or before it matures. We cannot assure you that we will be able to refinance any of our indebtedness on commercially reasonable terms or at all. If we cannot service our indebtedness, we may have to take actions such as selling assets or seeking additional equity. We cannot assure you that any such actions, if necessary, could be effected on commercially reasonable terms or at all, or on terms that would not be disadvantageous to our stockholders or on terms that would not require us to breach the terms and conditions of our existing or future debt agreements.</w:t>
      </w:r>
    </w:p>
    <w:p>
      <w:pPr>
        <w:spacing w:after="0" w:line="27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Even in the event the value of your investment declines, the Management Fee and, in certain circumstances, the Incentive Fee will still be payable to the Adviser.</w:t>
      </w:r>
    </w:p>
    <w:p>
      <w:pPr>
        <w:spacing w:after="0" w:line="62" w:lineRule="exact"/>
        <w:rPr>
          <w:sz w:val="20"/>
          <w:szCs w:val="20"/>
          <w:color w:val="auto"/>
        </w:rPr>
      </w:pPr>
    </w:p>
    <w:p>
      <w:pPr>
        <w:ind w:right="20" w:firstLine="255"/>
        <w:spacing w:after="0" w:line="277" w:lineRule="auto"/>
        <w:rPr>
          <w:sz w:val="20"/>
          <w:szCs w:val="20"/>
          <w:color w:val="auto"/>
        </w:rPr>
      </w:pPr>
      <w:r>
        <w:rPr>
          <w:rFonts w:ascii="Arial" w:cs="Arial" w:eastAsia="Arial" w:hAnsi="Arial"/>
          <w:sz w:val="18"/>
          <w:szCs w:val="18"/>
          <w:color w:val="auto"/>
        </w:rPr>
        <w:t>Even in the event the value of your investment declines, the Management Fee and, in certain circumstances, the Incentive Fee will still be payable to the Adviser. The Management Fee is calculated as a percentage of the value of our gross assets at a specific time,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8" w:name="page79"/>
    <w:bookmarkEnd w:id="78"/>
    <w:p>
      <w:pPr>
        <w:ind w:right="220"/>
        <w:spacing w:after="0" w:line="279" w:lineRule="auto"/>
        <w:rPr>
          <w:sz w:val="20"/>
          <w:szCs w:val="20"/>
          <w:color w:val="auto"/>
        </w:rPr>
      </w:pPr>
      <w:r>
        <w:rPr>
          <w:rFonts w:ascii="Arial" w:cs="Arial" w:eastAsia="Arial" w:hAnsi="Arial"/>
          <w:sz w:val="17"/>
          <w:szCs w:val="17"/>
          <w:color w:val="auto"/>
        </w:rPr>
        <w:t>which would include any borrowings for investment purposes, and may give our Adviser an incentive to use leverage to make additional investments. In addition, the Management Fee is payable regardless of whether the value of our gross assets or your investment have decreased. The use of increased leverage may increase the likelihood of default, which would disfavor holders of our common stock. Given the subjective nature of the investment decisions that our Adviser will make on our behalf, we may not be able to monitor this potential conflict of interest.</w:t>
      </w:r>
    </w:p>
    <w:p>
      <w:pPr>
        <w:spacing w:after="0" w:line="171" w:lineRule="exact"/>
        <w:rPr>
          <w:sz w:val="20"/>
          <w:szCs w:val="20"/>
          <w:color w:val="auto"/>
        </w:rPr>
      </w:pPr>
    </w:p>
    <w:p>
      <w:pPr>
        <w:ind w:right="40" w:firstLine="255"/>
        <w:spacing w:after="0" w:line="291" w:lineRule="auto"/>
        <w:rPr>
          <w:sz w:val="20"/>
          <w:szCs w:val="20"/>
          <w:color w:val="auto"/>
        </w:rPr>
      </w:pPr>
      <w:r>
        <w:rPr>
          <w:rFonts w:ascii="Arial" w:cs="Arial" w:eastAsia="Arial" w:hAnsi="Arial"/>
          <w:sz w:val="16"/>
          <w:szCs w:val="16"/>
          <w:color w:val="auto"/>
        </w:rPr>
        <w:t>The Incentive Fee is calculated as a percentage of pre-Incentive Fee net investment income. Since pre-Incentive Fee net investment income does not include any realized capital gains, realized capital losses or unrealized capital gains or losses, it is possible that we may pay an Incentive Fee in a quarter in which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in that quarter and, as a result, that an Incentive Fee is paid for that quarter. Our net investment income used to calculate this component of the Incentive Fee is also included in the amount of our gross assets used to calculate the Management Fee.</w:t>
      </w:r>
    </w:p>
    <w:p>
      <w:pPr>
        <w:spacing w:after="0" w:line="166" w:lineRule="exact"/>
        <w:rPr>
          <w:sz w:val="20"/>
          <w:szCs w:val="20"/>
          <w:color w:val="auto"/>
        </w:rPr>
      </w:pPr>
    </w:p>
    <w:p>
      <w:pPr>
        <w:ind w:right="120" w:firstLine="255"/>
        <w:spacing w:after="0" w:line="279" w:lineRule="auto"/>
        <w:rPr>
          <w:sz w:val="20"/>
          <w:szCs w:val="20"/>
          <w:color w:val="auto"/>
        </w:rPr>
      </w:pPr>
      <w:r>
        <w:rPr>
          <w:rFonts w:ascii="Arial" w:cs="Arial" w:eastAsia="Arial" w:hAnsi="Arial"/>
          <w:sz w:val="17"/>
          <w:szCs w:val="17"/>
          <w:color w:val="auto"/>
        </w:rPr>
        <w:t>Also, one component of the Incentive Fee is calculated annually based upon our realized capital gains, computed net of realized capital losses and unrealized capital losses on a cumulative basis. As a result, we may owe the Adviser an Incentive Fee during one year as a result of realized capital gains on certain investments, and then incur significant realized capital losses and unrealized capital losses on the remaining investments in our portfolio during subsequent years. Incentive Fees earned in prior years cannot be clawed back even if we later incur losses.</w:t>
      </w:r>
    </w:p>
    <w:p>
      <w:pPr>
        <w:spacing w:after="0" w:line="171" w:lineRule="exact"/>
        <w:rPr>
          <w:sz w:val="20"/>
          <w:szCs w:val="20"/>
          <w:color w:val="auto"/>
        </w:rPr>
      </w:pPr>
    </w:p>
    <w:p>
      <w:pPr>
        <w:ind w:firstLine="255"/>
        <w:spacing w:after="0" w:line="293" w:lineRule="auto"/>
        <w:rPr>
          <w:sz w:val="20"/>
          <w:szCs w:val="20"/>
          <w:color w:val="auto"/>
        </w:rPr>
      </w:pPr>
      <w:r>
        <w:rPr>
          <w:rFonts w:ascii="Arial" w:cs="Arial" w:eastAsia="Arial" w:hAnsi="Arial"/>
          <w:sz w:val="16"/>
          <w:szCs w:val="16"/>
          <w:color w:val="auto"/>
        </w:rPr>
        <w:t>In addition, the Incentive Fee payable by us to the Adviser may create an incentive for the Adviser to make investments on our behalf that are risky or more speculative than would be the case in the absence of such a compensation arrangement. The Adviser receives the Incentive Fee based, in part, upon capital gains realized on our investments. Unlike the portion of the Incentive Fee that is based on income, there is no hurdle rate applicable to the portion of the Incentive Fee based on capital gains. As a result, the Adviser may have an incentive to invest more in companies whose securities are likely to yield capital gains, as compared to income-producing investments. Such a practice could result in our making more speculative investments than would otherwise be the case, which could result in higher investment losses, particularly during cyclical economic downturns.</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17" w:lineRule="exact"/>
        <w:rPr>
          <w:sz w:val="20"/>
          <w:szCs w:val="20"/>
          <w:color w:val="auto"/>
        </w:rPr>
      </w:pPr>
    </w:p>
    <w:p>
      <w:pPr>
        <w:ind w:left="760" w:hanging="509"/>
        <w:spacing w:after="0"/>
        <w:tabs>
          <w:tab w:leader="none" w:pos="76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tabs>
          <w:tab w:leader="none" w:pos="620" w:val="left"/>
        </w:tabs>
        <w:rPr>
          <w:rFonts w:ascii="Arial" w:cs="Arial" w:eastAsia="Arial" w:hAnsi="Arial"/>
          <w:sz w:val="16"/>
          <w:szCs w:val="16"/>
          <w:u w:val="single" w:color="auto"/>
          <w:color w:val="0000EE"/>
        </w:rPr>
      </w:pPr>
      <w:r>
        <w:rPr>
          <w:rFonts w:ascii="Arial" w:cs="Arial" w:eastAsia="Arial" w:hAnsi="Arial"/>
          <w:sz w:val="18"/>
          <w:szCs w:val="18"/>
          <w:color w:val="auto"/>
        </w:rPr>
        <w:t>31.1</w:t>
      </w:r>
      <w:r>
        <w:rPr>
          <w:sz w:val="20"/>
          <w:szCs w:val="20"/>
          <w:color w:val="auto"/>
        </w:rPr>
        <w:tab/>
      </w:r>
      <w:hyperlink w:anchor="page82">
        <w:r>
          <w:rPr>
            <w:rFonts w:ascii="Arial" w:cs="Arial" w:eastAsia="Arial" w:hAnsi="Arial"/>
            <w:sz w:val="16"/>
            <w:szCs w:val="16"/>
            <w:u w:val="single" w:color="auto"/>
            <w:color w:val="0000EE"/>
          </w:rPr>
          <w:t>Certification of Chief Executive Officer Pursuant to 18 U.S.C. Section 1350, as Adopted Pursuant to Section 302 of the Sarbanes-Oxley Act of</w:t>
        </w:r>
      </w:hyperlink>
    </w:p>
    <w:p>
      <w:pPr>
        <w:spacing w:after="0" w:line="23" w:lineRule="exact"/>
        <w:rPr>
          <w:sz w:val="20"/>
          <w:szCs w:val="20"/>
          <w:color w:val="auto"/>
        </w:rPr>
      </w:pPr>
    </w:p>
    <w:p>
      <w:pPr>
        <w:ind w:left="640"/>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2002</w:t>
        </w:r>
      </w:hyperlink>
    </w:p>
    <w:p>
      <w:pPr>
        <w:spacing w:after="0" w:line="211" w:lineRule="exact"/>
        <w:rPr>
          <w:sz w:val="20"/>
          <w:szCs w:val="20"/>
          <w:color w:val="auto"/>
        </w:rPr>
      </w:pPr>
    </w:p>
    <w:p>
      <w:pPr>
        <w:spacing w:after="0"/>
        <w:tabs>
          <w:tab w:leader="none" w:pos="620" w:val="left"/>
        </w:tabs>
        <w:rPr>
          <w:rFonts w:ascii="Arial" w:cs="Arial" w:eastAsia="Arial" w:hAnsi="Arial"/>
          <w:sz w:val="16"/>
          <w:szCs w:val="16"/>
          <w:u w:val="single" w:color="auto"/>
          <w:color w:val="0000EE"/>
        </w:rPr>
      </w:pPr>
      <w:r>
        <w:rPr>
          <w:rFonts w:ascii="Arial" w:cs="Arial" w:eastAsia="Arial" w:hAnsi="Arial"/>
          <w:sz w:val="18"/>
          <w:szCs w:val="18"/>
          <w:color w:val="auto"/>
        </w:rPr>
        <w:t>31.2</w:t>
      </w:r>
      <w:r>
        <w:rPr>
          <w:sz w:val="20"/>
          <w:szCs w:val="20"/>
          <w:color w:val="auto"/>
        </w:rPr>
        <w:tab/>
      </w:r>
      <w:hyperlink w:anchor="page83">
        <w:r>
          <w:rPr>
            <w:rFonts w:ascii="Arial" w:cs="Arial" w:eastAsia="Arial" w:hAnsi="Arial"/>
            <w:sz w:val="16"/>
            <w:szCs w:val="16"/>
            <w:u w:val="single" w:color="auto"/>
            <w:color w:val="0000EE"/>
          </w:rPr>
          <w:t>Certification of Chief Financial Officer Pursuant to 18 U.S.C. Section 1350, as Adopted Pursuant to Section 302 of the Sarbanes-Oxley Act of</w:t>
        </w:r>
      </w:hyperlink>
    </w:p>
    <w:p>
      <w:pPr>
        <w:spacing w:after="0" w:line="23" w:lineRule="exact"/>
        <w:rPr>
          <w:sz w:val="20"/>
          <w:szCs w:val="20"/>
          <w:color w:val="auto"/>
        </w:rPr>
      </w:pPr>
    </w:p>
    <w:p>
      <w:pPr>
        <w:ind w:left="640"/>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2002</w:t>
        </w:r>
      </w:hyperlink>
    </w:p>
    <w:p>
      <w:pPr>
        <w:spacing w:after="0" w:line="211" w:lineRule="exact"/>
        <w:rPr>
          <w:sz w:val="20"/>
          <w:szCs w:val="20"/>
          <w:color w:val="auto"/>
        </w:rPr>
      </w:pPr>
    </w:p>
    <w:p>
      <w:pPr>
        <w:ind w:left="640" w:hanging="632"/>
        <w:spacing w:after="0"/>
        <w:tabs>
          <w:tab w:leader="none" w:pos="640" w:val="left"/>
        </w:tabs>
        <w:numPr>
          <w:ilvl w:val="0"/>
          <w:numId w:val="57"/>
        </w:numPr>
        <w:rPr>
          <w:rFonts w:ascii="Arial" w:cs="Arial" w:eastAsia="Arial" w:hAnsi="Arial"/>
          <w:sz w:val="16"/>
          <w:szCs w:val="16"/>
          <w:u w:val="single" w:color="auto"/>
          <w:color w:val="0000EE"/>
        </w:rPr>
      </w:pPr>
      <w:hyperlink w:anchor="page84">
        <w:r>
          <w:rPr>
            <w:rFonts w:ascii="Arial" w:cs="Arial" w:eastAsia="Arial" w:hAnsi="Arial"/>
            <w:sz w:val="16"/>
            <w:szCs w:val="16"/>
            <w:u w:val="single" w:color="auto"/>
            <w:color w:val="0000EE"/>
          </w:rPr>
          <w:t>Certification of CEO and CFO Pursuant to 18 U.S.C. Section 1350, as Adopted Pursuant to Section 906 of the Sarbanes-Oxley Act of 2002</w:t>
        </w:r>
      </w:hyperlink>
    </w:p>
    <w:p>
      <w:pPr>
        <w:spacing w:after="0" w:line="200" w:lineRule="exact"/>
        <w:rPr>
          <w:rFonts w:ascii="Arial" w:cs="Arial" w:eastAsia="Arial" w:hAnsi="Arial"/>
          <w:sz w:val="16"/>
          <w:szCs w:val="16"/>
          <w:u w:val="single" w:color="auto"/>
          <w:color w:val="0000EE"/>
        </w:rPr>
      </w:pPr>
    </w:p>
    <w:p>
      <w:pPr>
        <w:spacing w:after="0" w:line="200" w:lineRule="exact"/>
        <w:rPr>
          <w:rFonts w:ascii="Arial" w:cs="Arial" w:eastAsia="Arial" w:hAnsi="Arial"/>
          <w:sz w:val="16"/>
          <w:szCs w:val="16"/>
          <w:u w:val="single" w:color="auto"/>
          <w:color w:val="0000EE"/>
        </w:rPr>
      </w:pPr>
    </w:p>
    <w:p>
      <w:pPr>
        <w:spacing w:after="0" w:line="200" w:lineRule="exact"/>
        <w:rPr>
          <w:rFonts w:ascii="Arial" w:cs="Arial" w:eastAsia="Arial" w:hAnsi="Arial"/>
          <w:sz w:val="16"/>
          <w:szCs w:val="16"/>
          <w:u w:val="single" w:color="auto"/>
          <w:color w:val="0000EE"/>
        </w:rPr>
      </w:pPr>
    </w:p>
    <w:p>
      <w:pPr>
        <w:spacing w:after="0" w:line="228" w:lineRule="exact"/>
        <w:rPr>
          <w:rFonts w:ascii="Arial" w:cs="Arial" w:eastAsia="Arial" w:hAnsi="Arial"/>
          <w:sz w:val="16"/>
          <w:szCs w:val="16"/>
          <w:u w:val="single" w:color="auto"/>
          <w:color w:val="0000EE"/>
        </w:rPr>
      </w:pPr>
    </w:p>
    <w:p>
      <w:pPr>
        <w:ind w:left="5540"/>
        <w:spacing w:after="0"/>
        <w:rPr>
          <w:rFonts w:ascii="Arial" w:cs="Arial" w:eastAsia="Arial" w:hAnsi="Arial"/>
          <w:sz w:val="16"/>
          <w:szCs w:val="16"/>
          <w:u w:val="single" w:color="auto"/>
          <w:color w:val="0000EE"/>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940"/>
          </w:cols>
          <w:pgMar w:left="320" w:top="337" w:right="6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right="40" w:firstLine="255"/>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7700" w:type="dxa"/>
            <w:vAlign w:val="bottom"/>
            <w:gridSpan w:val="2"/>
          </w:tcPr>
          <w:p>
            <w:pPr>
              <w:ind w:left="3240"/>
              <w:spacing w:after="0"/>
              <w:rPr>
                <w:sz w:val="20"/>
                <w:szCs w:val="20"/>
                <w:color w:val="auto"/>
              </w:rPr>
            </w:pPr>
            <w:r>
              <w:rPr>
                <w:rFonts w:ascii="Arial" w:cs="Arial" w:eastAsia="Arial" w:hAnsi="Arial"/>
                <w:sz w:val="18"/>
                <w:szCs w:val="18"/>
                <w:color w:val="auto"/>
              </w:rPr>
              <w:t>SIXTH STREET SPECIALTY LENDING, INC.</w:t>
            </w:r>
          </w:p>
        </w:tc>
      </w:tr>
      <w:tr>
        <w:trPr>
          <w:trHeight w:val="459"/>
        </w:trPr>
        <w:tc>
          <w:tcPr>
            <w:tcW w:w="3540" w:type="dxa"/>
            <w:vAlign w:val="bottom"/>
          </w:tcPr>
          <w:p>
            <w:pPr>
              <w:spacing w:after="0"/>
              <w:rPr>
                <w:sz w:val="20"/>
                <w:szCs w:val="20"/>
                <w:color w:val="auto"/>
              </w:rPr>
            </w:pPr>
            <w:r>
              <w:rPr>
                <w:rFonts w:ascii="Arial" w:cs="Arial" w:eastAsia="Arial" w:hAnsi="Arial"/>
                <w:sz w:val="18"/>
                <w:szCs w:val="18"/>
                <w:color w:val="auto"/>
              </w:rPr>
              <w:t>Date: August 3, 2021</w:t>
            </w:r>
          </w:p>
        </w:tc>
        <w:tc>
          <w:tcPr>
            <w:tcW w:w="7700" w:type="dxa"/>
            <w:vAlign w:val="bottom"/>
            <w:gridSpan w:val="2"/>
          </w:tcPr>
          <w:p>
            <w:pPr>
              <w:ind w:left="3240"/>
              <w:spacing w:after="0"/>
              <w:rPr>
                <w:sz w:val="20"/>
                <w:szCs w:val="20"/>
                <w:color w:val="auto"/>
              </w:rPr>
            </w:pPr>
            <w:r>
              <w:rPr>
                <w:rFonts w:ascii="Arial" w:cs="Arial" w:eastAsia="Arial" w:hAnsi="Arial"/>
                <w:sz w:val="18"/>
                <w:szCs w:val="18"/>
                <w:color w:val="auto"/>
              </w:rPr>
              <w:t>By: /s/ Joshua Easterly</w:t>
            </w:r>
          </w:p>
        </w:tc>
      </w:tr>
      <w:tr>
        <w:trPr>
          <w:trHeight w:val="195"/>
        </w:trPr>
        <w:tc>
          <w:tcPr>
            <w:tcW w:w="354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4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Joshua Easterly</w:t>
            </w:r>
          </w:p>
        </w:tc>
      </w:tr>
      <w:tr>
        <w:trPr>
          <w:trHeight w:val="230"/>
        </w:trPr>
        <w:tc>
          <w:tcPr>
            <w:tcW w:w="35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59"/>
        </w:trPr>
        <w:tc>
          <w:tcPr>
            <w:tcW w:w="3540" w:type="dxa"/>
            <w:vAlign w:val="bottom"/>
          </w:tcPr>
          <w:p>
            <w:pPr>
              <w:spacing w:after="0"/>
              <w:rPr>
                <w:sz w:val="20"/>
                <w:szCs w:val="20"/>
                <w:color w:val="auto"/>
              </w:rPr>
            </w:pPr>
            <w:r>
              <w:rPr>
                <w:rFonts w:ascii="Arial" w:cs="Arial" w:eastAsia="Arial" w:hAnsi="Arial"/>
                <w:sz w:val="18"/>
                <w:szCs w:val="18"/>
                <w:color w:val="auto"/>
              </w:rPr>
              <w:t>Date: August 3, 2021</w:t>
            </w:r>
          </w:p>
        </w:tc>
        <w:tc>
          <w:tcPr>
            <w:tcW w:w="7700" w:type="dxa"/>
            <w:vAlign w:val="bottom"/>
            <w:gridSpan w:val="2"/>
          </w:tcPr>
          <w:p>
            <w:pPr>
              <w:ind w:left="3240"/>
              <w:spacing w:after="0"/>
              <w:rPr>
                <w:sz w:val="20"/>
                <w:szCs w:val="20"/>
                <w:color w:val="auto"/>
              </w:rPr>
            </w:pPr>
            <w:r>
              <w:rPr>
                <w:rFonts w:ascii="Arial" w:cs="Arial" w:eastAsia="Arial" w:hAnsi="Arial"/>
                <w:sz w:val="18"/>
                <w:szCs w:val="18"/>
                <w:color w:val="auto"/>
              </w:rPr>
              <w:t>By: /s/ Ian Simmonds</w:t>
            </w:r>
          </w:p>
        </w:tc>
      </w:tr>
      <w:tr>
        <w:trPr>
          <w:trHeight w:val="195"/>
        </w:trPr>
        <w:tc>
          <w:tcPr>
            <w:tcW w:w="354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4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Ian Simmonds</w:t>
            </w:r>
          </w:p>
        </w:tc>
      </w:tr>
      <w:tr>
        <w:trPr>
          <w:trHeight w:val="230"/>
        </w:trPr>
        <w:tc>
          <w:tcPr>
            <w:tcW w:w="35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675"/>
        </w:trPr>
        <w:tc>
          <w:tcPr>
            <w:tcW w:w="3540" w:type="dxa"/>
            <w:vAlign w:val="bottom"/>
          </w:tcPr>
          <w:p>
            <w:pPr>
              <w:spacing w:after="0"/>
              <w:rPr>
                <w:sz w:val="24"/>
                <w:szCs w:val="24"/>
                <w:color w:val="auto"/>
              </w:rPr>
            </w:pPr>
          </w:p>
        </w:tc>
        <w:tc>
          <w:tcPr>
            <w:tcW w:w="3600" w:type="dxa"/>
            <w:vAlign w:val="bottom"/>
          </w:tcPr>
          <w:p>
            <w:pPr>
              <w:jc w:val="right"/>
              <w:ind w:right="1330"/>
              <w:spacing w:after="0"/>
              <w:rPr>
                <w:sz w:val="20"/>
                <w:szCs w:val="20"/>
                <w:color w:val="auto"/>
              </w:rPr>
            </w:pPr>
            <w:r>
              <w:rPr>
                <w:rFonts w:ascii="Arial" w:cs="Arial" w:eastAsia="Arial" w:hAnsi="Arial"/>
                <w:sz w:val="18"/>
                <w:szCs w:val="18"/>
                <w:color w:val="auto"/>
              </w:rPr>
              <w:t>81</w:t>
            </w:r>
          </w:p>
        </w:tc>
        <w:tc>
          <w:tcPr>
            <w:tcW w:w="4100" w:type="dxa"/>
            <w:vAlign w:val="bottom"/>
          </w:tcPr>
          <w:p>
            <w:pPr>
              <w:spacing w:after="0"/>
              <w:rPr>
                <w:sz w:val="24"/>
                <w:szCs w:val="24"/>
                <w:color w:val="auto"/>
              </w:rPr>
            </w:pPr>
          </w:p>
        </w:tc>
      </w:tr>
    </w:tbl>
    <w:p>
      <w:pPr>
        <w:sectPr>
          <w:pgSz w:w="11900" w:h="16838" w:orient="portrait"/>
          <w:cols w:equalWidth="0" w:num="1">
            <w:col w:w="11240"/>
          </w:cols>
          <w:pgMar w:left="320" w:top="553"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CEO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Joshua Easterly, certify that:</w:t>
      </w:r>
    </w:p>
    <w:p>
      <w:pPr>
        <w:spacing w:after="0" w:line="117" w:lineRule="exact"/>
        <w:rPr>
          <w:sz w:val="20"/>
          <w:szCs w:val="20"/>
          <w:color w:val="auto"/>
        </w:rPr>
      </w:pPr>
    </w:p>
    <w:p>
      <w:pPr>
        <w:ind w:left="760" w:hanging="509"/>
        <w:spacing w:after="0"/>
        <w:tabs>
          <w:tab w:leader="none" w:pos="7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Sixth Street Specialty Lending, Inc.;</w:t>
      </w:r>
    </w:p>
    <w:p>
      <w:pPr>
        <w:spacing w:after="0" w:line="117" w:lineRule="exact"/>
        <w:rPr>
          <w:rFonts w:ascii="Arial" w:cs="Arial" w:eastAsia="Arial" w:hAnsi="Arial"/>
          <w:sz w:val="18"/>
          <w:szCs w:val="18"/>
          <w:color w:val="auto"/>
        </w:rPr>
      </w:pPr>
    </w:p>
    <w:p>
      <w:pPr>
        <w:jc w:val="both"/>
        <w:ind w:left="760" w:right="20" w:hanging="509"/>
        <w:spacing w:after="0" w:line="263" w:lineRule="auto"/>
        <w:tabs>
          <w:tab w:leader="none" w:pos="7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760" w:right="260" w:hanging="509"/>
        <w:spacing w:after="0" w:line="308" w:lineRule="auto"/>
        <w:tabs>
          <w:tab w:leader="none" w:pos="7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760" w:right="20" w:hanging="509"/>
        <w:spacing w:after="0" w:line="263" w:lineRule="auto"/>
        <w:tabs>
          <w:tab w:leader="none" w:pos="7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260" w:right="160" w:hanging="496"/>
        <w:spacing w:after="0" w:line="263" w:lineRule="auto"/>
        <w:tabs>
          <w:tab w:leader="none" w:pos="12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260" w:right="80" w:hanging="496"/>
        <w:spacing w:after="0" w:line="263" w:lineRule="auto"/>
        <w:tabs>
          <w:tab w:leader="none" w:pos="12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75" w:lineRule="exact"/>
        <w:rPr>
          <w:rFonts w:ascii="Arial" w:cs="Arial" w:eastAsia="Arial" w:hAnsi="Arial"/>
          <w:sz w:val="18"/>
          <w:szCs w:val="18"/>
          <w:color w:val="auto"/>
        </w:rPr>
      </w:pPr>
    </w:p>
    <w:p>
      <w:pPr>
        <w:jc w:val="both"/>
        <w:ind w:left="1260" w:right="260" w:hanging="496"/>
        <w:spacing w:after="0" w:line="342" w:lineRule="auto"/>
        <w:tabs>
          <w:tab w:leader="none" w:pos="1260" w:val="left"/>
        </w:tabs>
        <w:numPr>
          <w:ilvl w:val="1"/>
          <w:numId w:val="5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260" w:right="120" w:hanging="496"/>
        <w:spacing w:after="0" w:line="263" w:lineRule="auto"/>
        <w:tabs>
          <w:tab w:leader="none" w:pos="12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760" w:right="180" w:hanging="509"/>
        <w:spacing w:after="0" w:line="342" w:lineRule="auto"/>
        <w:tabs>
          <w:tab w:leader="none" w:pos="7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260" w:right="500" w:hanging="496"/>
        <w:spacing w:after="0" w:line="342" w:lineRule="auto"/>
        <w:tabs>
          <w:tab w:leader="none" w:pos="1260" w:val="left"/>
        </w:tabs>
        <w:numPr>
          <w:ilvl w:val="1"/>
          <w:numId w:val="5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260" w:right="180" w:hanging="496"/>
        <w:spacing w:after="0" w:line="277" w:lineRule="auto"/>
        <w:tabs>
          <w:tab w:leader="none" w:pos="12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Date: August 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Joshua Easterly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4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Joshua Easterly</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337"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CFO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Ian Simmonds, certify that:</w:t>
      </w:r>
    </w:p>
    <w:p>
      <w:pPr>
        <w:spacing w:after="0" w:line="117" w:lineRule="exact"/>
        <w:rPr>
          <w:sz w:val="20"/>
          <w:szCs w:val="20"/>
          <w:color w:val="auto"/>
        </w:rPr>
      </w:pPr>
    </w:p>
    <w:p>
      <w:pPr>
        <w:ind w:left="760" w:hanging="509"/>
        <w:spacing w:after="0"/>
        <w:tabs>
          <w:tab w:leader="none" w:pos="7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Sixth Street Specialty Lending, Inc.;</w:t>
      </w:r>
    </w:p>
    <w:p>
      <w:pPr>
        <w:spacing w:after="0" w:line="117" w:lineRule="exact"/>
        <w:rPr>
          <w:rFonts w:ascii="Arial" w:cs="Arial" w:eastAsia="Arial" w:hAnsi="Arial"/>
          <w:sz w:val="18"/>
          <w:szCs w:val="18"/>
          <w:color w:val="auto"/>
        </w:rPr>
      </w:pPr>
    </w:p>
    <w:p>
      <w:pPr>
        <w:jc w:val="both"/>
        <w:ind w:left="760" w:right="20" w:hanging="509"/>
        <w:spacing w:after="0" w:line="263" w:lineRule="auto"/>
        <w:tabs>
          <w:tab w:leader="none" w:pos="7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760" w:right="260" w:hanging="509"/>
        <w:spacing w:after="0" w:line="308" w:lineRule="auto"/>
        <w:tabs>
          <w:tab w:leader="none" w:pos="7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760" w:right="20" w:hanging="509"/>
        <w:spacing w:after="0" w:line="263" w:lineRule="auto"/>
        <w:tabs>
          <w:tab w:leader="none" w:pos="7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260" w:right="160" w:hanging="496"/>
        <w:spacing w:after="0" w:line="263" w:lineRule="auto"/>
        <w:tabs>
          <w:tab w:leader="none" w:pos="12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260" w:right="80" w:hanging="496"/>
        <w:spacing w:after="0" w:line="263" w:lineRule="auto"/>
        <w:tabs>
          <w:tab w:leader="none" w:pos="12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75" w:lineRule="exact"/>
        <w:rPr>
          <w:rFonts w:ascii="Arial" w:cs="Arial" w:eastAsia="Arial" w:hAnsi="Arial"/>
          <w:sz w:val="18"/>
          <w:szCs w:val="18"/>
          <w:color w:val="auto"/>
        </w:rPr>
      </w:pPr>
    </w:p>
    <w:p>
      <w:pPr>
        <w:jc w:val="both"/>
        <w:ind w:left="1260" w:right="260" w:hanging="496"/>
        <w:spacing w:after="0" w:line="342" w:lineRule="auto"/>
        <w:tabs>
          <w:tab w:leader="none" w:pos="1260" w:val="left"/>
        </w:tabs>
        <w:numPr>
          <w:ilvl w:val="1"/>
          <w:numId w:val="5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260" w:right="120" w:hanging="496"/>
        <w:spacing w:after="0" w:line="263" w:lineRule="auto"/>
        <w:tabs>
          <w:tab w:leader="none" w:pos="12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760" w:right="180" w:hanging="509"/>
        <w:spacing w:after="0" w:line="342" w:lineRule="auto"/>
        <w:tabs>
          <w:tab w:leader="none" w:pos="7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260" w:right="500" w:hanging="496"/>
        <w:spacing w:after="0" w:line="342" w:lineRule="auto"/>
        <w:tabs>
          <w:tab w:leader="none" w:pos="1260" w:val="left"/>
        </w:tabs>
        <w:numPr>
          <w:ilvl w:val="1"/>
          <w:numId w:val="5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260" w:right="180" w:hanging="496"/>
        <w:spacing w:after="0" w:line="277" w:lineRule="auto"/>
        <w:tabs>
          <w:tab w:leader="none" w:pos="12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Date: August 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4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Ian Simmonds</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337"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In connection with the quarterly report on Form 10-Q of Sixth Street Specialty Lending, Inc. (the “Company”) for the quarterly period ended June 30, 2021, as filed with the Securities and Exchange Commission on the date hereof (the “Report”), Joshua Easterly as Chief Executive Officer of the Company, and Ian Simmonds, as Chief Financial Officer of the Company, each hereby certifies, pursuant to 18 U.S.C. § 1350, as adopted pursuant to § 906 of the Sarbanes-Oxley Act of 2002, that, to such officer’s knowledge:</w:t>
      </w:r>
    </w:p>
    <w:p>
      <w:pPr>
        <w:spacing w:after="0" w:line="79" w:lineRule="exact"/>
        <w:rPr>
          <w:sz w:val="20"/>
          <w:szCs w:val="20"/>
          <w:color w:val="auto"/>
        </w:rPr>
      </w:pPr>
    </w:p>
    <w:p>
      <w:pPr>
        <w:ind w:left="780" w:hanging="262"/>
        <w:spacing w:after="0"/>
        <w:tabs>
          <w:tab w:leader="none" w:pos="7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780" w:hanging="262"/>
        <w:spacing w:after="0"/>
        <w:tabs>
          <w:tab w:leader="none" w:pos="7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 Joshua Easterly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Name:</w:t>
        <w:tab/>
        <w:t>Joshua Easterly</w:t>
      </w:r>
    </w:p>
    <w:p>
      <w:pPr>
        <w:spacing w:after="0" w:line="2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Executive Officer</w:t>
      </w:r>
    </w:p>
    <w:p>
      <w:pPr>
        <w:spacing w:after="0" w:line="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3, 2021</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 Ian Simmonds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3780" w:type="dxa"/>
            <w:vAlign w:val="bottom"/>
            <w:tcBorders>
              <w:top w:val="single" w:sz="8" w:color="auto"/>
            </w:tcBorders>
          </w:tcPr>
          <w:p>
            <w:pPr>
              <w:ind w:left="200"/>
              <w:spacing w:after="0" w:line="195" w:lineRule="exact"/>
              <w:rPr>
                <w:sz w:val="20"/>
                <w:szCs w:val="20"/>
                <w:color w:val="auto"/>
              </w:rPr>
            </w:pPr>
            <w:r>
              <w:rPr>
                <w:rFonts w:ascii="Arial" w:cs="Arial" w:eastAsia="Arial" w:hAnsi="Arial"/>
                <w:sz w:val="18"/>
                <w:szCs w:val="18"/>
                <w:color w:val="auto"/>
              </w:rPr>
              <w:t>Ian Simmonds</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ind w:left="200"/>
              <w:spacing w:after="0"/>
              <w:rPr>
                <w:sz w:val="20"/>
                <w:szCs w:val="20"/>
                <w:color w:val="auto"/>
              </w:rPr>
            </w:pPr>
            <w:r>
              <w:rPr>
                <w:rFonts w:ascii="Arial" w:cs="Arial" w:eastAsia="Arial" w:hAnsi="Arial"/>
                <w:sz w:val="18"/>
                <w:szCs w:val="18"/>
                <w:color w:val="auto"/>
              </w:rPr>
              <w:t>Chief Financial Officer</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Date:</w:t>
            </w:r>
          </w:p>
        </w:tc>
        <w:tc>
          <w:tcPr>
            <w:tcW w:w="3780" w:type="dxa"/>
            <w:vAlign w:val="bottom"/>
          </w:tcPr>
          <w:p>
            <w:pPr>
              <w:ind w:left="200"/>
              <w:spacing w:after="0"/>
              <w:rPr>
                <w:sz w:val="20"/>
                <w:szCs w:val="20"/>
                <w:color w:val="auto"/>
              </w:rPr>
            </w:pPr>
            <w:r>
              <w:rPr>
                <w:rFonts w:ascii="Arial" w:cs="Arial" w:eastAsia="Arial" w:hAnsi="Arial"/>
                <w:sz w:val="18"/>
                <w:szCs w:val="18"/>
                <w:color w:val="auto"/>
              </w:rPr>
              <w:t>August 3, 2021</w:t>
            </w:r>
          </w:p>
        </w:tc>
      </w:tr>
    </w:tbl>
    <w:p>
      <w:pPr>
        <w:spacing w:after="0" w:line="202" w:lineRule="exact"/>
        <w:rPr>
          <w:sz w:val="20"/>
          <w:szCs w:val="20"/>
          <w:color w:val="auto"/>
        </w:rPr>
      </w:pPr>
    </w:p>
    <w:p>
      <w:pPr>
        <w:ind w:right="640" w:firstLine="510"/>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§1350 and is not being filed as part of the Report or as a separate disclosure document.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1"/>
      <w:numFmt w:val="decimal"/>
      <w:start w:val="1"/>
    </w:lvl>
    <w:lvl w:ilvl="1">
      <w:lvlJc w:val="left"/>
      <w:lvlText w:val="(%2)"/>
      <w:numFmt w:val="lowerLetter"/>
      <w:start w:val="1"/>
    </w:lvl>
  </w:abstractNum>
  <w:abstractNum w:abstractNumId="4">
    <w:nsid w:val="22221A70"/>
    <w:multiLevelType w:val="hybridMultilevel"/>
    <w:lvl w:ilvl="0">
      <w:lvlJc w:val="left"/>
      <w:lvlText w:val="(%1)"/>
      <w:numFmt w:val="decimal"/>
      <w:start w:val="1"/>
    </w:lvl>
    <w:lvl w:ilvl="1">
      <w:lvlJc w:val="left"/>
      <w:lvlText w:val="%2"/>
      <w:numFmt w:val="lowerLetter"/>
      <w:start w:val="1"/>
    </w:lvl>
  </w:abstractNum>
  <w:abstractNum w:abstractNumId="5">
    <w:nsid w:val="4516DDE9"/>
    <w:multiLevelType w:val="hybridMultilevel"/>
    <w:lvl w:ilvl="0">
      <w:lvlJc w:val="left"/>
      <w:lvlText w:val="(%1)"/>
      <w:numFmt w:val="decimal"/>
      <w:start w:val="3"/>
    </w:lvl>
  </w:abstractNum>
  <w:abstractNum w:abstractNumId="6">
    <w:nsid w:val="3006C83E"/>
    <w:multiLevelType w:val="hybridMultilevel"/>
    <w:lvl w:ilvl="0">
      <w:lvlJc w:val="left"/>
      <w:lvlText w:val="%1"/>
      <w:numFmt w:val="decimal"/>
      <w:start w:val="1"/>
    </w:lvl>
    <w:lvl w:ilvl="1">
      <w:lvlJc w:val="left"/>
      <w:lvlText w:val="(%2)"/>
      <w:numFmt w:val="lowerLetter"/>
      <w:start w:val="1"/>
    </w:lvl>
  </w:abstractNum>
  <w:abstractNum w:abstractNumId="7">
    <w:nsid w:val="614FD4A1"/>
    <w:multiLevelType w:val="hybridMultilevel"/>
    <w:lvl w:ilvl="0">
      <w:lvlJc w:val="left"/>
      <w:lvlText w:val="(%1)"/>
      <w:numFmt w:val="decimal"/>
      <w:start w:val="7"/>
    </w:lvl>
    <w:lvl w:ilvl="1">
      <w:lvlJc w:val="left"/>
      <w:lvlText w:val="%2"/>
      <w:numFmt w:val="lowerLetter"/>
      <w:start w:val="1"/>
    </w:lvl>
  </w:abstractNum>
  <w:abstractNum w:abstractNumId="8">
    <w:nsid w:val="419AC241"/>
    <w:multiLevelType w:val="hybridMultilevel"/>
    <w:lvl w:ilvl="0">
      <w:lvlJc w:val="left"/>
      <w:lvlText w:val="(%1)"/>
      <w:numFmt w:val="lowerLetter"/>
      <w:start w:val="1"/>
    </w:lvl>
  </w:abstractNum>
  <w:abstractNum w:abstractNumId="9">
    <w:nsid w:val="5577F8E1"/>
    <w:multiLevelType w:val="hybridMultilevel"/>
    <w:lvl w:ilvl="0">
      <w:lvlJc w:val="left"/>
      <w:lvlText w:val="(%1)"/>
      <w:numFmt w:val="decimal"/>
      <w:start w:val="8"/>
    </w:lvl>
  </w:abstractNum>
  <w:abstractNum w:abstractNumId="10">
    <w:nsid w:val="440BADFC"/>
    <w:multiLevelType w:val="hybridMultilevel"/>
    <w:lvl w:ilvl="0">
      <w:lvlJc w:val="left"/>
      <w:lvlText w:val="%1"/>
      <w:numFmt w:val="decimal"/>
      <w:start w:val="1"/>
    </w:lvl>
    <w:lvl w:ilvl="1">
      <w:lvlJc w:val="left"/>
      <w:lvlText w:val="(%2)"/>
      <w:numFmt w:val="lowerLetter"/>
      <w:start w:val="1"/>
    </w:lvl>
  </w:abstractNum>
  <w:abstractNum w:abstractNumId="11">
    <w:nsid w:val="5072367"/>
    <w:multiLevelType w:val="hybridMultilevel"/>
    <w:lvl w:ilvl="0">
      <w:lvlJc w:val="left"/>
      <w:lvlText w:val="(%1)"/>
      <w:numFmt w:val="decimal"/>
      <w:start w:val="1"/>
    </w:lvl>
    <w:lvl w:ilvl="1">
      <w:lvlJc w:val="left"/>
      <w:lvlText w:val="%2"/>
      <w:numFmt w:val="lowerLetter"/>
      <w:start w:val="1"/>
    </w:lvl>
  </w:abstractNum>
  <w:abstractNum w:abstractNumId="12">
    <w:nsid w:val="3804823E"/>
    <w:multiLevelType w:val="hybridMultilevel"/>
    <w:lvl w:ilvl="0">
      <w:lvlJc w:val="left"/>
      <w:lvlText w:val="%1"/>
      <w:numFmt w:val="decimal"/>
      <w:start w:val="1"/>
    </w:lvl>
    <w:lvl w:ilvl="1">
      <w:lvlJc w:val="left"/>
      <w:lvlText w:val="(%2)"/>
      <w:numFmt w:val="lowerLetter"/>
      <w:start w:val="1"/>
    </w:lvl>
  </w:abstractNum>
  <w:abstractNum w:abstractNumId="13">
    <w:nsid w:val="77465F01"/>
    <w:multiLevelType w:val="hybridMultilevel"/>
    <w:lvl w:ilvl="0">
      <w:lvlJc w:val="left"/>
      <w:lvlText w:val="(%1)"/>
      <w:numFmt w:val="decimal"/>
      <w:start w:val="7"/>
    </w:lvl>
    <w:lvl w:ilvl="1">
      <w:lvlJc w:val="left"/>
      <w:lvlText w:val="%2"/>
      <w:numFmt w:val="lowerLetter"/>
      <w:start w:val="1"/>
    </w:lvl>
  </w:abstractNum>
  <w:abstractNum w:abstractNumId="14">
    <w:nsid w:val="7724C67E"/>
    <w:multiLevelType w:val="hybridMultilevel"/>
    <w:lvl w:ilvl="0">
      <w:lvlJc w:val="left"/>
      <w:lvlText w:val="%1"/>
      <w:numFmt w:val="decimal"/>
      <w:start w:val="1"/>
    </w:lvl>
    <w:lvl w:ilvl="1">
      <w:lvlJc w:val="left"/>
      <w:lvlText w:val="(%2)"/>
      <w:numFmt w:val="lowerLetter"/>
      <w:start w:val="1"/>
    </w:lvl>
  </w:abstractNum>
  <w:abstractNum w:abstractNumId="15">
    <w:nsid w:val="5C482A97"/>
    <w:multiLevelType w:val="hybridMultilevel"/>
    <w:lvl w:ilvl="0">
      <w:lvlJc w:val="left"/>
      <w:lvlText w:val="(%1)"/>
      <w:numFmt w:val="decimal"/>
      <w:start w:val="8"/>
    </w:lvl>
    <w:lvl w:ilvl="1">
      <w:lvlJc w:val="left"/>
      <w:lvlText w:val="%2"/>
      <w:numFmt w:val="lowerLetter"/>
      <w:start w:val="1"/>
    </w:lvl>
  </w:abstractNum>
  <w:abstractNum w:abstractNumId="16">
    <w:nsid w:val="2463B9EA"/>
    <w:multiLevelType w:val="hybridMultilevel"/>
    <w:lvl w:ilvl="0">
      <w:lvlJc w:val="left"/>
      <w:lvlText w:val="(%1)"/>
      <w:numFmt w:val="decimal"/>
      <w:start w:val="1"/>
    </w:lvl>
  </w:abstractNum>
  <w:abstractNum w:abstractNumId="17">
    <w:nsid w:val="5E884ADC"/>
    <w:multiLevelType w:val="hybridMultilevel"/>
    <w:lvl w:ilvl="0">
      <w:lvlJc w:val="left"/>
      <w:lvlText w:val="•"/>
      <w:numFmt w:val="bullet"/>
      <w:start w:val="1"/>
    </w:lvl>
  </w:abstractNum>
  <w:abstractNum w:abstractNumId="18">
    <w:nsid w:val="51EAD36B"/>
    <w:multiLevelType w:val="hybridMultilevel"/>
    <w:lvl w:ilvl="0">
      <w:lvlJc w:val="left"/>
      <w:lvlText w:val="•"/>
      <w:numFmt w:val="bullet"/>
      <w:start w:val="1"/>
    </w:lvl>
  </w:abstractNum>
  <w:abstractNum w:abstractNumId="19">
    <w:nsid w:val="2D517796"/>
    <w:multiLevelType w:val="hybridMultilevel"/>
    <w:lvl w:ilvl="0">
      <w:lvlJc w:val="left"/>
      <w:lvlText w:val="•"/>
      <w:numFmt w:val="bullet"/>
      <w:start w:val="1"/>
    </w:lvl>
  </w:abstractNum>
  <w:abstractNum w:abstractNumId="20">
    <w:nsid w:val="580BD78F"/>
    <w:multiLevelType w:val="hybridMultilevel"/>
    <w:lvl w:ilvl="0">
      <w:lvlJc w:val="left"/>
      <w:lvlText w:val="(%1)"/>
      <w:numFmt w:val="lowerRoman"/>
      <w:start w:val="1"/>
    </w:lvl>
  </w:abstractNum>
  <w:abstractNum w:abstractNumId="21">
    <w:nsid w:val="153EA438"/>
    <w:multiLevelType w:val="hybridMultilevel"/>
    <w:lvl w:ilvl="0">
      <w:lvlJc w:val="left"/>
      <w:lvlText w:val="(%1)"/>
      <w:numFmt w:val="lowerRoman"/>
      <w:start w:val="2"/>
    </w:lvl>
  </w:abstractNum>
  <w:abstractNum w:abstractNumId="22">
    <w:nsid w:val="3855585C"/>
    <w:multiLevelType w:val="hybridMultilevel"/>
    <w:lvl w:ilvl="0">
      <w:lvlJc w:val="left"/>
      <w:lvlText w:val="(%1)"/>
      <w:numFmt w:val="decimal"/>
      <w:start w:val="1"/>
    </w:lvl>
  </w:abstractNum>
  <w:abstractNum w:abstractNumId="23">
    <w:nsid w:val="70A64E2A"/>
    <w:multiLevelType w:val="hybridMultilevel"/>
    <w:lvl w:ilvl="0">
      <w:lvlJc w:val="left"/>
      <w:lvlText w:val="(%1)"/>
      <w:numFmt w:val="decimal"/>
      <w:start w:val="1"/>
    </w:lvl>
  </w:abstractNum>
  <w:abstractNum w:abstractNumId="24">
    <w:nsid w:val="6A2342EC"/>
    <w:multiLevelType w:val="hybridMultilevel"/>
    <w:lvl w:ilvl="0">
      <w:lvlJc w:val="left"/>
      <w:lvlText w:val="(%1)"/>
      <w:numFmt w:val="decimal"/>
      <w:start w:val="1"/>
    </w:lvl>
  </w:abstractNum>
  <w:abstractNum w:abstractNumId="25">
    <w:nsid w:val="2A487CB0"/>
    <w:multiLevelType w:val="hybridMultilevel"/>
    <w:lvl w:ilvl="0">
      <w:lvlJc w:val="left"/>
      <w:lvlText w:val="(%1)"/>
      <w:numFmt w:val="decimal"/>
      <w:start w:val="2"/>
    </w:lvl>
  </w:abstractNum>
  <w:abstractNum w:abstractNumId="26">
    <w:nsid w:val="1D4ED43B"/>
    <w:multiLevelType w:val="hybridMultilevel"/>
    <w:lvl w:ilvl="0">
      <w:lvlJc w:val="left"/>
      <w:lvlText w:val="(%1)"/>
      <w:numFmt w:val="decimal"/>
      <w:start w:val="1"/>
    </w:lvl>
  </w:abstractNum>
  <w:abstractNum w:abstractNumId="27">
    <w:nsid w:val="725A06FB"/>
    <w:multiLevelType w:val="hybridMultilevel"/>
    <w:lvl w:ilvl="0">
      <w:lvlJc w:val="left"/>
      <w:lvlText w:val="(%1)"/>
      <w:numFmt w:val="decimal"/>
      <w:start w:val="1"/>
    </w:lvl>
  </w:abstractNum>
  <w:abstractNum w:abstractNumId="28">
    <w:nsid w:val="2CD89A32"/>
    <w:multiLevelType w:val="hybridMultilevel"/>
    <w:lvl w:ilvl="0">
      <w:lvlJc w:val="left"/>
      <w:lvlText w:val="(%1)"/>
      <w:numFmt w:val="decimal"/>
      <w:start w:val="1"/>
    </w:lvl>
  </w:abstractNum>
  <w:abstractNum w:abstractNumId="29">
    <w:nsid w:val="57E4CCAF"/>
    <w:multiLevelType w:val="hybridMultilevel"/>
    <w:lvl w:ilvl="0">
      <w:lvlJc w:val="left"/>
      <w:lvlText w:val="•"/>
      <w:numFmt w:val="bullet"/>
      <w:start w:val="1"/>
    </w:lvl>
  </w:abstractNum>
  <w:abstractNum w:abstractNumId="30">
    <w:nsid w:val="7A6D8D3C"/>
    <w:multiLevelType w:val="hybridMultilevel"/>
    <w:lvl w:ilvl="0">
      <w:lvlJc w:val="left"/>
      <w:lvlText w:val="•"/>
      <w:numFmt w:val="bullet"/>
      <w:start w:val="1"/>
    </w:lvl>
  </w:abstractNum>
  <w:abstractNum w:abstractNumId="31">
    <w:nsid w:val="4B588F54"/>
    <w:multiLevelType w:val="hybridMultilevel"/>
    <w:lvl w:ilvl="0">
      <w:lvlJc w:val="left"/>
      <w:lvlText w:val="(%1)"/>
      <w:numFmt w:val="decimal"/>
      <w:start w:val="1"/>
    </w:lvl>
  </w:abstractNum>
  <w:abstractNum w:abstractNumId="32">
    <w:nsid w:val="542289EC"/>
    <w:multiLevelType w:val="hybridMultilevel"/>
    <w:lvl w:ilvl="0">
      <w:lvlJc w:val="left"/>
      <w:lvlText w:val="(%1)"/>
      <w:numFmt w:val="decimal"/>
      <w:start w:val="1"/>
    </w:lvl>
  </w:abstractNum>
  <w:abstractNum w:abstractNumId="33">
    <w:nsid w:val="6DE91B18"/>
    <w:multiLevelType w:val="hybridMultilevel"/>
    <w:lvl w:ilvl="0">
      <w:lvlJc w:val="left"/>
      <w:lvlText w:val="(%1)"/>
      <w:numFmt w:val="decimal"/>
      <w:start w:val="1"/>
    </w:lvl>
  </w:abstractNum>
  <w:abstractNum w:abstractNumId="34">
    <w:nsid w:val="38437FDB"/>
    <w:multiLevelType w:val="hybridMultilevel"/>
    <w:lvl w:ilvl="0">
      <w:lvlJc w:val="left"/>
      <w:lvlText w:val="(%1)"/>
      <w:numFmt w:val="decimal"/>
      <w:start w:val="1"/>
    </w:lvl>
  </w:abstractNum>
  <w:abstractNum w:abstractNumId="35">
    <w:nsid w:val="7644A45C"/>
    <w:multiLevelType w:val="hybridMultilevel"/>
    <w:lvl w:ilvl="0">
      <w:lvlJc w:val="left"/>
      <w:lvlText w:val="•"/>
      <w:numFmt w:val="bullet"/>
      <w:start w:val="1"/>
    </w:lvl>
  </w:abstractNum>
  <w:abstractNum w:abstractNumId="36">
    <w:nsid w:val="32FFF902"/>
    <w:multiLevelType w:val="hybridMultilevel"/>
    <w:lvl w:ilvl="0">
      <w:lvlJc w:val="left"/>
      <w:lvlText w:val="•"/>
      <w:numFmt w:val="bullet"/>
      <w:start w:val="1"/>
    </w:lvl>
  </w:abstractNum>
  <w:abstractNum w:abstractNumId="37">
    <w:nsid w:val="684A481A"/>
    <w:multiLevelType w:val="hybridMultilevel"/>
    <w:lvl w:ilvl="0">
      <w:lvlJc w:val="left"/>
      <w:lvlText w:val="•"/>
      <w:numFmt w:val="bullet"/>
      <w:start w:val="1"/>
    </w:lvl>
  </w:abstractNum>
  <w:abstractNum w:abstractNumId="38">
    <w:nsid w:val="579478FE"/>
    <w:multiLevelType w:val="hybridMultilevel"/>
    <w:lvl w:ilvl="0">
      <w:lvlJc w:val="left"/>
      <w:lvlText w:val="(%1)"/>
      <w:numFmt w:val="decimal"/>
      <w:start w:val="1"/>
    </w:lvl>
  </w:abstractNum>
  <w:abstractNum w:abstractNumId="39">
    <w:nsid w:val="749ABB43"/>
    <w:multiLevelType w:val="hybridMultilevel"/>
    <w:lvl w:ilvl="0">
      <w:lvlJc w:val="left"/>
      <w:lvlText w:val="(%1)"/>
      <w:numFmt w:val="decimal"/>
      <w:start w:val="1"/>
    </w:lvl>
  </w:abstractNum>
  <w:abstractNum w:abstractNumId="40">
    <w:nsid w:val="3DC240FB"/>
    <w:multiLevelType w:val="hybridMultilevel"/>
    <w:lvl w:ilvl="0">
      <w:lvlJc w:val="left"/>
      <w:lvlText w:val="(%1)"/>
      <w:numFmt w:val="decimal"/>
      <w:start w:val="1"/>
    </w:lvl>
  </w:abstractNum>
  <w:abstractNum w:abstractNumId="41">
    <w:nsid w:val="1BA026FA"/>
    <w:multiLevelType w:val="hybridMultilevel"/>
    <w:lvl w:ilvl="0">
      <w:lvlJc w:val="left"/>
      <w:lvlText w:val="•"/>
      <w:numFmt w:val="bullet"/>
      <w:start w:val="1"/>
    </w:lvl>
  </w:abstractNum>
  <w:abstractNum w:abstractNumId="42">
    <w:nsid w:val="79A1DEAA"/>
    <w:multiLevelType w:val="hybridMultilevel"/>
    <w:lvl w:ilvl="0">
      <w:lvlJc w:val="left"/>
      <w:lvlText w:val="•"/>
      <w:numFmt w:val="bullet"/>
      <w:start w:val="1"/>
    </w:lvl>
  </w:abstractNum>
  <w:abstractNum w:abstractNumId="43">
    <w:nsid w:val="75C6C33A"/>
    <w:multiLevelType w:val="hybridMultilevel"/>
    <w:lvl w:ilvl="0">
      <w:lvlJc w:val="left"/>
      <w:lvlText w:val="•"/>
      <w:numFmt w:val="bullet"/>
      <w:start w:val="1"/>
    </w:lvl>
  </w:abstractNum>
  <w:abstractNum w:abstractNumId="44">
    <w:nsid w:val="12E685FB"/>
    <w:multiLevelType w:val="hybridMultilevel"/>
    <w:lvl w:ilvl="0">
      <w:lvlJc w:val="left"/>
      <w:lvlText w:val="(%1)"/>
      <w:numFmt w:val="decimal"/>
      <w:start w:val="1"/>
    </w:lvl>
  </w:abstractNum>
  <w:abstractNum w:abstractNumId="45">
    <w:nsid w:val="70C6A529"/>
    <w:multiLevelType w:val="hybridMultilevel"/>
    <w:lvl w:ilvl="0">
      <w:lvlJc w:val="left"/>
      <w:lvlText w:val="•"/>
      <w:numFmt w:val="bullet"/>
      <w:start w:val="1"/>
    </w:lvl>
  </w:abstractNum>
  <w:abstractNum w:abstractNumId="46">
    <w:nsid w:val="520EEDD1"/>
    <w:multiLevelType w:val="hybridMultilevel"/>
    <w:lvl w:ilvl="0">
      <w:lvlJc w:val="left"/>
      <w:lvlText w:val="(%1)"/>
      <w:numFmt w:val="decimal"/>
      <w:start w:val="1"/>
    </w:lvl>
  </w:abstractNum>
  <w:abstractNum w:abstractNumId="47">
    <w:nsid w:val="374A3FE6"/>
    <w:multiLevelType w:val="hybridMultilevel"/>
    <w:lvl w:ilvl="0">
      <w:lvlJc w:val="left"/>
      <w:lvlText w:val="(%1)"/>
      <w:numFmt w:val="decimal"/>
      <w:start w:val="1"/>
    </w:lvl>
  </w:abstractNum>
  <w:abstractNum w:abstractNumId="48">
    <w:nsid w:val="4F4EF005"/>
    <w:multiLevelType w:val="hybridMultilevel"/>
    <w:lvl w:ilvl="0">
      <w:lvlJc w:val="left"/>
      <w:lvlText w:val="•"/>
      <w:numFmt w:val="bullet"/>
      <w:start w:val="1"/>
    </w:lvl>
  </w:abstractNum>
  <w:abstractNum w:abstractNumId="49">
    <w:nsid w:val="23F9C13C"/>
    <w:multiLevelType w:val="hybridMultilevel"/>
    <w:lvl w:ilvl="0">
      <w:lvlJc w:val="left"/>
      <w:lvlText w:val="(%1)"/>
      <w:numFmt w:val="decimal"/>
      <w:start w:val="1"/>
    </w:lvl>
  </w:abstractNum>
  <w:abstractNum w:abstractNumId="50">
    <w:nsid w:val="649BB77C"/>
    <w:multiLevelType w:val="hybridMultilevel"/>
    <w:lvl w:ilvl="0">
      <w:lvlJc w:val="left"/>
      <w:lvlText w:val="(%1)"/>
      <w:numFmt w:val="decimal"/>
      <w:start w:val="1"/>
    </w:lvl>
  </w:abstractNum>
  <w:abstractNum w:abstractNumId="51">
    <w:nsid w:val="275AC794"/>
    <w:multiLevelType w:val="hybridMultilevel"/>
    <w:lvl w:ilvl="0">
      <w:lvlJc w:val="left"/>
      <w:lvlText w:val="•"/>
      <w:numFmt w:val="bullet"/>
      <w:start w:val="1"/>
    </w:lvl>
  </w:abstractNum>
  <w:abstractNum w:abstractNumId="52">
    <w:nsid w:val="39386575"/>
    <w:multiLevelType w:val="hybridMultilevel"/>
    <w:lvl w:ilvl="0">
      <w:lvlJc w:val="left"/>
      <w:lvlText w:val="•"/>
      <w:numFmt w:val="bullet"/>
      <w:start w:val="1"/>
    </w:lvl>
  </w:abstractNum>
  <w:abstractNum w:abstractNumId="53">
    <w:nsid w:val="1CF10FD8"/>
    <w:multiLevelType w:val="hybridMultilevel"/>
    <w:lvl w:ilvl="0">
      <w:lvlJc w:val="left"/>
      <w:lvlText w:val="•"/>
      <w:numFmt w:val="bullet"/>
      <w:start w:val="1"/>
    </w:lvl>
  </w:abstractNum>
  <w:abstractNum w:abstractNumId="54">
    <w:nsid w:val="180115BE"/>
    <w:multiLevelType w:val="hybridMultilevel"/>
    <w:lvl w:ilvl="0">
      <w:lvlJc w:val="left"/>
      <w:lvlText w:val="(%1)"/>
      <w:numFmt w:val="decimal"/>
      <w:start w:val="1"/>
    </w:lvl>
  </w:abstractNum>
  <w:abstractNum w:abstractNumId="55">
    <w:nsid w:val="235BA861"/>
    <w:multiLevelType w:val="hybridMultilevel"/>
    <w:lvl w:ilvl="0">
      <w:lvlJc w:val="left"/>
      <w:lvlText w:val="(%1)"/>
      <w:numFmt w:val="lowerLetter"/>
      <w:start w:val="1"/>
    </w:lvl>
  </w:abstractNum>
  <w:abstractNum w:abstractNumId="56">
    <w:nsid w:val="47398C89"/>
    <w:multiLevelType w:val="hybridMultilevel"/>
    <w:lvl w:ilvl="0">
      <w:lvlJc w:val="left"/>
      <w:lvlText w:val="%1"/>
      <w:numFmt w:val="decimal"/>
      <w:start w:val="32"/>
    </w:lvl>
  </w:abstractNum>
  <w:abstractNum w:abstractNumId="57">
    <w:nsid w:val="354FE9F9"/>
    <w:multiLevelType w:val="hybridMultilevel"/>
    <w:lvl w:ilvl="0">
      <w:lvlJc w:val="left"/>
      <w:lvlText w:val="(%1)"/>
      <w:numFmt w:val="decimal"/>
      <w:start w:val="1"/>
    </w:lvl>
    <w:lvl w:ilvl="1">
      <w:lvlJc w:val="left"/>
      <w:lvlText w:val="%2."/>
      <w:numFmt w:val="lowerLetter"/>
      <w:start w:val="1"/>
    </w:lvl>
  </w:abstractNum>
  <w:abstractNum w:abstractNumId="58">
    <w:nsid w:val="15B5AF5C"/>
    <w:multiLevelType w:val="hybridMultilevel"/>
    <w:lvl w:ilvl="0">
      <w:lvlJc w:val="left"/>
      <w:lvlText w:val="(%1)"/>
      <w:numFmt w:val="decimal"/>
      <w:start w:val="1"/>
    </w:lvl>
    <w:lvl w:ilvl="1">
      <w:lvlJc w:val="left"/>
      <w:lvlText w:val="%2."/>
      <w:numFmt w:val="lowerLetter"/>
      <w:start w:val="1"/>
    </w:lvl>
  </w:abstractNum>
  <w:abstractNum w:abstractNumId="59">
    <w:nsid w:val="741226B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2021-08-03T15:05:55Z</dcterms:created>
  <dcterms:modified xsi:type="dcterms:W3CDTF">2021-08-03T15:05:55Z</dcterms:modified>
</cp:coreProperties>
</file>