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00" w:type="dxa"/>
            <w:vAlign w:val="bottom"/>
          </w:tcPr>
          <w:p>
            <w:pPr>
              <w:jc w:val="center"/>
              <w:ind w:right="244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18, 2012, TPG Specialty Lending, Inc. (the “Company”) delivered a capital drawdown notice to its investors relating to the sale of 34,789 shares of the Company’s common stock, par value $0.01 per share (the “Common Stock”) for an aggregate offering price of $35 million. The sale is expected to close on or around June 29, 2012.</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sale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w:t>
      </w:r>
    </w:p>
    <w:p>
      <w:pPr>
        <w:spacing w:after="0" w:line="14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issuance of the Common Stock is exempt from the registration requirements of the Securities Act of 1933, as amended, pursuant to Section 4(2) thereof. The Company has not engaged in general solicitation or advertising with regard to the issuance and sale of the Common Stock and has not offered securities to the public in connection with such issuance and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TPG SPECIALTY LENDING, INC.</w:t>
            </w:r>
          </w:p>
        </w:tc>
      </w:tr>
      <w:tr>
        <w:trPr>
          <w:trHeight w:val="217"/>
        </w:trPr>
        <w:tc>
          <w:tcPr>
            <w:tcW w:w="3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jc w:val="center"/>
              <w:ind w:right="152"/>
              <w:spacing w:after="0"/>
              <w:rPr>
                <w:sz w:val="20"/>
                <w:szCs w:val="20"/>
                <w:color w:val="auto"/>
              </w:rPr>
            </w:pPr>
            <w:r>
              <w:rPr>
                <w:rFonts w:ascii="Arial" w:cs="Arial" w:eastAsia="Arial" w:hAnsi="Arial"/>
                <w:sz w:val="18"/>
                <w:szCs w:val="18"/>
                <w:color w:val="auto"/>
                <w:w w:val="89"/>
              </w:rPr>
              <w:t>(Registrant)</w:t>
            </w:r>
          </w:p>
        </w:tc>
      </w:tr>
      <w:tr>
        <w:trPr>
          <w:trHeight w:val="425"/>
        </w:trPr>
        <w:tc>
          <w:tcPr>
            <w:tcW w:w="3520" w:type="dxa"/>
            <w:vAlign w:val="bottom"/>
          </w:tcPr>
          <w:p>
            <w:pPr>
              <w:spacing w:after="0"/>
              <w:rPr>
                <w:sz w:val="20"/>
                <w:szCs w:val="20"/>
                <w:color w:val="auto"/>
              </w:rPr>
            </w:pPr>
            <w:r>
              <w:rPr>
                <w:rFonts w:ascii="Arial" w:cs="Arial" w:eastAsia="Arial" w:hAnsi="Arial"/>
                <w:sz w:val="18"/>
                <w:szCs w:val="18"/>
                <w:color w:val="auto"/>
              </w:rPr>
              <w:t>Date: June 19, 2012</w:t>
            </w:r>
          </w:p>
        </w:tc>
        <w:tc>
          <w:tcPr>
            <w:tcW w:w="2300" w:type="dxa"/>
            <w:vAlign w:val="bottom"/>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By:  /s/ Ronald Cami</w:t>
            </w:r>
          </w:p>
        </w:tc>
      </w:tr>
      <w:tr>
        <w:trPr>
          <w:trHeight w:val="202"/>
        </w:trPr>
        <w:tc>
          <w:tcPr>
            <w:tcW w:w="35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520" w:type="dxa"/>
            <w:vAlign w:val="bottom"/>
          </w:tcPr>
          <w:p>
            <w:pPr>
              <w:spacing w:after="0"/>
              <w:rPr>
                <w:sz w:val="24"/>
                <w:szCs w:val="24"/>
                <w:color w:val="auto"/>
              </w:rPr>
            </w:pPr>
          </w:p>
        </w:tc>
        <w:tc>
          <w:tcPr>
            <w:tcW w:w="2660" w:type="dxa"/>
            <w:vAlign w:val="bottom"/>
            <w:gridSpan w:val="2"/>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2019-12-09T19:38:35Z</dcterms:created>
  <dcterms:modified xsi:type="dcterms:W3CDTF">2019-12-09T19:38:35Z</dcterms:modified>
</cp:coreProperties>
</file>