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0000FF"/>
                <w:w w:val="92"/>
              </w:rPr>
              <w:t>14,071.82</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15.35</w:t>
            </w:r>
          </w:p>
        </w:tc>
        <w:tc>
          <w:tcPr>
            <w:tcW w:w="1320" w:type="dxa"/>
            <w:vAlign w:val="bottom"/>
            <w:gridSpan w:val="3"/>
            <w:vMerge w:val="restart"/>
          </w:tcPr>
          <w:p>
            <w:pPr>
              <w:ind w:left="300"/>
              <w:spacing w:after="0"/>
              <w:rPr>
                <w:sz w:val="20"/>
                <w:szCs w:val="20"/>
                <w:color w:val="auto"/>
              </w:rPr>
            </w:pPr>
            <w:r>
              <w:rPr>
                <w:rFonts w:ascii="Arial" w:cs="Arial" w:eastAsia="Arial" w:hAnsi="Arial"/>
                <w:sz w:val="18"/>
                <w:szCs w:val="18"/>
                <w:color w:val="0000FF"/>
              </w:rPr>
              <w:t>129,397.3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2,604,620 shares of Common Stock of the Issuer (the "TSL Shares"), including 129,397.30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2019-12-16T07:56:01Z</dcterms:created>
  <dcterms:modified xsi:type="dcterms:W3CDTF">2019-12-16T07:56:01Z</dcterms:modified>
</cp:coreProperties>
</file>