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2"/>
                <w:szCs w:val="22"/>
                <w:color w:val="auto"/>
              </w:rPr>
            </w:pPr>
          </w:p>
        </w:tc>
      </w:tr>
      <w:tr>
        <w:trPr>
          <w:trHeight w:val="212"/>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92"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9"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5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May 4, 2021 was 72,618,759.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80"/>
            <w:col w:w="480"/>
          </w:cols>
          <w:pgMar w:left="320" w:top="6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INDEX</w:t>
            </w:r>
          </w:p>
        </w:tc>
        <w:tc>
          <w:tcPr>
            <w:tcW w:w="10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0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2021 (Unaudited) and December 31,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tcPr>
          <w:p>
            <w:pPr>
              <w:spacing w:after="0"/>
              <w:rPr>
                <w:sz w:val="24"/>
                <w:szCs w:val="24"/>
                <w:color w:val="auto"/>
              </w:rPr>
            </w:pPr>
          </w:p>
        </w:tc>
        <w:tc>
          <w:tcPr>
            <w:tcW w:w="75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March 31, 2021 and 2020 (Unaudited)</w:t>
              </w:r>
            </w:hyperlink>
          </w:p>
        </w:tc>
        <w:tc>
          <w:tcPr>
            <w:tcW w:w="17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March 31, 2021 (Unaudited) and December 31,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Consolidated Statements of Changes in Net Assets for the three months ended March 31, 2021 and 2020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8360" w:type="dxa"/>
            <w:vAlign w:val="bottom"/>
            <w:tcBorders>
              <w:top w:val="single" w:sz="8" w:color="0000EE"/>
            </w:tcBorders>
            <w:gridSpan w:val="19"/>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Consolidated Statements of Cash Flows for the three months ended March 31, 2021 and 2020 (Unaudited)</w:t>
              </w:r>
            </w:hyperlink>
          </w:p>
        </w:tc>
        <w:tc>
          <w:tcPr>
            <w:tcW w:w="8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Notes to Consolidated Financial Statements (Unaudited)</w:t>
              </w:r>
            </w:hyperlink>
          </w:p>
        </w:tc>
        <w:tc>
          <w:tcPr>
            <w:tcW w:w="3580" w:type="dxa"/>
            <w:vAlign w:val="bottom"/>
            <w:tcBorders>
              <w:top w:val="single" w:sz="8" w:color="0000EE"/>
            </w:tcBorders>
            <w:gridSpan w:val="7"/>
          </w:tcPr>
          <w:p>
            <w:pPr>
              <w:spacing w:after="0"/>
              <w:rPr>
                <w:sz w:val="24"/>
                <w:szCs w:val="24"/>
                <w:color w:val="auto"/>
              </w:rPr>
            </w:pPr>
          </w:p>
        </w:tc>
        <w:tc>
          <w:tcPr>
            <w:tcW w:w="166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Quantitative and Qualitative Disclosures About Market Risk</w:t>
              </w:r>
            </w:hyperlink>
          </w:p>
        </w:tc>
        <w:tc>
          <w:tcPr>
            <w:tcW w:w="494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71">
              <w:r>
                <w:rPr>
                  <w:rFonts w:ascii="Arial" w:cs="Arial" w:eastAsia="Arial" w:hAnsi="Arial"/>
                  <w:sz w:val="18"/>
                  <w:szCs w:val="18"/>
                  <w:color w:val="0000EE"/>
                  <w:w w:val="85"/>
                </w:rPr>
                <w:t>Controls and Procedures</w:t>
              </w:r>
            </w:hyperlink>
          </w:p>
        </w:tc>
        <w:tc>
          <w:tcPr>
            <w:tcW w:w="75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OTHER INFORMATION</w:t>
              </w:r>
            </w:hyperlink>
          </w:p>
        </w:tc>
        <w:tc>
          <w:tcPr>
            <w:tcW w:w="74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72">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96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77">
              <w:r>
                <w:rPr>
                  <w:rFonts w:ascii="Arial" w:cs="Arial" w:eastAsia="Arial" w:hAnsi="Arial"/>
                  <w:sz w:val="18"/>
                  <w:szCs w:val="18"/>
                  <w:color w:val="0000EE"/>
                  <w:w w:val="82"/>
                </w:rPr>
                <w:t>Exhibits</w:t>
              </w:r>
            </w:hyperlink>
          </w:p>
        </w:tc>
        <w:tc>
          <w:tcPr>
            <w:tcW w:w="700" w:type="dxa"/>
            <w:vAlign w:val="bottom"/>
            <w:tcBorders>
              <w:top w:val="single" w:sz="8" w:color="0000EE"/>
            </w:tcBorders>
            <w:gridSpan w:val="2"/>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0"/>
        </w:trPr>
        <w:tc>
          <w:tcPr>
            <w:tcW w:w="1034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4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4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00" w:right="120" w:hanging="249"/>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2020, filed with the SEC on February 17, 2021, and elsewhere in our filings with the SEC.</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“TSLX” and “TAO” marks are marks of Sixth Street. Sixth Street and TPG are no longer affiliates, and accordingly, TPG is not an affiliate of ours.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$2,258,598 and $2,187,427,</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2,329,835</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$12,835 and $12,892,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$60,027 and $58,709, respectively)</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$2,331,460 and $2,259,028,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2,382,746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$16,315 and $10,815, respectively)</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2,417,910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$23,730 and $17,246, respectively)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1,070,633</w:t>
            </w:r>
          </w:p>
        </w:tc>
        <w:tc>
          <w:tcPr>
            <w:tcW w:w="28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1,232,578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3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72,266,042 and</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67,980,253 shares issued, respectively; and 71,969,998 and 67,684,209 shares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3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2,417,910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5"/>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1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5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61,765</w:t>
            </w:r>
          </w:p>
        </w:tc>
        <w:tc>
          <w:tcPr>
            <w:tcW w:w="1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2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64,549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63,985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1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1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1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66,242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66,270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Interest</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8,953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12,910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Incentive fees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12,326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Professional fees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Directors’ fees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12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1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33,472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31,598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Management and incentive fees waived (Note 3)</w:t>
            </w:r>
          </w:p>
        </w:tc>
        <w:tc>
          <w:tcPr>
            <w:tcW w:w="1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1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33,472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31,598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1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32,770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34,672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taxes, including excise taxes</w:t>
            </w:r>
          </w:p>
        </w:tc>
        <w:tc>
          <w:tcPr>
            <w:tcW w:w="1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32,310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33,662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Net change in unrealized gains (losses):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9,363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(92,759)</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(13,507)</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Interest rate swaps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9,181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1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9,755</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(84,680)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line="155" w:lineRule="exact"/>
              <w:rPr>
                <w:sz w:val="20"/>
                <w:szCs w:val="20"/>
                <w:color w:val="auto"/>
              </w:rPr>
            </w:pPr>
            <w:r>
              <w:rPr>
                <w:rFonts w:ascii="Arial" w:cs="Arial" w:eastAsia="Arial" w:hAnsi="Arial"/>
                <w:sz w:val="14"/>
                <w:szCs w:val="14"/>
                <w:color w:val="auto"/>
              </w:rPr>
              <w:t>Realized gains (losses):</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5"/>
        </w:trPr>
        <w:tc>
          <w:tcPr>
            <w:tcW w:w="6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1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14,587</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1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24,342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(86,761)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(Decrease) in Net Assets Resulting from Operations</w:t>
            </w:r>
          </w:p>
        </w:tc>
        <w:tc>
          <w:tcPr>
            <w:tcW w:w="12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56,652</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(53,099)</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Earnings (Loss) per common share—basic</w:t>
            </w:r>
          </w:p>
        </w:tc>
        <w:tc>
          <w:tcPr>
            <w:tcW w:w="15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tcBorders>
              <w:bottom w:val="single" w:sz="8" w:color="CFF0FC"/>
            </w:tcBorders>
            <w:vMerge w:val="continue"/>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0.81</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1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69,691,162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66,656,280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(Loss) per common share—diluted</w:t>
            </w:r>
          </w:p>
        </w:tc>
        <w:tc>
          <w:tcPr>
            <w:tcW w:w="1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1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77,356,492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66,656,280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March 31,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Rate and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64"/>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620" w:type="dxa"/>
            <w:vAlign w:val="bottom"/>
            <w:gridSpan w:val="2"/>
          </w:tcPr>
          <w:p>
            <w:pPr>
              <w:ind w:left="94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1"/>
              </w:rPr>
              <w:t>Interest Rate</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10"/>
                <w:szCs w:val="10"/>
                <w:b w:val="1"/>
                <w:bCs w:val="1"/>
                <w:color w:val="auto"/>
                <w:w w:val="90"/>
              </w:rPr>
              <w:t>(10)</w:t>
            </w:r>
          </w:p>
        </w:tc>
        <w:tc>
          <w:tcPr>
            <w:tcW w:w="90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84"/>
              </w:rPr>
              <w:t>of Net Assets</w:t>
            </w:r>
          </w:p>
        </w:tc>
      </w:tr>
      <w:tr>
        <w:trPr>
          <w:trHeight w:val="209"/>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74,625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56,030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$60,562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06"/>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10/2025)</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76,118)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($64,154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62,840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65,192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($4,772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8/2026)</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($71,500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70,912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72,036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($1,310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8/2023)</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($61,641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800" w:type="dxa"/>
            <w:vAlign w:val="bottom"/>
          </w:tcPr>
          <w:p>
            <w:pPr>
              <w:jc w:val="right"/>
              <w:spacing w:after="0"/>
              <w:rPr>
                <w:sz w:val="20"/>
                <w:szCs w:val="20"/>
                <w:color w:val="auto"/>
              </w:rPr>
            </w:pPr>
            <w:r>
              <w:rPr>
                <w:rFonts w:ascii="Arial" w:cs="Arial" w:eastAsia="Arial" w:hAnsi="Arial"/>
                <w:sz w:val="16"/>
                <w:szCs w:val="16"/>
                <w:color w:val="auto"/>
              </w:rPr>
              <w:t>60,811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62,103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($64,140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62,672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63,578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9/2026)</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($79,495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tcPr>
          <w:p>
            <w:pPr>
              <w:jc w:val="right"/>
              <w:spacing w:after="0"/>
              <w:rPr>
                <w:sz w:val="20"/>
                <w:szCs w:val="20"/>
                <w:color w:val="auto"/>
              </w:rPr>
            </w:pPr>
            <w:r>
              <w:rPr>
                <w:rFonts w:ascii="Arial" w:cs="Arial" w:eastAsia="Arial" w:hAnsi="Arial"/>
                <w:sz w:val="16"/>
                <w:szCs w:val="16"/>
                <w:color w:val="auto"/>
              </w:rPr>
              <w:t>78,261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81,907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4/2024)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ReliaQuest Holdings,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($38,191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37,165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38,019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10/2026)</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ServiceChannel Holdings, Inc. </w:t>
            </w:r>
            <w:r>
              <w:rPr>
                <w:rFonts w:ascii="Arial" w:cs="Arial" w:eastAsia="Arial" w:hAnsi="Arial"/>
                <w:sz w:val="23"/>
                <w:szCs w:val="23"/>
                <w:color w:val="auto"/>
                <w:vertAlign w:val="superscript"/>
              </w:rPr>
              <w:t>(9)</w:t>
            </w:r>
          </w:p>
        </w:tc>
        <w:tc>
          <w:tcPr>
            <w:tcW w:w="2620" w:type="dxa"/>
            <w:vAlign w:val="bottom"/>
            <w:gridSpan w:val="2"/>
          </w:tcPr>
          <w:p>
            <w:pPr>
              <w:spacing w:after="0"/>
              <w:rPr>
                <w:sz w:val="20"/>
                <w:szCs w:val="20"/>
                <w:color w:val="auto"/>
              </w:rPr>
            </w:pPr>
            <w:r>
              <w:rPr>
                <w:rFonts w:ascii="Arial" w:cs="Arial" w:eastAsia="Arial" w:hAnsi="Arial"/>
                <w:sz w:val="16"/>
                <w:szCs w:val="16"/>
                <w:color w:val="auto"/>
              </w:rPr>
              <w:t>Second-lien loan ($5,520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6/3/2020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12.00%</w:t>
            </w:r>
          </w:p>
        </w:tc>
        <w:tc>
          <w:tcPr>
            <w:tcW w:w="780" w:type="dxa"/>
            <w:vAlign w:val="bottom"/>
          </w:tcPr>
          <w:p>
            <w:pPr>
              <w:jc w:val="right"/>
              <w:spacing w:after="0"/>
              <w:rPr>
                <w:sz w:val="20"/>
                <w:szCs w:val="20"/>
                <w:color w:val="auto"/>
              </w:rPr>
            </w:pPr>
            <w:r>
              <w:rPr>
                <w:rFonts w:ascii="Arial" w:cs="Arial" w:eastAsia="Arial" w:hAnsi="Arial"/>
                <w:sz w:val="16"/>
                <w:szCs w:val="16"/>
                <w:color w:val="auto"/>
              </w:rPr>
              <w:t>12.00%</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6/2025)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Sprinklr, Inc.</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note ($4,017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9.88%</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9.88%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5/2025)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WideOrbit,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($59,792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7/8/2020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tcPr>
          <w:p>
            <w:pPr>
              <w:jc w:val="right"/>
              <w:spacing w:after="0"/>
              <w:rPr>
                <w:sz w:val="20"/>
                <w:szCs w:val="20"/>
                <w:color w:val="auto"/>
              </w:rPr>
            </w:pPr>
            <w:r>
              <w:rPr>
                <w:rFonts w:ascii="Arial" w:cs="Arial" w:eastAsia="Arial" w:hAnsi="Arial"/>
                <w:sz w:val="16"/>
                <w:szCs w:val="16"/>
                <w:color w:val="auto"/>
              </w:rPr>
              <w:t>58,936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61,244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7/2025)</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502,732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520,824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($43,642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43,543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43,314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Convertible note ($1,750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8.00% PIK</w:t>
            </w:r>
          </w:p>
        </w:tc>
        <w:tc>
          <w:tcPr>
            <w:tcW w:w="800" w:type="dxa"/>
            <w:vAlign w:val="bottom"/>
          </w:tcPr>
          <w:p>
            <w:pPr>
              <w:jc w:val="right"/>
              <w:spacing w:after="0"/>
              <w:rPr>
                <w:sz w:val="20"/>
                <w:szCs w:val="20"/>
                <w:color w:val="auto"/>
              </w:rPr>
            </w:pPr>
            <w:r>
              <w:rPr>
                <w:rFonts w:ascii="Arial" w:cs="Arial" w:eastAsia="Arial" w:hAnsi="Arial"/>
                <w:sz w:val="16"/>
                <w:szCs w:val="16"/>
                <w:color w:val="auto"/>
              </w:rPr>
              <w:t>1,732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12/2024)</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45,275</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46,040</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($34,825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33,860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34,912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Follet Corp.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($75,000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11/25/2020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73,409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73,875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11/2025)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($84,621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84,296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85,044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26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Illuminate Education,</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($63,213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62,775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63,529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266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8/2022)</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254,340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257,360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w:t>
            </w:r>
          </w:p>
        </w:tc>
      </w:tr>
      <w:tr>
        <w:trPr>
          <w:trHeight w:val="20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Financial services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($10,953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($19,725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19,316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19,577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revolving loan ($2,500 par,</w:t>
            </w:r>
          </w:p>
        </w:tc>
        <w:tc>
          <w:tcPr>
            <w:tcW w:w="860" w:type="dxa"/>
            <w:vAlign w:val="bottom"/>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2,464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due 10/2024)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10"/>
        </w:trPr>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G Treasury SS, LLC </w:t>
            </w:r>
            <w:r>
              <w:rPr>
                <w:rFonts w:ascii="Arial" w:cs="Arial" w:eastAsia="Arial" w:hAnsi="Arial"/>
                <w:sz w:val="27"/>
                <w:szCs w:val="27"/>
                <w:color w:val="auto"/>
                <w:vertAlign w:val="superscript"/>
              </w:rPr>
              <w:t>(3)(5)</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($47,121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46,444</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47,934</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4/2023)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 xml:space="preserve">GC Agile Holdings, Ltd. </w:t>
            </w:r>
            <w:r>
              <w:rPr>
                <w:rFonts w:ascii="Arial" w:cs="Arial" w:eastAsia="Arial" w:hAnsi="Arial"/>
                <w:sz w:val="23"/>
                <w:szCs w:val="23"/>
                <w:color w:val="auto"/>
                <w:vertAlign w:val="superscript"/>
              </w:rPr>
              <w:t>(3)(4)</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($39,223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38,742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39,812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6/2025)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InvMetrics Holdings, Inc. </w:t>
            </w:r>
            <w:r>
              <w:rPr>
                <w:rFonts w:ascii="Arial" w:cs="Arial" w:eastAsia="Arial" w:hAnsi="Arial"/>
                <w:sz w:val="24"/>
                <w:szCs w:val="24"/>
                <w:color w:val="auto"/>
                <w:vertAlign w:val="superscript"/>
              </w:rPr>
              <w:t>(3)(5)</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($53,067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12/30/2020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52,242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12/2025)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($14,234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+ 9.00%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10.50%</w:t>
            </w:r>
          </w:p>
        </w:tc>
        <w:tc>
          <w:tcPr>
            <w:tcW w:w="800" w:type="dxa"/>
            <w:vAlign w:val="bottom"/>
          </w:tcPr>
          <w:p>
            <w:pPr>
              <w:jc w:val="right"/>
              <w:spacing w:after="0"/>
              <w:rPr>
                <w:sz w:val="20"/>
                <w:szCs w:val="20"/>
                <w:color w:val="auto"/>
              </w:rPr>
            </w:pPr>
            <w:r>
              <w:rPr>
                <w:rFonts w:ascii="Arial" w:cs="Arial" w:eastAsia="Arial" w:hAnsi="Arial"/>
                <w:sz w:val="16"/>
                <w:szCs w:val="16"/>
                <w:color w:val="auto"/>
              </w:rPr>
              <w:t>13,970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14,752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2480" w:type="dxa"/>
            <w:vAlign w:val="bottom"/>
          </w:tcPr>
          <w:p>
            <w:pPr>
              <w:spacing w:after="0"/>
              <w:rPr>
                <w:sz w:val="17"/>
                <w:szCs w:val="17"/>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4/2025)</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(EUR 8,474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+ 9.00%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03"/>
        </w:trPr>
        <w:tc>
          <w:tcPr>
            <w:tcW w:w="2480" w:type="dxa"/>
            <w:vAlign w:val="bottom"/>
            <w:shd w:val="clear" w:color="auto" w:fill="CFF0FC"/>
          </w:tcPr>
          <w:p>
            <w:pPr>
              <w:spacing w:after="0"/>
              <w:rPr>
                <w:sz w:val="17"/>
                <w:szCs w:val="17"/>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rPr>
                <w:sz w:val="17"/>
                <w:szCs w:val="17"/>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w w:val="99"/>
              </w:rPr>
              <w:t>First-lien revolving loan ($1,411 par,</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1,381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due 4/2025)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revolving loan (EUR 336</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+ 7.25%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par, due 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346)</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($63,507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7/28/2017</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63,093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64,301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7/2022)</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9"/>
              </w:rPr>
              <w:t>First-lien revolving loan ($3,333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7/28/2017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due 7/2022)</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($22,507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12/31/2018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800" w:type="dxa"/>
            <w:vAlign w:val="bottom"/>
          </w:tcPr>
          <w:p>
            <w:pPr>
              <w:jc w:val="right"/>
              <w:spacing w:after="0"/>
              <w:rPr>
                <w:sz w:val="20"/>
                <w:szCs w:val="20"/>
                <w:color w:val="auto"/>
              </w:rPr>
            </w:pPr>
            <w:r>
              <w:rPr>
                <w:rFonts w:ascii="Arial" w:cs="Arial" w:eastAsia="Arial" w:hAnsi="Arial"/>
                <w:sz w:val="16"/>
                <w:szCs w:val="16"/>
                <w:color w:val="auto"/>
              </w:rPr>
              <w:t>22,316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23,450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48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12/2023)</w:t>
            </w: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317,832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326,426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27.5%</w:t>
            </w:r>
          </w:p>
        </w:tc>
      </w:tr>
      <w:tr>
        <w:trPr>
          <w:trHeight w:val="206"/>
        </w:trPr>
        <w:tc>
          <w:tcPr>
            <w:tcW w:w="248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BCTO Ace Purchaser, Inc. </w:t>
            </w:r>
            <w:r>
              <w:rPr>
                <w:rFonts w:ascii="Arial" w:cs="Arial" w:eastAsia="Arial" w:hAnsi="Arial"/>
                <w:sz w:val="24"/>
                <w:szCs w:val="24"/>
                <w:color w:val="auto"/>
                <w:vertAlign w:val="superscript"/>
              </w:rPr>
              <w:t>(3)(5)</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($39,900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11/23/2020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38,804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11/2026)</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Caris Life Sciences, Inc.</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($5,000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tcPr>
          <w:p>
            <w:pPr>
              <w:jc w:val="right"/>
              <w:spacing w:after="0"/>
              <w:rPr>
                <w:sz w:val="20"/>
                <w:szCs w:val="20"/>
                <w:color w:val="auto"/>
              </w:rPr>
            </w:pPr>
            <w:r>
              <w:rPr>
                <w:rFonts w:ascii="Arial" w:cs="Arial" w:eastAsia="Arial" w:hAnsi="Arial"/>
                <w:sz w:val="16"/>
                <w:szCs w:val="16"/>
                <w:color w:val="auto"/>
              </w:rPr>
              <w:t>11.30%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tcPr>
          <w:p>
            <w:pPr>
              <w:jc w:val="right"/>
              <w:spacing w:after="0"/>
              <w:rPr>
                <w:sz w:val="20"/>
                <w:szCs w:val="20"/>
                <w:color w:val="auto"/>
              </w:rPr>
            </w:pPr>
            <w:r>
              <w:rPr>
                <w:rFonts w:ascii="Arial" w:cs="Arial" w:eastAsia="Arial" w:hAnsi="Arial"/>
                <w:sz w:val="16"/>
                <w:szCs w:val="16"/>
                <w:color w:val="auto"/>
              </w:rPr>
              <w:t>4,897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($3,750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rPr>
                <w:sz w:val="17"/>
                <w:szCs w:val="17"/>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Convertible note ($2,602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800" w:type="dxa"/>
            <w:vAlign w:val="bottom"/>
          </w:tcPr>
          <w:p>
            <w:pPr>
              <w:jc w:val="right"/>
              <w:spacing w:after="0"/>
              <w:rPr>
                <w:sz w:val="20"/>
                <w:szCs w:val="20"/>
                <w:color w:val="auto"/>
              </w:rPr>
            </w:pPr>
            <w:r>
              <w:rPr>
                <w:rFonts w:ascii="Arial" w:cs="Arial" w:eastAsia="Arial" w:hAnsi="Arial"/>
                <w:sz w:val="16"/>
                <w:szCs w:val="16"/>
                <w:color w:val="auto"/>
              </w:rPr>
              <w:t>2,602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6,310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Clinicient, Inc.</w:t>
            </w:r>
            <w:r>
              <w:rPr>
                <w:rFonts w:ascii="Arial" w:cs="Arial" w:eastAsia="Arial" w:hAnsi="Arial"/>
                <w:sz w:val="24"/>
                <w:szCs w:val="24"/>
                <w:color w:val="auto"/>
                <w:vertAlign w:val="superscript"/>
              </w:rPr>
              <w:t>(3)</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($15,000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rPr>
                <w:sz w:val="17"/>
                <w:szCs w:val="17"/>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w w:val="99"/>
              </w:rPr>
              <w:t>First-lien revolving loan ($2,400 par,</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2,375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due 5/2024)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Integrated Practice</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($49,250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6/30/2017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47,876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50,974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24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10/2024)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($28,836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tcPr>
          <w:p>
            <w:pPr>
              <w:jc w:val="right"/>
              <w:spacing w:after="0"/>
              <w:rPr>
                <w:sz w:val="20"/>
                <w:szCs w:val="20"/>
                <w:color w:val="auto"/>
              </w:rPr>
            </w:pPr>
            <w:r>
              <w:rPr>
                <w:rFonts w:ascii="Arial" w:cs="Arial" w:eastAsia="Arial" w:hAnsi="Arial"/>
                <w:sz w:val="16"/>
                <w:szCs w:val="16"/>
                <w:color w:val="auto"/>
              </w:rPr>
              <w:t>28,249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29,370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48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740" w:type="dxa"/>
            <w:vAlign w:val="bottom"/>
          </w:tcPr>
          <w:p>
            <w:pPr>
              <w:ind w:left="180"/>
              <w:spacing w:after="0"/>
              <w:rPr>
                <w:sz w:val="20"/>
                <w:szCs w:val="20"/>
                <w:color w:val="auto"/>
              </w:rPr>
            </w:pPr>
            <w:r>
              <w:rPr>
                <w:rFonts w:ascii="Arial" w:cs="Arial" w:eastAsia="Arial" w:hAnsi="Arial"/>
                <w:sz w:val="16"/>
                <w:szCs w:val="16"/>
                <w:color w:val="auto"/>
              </w:rPr>
              <w:t>4/2024)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80" w:type="dxa"/>
            <w:vAlign w:val="bottom"/>
            <w:shd w:val="clear" w:color="auto" w:fill="CFF0FC"/>
          </w:tcPr>
          <w:p>
            <w:pPr>
              <w:spacing w:after="0"/>
              <w:rPr>
                <w:sz w:val="17"/>
                <w:szCs w:val="17"/>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9"/>
              </w:rPr>
              <w:t>First-lien revolving loan ($1,500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due 4/2024)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144,688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154,957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7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($30,256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9/29/2015</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28,590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29,349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2480" w:type="dxa"/>
            <w:vAlign w:val="bottom"/>
          </w:tcPr>
          <w:p>
            <w:pPr>
              <w:spacing w:after="0"/>
              <w:rPr>
                <w:sz w:val="17"/>
                <w:szCs w:val="17"/>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9/2021)</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9"/>
              </w:rPr>
              <w:t>First-lien revolving loan ($7,996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9/29/2015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03"/>
        </w:trPr>
        <w:tc>
          <w:tcPr>
            <w:tcW w:w="2480" w:type="dxa"/>
            <w:vAlign w:val="bottom"/>
            <w:shd w:val="clear" w:color="auto" w:fill="CFF0FC"/>
          </w:tcPr>
          <w:p>
            <w:pPr>
              <w:spacing w:after="0"/>
              <w:rPr>
                <w:sz w:val="17"/>
                <w:szCs w:val="17"/>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due 9/2021)</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8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Borders>
              <w:bottom w:val="single" w:sz="8" w:color="CFF0FC"/>
            </w:tcBorders>
          </w:tcPr>
          <w:p>
            <w:pPr>
              <w:spacing w:after="0"/>
              <w:rPr>
                <w:sz w:val="17"/>
                <w:szCs w:val="17"/>
                <w:color w:val="auto"/>
              </w:rPr>
            </w:pPr>
          </w:p>
        </w:tc>
        <w:tc>
          <w:tcPr>
            <w:tcW w:w="274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36,587</w:t>
            </w:r>
          </w:p>
        </w:tc>
        <w:tc>
          <w:tcPr>
            <w:tcW w:w="22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37,101</w:t>
            </w:r>
          </w:p>
        </w:tc>
        <w:tc>
          <w:tcPr>
            <w:tcW w:w="2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4"/>
              </w:rPr>
              <w:t>%</w:t>
            </w:r>
          </w:p>
        </w:tc>
      </w:tr>
      <w:tr>
        <w:trPr>
          <w:trHeight w:val="213"/>
        </w:trPr>
        <w:tc>
          <w:tcPr>
            <w:tcW w:w="2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Human resource support services</w:t>
            </w: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 xml:space="preserve">Absorb Software, Inc. </w:t>
            </w:r>
            <w:r>
              <w:rPr>
                <w:rFonts w:ascii="Arial" w:cs="Arial" w:eastAsia="Arial" w:hAnsi="Arial"/>
                <w:sz w:val="23"/>
                <w:szCs w:val="23"/>
                <w:color w:val="auto"/>
                <w:vertAlign w:val="superscript"/>
              </w:rPr>
              <w:t>(3)(4)(5)</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($34,400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33,871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35,174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248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5/2024)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(3)</w:t>
            </w: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($20,182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7/23/2018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2480" w:type="dxa"/>
            <w:vAlign w:val="bottom"/>
            <w:shd w:val="clear" w:color="auto" w:fill="CFF0FC"/>
          </w:tcPr>
          <w:p>
            <w:pPr>
              <w:spacing w:after="0"/>
              <w:rPr>
                <w:sz w:val="17"/>
                <w:szCs w:val="17"/>
                <w:color w:val="auto"/>
              </w:rPr>
            </w:pPr>
          </w:p>
        </w:tc>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7/2023)</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8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2.50%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80" w:type="dxa"/>
            <w:vAlign w:val="bottom"/>
          </w:tcPr>
          <w:p>
            <w:pPr>
              <w:spacing w:after="0" w:line="207" w:lineRule="exact"/>
              <w:rPr>
                <w:sz w:val="20"/>
                <w:szCs w:val="20"/>
                <w:color w:val="auto"/>
              </w:rPr>
            </w:pPr>
            <w:r>
              <w:rPr>
                <w:rFonts w:ascii="Arial" w:cs="Arial" w:eastAsia="Arial" w:hAnsi="Arial"/>
                <w:sz w:val="14"/>
                <w:szCs w:val="14"/>
                <w:color w:val="auto"/>
              </w:rPr>
              <w:t xml:space="preserve">DaySmart Holdings, LLC </w:t>
            </w:r>
            <w:r>
              <w:rPr>
                <w:rFonts w:ascii="Arial" w:cs="Arial" w:eastAsia="Arial" w:hAnsi="Arial"/>
                <w:sz w:val="23"/>
                <w:szCs w:val="23"/>
                <w:color w:val="auto"/>
                <w:vertAlign w:val="superscript"/>
              </w:rPr>
              <w:t>(3)(5)</w:t>
            </w:r>
          </w:p>
        </w:tc>
        <w:tc>
          <w:tcPr>
            <w:tcW w:w="2740" w:type="dxa"/>
            <w:vAlign w:val="bottom"/>
          </w:tcPr>
          <w:p>
            <w:pPr>
              <w:ind w:left="180"/>
              <w:spacing w:after="0"/>
              <w:rPr>
                <w:sz w:val="20"/>
                <w:szCs w:val="20"/>
                <w:color w:val="auto"/>
              </w:rPr>
            </w:pPr>
            <w:r>
              <w:rPr>
                <w:rFonts w:ascii="Arial" w:cs="Arial" w:eastAsia="Arial" w:hAnsi="Arial"/>
                <w:sz w:val="16"/>
                <w:szCs w:val="16"/>
                <w:color w:val="auto"/>
              </w:rPr>
              <w:t>First-lien loan ($41,851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12/18/2020</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41,845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41,970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06"/>
        </w:trPr>
        <w:tc>
          <w:tcPr>
            <w:tcW w:w="2480" w:type="dxa"/>
            <w:vAlign w:val="bottom"/>
          </w:tcPr>
          <w:p>
            <w:pPr>
              <w:spacing w:after="0"/>
              <w:rPr>
                <w:sz w:val="17"/>
                <w:szCs w:val="17"/>
                <w:color w:val="auto"/>
              </w:rPr>
            </w:pPr>
          </w:p>
        </w:tc>
        <w:tc>
          <w:tcPr>
            <w:tcW w:w="2740" w:type="dxa"/>
            <w:vAlign w:val="bottom"/>
          </w:tcPr>
          <w:p>
            <w:pPr>
              <w:ind w:left="180"/>
              <w:spacing w:after="0"/>
              <w:rPr>
                <w:sz w:val="20"/>
                <w:szCs w:val="20"/>
                <w:color w:val="auto"/>
              </w:rPr>
            </w:pPr>
            <w:r>
              <w:rPr>
                <w:rFonts w:ascii="Arial" w:cs="Arial" w:eastAsia="Arial" w:hAnsi="Arial"/>
                <w:sz w:val="16"/>
                <w:szCs w:val="16"/>
                <w:color w:val="auto"/>
              </w:rPr>
              <w:t>10/2025)</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2340" w:type="dxa"/>
            <w:vAlign w:val="bottom"/>
            <w:shd w:val="clear" w:color="auto" w:fill="CFF0FC"/>
          </w:tcPr>
          <w:p>
            <w:pPr>
              <w:spacing w:after="0"/>
              <w:rPr>
                <w:sz w:val="17"/>
                <w:szCs w:val="17"/>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First-lien revolving loan ($3,000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3,008</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12"/>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due 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PageUp People, Ltd. </w:t>
            </w:r>
            <w:r>
              <w:rPr>
                <w:rFonts w:ascii="Arial" w:cs="Arial" w:eastAsia="Arial" w:hAnsi="Arial"/>
                <w:sz w:val="23"/>
                <w:szCs w:val="23"/>
                <w:color w:val="auto"/>
                <w:vertAlign w:val="superscript"/>
              </w:rPr>
              <w:t>(3)(4)</w:t>
            </w:r>
          </w:p>
        </w:tc>
        <w:tc>
          <w:tcPr>
            <w:tcW w:w="2780" w:type="dxa"/>
            <w:vAlign w:val="bottom"/>
          </w:tcPr>
          <w:p>
            <w:pPr>
              <w:ind w:left="240"/>
              <w:spacing w:after="0"/>
              <w:rPr>
                <w:sz w:val="20"/>
                <w:szCs w:val="20"/>
                <w:color w:val="auto"/>
              </w:rPr>
            </w:pPr>
            <w:r>
              <w:rPr>
                <w:rFonts w:ascii="Arial" w:cs="Arial" w:eastAsia="Arial" w:hAnsi="Arial"/>
                <w:sz w:val="16"/>
                <w:szCs w:val="16"/>
                <w:color w:val="auto"/>
                <w:w w:val="98"/>
              </w:rPr>
              <w:t>First-lien loan (AUD 51,323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+ 7.25%</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39,451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39,412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r>
      <w:tr>
        <w:trPr>
          <w:trHeight w:val="203"/>
        </w:trPr>
        <w:tc>
          <w:tcPr>
            <w:tcW w:w="2340" w:type="dxa"/>
            <w:vAlign w:val="bottom"/>
          </w:tcPr>
          <w:p>
            <w:pPr>
              <w:spacing w:after="0"/>
              <w:rPr>
                <w:sz w:val="17"/>
                <w:szCs w:val="17"/>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12/2022)</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(AUD 51,745)</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1.25%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($70,000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68,726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70,700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w:t>
            </w:r>
          </w:p>
        </w:tc>
      </w:tr>
      <w:tr>
        <w:trPr>
          <w:trHeight w:val="212"/>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5/2024)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Modern Hire, Inc. </w:t>
            </w:r>
            <w:r>
              <w:rPr>
                <w:rFonts w:ascii="Arial" w:cs="Arial" w:eastAsia="Arial" w:hAnsi="Arial"/>
                <w:sz w:val="23"/>
                <w:szCs w:val="23"/>
                <w:color w:val="auto"/>
                <w:vertAlign w:val="superscript"/>
              </w:rPr>
              <w:t>(3)(5)</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($30,036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29,478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30,637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209"/>
        </w:trPr>
        <w:tc>
          <w:tcPr>
            <w:tcW w:w="234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5/2024)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Workwell Acquisition Co. </w:t>
            </w:r>
            <w:r>
              <w:rPr>
                <w:rFonts w:ascii="Arial" w:cs="Arial" w:eastAsia="Arial" w:hAnsi="Arial"/>
                <w:sz w:val="24"/>
                <w:szCs w:val="24"/>
                <w:color w:val="auto"/>
                <w:vertAlign w:val="superscript"/>
              </w:rPr>
              <w:t>(3)(5)</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($19,900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10/19/2020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19,900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r>
      <w:tr>
        <w:trPr>
          <w:trHeight w:val="209"/>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255,645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261,185</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22.2%</w:t>
            </w:r>
          </w:p>
        </w:tc>
      </w:tr>
      <w:tr>
        <w:trPr>
          <w:trHeight w:val="212"/>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7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(3)(5)</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($50,573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50,219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51,079</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09"/>
        </w:trPr>
        <w:tc>
          <w:tcPr>
            <w:tcW w:w="234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10/2023)</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23"/>
                <w:szCs w:val="23"/>
                <w:color w:val="auto"/>
                <w:vertAlign w:val="superscript"/>
              </w:rPr>
              <w:t>(3)(5)</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($49,875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6/18/2018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49,432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50,374</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209"/>
        </w:trPr>
        <w:tc>
          <w:tcPr>
            <w:tcW w:w="234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1/2024)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($54,700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10/3/2017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53,540</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w:t>
            </w:r>
          </w:p>
        </w:tc>
      </w:tr>
      <w:tr>
        <w:trPr>
          <w:trHeight w:val="216"/>
        </w:trPr>
        <w:tc>
          <w:tcPr>
            <w:tcW w:w="23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10/2022)</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($13,129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12.00%</w:t>
            </w:r>
          </w:p>
        </w:tc>
        <w:tc>
          <w:tcPr>
            <w:tcW w:w="800" w:type="dxa"/>
            <w:vAlign w:val="bottom"/>
          </w:tcPr>
          <w:p>
            <w:pPr>
              <w:jc w:val="right"/>
              <w:spacing w:after="0"/>
              <w:rPr>
                <w:sz w:val="20"/>
                <w:szCs w:val="20"/>
                <w:color w:val="auto"/>
              </w:rPr>
            </w:pPr>
            <w:r>
              <w:rPr>
                <w:rFonts w:ascii="Arial" w:cs="Arial" w:eastAsia="Arial" w:hAnsi="Arial"/>
                <w:sz w:val="16"/>
                <w:szCs w:val="16"/>
                <w:color w:val="auto"/>
              </w:rPr>
              <w:t>13,025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13,326</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3"/>
        </w:trPr>
        <w:tc>
          <w:tcPr>
            <w:tcW w:w="2340" w:type="dxa"/>
            <w:vAlign w:val="bottom"/>
          </w:tcPr>
          <w:p>
            <w:pPr>
              <w:spacing w:after="0"/>
              <w:rPr>
                <w:sz w:val="17"/>
                <w:szCs w:val="17"/>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7/2024)</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Piano Software, Inc. </w:t>
            </w:r>
            <w:r>
              <w:rPr>
                <w:rFonts w:ascii="Arial" w:cs="Arial" w:eastAsia="Arial" w:hAnsi="Arial"/>
                <w:sz w:val="24"/>
                <w:szCs w:val="24"/>
                <w:color w:val="auto"/>
                <w:vertAlign w:val="superscript"/>
              </w:rPr>
              <w:t>(3)(5)</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($38,404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2/25/2021</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37,444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r>
      <w:tr>
        <w:trPr>
          <w:trHeight w:val="209"/>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2/2026)</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154,201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154,684</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13.0%</w:t>
            </w:r>
          </w:p>
        </w:tc>
      </w:tr>
      <w:tr>
        <w:trPr>
          <w:trHeight w:val="212"/>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7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note ($33,000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12/17/2019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32,415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32,010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34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6/2024)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780" w:type="dxa"/>
            <w:vAlign w:val="bottom"/>
          </w:tcPr>
          <w:p>
            <w:pPr>
              <w:ind w:left="240"/>
              <w:spacing w:after="0"/>
              <w:rPr>
                <w:sz w:val="20"/>
                <w:szCs w:val="20"/>
                <w:color w:val="auto"/>
              </w:rPr>
            </w:pPr>
            <w:r>
              <w:rPr>
                <w:rFonts w:ascii="Arial" w:cs="Arial" w:eastAsia="Arial" w:hAnsi="Arial"/>
                <w:sz w:val="16"/>
                <w:szCs w:val="16"/>
                <w:color w:val="auto"/>
              </w:rPr>
              <w:t>ABL FILO term loan ($7,232 par,</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9/12/2017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7,173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7,268</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r>
      <w:tr>
        <w:trPr>
          <w:trHeight w:val="209"/>
        </w:trPr>
        <w:tc>
          <w:tcPr>
            <w:tcW w:w="234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6"/>
                <w:szCs w:val="16"/>
                <w:color w:val="auto"/>
              </w:rPr>
              <w:t>due 9/2022)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MD America Energy,</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($8,944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11/14/2018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8,944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8,944</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213"/>
        </w:trPr>
        <w:tc>
          <w:tcPr>
            <w:tcW w:w="234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780" w:type="dxa"/>
            <w:vAlign w:val="bottom"/>
          </w:tcPr>
          <w:p>
            <w:pPr>
              <w:ind w:left="240"/>
              <w:spacing w:after="0"/>
              <w:rPr>
                <w:sz w:val="20"/>
                <w:szCs w:val="20"/>
                <w:color w:val="auto"/>
              </w:rPr>
            </w:pPr>
            <w:r>
              <w:rPr>
                <w:rFonts w:ascii="Arial" w:cs="Arial" w:eastAsia="Arial" w:hAnsi="Arial"/>
                <w:sz w:val="16"/>
                <w:szCs w:val="16"/>
                <w:color w:val="auto"/>
              </w:rPr>
              <w:t>12/2024)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($1,500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6/29/2018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P + 8.00%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12/2021)</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Verdad Resources Intermediate</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($25,233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4/10/2019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24,750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25,539</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234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7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10/2024)</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34,483</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r>
      <w:tr>
        <w:trPr>
          <w:trHeight w:val="206"/>
        </w:trPr>
        <w:tc>
          <w:tcPr>
            <w:tcW w:w="234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Lexipol, LLC </w:t>
            </w:r>
            <w:r>
              <w:rPr>
                <w:rFonts w:ascii="Arial" w:cs="Arial" w:eastAsia="Arial" w:hAnsi="Arial"/>
                <w:sz w:val="24"/>
                <w:szCs w:val="24"/>
                <w:color w:val="auto"/>
                <w:vertAlign w:val="superscript"/>
              </w:rPr>
              <w:t>(3)(5)</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($19,712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+ 5.75%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19,862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r>
      <w:tr>
        <w:trPr>
          <w:trHeight w:val="212"/>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Omnigo Software, LLC </w:t>
            </w:r>
            <w:r>
              <w:rPr>
                <w:rFonts w:ascii="Arial" w:cs="Arial" w:eastAsia="Arial" w:hAnsi="Arial"/>
                <w:sz w:val="23"/>
                <w:szCs w:val="23"/>
                <w:color w:val="auto"/>
                <w:vertAlign w:val="superscript"/>
              </w:rPr>
              <w:t>(3)(5)</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($34,000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3/31/2021</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33,218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33,235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r>
      <w:tr>
        <w:trPr>
          <w:trHeight w:val="209"/>
        </w:trPr>
        <w:tc>
          <w:tcPr>
            <w:tcW w:w="2340" w:type="dxa"/>
            <w:vAlign w:val="bottom"/>
            <w:tcBorders>
              <w:bottom w:val="single" w:sz="8" w:color="CFF0FC"/>
            </w:tcBorders>
          </w:tcPr>
          <w:p>
            <w:pPr>
              <w:spacing w:after="0"/>
              <w:rPr>
                <w:sz w:val="18"/>
                <w:szCs w:val="18"/>
                <w:color w:val="auto"/>
              </w:rPr>
            </w:pPr>
          </w:p>
        </w:tc>
        <w:tc>
          <w:tcPr>
            <w:tcW w:w="27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3/2026)</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52,611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53,097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w:t>
            </w:r>
          </w:p>
        </w:tc>
      </w:tr>
      <w:tr>
        <w:trPr>
          <w:trHeight w:val="206"/>
        </w:trPr>
        <w:tc>
          <w:tcPr>
            <w:tcW w:w="234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Biohaven Pharmaceuticals,</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($28,227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8/7/2020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29,115</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r>
      <w:tr>
        <w:trPr>
          <w:trHeight w:val="206"/>
        </w:trPr>
        <w:tc>
          <w:tcPr>
            <w:tcW w:w="2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8/2025)</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4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TherapeuticsMD, Inc. </w:t>
            </w:r>
            <w:r>
              <w:rPr>
                <w:rFonts w:ascii="Arial" w:cs="Arial" w:eastAsia="Arial" w:hAnsi="Arial"/>
                <w:sz w:val="23"/>
                <w:szCs w:val="23"/>
                <w:color w:val="auto"/>
                <w:vertAlign w:val="superscript"/>
              </w:rPr>
              <w:t>(3)(4)</w:t>
            </w:r>
          </w:p>
        </w:tc>
        <w:tc>
          <w:tcPr>
            <w:tcW w:w="2780" w:type="dxa"/>
            <w:vAlign w:val="bottom"/>
          </w:tcPr>
          <w:p>
            <w:pPr>
              <w:ind w:left="240"/>
              <w:spacing w:after="0"/>
              <w:rPr>
                <w:sz w:val="20"/>
                <w:szCs w:val="20"/>
                <w:color w:val="auto"/>
              </w:rPr>
            </w:pPr>
            <w:r>
              <w:rPr>
                <w:rFonts w:ascii="Arial" w:cs="Arial" w:eastAsia="Arial" w:hAnsi="Arial"/>
                <w:sz w:val="16"/>
                <w:szCs w:val="16"/>
                <w:color w:val="auto"/>
              </w:rPr>
              <w:t>First-lien loan ($30,000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4/24/2019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10.45%</w:t>
            </w:r>
          </w:p>
        </w:tc>
        <w:tc>
          <w:tcPr>
            <w:tcW w:w="800" w:type="dxa"/>
            <w:vAlign w:val="bottom"/>
          </w:tcPr>
          <w:p>
            <w:pPr>
              <w:jc w:val="right"/>
              <w:spacing w:after="0"/>
              <w:rPr>
                <w:sz w:val="20"/>
                <w:szCs w:val="20"/>
                <w:color w:val="auto"/>
              </w:rPr>
            </w:pPr>
            <w:r>
              <w:rPr>
                <w:rFonts w:ascii="Arial" w:cs="Arial" w:eastAsia="Arial" w:hAnsi="Arial"/>
                <w:sz w:val="16"/>
                <w:szCs w:val="16"/>
                <w:color w:val="auto"/>
              </w:rPr>
              <w:t>28,793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09"/>
        </w:trPr>
        <w:tc>
          <w:tcPr>
            <w:tcW w:w="2340" w:type="dxa"/>
            <w:vAlign w:val="bottom"/>
            <w:tcBorders>
              <w:bottom w:val="single" w:sz="8" w:color="CFF0FC"/>
            </w:tcBorders>
          </w:tcPr>
          <w:p>
            <w:pPr>
              <w:spacing w:after="0"/>
              <w:rPr>
                <w:sz w:val="18"/>
                <w:szCs w:val="18"/>
                <w:color w:val="auto"/>
              </w:rPr>
            </w:pPr>
          </w:p>
        </w:tc>
        <w:tc>
          <w:tcPr>
            <w:tcW w:w="27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3/2024)</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59,115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w:t>
            </w:r>
          </w:p>
        </w:tc>
      </w:tr>
      <w:tr>
        <w:trPr>
          <w:trHeight w:val="207"/>
        </w:trPr>
        <w:tc>
          <w:tcPr>
            <w:tcW w:w="234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ResMan, LLC </w:t>
            </w:r>
            <w:r>
              <w:rPr>
                <w:rFonts w:ascii="Arial" w:cs="Arial" w:eastAsia="Arial" w:hAnsi="Arial"/>
                <w:sz w:val="24"/>
                <w:szCs w:val="24"/>
                <w:color w:val="auto"/>
                <w:vertAlign w:val="superscript"/>
              </w:rPr>
              <w:t>(3)</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($40,269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40,080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40,269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w:t>
            </w:r>
          </w:p>
        </w:tc>
      </w:tr>
      <w:tr>
        <w:trPr>
          <w:trHeight w:val="212"/>
        </w:trPr>
        <w:tc>
          <w:tcPr>
            <w:tcW w:w="2340" w:type="dxa"/>
            <w:vAlign w:val="bottom"/>
            <w:shd w:val="clear" w:color="auto" w:fill="CFF0FC"/>
          </w:tcPr>
          <w:p>
            <w:pPr>
              <w:spacing w:after="0"/>
              <w:rPr>
                <w:sz w:val="18"/>
                <w:szCs w:val="18"/>
                <w:color w:val="auto"/>
              </w:rPr>
            </w:pP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10/2024)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99 Cents Only Stores</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ABL FILO term loan ($25,000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9/6/2017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24,649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25,687</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23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7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due 5/2025)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2540" w:type="dxa"/>
            <w:vAlign w:val="bottom"/>
          </w:tcPr>
          <w:p>
            <w:pPr>
              <w:spacing w:after="0"/>
              <w:rPr>
                <w:sz w:val="20"/>
                <w:szCs w:val="20"/>
                <w:color w:val="auto"/>
              </w:rPr>
            </w:pPr>
            <w:r>
              <w:rPr>
                <w:rFonts w:ascii="Arial" w:cs="Arial" w:eastAsia="Arial" w:hAnsi="Arial"/>
                <w:sz w:val="16"/>
                <w:szCs w:val="16"/>
                <w:color w:val="auto"/>
              </w:rPr>
              <w:t>American Achievement,</w:t>
            </w:r>
          </w:p>
        </w:tc>
        <w:tc>
          <w:tcPr>
            <w:tcW w:w="2700" w:type="dxa"/>
            <w:vAlign w:val="bottom"/>
          </w:tcPr>
          <w:p>
            <w:pPr>
              <w:ind w:left="120"/>
              <w:spacing w:after="0"/>
              <w:rPr>
                <w:sz w:val="20"/>
                <w:szCs w:val="20"/>
                <w:color w:val="auto"/>
              </w:rPr>
            </w:pPr>
            <w:r>
              <w:rPr>
                <w:rFonts w:ascii="Arial" w:cs="Arial" w:eastAsia="Arial" w:hAnsi="Arial"/>
                <w:sz w:val="16"/>
                <w:szCs w:val="16"/>
                <w:color w:val="auto"/>
              </w:rPr>
              <w:t>First-lien loan ($24,116 par, due</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9/30/2015</w:t>
            </w:r>
          </w:p>
        </w:tc>
        <w:tc>
          <w:tcPr>
            <w:tcW w:w="940" w:type="dxa"/>
            <w:vAlign w:val="bottom"/>
          </w:tcPr>
          <w:p>
            <w:pPr>
              <w:ind w:left="160"/>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23,175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21,101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254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Corp. </w:t>
            </w:r>
            <w:r>
              <w:rPr>
                <w:rFonts w:ascii="Arial" w:cs="Arial" w:eastAsia="Arial" w:hAnsi="Arial"/>
                <w:sz w:val="23"/>
                <w:szCs w:val="23"/>
                <w:color w:val="auto"/>
                <w:vertAlign w:val="superscript"/>
              </w:rPr>
              <w:t>(3)</w:t>
            </w:r>
          </w:p>
        </w:tc>
        <w:tc>
          <w:tcPr>
            <w:tcW w:w="2700" w:type="dxa"/>
            <w:vAlign w:val="bottom"/>
          </w:tcPr>
          <w:p>
            <w:pPr>
              <w:ind w:left="120"/>
              <w:spacing w:after="0"/>
              <w:rPr>
                <w:sz w:val="20"/>
                <w:szCs w:val="20"/>
                <w:color w:val="auto"/>
              </w:rPr>
            </w:pPr>
            <w:r>
              <w:rPr>
                <w:rFonts w:ascii="Arial" w:cs="Arial" w:eastAsia="Arial" w:hAnsi="Arial"/>
                <w:sz w:val="16"/>
                <w:szCs w:val="16"/>
                <w:color w:val="auto"/>
              </w:rPr>
              <w:t>9/2026)</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4.25%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revolving loan ($953 par,</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2/9/2021</w:t>
            </w:r>
          </w:p>
        </w:tc>
        <w:tc>
          <w:tcPr>
            <w:tcW w:w="9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9/2026)</w:t>
            </w: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4.25%</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Subordinated note ($4,740 par, due</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3/16/2021</w:t>
            </w:r>
          </w:p>
        </w:tc>
        <w:tc>
          <w:tcPr>
            <w:tcW w:w="940" w:type="dxa"/>
            <w:vAlign w:val="bottom"/>
          </w:tcPr>
          <w:p>
            <w:pPr>
              <w:ind w:left="160"/>
              <w:spacing w:after="0"/>
              <w:rPr>
                <w:sz w:val="20"/>
                <w:szCs w:val="20"/>
                <w:color w:val="auto"/>
              </w:rPr>
            </w:pPr>
            <w:r>
              <w:rPr>
                <w:rFonts w:ascii="Arial" w:cs="Arial" w:eastAsia="Arial" w:hAnsi="Arial"/>
                <w:sz w:val="16"/>
                <w:szCs w:val="16"/>
                <w:color w:val="auto"/>
              </w:rPr>
              <w:t>L + 1.00%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2.00% PIK</w:t>
            </w: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7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9/2026) </w:t>
            </w:r>
            <w:r>
              <w:rPr>
                <w:rFonts w:ascii="Arial" w:cs="Arial" w:eastAsia="Arial" w:hAnsi="Arial"/>
                <w:sz w:val="25"/>
                <w:szCs w:val="25"/>
                <w:color w:val="auto"/>
                <w:vertAlign w:val="superscript"/>
              </w:rPr>
              <w:t>(16)</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ABL First-lien loan ($48,750 par, due</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8/7/2020</w:t>
            </w:r>
          </w:p>
        </w:tc>
        <w:tc>
          <w:tcPr>
            <w:tcW w:w="9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47,657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48,872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8/2025)</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J.C. Penney Company,</w:t>
            </w:r>
          </w:p>
        </w:tc>
        <w:tc>
          <w:tcPr>
            <w:tcW w:w="2700" w:type="dxa"/>
            <w:vAlign w:val="bottom"/>
          </w:tcPr>
          <w:p>
            <w:pPr>
              <w:ind w:left="120"/>
              <w:spacing w:after="0"/>
              <w:rPr>
                <w:sz w:val="20"/>
                <w:szCs w:val="20"/>
                <w:color w:val="auto"/>
              </w:rPr>
            </w:pPr>
            <w:r>
              <w:rPr>
                <w:rFonts w:ascii="Arial" w:cs="Arial" w:eastAsia="Arial" w:hAnsi="Arial"/>
                <w:sz w:val="16"/>
                <w:szCs w:val="16"/>
                <w:color w:val="auto"/>
              </w:rPr>
              <w:t>First-lien loan ($4,129 par, due</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6/5/2019</w:t>
            </w: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(11)(13)</w:t>
            </w:r>
          </w:p>
        </w:tc>
        <w:tc>
          <w:tcPr>
            <w:tcW w:w="2700" w:type="dxa"/>
            <w:vAlign w:val="bottom"/>
          </w:tcPr>
          <w:p>
            <w:pPr>
              <w:ind w:left="120"/>
              <w:spacing w:after="0"/>
              <w:rPr>
                <w:sz w:val="20"/>
                <w:szCs w:val="20"/>
                <w:color w:val="auto"/>
              </w:rPr>
            </w:pPr>
            <w:r>
              <w:rPr>
                <w:rFonts w:ascii="Arial" w:cs="Arial" w:eastAsia="Arial" w:hAnsi="Arial"/>
                <w:sz w:val="16"/>
                <w:szCs w:val="16"/>
                <w:color w:val="auto"/>
              </w:rPr>
              <w:t>6/2023)</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First-lien secured note ($12,372 par,</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6/5/2019</w:t>
            </w:r>
          </w:p>
        </w:tc>
        <w:tc>
          <w:tcPr>
            <w:tcW w:w="9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7/2023)</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700" w:type="dxa"/>
            <w:vAlign w:val="bottom"/>
          </w:tcPr>
          <w:p>
            <w:pPr>
              <w:ind w:left="120"/>
              <w:spacing w:after="0"/>
              <w:rPr>
                <w:sz w:val="20"/>
                <w:szCs w:val="20"/>
                <w:color w:val="auto"/>
              </w:rPr>
            </w:pPr>
            <w:r>
              <w:rPr>
                <w:rFonts w:ascii="Arial" w:cs="Arial" w:eastAsia="Arial" w:hAnsi="Arial"/>
                <w:sz w:val="16"/>
                <w:szCs w:val="16"/>
                <w:color w:val="auto"/>
              </w:rPr>
              <w:t>ABL FILO term loan ($31,111 par,</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5/6/2019</w:t>
            </w:r>
          </w:p>
        </w:tc>
        <w:tc>
          <w:tcPr>
            <w:tcW w:w="940" w:type="dxa"/>
            <w:vAlign w:val="bottom"/>
          </w:tcPr>
          <w:p>
            <w:pPr>
              <w:ind w:left="160"/>
              <w:spacing w:after="0"/>
              <w:rPr>
                <w:sz w:val="20"/>
                <w:szCs w:val="20"/>
                <w:color w:val="auto"/>
              </w:rPr>
            </w:pPr>
            <w:r>
              <w:rPr>
                <w:rFonts w:ascii="Arial" w:cs="Arial" w:eastAsia="Arial" w:hAnsi="Arial"/>
                <w:sz w:val="16"/>
                <w:szCs w:val="16"/>
                <w:color w:val="auto"/>
              </w:rPr>
              <w:t>L + 6.50%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800" w:type="dxa"/>
            <w:vAlign w:val="bottom"/>
          </w:tcPr>
          <w:p>
            <w:pPr>
              <w:jc w:val="right"/>
              <w:spacing w:after="0"/>
              <w:rPr>
                <w:sz w:val="20"/>
                <w:szCs w:val="20"/>
                <w:color w:val="auto"/>
              </w:rPr>
            </w:pPr>
            <w:r>
              <w:rPr>
                <w:rFonts w:ascii="Arial" w:cs="Arial" w:eastAsia="Arial" w:hAnsi="Arial"/>
                <w:sz w:val="16"/>
                <w:szCs w:val="16"/>
                <w:color w:val="auto"/>
              </w:rPr>
              <w:t>30,431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31,811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due 5/2024)</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($36,167 par,</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4/1/2020</w:t>
            </w:r>
          </w:p>
        </w:tc>
        <w:tc>
          <w:tcPr>
            <w:tcW w:w="9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+ 7.50%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35,602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36,890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4/2024)</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Penney Borrower, LLC </w:t>
            </w:r>
            <w:r>
              <w:rPr>
                <w:rFonts w:ascii="Arial" w:cs="Arial" w:eastAsia="Arial" w:hAnsi="Arial"/>
                <w:sz w:val="23"/>
                <w:szCs w:val="23"/>
                <w:color w:val="auto"/>
                <w:vertAlign w:val="superscript"/>
              </w:rPr>
              <w:t>(3)</w:t>
            </w:r>
          </w:p>
        </w:tc>
        <w:tc>
          <w:tcPr>
            <w:tcW w:w="2700" w:type="dxa"/>
            <w:vAlign w:val="bottom"/>
          </w:tcPr>
          <w:p>
            <w:pPr>
              <w:ind w:left="120"/>
              <w:spacing w:after="0"/>
              <w:rPr>
                <w:sz w:val="20"/>
                <w:szCs w:val="20"/>
                <w:color w:val="auto"/>
              </w:rPr>
            </w:pPr>
            <w:r>
              <w:rPr>
                <w:rFonts w:ascii="Arial" w:cs="Arial" w:eastAsia="Arial" w:hAnsi="Arial"/>
                <w:sz w:val="16"/>
                <w:szCs w:val="16"/>
                <w:color w:val="auto"/>
              </w:rPr>
              <w:t>ABL FILO term loan ($72,000 par,</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12/7/2020</w:t>
            </w:r>
          </w:p>
        </w:tc>
        <w:tc>
          <w:tcPr>
            <w:tcW w:w="940" w:type="dxa"/>
            <w:vAlign w:val="bottom"/>
          </w:tcPr>
          <w:p>
            <w:pPr>
              <w:ind w:left="160"/>
              <w:spacing w:after="0"/>
              <w:rPr>
                <w:sz w:val="20"/>
                <w:szCs w:val="20"/>
                <w:color w:val="auto"/>
              </w:rPr>
            </w:pPr>
            <w:r>
              <w:rPr>
                <w:rFonts w:ascii="Arial" w:cs="Arial" w:eastAsia="Arial" w:hAnsi="Arial"/>
                <w:sz w:val="16"/>
                <w:szCs w:val="16"/>
                <w:color w:val="auto"/>
              </w:rPr>
              <w:t>L + 8.50%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70,387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71,100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due 12/2025)</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term loan ($6,912 par, due</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12/7/2020</w:t>
            </w:r>
          </w:p>
        </w:tc>
        <w:tc>
          <w:tcPr>
            <w:tcW w:w="9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12/2026) </w:t>
            </w:r>
            <w:r>
              <w:rPr>
                <w:rFonts w:ascii="Arial" w:cs="Arial" w:eastAsia="Arial" w:hAnsi="Arial"/>
                <w:sz w:val="25"/>
                <w:szCs w:val="25"/>
                <w:color w:val="auto"/>
                <w:vertAlign w:val="superscript"/>
              </w:rPr>
              <w:t>(11)</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252,521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243,450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7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vMerge w:val="continue"/>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2,237,508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2,279,348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Units (1,262 units)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1/17/2018</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Class B Units (517,020 units)</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1/17/2018</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Shares (1,197 shares)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3/30/2018</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Class B Shares (398,557 shares)</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3/30/2018</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207,991 Warrants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6/3/2020</w:t>
            </w: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700" w:type="dxa"/>
            <w:vAlign w:val="bottom"/>
          </w:tcPr>
          <w:p>
            <w:pPr>
              <w:ind w:left="120"/>
              <w:spacing w:after="0"/>
              <w:rPr>
                <w:sz w:val="20"/>
                <w:szCs w:val="20"/>
                <w:color w:val="auto"/>
              </w:rPr>
            </w:pPr>
            <w:r>
              <w:rPr>
                <w:rFonts w:ascii="Arial" w:cs="Arial" w:eastAsia="Arial" w:hAnsi="Arial"/>
                <w:sz w:val="16"/>
                <w:szCs w:val="16"/>
                <w:color w:val="auto"/>
              </w:rPr>
              <w:t>1,567,807 Warrants</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7/8/2020</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280,000 Warrants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2/28/2020</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Units (474,684 units)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11/2/2020</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w:t>
            </w:r>
          </w:p>
        </w:tc>
        <w:tc>
          <w:tcPr>
            <w:tcW w:w="2700" w:type="dxa"/>
            <w:vAlign w:val="bottom"/>
            <w:shd w:val="clear" w:color="auto" w:fill="CFF0FC"/>
          </w:tcPr>
          <w:p>
            <w:pPr>
              <w:ind w:left="120"/>
              <w:spacing w:after="0" w:line="205" w:lineRule="exact"/>
              <w:rPr>
                <w:sz w:val="20"/>
                <w:szCs w:val="20"/>
                <w:color w:val="auto"/>
              </w:rPr>
            </w:pPr>
            <w:r>
              <w:rPr>
                <w:rFonts w:ascii="Arial" w:cs="Arial" w:eastAsia="Arial" w:hAnsi="Arial"/>
                <w:sz w:val="14"/>
                <w:szCs w:val="14"/>
                <w:color w:val="auto"/>
              </w:rPr>
              <w:t xml:space="preserve">Common Shares (2,198 shares) </w:t>
            </w:r>
            <w:r>
              <w:rPr>
                <w:rFonts w:ascii="Arial" w:cs="Arial" w:eastAsia="Arial" w:hAnsi="Arial"/>
                <w:sz w:val="23"/>
                <w:szCs w:val="23"/>
                <w:color w:val="auto"/>
                <w:vertAlign w:val="superscript"/>
              </w:rPr>
              <w:t>(13)</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4/7/2020</w:t>
            </w: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spacing w:after="0"/>
              <w:rPr>
                <w:sz w:val="15"/>
                <w:szCs w:val="15"/>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(14)</w:t>
            </w:r>
          </w:p>
        </w:tc>
        <w:tc>
          <w:tcPr>
            <w:tcW w:w="10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Preferred Shares (293,232 shares)</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10/1/2019</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16,243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16,812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F Preferred Shares (8,791</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4/7/2020</w:t>
            </w: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shares) </w:t>
            </w:r>
            <w:r>
              <w:rPr>
                <w:rFonts w:ascii="Arial" w:cs="Arial" w:eastAsia="Arial" w:hAnsi="Arial"/>
                <w:sz w:val="13"/>
                <w:szCs w:val="13"/>
                <w:color w:val="auto"/>
              </w:rPr>
              <w:t>(13)(14)</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7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75,016 Warrants </w:t>
            </w:r>
            <w:r>
              <w:rPr>
                <w:rFonts w:ascii="Arial" w:cs="Arial" w:eastAsia="Arial" w:hAnsi="Arial"/>
                <w:sz w:val="25"/>
                <w:szCs w:val="25"/>
                <w:color w:val="auto"/>
                <w:vertAlign w:val="superscript"/>
              </w:rPr>
              <w:t>(13)</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10/1/2019</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2,708</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w w:val="98"/>
              </w:rPr>
              <w:t xml:space="preserve">Newport Parent Holdings, LP </w:t>
            </w:r>
            <w:r>
              <w:rPr>
                <w:rFonts w:ascii="Arial" w:cs="Arial" w:eastAsia="Arial" w:hAnsi="Arial"/>
                <w:sz w:val="25"/>
                <w:szCs w:val="25"/>
                <w:color w:val="auto"/>
                <w:w w:val="98"/>
                <w:vertAlign w:val="superscript"/>
              </w:rPr>
              <w:t>(13)(14)</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A-2 Units (131,569 units)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12/10/2020</w:t>
            </w: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Oxford Square Capital</w:t>
            </w:r>
          </w:p>
        </w:tc>
        <w:tc>
          <w:tcPr>
            <w:tcW w:w="2700" w:type="dxa"/>
            <w:vAlign w:val="bottom"/>
          </w:tcPr>
          <w:p>
            <w:pPr>
              <w:ind w:left="120"/>
              <w:spacing w:after="0"/>
              <w:rPr>
                <w:sz w:val="20"/>
                <w:szCs w:val="20"/>
                <w:color w:val="auto"/>
              </w:rPr>
            </w:pPr>
            <w:r>
              <w:rPr>
                <w:rFonts w:ascii="Arial" w:cs="Arial" w:eastAsia="Arial" w:hAnsi="Arial"/>
                <w:sz w:val="16"/>
                <w:szCs w:val="16"/>
                <w:color w:val="auto"/>
              </w:rPr>
              <w:t>Common Shares (1,620 shares)</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8/5/2015</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7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21,448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24,504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C Preferred Shares (362,319</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10/13/2020</w:t>
            </w: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633,376 Warrants</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1,384</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19"/>
                <w:szCs w:val="19"/>
                <w:color w:val="auto"/>
              </w:rPr>
            </w:pPr>
          </w:p>
        </w:tc>
        <w:tc>
          <w:tcPr>
            <w:tcW w:w="2700" w:type="dxa"/>
            <w:vAlign w:val="bottom"/>
            <w:shd w:val="clear" w:color="auto" w:fill="CFF0FC"/>
          </w:tcPr>
          <w:p>
            <w:pPr>
              <w:ind w:left="120"/>
              <w:spacing w:after="0" w:line="218"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4/2/2020</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70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Class A Units (51,429 units) </w:t>
            </w:r>
            <w:r>
              <w:rPr>
                <w:rFonts w:ascii="Arial" w:cs="Arial" w:eastAsia="Arial" w:hAnsi="Arial"/>
                <w:sz w:val="23"/>
                <w:szCs w:val="23"/>
                <w:color w:val="auto"/>
                <w:vertAlign w:val="superscript"/>
              </w:rPr>
              <w:t>(14)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3/10/2021</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954,478 Warrants</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6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5"/>
                <w:szCs w:val="25"/>
                <w:color w:val="auto"/>
                <w:vertAlign w:val="superscript"/>
              </w:rPr>
              <w:t>(7)(13)</w:t>
            </w:r>
          </w:p>
        </w:tc>
        <w:tc>
          <w:tcPr>
            <w:tcW w:w="2680" w:type="dxa"/>
            <w:vAlign w:val="bottom"/>
          </w:tcPr>
          <w:p>
            <w:pPr>
              <w:ind w:left="80"/>
              <w:spacing w:after="0" w:line="216" w:lineRule="exact"/>
              <w:rPr>
                <w:sz w:val="20"/>
                <w:szCs w:val="20"/>
                <w:color w:val="auto"/>
              </w:rPr>
            </w:pPr>
            <w:r>
              <w:rPr>
                <w:rFonts w:ascii="Arial" w:cs="Arial" w:eastAsia="Arial" w:hAnsi="Arial"/>
                <w:sz w:val="15"/>
                <w:szCs w:val="15"/>
                <w:color w:val="auto"/>
              </w:rPr>
              <w:t xml:space="preserve">Class A Units (33,790,171 units) </w:t>
            </w:r>
            <w:r>
              <w:rPr>
                <w:rFonts w:ascii="Arial" w:cs="Arial" w:eastAsia="Arial" w:hAnsi="Arial"/>
                <w:sz w:val="25"/>
                <w:szCs w:val="25"/>
                <w:color w:val="auto"/>
                <w:vertAlign w:val="superscript"/>
              </w:rPr>
              <w:t>(14)</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12/21/2018</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21,842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845</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6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Class C-1 Units (8,800,000 units)</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12/21/2018</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21,942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893</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8"/>
              </w:rPr>
              <w:t>Human resource support services</w:t>
            </w:r>
          </w:p>
        </w:tc>
        <w:tc>
          <w:tcPr>
            <w:tcW w:w="26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(13)(15)</w:t>
            </w:r>
          </w:p>
        </w:tc>
        <w:tc>
          <w:tcPr>
            <w:tcW w:w="2680" w:type="dxa"/>
            <w:vAlign w:val="bottom"/>
          </w:tcPr>
          <w:p>
            <w:pPr>
              <w:ind w:left="80"/>
              <w:spacing w:after="0"/>
              <w:rPr>
                <w:sz w:val="20"/>
                <w:szCs w:val="20"/>
                <w:color w:val="auto"/>
              </w:rPr>
            </w:pPr>
            <w:r>
              <w:rPr>
                <w:rFonts w:ascii="Arial" w:cs="Arial" w:eastAsia="Arial" w:hAnsi="Arial"/>
                <w:sz w:val="16"/>
                <w:szCs w:val="16"/>
                <w:color w:val="auto"/>
              </w:rPr>
              <w:t>Series A Preferred Units (1,429,228</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8/24/2018</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4,421</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units)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w w:val="98"/>
              </w:rPr>
              <w:t xml:space="preserve">DaySmart Holdings, LLC </w:t>
            </w:r>
            <w:r>
              <w:rPr>
                <w:rFonts w:ascii="Arial" w:cs="Arial" w:eastAsia="Arial" w:hAnsi="Arial"/>
                <w:sz w:val="25"/>
                <w:szCs w:val="25"/>
                <w:color w:val="auto"/>
                <w:w w:val="98"/>
                <w:vertAlign w:val="superscript"/>
              </w:rPr>
              <w:t>(13)(14)(15)</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Class A Units (166,811 units)</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10/1/2019</w:t>
            </w:r>
          </w:p>
        </w:tc>
        <w:tc>
          <w:tcPr>
            <w:tcW w:w="1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3,361</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6,084</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6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5"/>
                <w:szCs w:val="25"/>
                <w:color w:val="auto"/>
                <w:vertAlign w:val="superscript"/>
              </w:rPr>
              <w:t>(13)</w:t>
            </w:r>
          </w:p>
        </w:tc>
        <w:tc>
          <w:tcPr>
            <w:tcW w:w="2680" w:type="dxa"/>
            <w:vAlign w:val="bottom"/>
          </w:tcPr>
          <w:p>
            <w:pPr>
              <w:ind w:left="80"/>
              <w:spacing w:after="0"/>
              <w:rPr>
                <w:sz w:val="20"/>
                <w:szCs w:val="20"/>
                <w:color w:val="auto"/>
              </w:rPr>
            </w:pPr>
            <w:r>
              <w:rPr>
                <w:rFonts w:ascii="Arial" w:cs="Arial" w:eastAsia="Arial" w:hAnsi="Arial"/>
                <w:sz w:val="16"/>
                <w:szCs w:val="16"/>
                <w:color w:val="auto"/>
                <w:w w:val="94"/>
              </w:rPr>
              <w:t>Common Shares Class A (1,020 units)</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2,208</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17"/>
                <w:szCs w:val="17"/>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Common Shares Class B (987,929</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6/30/2017</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units)</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2,230</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6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w:t>
            </w:r>
          </w:p>
        </w:tc>
        <w:tc>
          <w:tcPr>
            <w:tcW w:w="2680" w:type="dxa"/>
            <w:vAlign w:val="bottom"/>
          </w:tcPr>
          <w:p>
            <w:pPr>
              <w:ind w:left="80"/>
              <w:spacing w:after="0"/>
              <w:rPr>
                <w:sz w:val="20"/>
                <w:szCs w:val="20"/>
                <w:color w:val="auto"/>
              </w:rPr>
            </w:pPr>
            <w:r>
              <w:rPr>
                <w:rFonts w:ascii="Arial" w:cs="Arial" w:eastAsia="Arial" w:hAnsi="Arial"/>
                <w:sz w:val="16"/>
                <w:szCs w:val="16"/>
                <w:color w:val="auto"/>
              </w:rPr>
              <w:t>Series F Preferred Shares (199,054</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8/2/2019</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922</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shares)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6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23"/>
                <w:szCs w:val="23"/>
                <w:color w:val="auto"/>
                <w:vertAlign w:val="superscript"/>
              </w:rPr>
              <w:t>(13)</w:t>
            </w:r>
          </w:p>
        </w:tc>
        <w:tc>
          <w:tcPr>
            <w:tcW w:w="2680" w:type="dxa"/>
            <w:vAlign w:val="bottom"/>
          </w:tcPr>
          <w:p>
            <w:pPr>
              <w:ind w:left="80"/>
              <w:spacing w:after="0"/>
              <w:rPr>
                <w:sz w:val="20"/>
                <w:szCs w:val="20"/>
                <w:color w:val="auto"/>
              </w:rPr>
            </w:pPr>
            <w:r>
              <w:rPr>
                <w:rFonts w:ascii="Arial" w:cs="Arial" w:eastAsia="Arial" w:hAnsi="Arial"/>
                <w:sz w:val="16"/>
                <w:szCs w:val="16"/>
                <w:color w:val="auto"/>
                <w:w w:val="96"/>
              </w:rPr>
              <w:t>Series A Preferred Shares (3,840,000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5/31/2018</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12,365</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shares)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6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(6)(14)</w:t>
            </w:r>
          </w:p>
        </w:tc>
        <w:tc>
          <w:tcPr>
            <w:tcW w:w="2680" w:type="dxa"/>
            <w:vAlign w:val="bottom"/>
          </w:tcPr>
          <w:p>
            <w:pPr>
              <w:ind w:left="80"/>
              <w:spacing w:after="0"/>
              <w:rPr>
                <w:sz w:val="20"/>
                <w:szCs w:val="20"/>
                <w:color w:val="auto"/>
              </w:rPr>
            </w:pPr>
            <w:r>
              <w:rPr>
                <w:rFonts w:ascii="Arial" w:cs="Arial" w:eastAsia="Arial" w:hAnsi="Arial"/>
                <w:sz w:val="16"/>
                <w:szCs w:val="16"/>
                <w:color w:val="auto"/>
              </w:rPr>
              <w:t>Common Units (15,000 units)</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12/24/2020</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5,973</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680" w:type="dxa"/>
            <w:vAlign w:val="bottom"/>
          </w:tcPr>
          <w:p>
            <w:pPr>
              <w:ind w:left="80"/>
              <w:spacing w:after="0"/>
              <w:rPr>
                <w:sz w:val="20"/>
                <w:szCs w:val="20"/>
                <w:color w:val="auto"/>
              </w:rPr>
            </w:pPr>
            <w:r>
              <w:rPr>
                <w:rFonts w:ascii="Arial" w:cs="Arial" w:eastAsia="Arial" w:hAnsi="Arial"/>
                <w:sz w:val="16"/>
                <w:szCs w:val="16"/>
                <w:color w:val="auto"/>
              </w:rPr>
              <w:t>712,817 Warrants</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8/5/2020</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643</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w w:val="96"/>
              </w:rPr>
              <w:t xml:space="preserve">American Achievement, Corp. </w:t>
            </w:r>
            <w:r>
              <w:rPr>
                <w:rFonts w:ascii="Arial" w:cs="Arial" w:eastAsia="Arial" w:hAnsi="Arial"/>
                <w:sz w:val="25"/>
                <w:szCs w:val="25"/>
                <w:color w:val="auto"/>
                <w:w w:val="96"/>
                <w:vertAlign w:val="superscript"/>
              </w:rPr>
              <w:t>(13)(14)</w:t>
            </w:r>
          </w:p>
        </w:tc>
        <w:tc>
          <w:tcPr>
            <w:tcW w:w="2680" w:type="dxa"/>
            <w:vAlign w:val="bottom"/>
          </w:tcPr>
          <w:p>
            <w:pPr>
              <w:ind w:left="80"/>
              <w:spacing w:after="0"/>
              <w:rPr>
                <w:sz w:val="20"/>
                <w:szCs w:val="20"/>
                <w:color w:val="auto"/>
              </w:rPr>
            </w:pPr>
            <w:r>
              <w:rPr>
                <w:rFonts w:ascii="Arial" w:cs="Arial" w:eastAsia="Arial" w:hAnsi="Arial"/>
                <w:sz w:val="16"/>
                <w:szCs w:val="16"/>
                <w:color w:val="auto"/>
              </w:rPr>
              <w:t>Class A Units (687 units)</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3/16/2021</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Copper Bidco, LLC </w:t>
            </w:r>
            <w:r>
              <w:rPr>
                <w:rFonts w:ascii="Arial" w:cs="Arial" w:eastAsia="Arial" w:hAnsi="Arial"/>
                <w:sz w:val="23"/>
                <w:szCs w:val="23"/>
                <w:color w:val="auto"/>
                <w:vertAlign w:val="superscript"/>
              </w:rPr>
              <w:t>(11)(14)</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Trust Certificates (132,928</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12/7/2020</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1,373</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Certificates)</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Trust Certificates (996,958</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1/30/2021</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15,453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18,145</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Certificates)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NMG Parent, LLC Com Unit </w:t>
            </w:r>
            <w:r>
              <w:rPr>
                <w:rFonts w:ascii="Arial" w:cs="Arial" w:eastAsia="Arial" w:hAnsi="Arial"/>
                <w:sz w:val="23"/>
                <w:szCs w:val="23"/>
                <w:color w:val="auto"/>
                <w:vertAlign w:val="superscript"/>
              </w:rPr>
              <w:t>(11)(13)</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Common Units (110,210 units)</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9/29/2020</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7,770</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(14)</w:t>
            </w:r>
          </w:p>
        </w:tc>
        <w:tc>
          <w:tcPr>
            <w:tcW w:w="26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22,996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27,288</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2560" w:type="dxa"/>
            <w:vAlign w:val="bottom"/>
            <w:tcBorders>
              <w:top w:val="single" w:sz="8" w:color="CFF0FC"/>
            </w:tcBorders>
            <w:shd w:val="clear" w:color="auto" w:fill="CFF0FC"/>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Other Investments</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Bain Capital Credit CLO Ltd,</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Structured Product ($500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10/15/2020</w:t>
            </w:r>
          </w:p>
        </w:tc>
        <w:tc>
          <w:tcPr>
            <w:tcW w:w="1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 + 5.35%</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5.56%</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4/2031)</w:t>
            </w: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680" w:type="dxa"/>
            <w:vAlign w:val="bottom"/>
          </w:tcPr>
          <w:p>
            <w:pPr>
              <w:ind w:left="80"/>
              <w:spacing w:after="0"/>
              <w:rPr>
                <w:sz w:val="20"/>
                <w:szCs w:val="20"/>
                <w:color w:val="auto"/>
              </w:rPr>
            </w:pPr>
            <w:r>
              <w:rPr>
                <w:rFonts w:ascii="Arial" w:cs="Arial" w:eastAsia="Arial" w:hAnsi="Arial"/>
                <w:sz w:val="16"/>
                <w:szCs w:val="16"/>
                <w:color w:val="auto"/>
              </w:rPr>
              <w:t>Structured Product ($1,550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8/11/2020</w:t>
            </w:r>
          </w:p>
        </w:tc>
        <w:tc>
          <w:tcPr>
            <w:tcW w:w="1180" w:type="dxa"/>
            <w:vAlign w:val="bottom"/>
          </w:tcPr>
          <w:p>
            <w:pPr>
              <w:ind w:left="180"/>
              <w:spacing w:after="0"/>
              <w:rPr>
                <w:sz w:val="20"/>
                <w:szCs w:val="20"/>
                <w:color w:val="auto"/>
              </w:rPr>
            </w:pPr>
            <w:r>
              <w:rPr>
                <w:rFonts w:ascii="Arial" w:cs="Arial" w:eastAsia="Arial" w:hAnsi="Arial"/>
                <w:sz w:val="16"/>
                <w:szCs w:val="16"/>
                <w:color w:val="auto"/>
              </w:rPr>
              <w:t>L + 5.75%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800" w:type="dxa"/>
            <w:vAlign w:val="bottom"/>
          </w:tcPr>
          <w:p>
            <w:pPr>
              <w:jc w:val="right"/>
              <w:spacing w:after="0"/>
              <w:rPr>
                <w:sz w:val="20"/>
                <w:szCs w:val="20"/>
                <w:color w:val="auto"/>
              </w:rPr>
            </w:pPr>
            <w:r>
              <w:rPr>
                <w:rFonts w:ascii="Arial" w:cs="Arial" w:eastAsia="Arial" w:hAnsi="Arial"/>
                <w:sz w:val="16"/>
                <w:szCs w:val="16"/>
                <w:color w:val="auto"/>
              </w:rPr>
              <w:t>1,208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1,484</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60" w:type="dxa"/>
            <w:vAlign w:val="bottom"/>
          </w:tcPr>
          <w:p>
            <w:pPr>
              <w:ind w:left="120"/>
              <w:spacing w:after="0"/>
              <w:rPr>
                <w:sz w:val="20"/>
                <w:szCs w:val="20"/>
                <w:color w:val="auto"/>
              </w:rPr>
            </w:pPr>
            <w:r>
              <w:rPr>
                <w:rFonts w:ascii="Arial" w:cs="Arial" w:eastAsia="Arial" w:hAnsi="Arial"/>
                <w:sz w:val="16"/>
                <w:szCs w:val="16"/>
                <w:color w:val="auto"/>
              </w:rPr>
              <w:t>CLO Ltd, Series 2018-1A</w:t>
            </w:r>
          </w:p>
        </w:tc>
        <w:tc>
          <w:tcPr>
            <w:tcW w:w="2680" w:type="dxa"/>
            <w:vAlign w:val="bottom"/>
          </w:tcPr>
          <w:p>
            <w:pPr>
              <w:ind w:left="80"/>
              <w:spacing w:after="0"/>
              <w:rPr>
                <w:sz w:val="20"/>
                <w:szCs w:val="20"/>
                <w:color w:val="auto"/>
              </w:rPr>
            </w:pPr>
            <w:r>
              <w:rPr>
                <w:rFonts w:ascii="Arial" w:cs="Arial" w:eastAsia="Arial" w:hAnsi="Arial"/>
                <w:sz w:val="16"/>
                <w:szCs w:val="16"/>
                <w:color w:val="auto"/>
              </w:rPr>
              <w:t>4/2031)</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120"/>
              <w:spacing w:after="0"/>
              <w:rPr>
                <w:sz w:val="20"/>
                <w:szCs w:val="20"/>
                <w:color w:val="auto"/>
              </w:rPr>
            </w:pPr>
            <w:r>
              <w:rPr>
                <w:rFonts w:ascii="Arial" w:cs="Arial" w:eastAsia="Arial" w:hAnsi="Arial"/>
                <w:sz w:val="14"/>
                <w:szCs w:val="14"/>
                <w:color w:val="auto"/>
              </w:rPr>
              <w:t>(3)(4)(11)</w:t>
            </w:r>
          </w:p>
        </w:tc>
        <w:tc>
          <w:tcPr>
            <w:tcW w:w="2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Structured Product ($4,150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9/3/2020</w:t>
            </w:r>
          </w:p>
        </w:tc>
        <w:tc>
          <w:tcPr>
            <w:tcW w:w="1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 + 6.15%</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3,833</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2017-4A</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1/2030)</w:t>
            </w:r>
          </w:p>
        </w:tc>
        <w:tc>
          <w:tcPr>
            <w:tcW w:w="10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6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Arial" w:cs="Arial" w:eastAsia="Arial" w:hAnsi="Arial"/>
                <w:sz w:val="16"/>
                <w:szCs w:val="16"/>
                <w:color w:val="auto"/>
              </w:rPr>
              <w:t>Madison Park Funding Ltd,</w:t>
            </w:r>
          </w:p>
        </w:tc>
        <w:tc>
          <w:tcPr>
            <w:tcW w:w="2680" w:type="dxa"/>
            <w:vAlign w:val="bottom"/>
          </w:tcPr>
          <w:p>
            <w:pPr>
              <w:ind w:left="80"/>
              <w:spacing w:after="0"/>
              <w:rPr>
                <w:sz w:val="20"/>
                <w:szCs w:val="20"/>
                <w:color w:val="auto"/>
              </w:rPr>
            </w:pPr>
            <w:r>
              <w:rPr>
                <w:rFonts w:ascii="Arial" w:cs="Arial" w:eastAsia="Arial" w:hAnsi="Arial"/>
                <w:sz w:val="16"/>
                <w:szCs w:val="16"/>
                <w:color w:val="auto"/>
              </w:rPr>
              <w:t>Structured Product ($2,400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8/11/2020</w:t>
            </w:r>
          </w:p>
        </w:tc>
        <w:tc>
          <w:tcPr>
            <w:tcW w:w="1180" w:type="dxa"/>
            <w:vAlign w:val="bottom"/>
          </w:tcPr>
          <w:p>
            <w:pPr>
              <w:ind w:left="180"/>
              <w:spacing w:after="0"/>
              <w:rPr>
                <w:sz w:val="20"/>
                <w:szCs w:val="20"/>
                <w:color w:val="auto"/>
              </w:rPr>
            </w:pPr>
            <w:r>
              <w:rPr>
                <w:rFonts w:ascii="Arial" w:cs="Arial" w:eastAsia="Arial" w:hAnsi="Arial"/>
                <w:sz w:val="16"/>
                <w:szCs w:val="16"/>
                <w:color w:val="auto"/>
              </w:rPr>
              <w:t>L + 5.80%</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800" w:type="dxa"/>
            <w:vAlign w:val="bottom"/>
          </w:tcPr>
          <w:p>
            <w:pPr>
              <w:jc w:val="right"/>
              <w:spacing w:after="0"/>
              <w:rPr>
                <w:sz w:val="20"/>
                <w:szCs w:val="20"/>
                <w:color w:val="auto"/>
              </w:rPr>
            </w:pPr>
            <w:r>
              <w:rPr>
                <w:rFonts w:ascii="Arial" w:cs="Arial" w:eastAsia="Arial" w:hAnsi="Arial"/>
                <w:sz w:val="16"/>
                <w:szCs w:val="16"/>
                <w:color w:val="auto"/>
              </w:rPr>
              <w:t>1,990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2,285</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68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10/2030)</w:t>
            </w:r>
          </w:p>
        </w:tc>
        <w:tc>
          <w:tcPr>
            <w:tcW w:w="102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93,952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103,398</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68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$ 2,331,460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$ 2,382,746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Interest Rate Swaps as of March 31, 2021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Upfront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(a)(d)</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371,391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(a)(b)(c)</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+ 1.91%</w:t>
            </w:r>
          </w:p>
        </w:tc>
        <w:tc>
          <w:tcPr>
            <w:tcW w:w="1200" w:type="dxa"/>
            <w:vAlign w:val="bottom"/>
          </w:tcPr>
          <w:p>
            <w:pPr>
              <w:jc w:val="right"/>
              <w:spacing w:after="0"/>
              <w:rPr>
                <w:sz w:val="20"/>
                <w:szCs w:val="20"/>
                <w:color w:val="auto"/>
              </w:rPr>
            </w:pPr>
            <w:r>
              <w:rPr>
                <w:rFonts w:ascii="Arial" w:cs="Arial" w:eastAsia="Arial" w:hAnsi="Arial"/>
                <w:sz w:val="18"/>
                <w:szCs w:val="18"/>
                <w:color w:val="auto"/>
              </w:rPr>
              <w:t>8/1/2026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Cash collateral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(11,154)</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7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2021.</w:t>
      </w:r>
    </w:p>
    <w:p>
      <w:pPr>
        <w:ind w:left="500" w:right="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12.1% of total assets as of March 31, 2021.</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12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2021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three months ended March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Net Change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2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MD America Energy,</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(57)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7"/>
              </w:rPr>
              <w:t>14,917</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74"/>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14,917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9" w:lineRule="exact"/>
        <w:rPr>
          <w:rFonts w:ascii="Arial" w:cs="Arial" w:eastAsia="Arial" w:hAnsi="Arial"/>
          <w:sz w:val="18"/>
          <w:szCs w:val="18"/>
          <w:color w:val="auto"/>
        </w:rPr>
      </w:pPr>
    </w:p>
    <w:p>
      <w:pPr>
        <w:ind w:left="1000" w:right="540" w:hanging="493"/>
        <w:spacing w:after="0" w:line="260"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consolidated statement of operations there is a realized loss on non-controlled, affiliated investments of $33 related to an escrow receivable for an investment that is no longer held.</w:t>
      </w:r>
    </w:p>
    <w:p>
      <w:pPr>
        <w:spacing w:after="0" w:line="77" w:lineRule="exact"/>
        <w:rPr>
          <w:rFonts w:ascii="Arial" w:cs="Arial" w:eastAsia="Arial" w:hAnsi="Arial"/>
          <w:sz w:val="18"/>
          <w:szCs w:val="18"/>
          <w:color w:val="auto"/>
        </w:rPr>
      </w:pPr>
    </w:p>
    <w:p>
      <w:pPr>
        <w:ind w:left="500" w:right="60" w:hanging="492"/>
        <w:spacing w:after="0" w:line="30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2021 in which the Company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three months ended March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Realized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Value at</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Company</w:t>
            </w: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20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Additions (a)</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w w:val="89"/>
              </w:rPr>
              <w:t>Reductions (b)</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Gain/(Loss)</w:t>
            </w: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ind w:left="480"/>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Mississippi Resources,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LLC</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37,994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12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2021, the estimated cost basis of investments for U.S. federal tax purposes was $2,350,588, resulting in estimated gross unrealized gains and losses of $145,735 and $104,585,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March 31, 2021, the aggregate fair value of these securities is $44,075, or 3.7%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is on non-accrual status as of March 31,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Reference</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Rate and</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44"/>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340" w:type="dxa"/>
            <w:vAlign w:val="bottom"/>
            <w:gridSpan w:val="2"/>
          </w:tcPr>
          <w:p>
            <w:pPr>
              <w:ind w:left="82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Spread</w:t>
            </w: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84"/>
              <w:spacing w:after="0"/>
              <w:rPr>
                <w:sz w:val="20"/>
                <w:szCs w:val="20"/>
                <w:color w:val="auto"/>
              </w:rPr>
            </w:pPr>
            <w:r>
              <w:rPr>
                <w:rFonts w:ascii="Arial" w:cs="Arial" w:eastAsia="Arial" w:hAnsi="Arial"/>
                <w:sz w:val="13"/>
                <w:szCs w:val="13"/>
                <w:b w:val="1"/>
                <w:bCs w:val="1"/>
                <w:color w:val="auto"/>
                <w:w w:val="81"/>
              </w:rPr>
              <w:t>of Net Assets</w:t>
            </w:r>
          </w:p>
        </w:tc>
      </w:tr>
      <w:tr>
        <w:trPr>
          <w:trHeight w:val="209"/>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74,813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56,132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$59,603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10/2025)</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75,935)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($64,317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62,934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($4,662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8/2026)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9.50% PIK)</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($71,500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70,857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72,215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8/2023)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($1,310</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par, due 8/2023)</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($61,800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1/17/2018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760" w:type="dxa"/>
            <w:vAlign w:val="bottom"/>
          </w:tcPr>
          <w:p>
            <w:pPr>
              <w:jc w:val="right"/>
              <w:spacing w:after="0"/>
              <w:rPr>
                <w:sz w:val="20"/>
                <w:szCs w:val="20"/>
                <w:color w:val="auto"/>
              </w:rPr>
            </w:pPr>
            <w:r>
              <w:rPr>
                <w:rFonts w:ascii="Arial" w:cs="Arial" w:eastAsia="Arial" w:hAnsi="Arial"/>
                <w:sz w:val="16"/>
                <w:szCs w:val="16"/>
                <w:color w:val="auto"/>
              </w:rPr>
              <w:t>60,902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62,418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($50,792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49,381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49,391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($79,695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3/30/2018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78,370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81,912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4/2024)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ReliaQuest Holdings, LLC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($36,511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10/2026)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ServiceChannel Holdings, Inc. </w:t>
            </w:r>
            <w:r>
              <w:rPr>
                <w:rFonts w:ascii="Arial" w:cs="Arial" w:eastAsia="Arial" w:hAnsi="Arial"/>
                <w:sz w:val="23"/>
                <w:szCs w:val="23"/>
                <w:color w:val="auto"/>
                <w:vertAlign w:val="superscript"/>
              </w:rPr>
              <w:t>(9)</w:t>
            </w:r>
          </w:p>
        </w:tc>
        <w:tc>
          <w:tcPr>
            <w:tcW w:w="2340" w:type="dxa"/>
            <w:vAlign w:val="bottom"/>
            <w:gridSpan w:val="2"/>
          </w:tcPr>
          <w:p>
            <w:pPr>
              <w:spacing w:after="0"/>
              <w:rPr>
                <w:sz w:val="20"/>
                <w:szCs w:val="20"/>
                <w:color w:val="auto"/>
              </w:rPr>
            </w:pPr>
            <w:r>
              <w:rPr>
                <w:rFonts w:ascii="Arial" w:cs="Arial" w:eastAsia="Arial" w:hAnsi="Arial"/>
                <w:sz w:val="16"/>
                <w:szCs w:val="16"/>
                <w:color w:val="auto"/>
              </w:rPr>
              <w:t>Second-lien loan ($5,359 par,</w:t>
            </w:r>
          </w:p>
        </w:tc>
        <w:tc>
          <w:tcPr>
            <w:tcW w:w="820" w:type="dxa"/>
            <w:vAlign w:val="bottom"/>
          </w:tcPr>
          <w:p>
            <w:pPr>
              <w:jc w:val="right"/>
              <w:spacing w:after="0"/>
              <w:rPr>
                <w:sz w:val="20"/>
                <w:szCs w:val="20"/>
                <w:color w:val="auto"/>
              </w:rPr>
            </w:pPr>
            <w:r>
              <w:rPr>
                <w:rFonts w:ascii="Arial" w:cs="Arial" w:eastAsia="Arial" w:hAnsi="Arial"/>
                <w:sz w:val="16"/>
                <w:szCs w:val="16"/>
                <w:color w:val="auto"/>
              </w:rPr>
              <w:t>6/3/2020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12.00% PIK</w:t>
            </w:r>
          </w:p>
        </w:tc>
        <w:tc>
          <w:tcPr>
            <w:tcW w:w="760" w:type="dxa"/>
            <w:vAlign w:val="bottom"/>
          </w:tcPr>
          <w:p>
            <w:pPr>
              <w:jc w:val="right"/>
              <w:spacing w:after="0"/>
              <w:rPr>
                <w:sz w:val="20"/>
                <w:szCs w:val="20"/>
                <w:color w:val="auto"/>
              </w:rPr>
            </w:pPr>
            <w:r>
              <w:rPr>
                <w:rFonts w:ascii="Arial" w:cs="Arial" w:eastAsia="Arial" w:hAnsi="Arial"/>
                <w:sz w:val="16"/>
                <w:szCs w:val="16"/>
                <w:color w:val="auto"/>
              </w:rPr>
              <w:t>4,992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due 6/2025)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Sprinklr, Inc.</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Convertible note ($3,920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9.88%</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9.88% PIK</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5/2025)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WideOrbit,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($59,943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7/8/2020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59,044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7/2025)</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487,784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43.4%</w:t>
            </w: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($43,324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w w:val="97"/>
              </w:rPr>
              <w:t>Convertible note ($1,750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2/28/2020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8.00% PIK</w:t>
            </w:r>
          </w:p>
        </w:tc>
        <w:tc>
          <w:tcPr>
            <w:tcW w:w="76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12/2024)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44,951</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44,657</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($34,913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Follet Corp.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($75,000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11/25/2020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73,341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73,500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11/2025)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($84,835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84,479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262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color w:val="auto"/>
              </w:rPr>
              <w:t>Illuminate Education,</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($63,375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8/25/2017</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62,864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6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254,587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256,186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w:t>
            </w:r>
          </w:p>
        </w:tc>
      </w:tr>
      <w:tr>
        <w:trPr>
          <w:trHeight w:val="207"/>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Financial services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($10,831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($19,775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10/10/2019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19,341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19,627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revolving loan ($2,500</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2,462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par, due 10/2024)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Factor Systems,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($29,775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29,232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10"/>
        </w:trPr>
        <w:tc>
          <w:tcPr>
            <w:tcW w:w="2460" w:type="dxa"/>
            <w:vAlign w:val="bottom"/>
          </w:tcPr>
          <w:p>
            <w:pPr>
              <w:spacing w:after="0"/>
              <w:rPr>
                <w:sz w:val="20"/>
                <w:szCs w:val="20"/>
                <w:color w:val="auto"/>
              </w:rPr>
            </w:pPr>
            <w:r>
              <w:rPr>
                <w:rFonts w:ascii="Arial" w:cs="Arial" w:eastAsia="Arial" w:hAnsi="Arial"/>
                <w:sz w:val="16"/>
                <w:szCs w:val="16"/>
                <w:color w:val="auto"/>
              </w:rPr>
              <w:t xml:space="preserve">G Treasury SS, LLC </w:t>
            </w:r>
            <w:r>
              <w:rPr>
                <w:rFonts w:ascii="Arial" w:cs="Arial" w:eastAsia="Arial" w:hAnsi="Arial"/>
                <w:sz w:val="27"/>
                <w:szCs w:val="27"/>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($30,934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30,674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31,398</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4/2023)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($39,323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39,618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6/2025)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InvMetrics Holdings,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($53,200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12/30/2020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51,824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51,823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12/2025)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Kyriba Corp.</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($13,921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(EUR 8,288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+ 9.00%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tcPr>
          <w:p>
            <w:pPr>
              <w:jc w:val="right"/>
              <w:spacing w:after="0"/>
              <w:rPr>
                <w:sz w:val="20"/>
                <w:szCs w:val="20"/>
                <w:color w:val="auto"/>
              </w:rPr>
            </w:pPr>
            <w:r>
              <w:rPr>
                <w:rFonts w:ascii="Arial" w:cs="Arial" w:eastAsia="Arial" w:hAnsi="Arial"/>
                <w:sz w:val="16"/>
                <w:szCs w:val="16"/>
                <w:color w:val="auto"/>
              </w:rPr>
              <w:t>9,120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10,420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8,516)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($1,411</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revolving loan (EUR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336 par, 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345)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PayLease, LLC </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($63,671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64,467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7/2022)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($3,333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3,312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par, due 7/2022)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($22,207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22,932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330,512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339,569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29.2%</w:t>
            </w:r>
          </w:p>
        </w:tc>
      </w:tr>
      <w:tr>
        <w:trPr>
          <w:trHeight w:val="212"/>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3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BCTO Ace Purchaser,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($40,000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11/23/2020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38,863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39,300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11/2026)</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Inc.</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($3,750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tcPr>
          <w:p>
            <w:pPr>
              <w:jc w:val="right"/>
              <w:spacing w:after="0"/>
              <w:rPr>
                <w:sz w:val="20"/>
                <w:szCs w:val="20"/>
                <w:color w:val="auto"/>
              </w:rPr>
            </w:pPr>
            <w:r>
              <w:rPr>
                <w:rFonts w:ascii="Arial" w:cs="Arial" w:eastAsia="Arial" w:hAnsi="Arial"/>
                <w:sz w:val="16"/>
                <w:szCs w:val="16"/>
                <w:color w:val="auto"/>
              </w:rPr>
              <w:t>3,500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Convertible note ($2,602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($15,000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14,891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($2,400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Integrated Practice</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($49,375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47,920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50,733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($17,781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16,892</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($28,536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tcPr>
          <w:p>
            <w:pPr>
              <w:jc w:val="right"/>
              <w:spacing w:after="0"/>
              <w:rPr>
                <w:sz w:val="20"/>
                <w:szCs w:val="20"/>
                <w:color w:val="auto"/>
              </w:rPr>
            </w:pPr>
            <w:r>
              <w:rPr>
                <w:rFonts w:ascii="Arial" w:cs="Arial" w:eastAsia="Arial" w:hAnsi="Arial"/>
                <w:sz w:val="16"/>
                <w:szCs w:val="16"/>
                <w:color w:val="auto"/>
              </w:rPr>
              <w:t>27,909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rPr>
              <w:t>4/2024)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rPr>
                <w:sz w:val="17"/>
                <w:szCs w:val="17"/>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($1,500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1,520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($9,058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8,883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9,126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246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2/2024)</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171,076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178,360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($29,881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($7,054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7,054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6,750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246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par, due 9/2021)</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35,361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Absorb Software, Inc. </w:t>
            </w:r>
            <w:r>
              <w:rPr>
                <w:rFonts w:ascii="Arial" w:cs="Arial" w:eastAsia="Arial" w:hAnsi="Arial"/>
                <w:sz w:val="24"/>
                <w:szCs w:val="24"/>
                <w:color w:val="auto"/>
                <w:vertAlign w:val="superscript"/>
              </w:rPr>
              <w:t>(3)(4)(5)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($34,487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33,920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($20,055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10.25% (incl.</w:t>
            </w:r>
          </w:p>
        </w:tc>
        <w:tc>
          <w:tcPr>
            <w:tcW w:w="760" w:type="dxa"/>
            <w:vAlign w:val="bottom"/>
          </w:tcPr>
          <w:p>
            <w:pPr>
              <w:jc w:val="right"/>
              <w:spacing w:after="0"/>
              <w:rPr>
                <w:sz w:val="20"/>
                <w:szCs w:val="20"/>
                <w:color w:val="auto"/>
              </w:rPr>
            </w:pPr>
            <w:r>
              <w:rPr>
                <w:rFonts w:ascii="Arial" w:cs="Arial" w:eastAsia="Arial" w:hAnsi="Arial"/>
                <w:sz w:val="16"/>
                <w:szCs w:val="16"/>
                <w:color w:val="auto"/>
              </w:rPr>
              <w:t>19,909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7/2023)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2.50%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($36,318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36,348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36,199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10/2025)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($3,000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3,004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2,992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par, due 10/2025)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8"/>
              </w:rPr>
              <w:t>First-lien loan (AUD 51,474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39,531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39,938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12/2022)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1.25% PIK)</w:t>
            </w:r>
          </w:p>
        </w:tc>
        <w:tc>
          <w:tcPr>
            <w:tcW w:w="7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51,757)</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10"/>
        </w:trPr>
        <w:tc>
          <w:tcPr>
            <w:tcW w:w="2360" w:type="dxa"/>
            <w:vAlign w:val="bottom"/>
          </w:tcPr>
          <w:p>
            <w:pPr>
              <w:spacing w:after="0"/>
              <w:rPr>
                <w:sz w:val="20"/>
                <w:szCs w:val="20"/>
                <w:color w:val="auto"/>
              </w:rPr>
            </w:pPr>
            <w:r>
              <w:rPr>
                <w:rFonts w:ascii="Arial" w:cs="Arial" w:eastAsia="Arial" w:hAnsi="Arial"/>
                <w:sz w:val="16"/>
                <w:szCs w:val="16"/>
                <w:color w:val="auto"/>
              </w:rPr>
              <w:t xml:space="preserve">PayScale Holdings, Inc. </w:t>
            </w:r>
            <w:r>
              <w:rPr>
                <w:rFonts w:ascii="Arial" w:cs="Arial" w:eastAsia="Arial" w:hAnsi="Arial"/>
                <w:sz w:val="27"/>
                <w:szCs w:val="27"/>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($39,700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38,916</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39,937</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Modern Hire, Inc.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($30,113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5/15/2019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Workwell Acquisition Co. </w:t>
            </w:r>
            <w:r>
              <w:rPr>
                <w:rFonts w:ascii="Arial" w:cs="Arial" w:eastAsia="Arial" w:hAnsi="Arial"/>
                <w:sz w:val="23"/>
                <w:szCs w:val="23"/>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($19,950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10/19/2020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19,218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6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10/2025)</w:t>
            </w:r>
          </w:p>
        </w:tc>
        <w:tc>
          <w:tcPr>
            <w:tcW w:w="10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220,360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224,081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w:t>
            </w:r>
          </w:p>
        </w:tc>
      </w:tr>
      <w:tr>
        <w:trPr>
          <w:trHeight w:val="206"/>
        </w:trPr>
        <w:tc>
          <w:tcPr>
            <w:tcW w:w="236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($50,767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50,380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($50,000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6/18/2018</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Lithium Technologies,</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($54,700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10/3/2017</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tcPr>
          <w:p>
            <w:pPr>
              <w:jc w:val="right"/>
              <w:spacing w:after="0"/>
              <w:rPr>
                <w:sz w:val="20"/>
                <w:szCs w:val="20"/>
                <w:color w:val="auto"/>
              </w:rPr>
            </w:pPr>
            <w:r>
              <w:rPr>
                <w:rFonts w:ascii="Arial" w:cs="Arial" w:eastAsia="Arial" w:hAnsi="Arial"/>
                <w:sz w:val="16"/>
                <w:szCs w:val="16"/>
                <w:color w:val="auto"/>
              </w:rPr>
              <w:t>54,192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23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560" w:type="dxa"/>
            <w:vAlign w:val="bottom"/>
          </w:tcPr>
          <w:p>
            <w:pPr>
              <w:ind w:left="260"/>
              <w:spacing w:after="0"/>
              <w:rPr>
                <w:sz w:val="20"/>
                <w:szCs w:val="20"/>
                <w:color w:val="auto"/>
              </w:rPr>
            </w:pPr>
            <w:r>
              <w:rPr>
                <w:rFonts w:ascii="Arial" w:cs="Arial" w:eastAsia="Arial" w:hAnsi="Arial"/>
                <w:sz w:val="16"/>
                <w:szCs w:val="16"/>
                <w:color w:val="auto"/>
              </w:rPr>
              <w:t>10/2022)</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17"/>
                <w:szCs w:val="17"/>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revolving loan ($1,320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10/2022)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($12,902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12.00%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12,791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13,145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36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7/2024)</w:t>
            </w:r>
          </w:p>
        </w:tc>
        <w:tc>
          <w:tcPr>
            <w:tcW w:w="10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79"/>
              <w:spacing w:after="0"/>
              <w:rPr>
                <w:sz w:val="20"/>
                <w:szCs w:val="20"/>
                <w:color w:val="auto"/>
              </w:rPr>
            </w:pPr>
            <w:r>
              <w:rPr>
                <w:rFonts w:ascii="Arial" w:cs="Arial" w:eastAsia="Arial" w:hAnsi="Arial"/>
                <w:sz w:val="16"/>
                <w:szCs w:val="16"/>
                <w:color w:val="auto"/>
              </w:rPr>
              <w:t>7.00% PIK)</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117,806</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118,130</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36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note ($33,000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12/17/2019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32,010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6/2024)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($7,732</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9/12/2017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9/2022)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($9,000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11/14/2018</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Mississippi Resources,</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($1,500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6/29/2018</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P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760" w:type="dxa"/>
            <w:vAlign w:val="bottom"/>
          </w:tcPr>
          <w:p>
            <w:pPr>
              <w:jc w:val="right"/>
              <w:spacing w:after="0"/>
              <w:rPr>
                <w:sz w:val="20"/>
                <w:szCs w:val="20"/>
                <w:color w:val="auto"/>
              </w:rPr>
            </w:pPr>
            <w:r>
              <w:rPr>
                <w:rFonts w:ascii="Arial" w:cs="Arial" w:eastAsia="Arial" w:hAnsi="Arial"/>
                <w:sz w:val="16"/>
                <w:szCs w:val="16"/>
                <w:color w:val="auto"/>
              </w:rPr>
              <w:t>1,498</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560" w:type="dxa"/>
            <w:vAlign w:val="bottom"/>
          </w:tcPr>
          <w:p>
            <w:pPr>
              <w:ind w:left="260"/>
              <w:spacing w:after="0"/>
              <w:rPr>
                <w:sz w:val="20"/>
                <w:szCs w:val="20"/>
                <w:color w:val="auto"/>
              </w:rPr>
            </w:pPr>
            <w:r>
              <w:rPr>
                <w:rFonts w:ascii="Arial" w:cs="Arial" w:eastAsia="Arial" w:hAnsi="Arial"/>
                <w:sz w:val="16"/>
                <w:szCs w:val="16"/>
                <w:color w:val="auto"/>
              </w:rPr>
              <w:t>12/2021)</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($25,233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3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35,219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5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Lexipol, LLC </w:t>
            </w:r>
            <w:r>
              <w:rPr>
                <w:rFonts w:ascii="Arial" w:cs="Arial" w:eastAsia="Arial" w:hAnsi="Arial"/>
                <w:sz w:val="23"/>
                <w:szCs w:val="23"/>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($19,762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10/8/2020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+ 5.75%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760" w:type="dxa"/>
            <w:vAlign w:val="bottom"/>
          </w:tcPr>
          <w:p>
            <w:pPr>
              <w:jc w:val="right"/>
              <w:spacing w:after="0"/>
              <w:rPr>
                <w:sz w:val="20"/>
                <w:szCs w:val="20"/>
                <w:color w:val="auto"/>
              </w:rPr>
            </w:pPr>
            <w:r>
              <w:rPr>
                <w:rFonts w:ascii="Arial" w:cs="Arial" w:eastAsia="Arial" w:hAnsi="Arial"/>
                <w:sz w:val="16"/>
                <w:szCs w:val="16"/>
                <w:color w:val="auto"/>
              </w:rPr>
              <w:t>19,427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10/2025)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($27,948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26,796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27,569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560" w:type="dxa"/>
            <w:vAlign w:val="bottom"/>
          </w:tcPr>
          <w:p>
            <w:pPr>
              <w:ind w:left="260"/>
              <w:spacing w:after="0"/>
              <w:rPr>
                <w:sz w:val="20"/>
                <w:szCs w:val="20"/>
                <w:color w:val="auto"/>
              </w:rPr>
            </w:pPr>
            <w:r>
              <w:rPr>
                <w:rFonts w:ascii="Arial" w:cs="Arial" w:eastAsia="Arial" w:hAnsi="Arial"/>
                <w:sz w:val="16"/>
                <w:szCs w:val="16"/>
                <w:color w:val="auto"/>
              </w:rPr>
              <w:t>8/2025)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4.00% PIK)</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($37,500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62,683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64,038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5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($39,886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760" w:type="dxa"/>
            <w:vAlign w:val="bottom"/>
          </w:tcPr>
          <w:p>
            <w:pPr>
              <w:jc w:val="right"/>
              <w:spacing w:after="0"/>
              <w:rPr>
                <w:sz w:val="20"/>
                <w:szCs w:val="20"/>
                <w:color w:val="auto"/>
              </w:rPr>
            </w:pPr>
            <w:r>
              <w:rPr>
                <w:rFonts w:ascii="Arial" w:cs="Arial" w:eastAsia="Arial" w:hAnsi="Arial"/>
                <w:sz w:val="16"/>
                <w:szCs w:val="16"/>
                <w:color w:val="auto"/>
              </w:rPr>
              <w:t>39,686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39,763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99 Cents Only Stores</w:t>
            </w:r>
          </w:p>
        </w:tc>
        <w:tc>
          <w:tcPr>
            <w:tcW w:w="2560" w:type="dxa"/>
            <w:vAlign w:val="bottom"/>
          </w:tcPr>
          <w:p>
            <w:pPr>
              <w:ind w:left="260"/>
              <w:spacing w:after="0"/>
              <w:rPr>
                <w:sz w:val="20"/>
                <w:szCs w:val="20"/>
                <w:color w:val="auto"/>
              </w:rPr>
            </w:pPr>
            <w:r>
              <w:rPr>
                <w:rFonts w:ascii="Arial" w:cs="Arial" w:eastAsia="Arial" w:hAnsi="Arial"/>
                <w:sz w:val="16"/>
                <w:szCs w:val="16"/>
                <w:color w:val="auto"/>
              </w:rPr>
              <w:t>ABL FILO term loan ($25,000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9/6/2017</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tcPr>
          <w:p>
            <w:pPr>
              <w:jc w:val="right"/>
              <w:spacing w:after="0"/>
              <w:rPr>
                <w:sz w:val="20"/>
                <w:szCs w:val="20"/>
                <w:color w:val="auto"/>
              </w:rPr>
            </w:pPr>
            <w:r>
              <w:rPr>
                <w:rFonts w:ascii="Arial" w:cs="Arial" w:eastAsia="Arial" w:hAnsi="Arial"/>
                <w:sz w:val="16"/>
                <w:szCs w:val="16"/>
                <w:color w:val="auto"/>
              </w:rPr>
              <w:t>24,640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3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560" w:type="dxa"/>
            <w:vAlign w:val="bottom"/>
          </w:tcPr>
          <w:p>
            <w:pPr>
              <w:ind w:left="260"/>
              <w:spacing w:after="0"/>
              <w:rPr>
                <w:sz w:val="20"/>
                <w:szCs w:val="20"/>
                <w:color w:val="auto"/>
              </w:rPr>
            </w:pPr>
            <w:r>
              <w:rPr>
                <w:rFonts w:ascii="Arial" w:cs="Arial" w:eastAsia="Arial" w:hAnsi="Arial"/>
                <w:sz w:val="16"/>
                <w:szCs w:val="16"/>
                <w:color w:val="auto"/>
              </w:rPr>
              <w:t>par, due 5/2025)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($23,876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(3)(5)(16)</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9/2022)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560" w:type="dxa"/>
            <w:vAlign w:val="bottom"/>
          </w:tcPr>
          <w:p>
            <w:pPr>
              <w:ind w:left="260"/>
              <w:spacing w:after="0"/>
              <w:rPr>
                <w:sz w:val="20"/>
                <w:szCs w:val="20"/>
                <w:color w:val="auto"/>
              </w:rPr>
            </w:pPr>
            <w:r>
              <w:rPr>
                <w:rFonts w:ascii="Arial" w:cs="Arial" w:eastAsia="Arial" w:hAnsi="Arial"/>
                <w:sz w:val="16"/>
                <w:szCs w:val="16"/>
                <w:color w:val="auto"/>
                <w:w w:val="98"/>
              </w:rPr>
              <w:t>ABL First-lien loan ($49,375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48,218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49,252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due 8/2025)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J.C. Penney Company,</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ABL DIP term loan ($12,198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6/8/2020</w:t>
            </w: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13,336</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(11)(13)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4/2021)</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First-lien loan ($4,129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6/5/2019</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6/2023)</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secured note ($12,384</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6/5/2019</w:t>
            </w: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7/2023)</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560" w:type="dxa"/>
            <w:vAlign w:val="bottom"/>
          </w:tcPr>
          <w:p>
            <w:pPr>
              <w:ind w:left="260"/>
              <w:spacing w:after="0"/>
              <w:rPr>
                <w:sz w:val="20"/>
                <w:szCs w:val="20"/>
                <w:color w:val="auto"/>
              </w:rPr>
            </w:pPr>
            <w:r>
              <w:rPr>
                <w:rFonts w:ascii="Arial" w:cs="Arial" w:eastAsia="Arial" w:hAnsi="Arial"/>
                <w:sz w:val="16"/>
                <w:szCs w:val="16"/>
                <w:color w:val="auto"/>
              </w:rPr>
              <w:t>ABL FILO term loan ($20,667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5/6/2019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20,212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21,132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236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par, due 5/2024)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($30,000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4/1/2020</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6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ABL FILO term loan ($7,500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4/1/2020</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P + 6.50%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7,374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par, due 4/2024)</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NMG Holding Company, Inc. </w:t>
            </w:r>
            <w:r>
              <w:rPr>
                <w:rFonts w:ascii="Arial" w:cs="Arial" w:eastAsia="Arial" w:hAnsi="Arial"/>
                <w:sz w:val="24"/>
                <w:szCs w:val="24"/>
                <w:color w:val="auto"/>
                <w:vertAlign w:val="superscript"/>
              </w:rPr>
              <w:t>(3)(11)</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6"/>
              </w:rPr>
              <w:t>First-lien term loan ($16,961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+ 12.00%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17,994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9/2025)</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Penney Borrower, LLC </w:t>
            </w:r>
            <w:r>
              <w:rPr>
                <w:rFonts w:ascii="Arial" w:cs="Arial" w:eastAsia="Arial" w:hAnsi="Arial"/>
                <w:sz w:val="23"/>
                <w:szCs w:val="23"/>
                <w:color w:val="auto"/>
                <w:vertAlign w:val="superscript"/>
              </w:rPr>
              <w:t>(3)</w:t>
            </w:r>
          </w:p>
        </w:tc>
        <w:tc>
          <w:tcPr>
            <w:tcW w:w="2360" w:type="dxa"/>
            <w:vAlign w:val="bottom"/>
          </w:tcPr>
          <w:p>
            <w:pPr>
              <w:ind w:left="100"/>
              <w:spacing w:after="0"/>
              <w:rPr>
                <w:sz w:val="20"/>
                <w:szCs w:val="20"/>
                <w:color w:val="auto"/>
              </w:rPr>
            </w:pPr>
            <w:r>
              <w:rPr>
                <w:rFonts w:ascii="Arial" w:cs="Arial" w:eastAsia="Arial" w:hAnsi="Arial"/>
                <w:sz w:val="16"/>
                <w:szCs w:val="16"/>
                <w:color w:val="auto"/>
              </w:rPr>
              <w:t>ABL FILO term loan ($72,000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12/7/2020</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L + 8.50%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70,220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70,560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par, due 12/2025)</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First-lien term loan ($6,912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+ 8.50%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12/2026)(11)</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268,538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264,786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vMerge w:val="continue"/>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2,178,314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2,212,929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Units (1,262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Class B Units (517,020 units)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Shares (1,197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3/30/2018</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w w:val="95"/>
              </w:rPr>
              <w:t>Class B Shares (398,557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207,991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360" w:type="dxa"/>
            <w:vAlign w:val="bottom"/>
          </w:tcPr>
          <w:p>
            <w:pPr>
              <w:ind w:left="100"/>
              <w:spacing w:after="0"/>
              <w:rPr>
                <w:sz w:val="20"/>
                <w:szCs w:val="20"/>
                <w:color w:val="auto"/>
              </w:rPr>
            </w:pPr>
            <w:r>
              <w:rPr>
                <w:rFonts w:ascii="Arial" w:cs="Arial" w:eastAsia="Arial" w:hAnsi="Arial"/>
                <w:sz w:val="16"/>
                <w:szCs w:val="16"/>
                <w:color w:val="auto"/>
              </w:rPr>
              <w:t>1,567,807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7/8/2020</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280,000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(474,684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8"/>
              </w:rPr>
              <w:t>Common Shares (2,198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(13)(14)</w:t>
            </w:r>
          </w:p>
        </w:tc>
        <w:tc>
          <w:tcPr>
            <w:tcW w:w="9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Preferred Shares (293,232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15,763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15,802</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shares)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17"/>
                <w:szCs w:val="17"/>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5"/>
              </w:rPr>
              <w:t>Series F Preferred Shares (8,791</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shares)</w:t>
            </w:r>
            <w:r>
              <w:rPr>
                <w:rFonts w:ascii="Arial" w:cs="Arial" w:eastAsia="Arial" w:hAnsi="Arial"/>
                <w:sz w:val="13"/>
                <w:szCs w:val="13"/>
                <w:color w:val="auto"/>
              </w:rPr>
              <w:t>(13)(14)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36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75,016 Warrants </w:t>
            </w:r>
            <w:r>
              <w:rPr>
                <w:rFonts w:ascii="Arial" w:cs="Arial" w:eastAsia="Arial" w:hAnsi="Arial"/>
                <w:sz w:val="25"/>
                <w:szCs w:val="25"/>
                <w:color w:val="auto"/>
                <w:vertAlign w:val="superscript"/>
              </w:rPr>
              <w:t>(13)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w w:val="97"/>
              </w:rPr>
              <w:t xml:space="preserve">Newport Parent Holdings, LP </w:t>
            </w:r>
            <w:r>
              <w:rPr>
                <w:rFonts w:ascii="Arial" w:cs="Arial" w:eastAsia="Arial" w:hAnsi="Arial"/>
                <w:sz w:val="25"/>
                <w:szCs w:val="25"/>
                <w:color w:val="auto"/>
                <w:w w:val="97"/>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A-2 Units (131,569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12/10/2020</w:t>
            </w: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360" w:type="dxa"/>
            <w:vAlign w:val="bottom"/>
          </w:tcPr>
          <w:p>
            <w:pPr>
              <w:ind w:left="100"/>
              <w:spacing w:after="0"/>
              <w:rPr>
                <w:sz w:val="20"/>
                <w:szCs w:val="20"/>
                <w:color w:val="auto"/>
              </w:rPr>
            </w:pPr>
            <w:r>
              <w:rPr>
                <w:rFonts w:ascii="Arial" w:cs="Arial" w:eastAsia="Arial" w:hAnsi="Arial"/>
                <w:sz w:val="16"/>
                <w:szCs w:val="16"/>
                <w:color w:val="auto"/>
                <w:w w:val="98"/>
              </w:rPr>
              <w:t>Common Shares (1,059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8/5/2015</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3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C Preferred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10/13/2020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(362,319 shares) </w:t>
            </w:r>
            <w:r>
              <w:rPr>
                <w:rFonts w:ascii="Arial" w:cs="Arial" w:eastAsia="Arial" w:hAnsi="Arial"/>
                <w:sz w:val="25"/>
                <w:szCs w:val="25"/>
                <w:color w:val="auto"/>
                <w:vertAlign w:val="superscript"/>
              </w:rPr>
              <w:t>(14)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633,376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9/21/2018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rPr>
                <w:sz w:val="19"/>
                <w:szCs w:val="19"/>
                <w:color w:val="auto"/>
              </w:rPr>
            </w:pPr>
          </w:p>
        </w:tc>
        <w:tc>
          <w:tcPr>
            <w:tcW w:w="2360" w:type="dxa"/>
            <w:vAlign w:val="bottom"/>
            <w:shd w:val="clear" w:color="auto" w:fill="CFF0FC"/>
          </w:tcPr>
          <w:p>
            <w:pPr>
              <w:ind w:left="100"/>
              <w:spacing w:after="0" w:line="218"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(13)</w:t>
            </w:r>
          </w:p>
        </w:tc>
        <w:tc>
          <w:tcPr>
            <w:tcW w:w="2360" w:type="dxa"/>
            <w:vAlign w:val="bottom"/>
          </w:tcPr>
          <w:p>
            <w:pPr>
              <w:ind w:left="100"/>
              <w:spacing w:after="0"/>
              <w:rPr>
                <w:sz w:val="20"/>
                <w:szCs w:val="20"/>
                <w:color w:val="auto"/>
              </w:rPr>
            </w:pPr>
            <w:r>
              <w:rPr>
                <w:rFonts w:ascii="Arial" w:cs="Arial" w:eastAsia="Arial" w:hAnsi="Arial"/>
                <w:sz w:val="16"/>
                <w:szCs w:val="16"/>
                <w:color w:val="auto"/>
              </w:rPr>
              <w:t>363 AA Preferred Stock</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2,748 A Preferred Stock</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4,681,958 Common Stock</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954,478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4/8/2019</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360" w:type="dxa"/>
            <w:vAlign w:val="bottom"/>
          </w:tcPr>
          <w:p>
            <w:pPr>
              <w:ind w:left="100"/>
              <w:spacing w:after="0"/>
              <w:rPr>
                <w:sz w:val="20"/>
                <w:szCs w:val="20"/>
                <w:color w:val="auto"/>
              </w:rPr>
            </w:pPr>
            <w:r>
              <w:rPr>
                <w:rFonts w:ascii="Arial" w:cs="Arial" w:eastAsia="Arial" w:hAnsi="Arial"/>
                <w:sz w:val="16"/>
                <w:szCs w:val="16"/>
                <w:color w:val="auto"/>
                <w:w w:val="98"/>
              </w:rPr>
              <w:t>Common Shares (1,000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2/11/2019</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8,973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7"/>
              </w:rPr>
              <w:t>Class A Units (33,790,171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12/21/2018</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(14)</w:t>
            </w:r>
          </w:p>
        </w:tc>
        <w:tc>
          <w:tcPr>
            <w:tcW w:w="9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w w:val="95"/>
              </w:rPr>
              <w:t>Class C-1 Units (8,800,000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12/21/2018</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w w:val="96"/>
              </w:rPr>
              <w:t>Human resource support services</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8/24/2018</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(1,429,228 units)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w w:val="96"/>
              </w:rPr>
              <w:t xml:space="preserve">DaySmart Holdings, LLC </w:t>
            </w:r>
            <w:r>
              <w:rPr>
                <w:rFonts w:ascii="Arial" w:cs="Arial" w:eastAsia="Arial" w:hAnsi="Arial"/>
                <w:sz w:val="25"/>
                <w:szCs w:val="25"/>
                <w:color w:val="auto"/>
                <w:w w:val="96"/>
                <w:vertAlign w:val="superscript"/>
              </w:rPr>
              <w:t>(13)(14)(15)</w:t>
            </w:r>
          </w:p>
        </w:tc>
        <w:tc>
          <w:tcPr>
            <w:tcW w:w="2380" w:type="dxa"/>
            <w:vAlign w:val="bottom"/>
          </w:tcPr>
          <w:p>
            <w:pPr>
              <w:ind w:left="100"/>
              <w:spacing w:after="0"/>
              <w:rPr>
                <w:sz w:val="20"/>
                <w:szCs w:val="20"/>
                <w:color w:val="auto"/>
              </w:rPr>
            </w:pPr>
            <w:r>
              <w:rPr>
                <w:rFonts w:ascii="Arial" w:cs="Arial" w:eastAsia="Arial" w:hAnsi="Arial"/>
                <w:sz w:val="16"/>
                <w:szCs w:val="16"/>
                <w:color w:val="auto"/>
              </w:rPr>
              <w:t>Class A Units (155,240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8"/>
              </w:rPr>
              <w:t>Common Shares Class A (1,020</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units)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rPr>
              <w:t>Common Shares Class B</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(987,929 units)</w:t>
            </w: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F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8/2/2019</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(199,054 shares)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5/31/2018</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(3,840,000 shares)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(15,000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12/24/2020</w:t>
            </w:r>
          </w:p>
        </w:tc>
        <w:tc>
          <w:tcPr>
            <w:tcW w:w="13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712,817 Warrants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8/5/2020</w:t>
            </w:r>
          </w:p>
        </w:tc>
        <w:tc>
          <w:tcPr>
            <w:tcW w:w="13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Copper Bidco LLC </w:t>
            </w:r>
            <w:r>
              <w:rPr>
                <w:rFonts w:ascii="Arial" w:cs="Arial" w:eastAsia="Arial" w:hAnsi="Arial"/>
                <w:sz w:val="24"/>
                <w:szCs w:val="24"/>
                <w:color w:val="auto"/>
                <w:vertAlign w:val="superscript"/>
              </w:rPr>
              <w:t>(11)(13)(14)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Trust Certificates (132,928</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12/7/2020</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Certificates)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NMG Parent LLC Com Unit </w:t>
            </w:r>
            <w:r>
              <w:rPr>
                <w:rFonts w:ascii="Arial" w:cs="Arial" w:eastAsia="Arial" w:hAnsi="Arial"/>
                <w:sz w:val="25"/>
                <w:szCs w:val="25"/>
                <w:color w:val="auto"/>
                <w:vertAlign w:val="superscript"/>
              </w:rPr>
              <w:t>(13)(14)</w:t>
            </w:r>
          </w:p>
        </w:tc>
        <w:tc>
          <w:tcPr>
            <w:tcW w:w="2380" w:type="dxa"/>
            <w:vAlign w:val="bottom"/>
          </w:tcPr>
          <w:p>
            <w:pPr>
              <w:ind w:left="100"/>
              <w:spacing w:after="0"/>
              <w:rPr>
                <w:sz w:val="20"/>
                <w:szCs w:val="20"/>
                <w:color w:val="auto"/>
              </w:rPr>
            </w:pPr>
            <w:r>
              <w:rPr>
                <w:rFonts w:ascii="Arial" w:cs="Arial" w:eastAsia="Arial" w:hAnsi="Arial"/>
                <w:sz w:val="16"/>
                <w:szCs w:val="16"/>
                <w:color w:val="auto"/>
              </w:rPr>
              <w:t>Common Units (110,210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9/29/2020</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6,613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Investments</w:t>
            </w: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Bain Capital Credit CLO Ltd,</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($500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10/15/2020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+ 5.35%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380" w:type="dxa"/>
            <w:vAlign w:val="bottom"/>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Structured Product ($1,550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 + 5.75%</w:t>
            </w:r>
          </w:p>
        </w:tc>
        <w:tc>
          <w:tcPr>
            <w:tcW w:w="106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2018-1A</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3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($4,150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+ 6.15%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780" w:type="dxa"/>
            <w:vAlign w:val="bottom"/>
          </w:tcPr>
          <w:p>
            <w:pPr>
              <w:jc w:val="right"/>
              <w:spacing w:after="0"/>
              <w:rPr>
                <w:sz w:val="20"/>
                <w:szCs w:val="20"/>
                <w:color w:val="auto"/>
              </w:rPr>
            </w:pPr>
            <w:r>
              <w:rPr>
                <w:rFonts w:ascii="Arial" w:cs="Arial" w:eastAsia="Arial" w:hAnsi="Arial"/>
                <w:sz w:val="16"/>
                <w:szCs w:val="16"/>
                <w:color w:val="auto"/>
              </w:rPr>
              <w:t>3,400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20" w:type="dxa"/>
            <w:vAlign w:val="bottom"/>
          </w:tcPr>
          <w:p>
            <w:pPr>
              <w:ind w:left="120"/>
              <w:spacing w:after="0"/>
              <w:rPr>
                <w:sz w:val="20"/>
                <w:szCs w:val="20"/>
                <w:color w:val="auto"/>
              </w:rPr>
            </w:pPr>
            <w:r>
              <w:rPr>
                <w:rFonts w:ascii="Arial" w:cs="Arial" w:eastAsia="Arial" w:hAnsi="Arial"/>
                <w:sz w:val="16"/>
                <w:szCs w:val="16"/>
                <w:color w:val="auto"/>
              </w:rPr>
              <w:t>CLO Ltd, Series 2017-4A</w:t>
            </w:r>
          </w:p>
        </w:tc>
        <w:tc>
          <w:tcPr>
            <w:tcW w:w="2380" w:type="dxa"/>
            <w:vAlign w:val="bottom"/>
          </w:tcPr>
          <w:p>
            <w:pPr>
              <w:ind w:left="100"/>
              <w:spacing w:after="0"/>
              <w:rPr>
                <w:sz w:val="20"/>
                <w:szCs w:val="20"/>
                <w:color w:val="auto"/>
              </w:rPr>
            </w:pPr>
            <w:r>
              <w:rPr>
                <w:rFonts w:ascii="Arial" w:cs="Arial" w:eastAsia="Arial" w:hAnsi="Arial"/>
                <w:sz w:val="16"/>
                <w:szCs w:val="16"/>
                <w:color w:val="auto"/>
              </w:rPr>
              <w:t>due 1/2030)</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Arial" w:cs="Arial" w:eastAsia="Arial" w:hAnsi="Arial"/>
                <w:sz w:val="14"/>
                <w:szCs w:val="14"/>
                <w:color w:val="auto"/>
              </w:rPr>
              <w:t>(3)(4)(11)</w:t>
            </w:r>
          </w:p>
        </w:tc>
        <w:tc>
          <w:tcPr>
            <w:tcW w:w="2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Madison Park Funding Ltd,</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Structured Product ($2,400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 + 5.80%</w:t>
            </w:r>
          </w:p>
        </w:tc>
        <w:tc>
          <w:tcPr>
            <w:tcW w:w="106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6.02%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10/2030)</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OZLM Ltd., Series</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($2,000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5/28/2020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+ 2.85%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780" w:type="dxa"/>
            <w:vAlign w:val="bottom"/>
          </w:tcPr>
          <w:p>
            <w:pPr>
              <w:jc w:val="right"/>
              <w:spacing w:after="0"/>
              <w:rPr>
                <w:sz w:val="20"/>
                <w:szCs w:val="20"/>
                <w:color w:val="auto"/>
              </w:rPr>
            </w:pPr>
            <w:r>
              <w:rPr>
                <w:rFonts w:ascii="Arial" w:cs="Arial" w:eastAsia="Arial" w:hAnsi="Arial"/>
                <w:sz w:val="16"/>
                <w:szCs w:val="16"/>
                <w:color w:val="auto"/>
              </w:rPr>
              <w:t>1,754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2018-18A </w:t>
            </w:r>
            <w:r>
              <w:rPr>
                <w:rFonts w:ascii="Arial" w:cs="Arial" w:eastAsia="Arial" w:hAnsi="Arial"/>
                <w:sz w:val="13"/>
                <w:szCs w:val="13"/>
                <w:color w:val="auto"/>
              </w:rPr>
              <w:t>(3)(4)(11)</w:t>
            </w:r>
          </w:p>
        </w:tc>
        <w:tc>
          <w:tcPr>
            <w:tcW w:w="2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80,714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85,941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3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3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right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$ 2,259,028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2,298,870</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Interest Rate Swaps as of December 31, 2020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Upfront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371,391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(26,431)</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721,391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2020.</w:t>
      </w:r>
    </w:p>
    <w:p>
      <w:pPr>
        <w:ind w:left="500" w:right="2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12.7% of total assets as of December 31, 2020.</w:t>
      </w:r>
    </w:p>
    <w:p>
      <w:pPr>
        <w:ind w:left="500" w:right="6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20" w:hanging="492"/>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2020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31, 2019</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Additions (a)</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MD America Energy,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(62,913</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4,606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102"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2020 in which the Company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31, 2019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(32,219)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b w:val="1"/>
                <w:bCs w:val="1"/>
                <w:color w:val="auto"/>
                <w:w w:val="87"/>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(36,352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the estimated cost basis of investments for U.S. federal tax purposes was $2,285,393, resulting in estimated gross unrealized gains and losses of $125,374 and $101,215,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36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2020, the aggregate fair value of these securities is $20,983, or 1.8%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is on non-accrual status as of December 31,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520" w:type="dxa"/>
            <w:vAlign w:val="bottom"/>
            <w:tcBorders>
              <w:bottom w:val="single" w:sz="8" w:color="auto"/>
            </w:tcBorders>
            <w:gridSpan w:val="5"/>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Paid in Capital in</w:t>
            </w: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Distributable</w:t>
            </w:r>
          </w:p>
        </w:tc>
        <w:tc>
          <w:tcPr>
            <w:tcW w:w="20" w:type="dxa"/>
            <w:vAlign w:val="bottom"/>
          </w:tcPr>
          <w:p>
            <w:pPr>
              <w:spacing w:after="0"/>
              <w:rPr>
                <w:sz w:val="14"/>
                <w:szCs w:val="14"/>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8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84"/>
              <w:spacing w:after="0" w:line="133" w:lineRule="exact"/>
              <w:rPr>
                <w:sz w:val="20"/>
                <w:szCs w:val="20"/>
                <w:color w:val="auto"/>
              </w:rPr>
            </w:pPr>
            <w:r>
              <w:rPr>
                <w:rFonts w:ascii="Arial" w:cs="Arial" w:eastAsia="Arial" w:hAnsi="Arial"/>
                <w:sz w:val="14"/>
                <w:szCs w:val="14"/>
                <w:b w:val="1"/>
                <w:bCs w:val="1"/>
                <w:color w:val="auto"/>
                <w:w w:val="97"/>
              </w:rPr>
              <w:t>Par</w:t>
            </w:r>
          </w:p>
        </w:tc>
        <w:tc>
          <w:tcPr>
            <w:tcW w:w="200" w:type="dxa"/>
            <w:vAlign w:val="bottom"/>
          </w:tcPr>
          <w:p>
            <w:pPr>
              <w:spacing w:after="0"/>
              <w:rPr>
                <w:sz w:val="11"/>
                <w:szCs w:val="11"/>
                <w:color w:val="auto"/>
              </w:rPr>
            </w:pPr>
          </w:p>
        </w:tc>
        <w:tc>
          <w:tcPr>
            <w:tcW w:w="6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5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Excess of Par</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2020</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67,684,209</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680</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296,044</w:t>
            </w:r>
          </w:p>
        </w:tc>
        <w:tc>
          <w:tcPr>
            <w:tcW w:w="860" w:type="dxa"/>
            <w:vAlign w:val="bottom"/>
            <w:gridSpan w:val="3"/>
            <w:shd w:val="clear" w:color="auto" w:fill="CFF0FC"/>
          </w:tcPr>
          <w:p>
            <w:pPr>
              <w:jc w:val="right"/>
              <w:ind w:right="42"/>
              <w:spacing w:after="0" w:line="169" w:lineRule="exact"/>
              <w:rPr>
                <w:sz w:val="20"/>
                <w:szCs w:val="20"/>
                <w:color w:val="auto"/>
              </w:rPr>
            </w:pPr>
            <w:r>
              <w:rPr>
                <w:rFonts w:ascii="Arial" w:cs="Arial" w:eastAsia="Arial" w:hAnsi="Arial"/>
                <w:sz w:val="15"/>
                <w:szCs w:val="15"/>
                <w:color w:val="auto"/>
              </w:rPr>
              <w:t>$ (4,291)</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1,025,676</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139,250</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w w:val="90"/>
              </w:rPr>
              <w:t>$ 1,161,315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140"/>
              <w:spacing w:after="0" w:line="162" w:lineRule="exact"/>
              <w:rPr>
                <w:sz w:val="20"/>
                <w:szCs w:val="20"/>
                <w:color w:val="auto"/>
              </w:rPr>
            </w:pPr>
            <w:r>
              <w:rPr>
                <w:rFonts w:ascii="Arial" w:cs="Arial" w:eastAsia="Arial" w:hAnsi="Arial"/>
                <w:sz w:val="15"/>
                <w:szCs w:val="15"/>
                <w:color w:val="auto"/>
              </w:rPr>
              <w:t>Cumulative effect adjustment for the adoption of ASU</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40"/>
              <w:spacing w:after="0"/>
              <w:rPr>
                <w:sz w:val="20"/>
                <w:szCs w:val="20"/>
                <w:color w:val="auto"/>
              </w:rPr>
            </w:pPr>
            <w:r>
              <w:rPr>
                <w:rFonts w:ascii="Arial" w:cs="Arial" w:eastAsia="Arial" w:hAnsi="Arial"/>
                <w:sz w:val="15"/>
                <w:szCs w:val="15"/>
                <w:color w:val="auto"/>
              </w:rPr>
              <w:t xml:space="preserve">2020-06 </w:t>
            </w:r>
            <w:r>
              <w:rPr>
                <w:rFonts w:ascii="Arial" w:cs="Arial" w:eastAsia="Arial" w:hAnsi="Arial"/>
                <w:sz w:val="13"/>
                <w:szCs w:val="13"/>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5"/>
                <w:szCs w:val="15"/>
                <w:color w:val="auto"/>
              </w:rPr>
              <w:t>(457)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172</w:t>
            </w:r>
          </w:p>
        </w:tc>
        <w:tc>
          <w:tcPr>
            <w:tcW w:w="20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Net increase in net assets resulting from operations: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60"/>
              <w:spacing w:after="0"/>
              <w:rPr>
                <w:sz w:val="20"/>
                <w:szCs w:val="20"/>
                <w:color w:val="auto"/>
              </w:rPr>
            </w:pPr>
            <w:r>
              <w:rPr>
                <w:rFonts w:ascii="Arial" w:cs="Arial" w:eastAsia="Arial" w:hAnsi="Arial"/>
                <w:sz w:val="15"/>
                <w:szCs w:val="15"/>
                <w:color w:val="auto"/>
              </w:rPr>
              <w:t>Net investment income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32,310</w:t>
            </w: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32,310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Net change in unrealized gains on investments and</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foreign currency translation</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9,755</w:t>
            </w:r>
          </w:p>
        </w:tc>
        <w:tc>
          <w:tcPr>
            <w:tcW w:w="2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9,755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60"/>
              <w:spacing w:after="0" w:line="162" w:lineRule="exact"/>
              <w:rPr>
                <w:sz w:val="20"/>
                <w:szCs w:val="20"/>
                <w:color w:val="auto"/>
              </w:rPr>
            </w:pPr>
            <w:r>
              <w:rPr>
                <w:rFonts w:ascii="Arial" w:cs="Arial" w:eastAsia="Arial" w:hAnsi="Arial"/>
                <w:sz w:val="15"/>
                <w:szCs w:val="15"/>
                <w:color w:val="auto"/>
              </w:rPr>
              <w:t>Net realized gains on investments and foreign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60"/>
              <w:spacing w:after="0"/>
              <w:rPr>
                <w:sz w:val="20"/>
                <w:szCs w:val="20"/>
                <w:color w:val="auto"/>
              </w:rPr>
            </w:pPr>
            <w:r>
              <w:rPr>
                <w:rFonts w:ascii="Arial" w:cs="Arial" w:eastAsia="Arial" w:hAnsi="Arial"/>
                <w:sz w:val="15"/>
                <w:szCs w:val="15"/>
                <w:color w:val="auto"/>
              </w:rPr>
              <w:t>currency transactions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14,587</w:t>
            </w: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14,587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Increase in Net Assets Resulting from Capital Share</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Transactions: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stock, net of offering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60"/>
              <w:spacing w:after="0"/>
              <w:rPr>
                <w:sz w:val="20"/>
                <w:szCs w:val="20"/>
                <w:color w:val="auto"/>
              </w:rPr>
            </w:pPr>
            <w:r>
              <w:rPr>
                <w:rFonts w:ascii="Arial" w:cs="Arial" w:eastAsia="Arial" w:hAnsi="Arial"/>
                <w:sz w:val="15"/>
                <w:szCs w:val="15"/>
                <w:color w:val="auto"/>
              </w:rPr>
              <w:t>underwriting costs</w:t>
            </w:r>
          </w:p>
        </w:tc>
        <w:tc>
          <w:tcPr>
            <w:tcW w:w="800" w:type="dxa"/>
            <w:vAlign w:val="bottom"/>
          </w:tcPr>
          <w:p>
            <w:pPr>
              <w:jc w:val="right"/>
              <w:spacing w:after="0"/>
              <w:rPr>
                <w:sz w:val="20"/>
                <w:szCs w:val="20"/>
                <w:color w:val="auto"/>
              </w:rPr>
            </w:pPr>
            <w:r>
              <w:rPr>
                <w:rFonts w:ascii="Arial" w:cs="Arial" w:eastAsia="Arial" w:hAnsi="Arial"/>
                <w:sz w:val="15"/>
                <w:szCs w:val="15"/>
                <w:color w:val="auto"/>
              </w:rPr>
              <w:t>4,049,689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41</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85,904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85,945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60"/>
              <w:spacing w:after="0"/>
              <w:rPr>
                <w:sz w:val="20"/>
                <w:szCs w:val="20"/>
                <w:color w:val="auto"/>
              </w:rPr>
            </w:pPr>
            <w:r>
              <w:rPr>
                <w:rFonts w:ascii="Arial" w:cs="Arial" w:eastAsia="Arial" w:hAnsi="Arial"/>
                <w:sz w:val="15"/>
                <w:szCs w:val="15"/>
                <w:color w:val="auto"/>
              </w:rPr>
              <w:t>Stock issued in connection with dividend reinvestment plan</w:t>
            </w:r>
          </w:p>
        </w:tc>
        <w:tc>
          <w:tcPr>
            <w:tcW w:w="800" w:type="dxa"/>
            <w:vAlign w:val="bottom"/>
          </w:tcPr>
          <w:p>
            <w:pPr>
              <w:jc w:val="right"/>
              <w:spacing w:after="0"/>
              <w:rPr>
                <w:sz w:val="20"/>
                <w:szCs w:val="20"/>
                <w:color w:val="auto"/>
              </w:rPr>
            </w:pPr>
            <w:r>
              <w:rPr>
                <w:rFonts w:ascii="Arial" w:cs="Arial" w:eastAsia="Arial" w:hAnsi="Arial"/>
                <w:sz w:val="15"/>
                <w:szCs w:val="15"/>
                <w:color w:val="auto"/>
              </w:rPr>
              <w:t>236,100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4,709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declared from net investment income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(123,004)</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(123,004)</w:t>
            </w:r>
          </w:p>
        </w:tc>
        <w:tc>
          <w:tcPr>
            <w:tcW w:w="0" w:type="dxa"/>
            <w:vAlign w:val="bottom"/>
          </w:tcPr>
          <w:p>
            <w:pPr>
              <w:spacing w:after="0"/>
              <w:rPr>
                <w:sz w:val="1"/>
                <w:szCs w:val="1"/>
                <w:color w:val="auto"/>
              </w:rPr>
            </w:pPr>
          </w:p>
        </w:tc>
      </w:tr>
      <w:tr>
        <w:trPr>
          <w:trHeight w:val="162"/>
        </w:trPr>
        <w:tc>
          <w:tcPr>
            <w:tcW w:w="4360" w:type="dxa"/>
            <w:vAlign w:val="bottom"/>
          </w:tcPr>
          <w:p>
            <w:pPr>
              <w:ind w:left="140"/>
              <w:spacing w:after="0" w:line="162" w:lineRule="exact"/>
              <w:rPr>
                <w:sz w:val="20"/>
                <w:szCs w:val="20"/>
                <w:color w:val="auto"/>
              </w:rPr>
            </w:pPr>
            <w:r>
              <w:rPr>
                <w:rFonts w:ascii="Arial" w:cs="Arial" w:eastAsia="Arial" w:hAnsi="Arial"/>
                <w:sz w:val="15"/>
                <w:szCs w:val="15"/>
                <w:color w:val="auto"/>
              </w:rPr>
              <w:t>Tax reclassification of stockholders' equity in accordance with</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40"/>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5"/>
                <w:szCs w:val="15"/>
                <w:color w:val="auto"/>
              </w:rPr>
              <w:t>(460)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436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March 31, 2021</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71,969,998</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723</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20" w:type="dxa"/>
            <w:vAlign w:val="bottom"/>
            <w:tcBorders>
              <w:top w:val="single" w:sz="8" w:color="CFF0FC"/>
              <w:bottom w:val="single" w:sz="8" w:color="CFF0FC"/>
            </w:tcBorders>
            <w:shd w:val="clear" w:color="auto" w:fill="CFF0FC"/>
          </w:tcPr>
          <w:p>
            <w:pPr>
              <w:jc w:val="right"/>
              <w:ind w:right="42"/>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1,115,370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73,530</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88"/>
              </w:rPr>
              <w:t>$ 1,185,332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360" w:type="dxa"/>
            <w:vAlign w:val="bottom"/>
          </w:tcPr>
          <w:p>
            <w:pPr>
              <w:spacing w:after="0"/>
              <w:rPr>
                <w:sz w:val="24"/>
                <w:szCs w:val="24"/>
                <w:color w:val="auto"/>
              </w:rPr>
            </w:pPr>
          </w:p>
        </w:tc>
        <w:tc>
          <w:tcPr>
            <w:tcW w:w="1520" w:type="dxa"/>
            <w:vAlign w:val="bottom"/>
            <w:tcBorders>
              <w:bottom w:val="single" w:sz="8" w:color="auto"/>
            </w:tcBorders>
            <w:gridSpan w:val="5"/>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3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Paid in Capital in</w:t>
            </w: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Distributable</w:t>
            </w:r>
          </w:p>
        </w:tc>
        <w:tc>
          <w:tcPr>
            <w:tcW w:w="20" w:type="dxa"/>
            <w:vAlign w:val="bottom"/>
          </w:tcPr>
          <w:p>
            <w:pPr>
              <w:spacing w:after="0"/>
              <w:rPr>
                <w:sz w:val="24"/>
                <w:szCs w:val="24"/>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8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84"/>
              <w:spacing w:after="0" w:line="133" w:lineRule="exact"/>
              <w:rPr>
                <w:sz w:val="20"/>
                <w:szCs w:val="20"/>
                <w:color w:val="auto"/>
              </w:rPr>
            </w:pPr>
            <w:r>
              <w:rPr>
                <w:rFonts w:ascii="Arial" w:cs="Arial" w:eastAsia="Arial" w:hAnsi="Arial"/>
                <w:sz w:val="14"/>
                <w:szCs w:val="14"/>
                <w:b w:val="1"/>
                <w:bCs w:val="1"/>
                <w:color w:val="auto"/>
                <w:w w:val="97"/>
              </w:rPr>
              <w:t>Par</w:t>
            </w:r>
          </w:p>
        </w:tc>
        <w:tc>
          <w:tcPr>
            <w:tcW w:w="200" w:type="dxa"/>
            <w:vAlign w:val="bottom"/>
          </w:tcPr>
          <w:p>
            <w:pPr>
              <w:spacing w:after="0"/>
              <w:rPr>
                <w:sz w:val="11"/>
                <w:szCs w:val="11"/>
                <w:color w:val="auto"/>
              </w:rPr>
            </w:pPr>
          </w:p>
        </w:tc>
        <w:tc>
          <w:tcPr>
            <w:tcW w:w="6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5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Excess of Par</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2019</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66,524,591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860" w:type="dxa"/>
            <w:vAlign w:val="bottom"/>
            <w:gridSpan w:val="3"/>
            <w:shd w:val="clear" w:color="auto" w:fill="CFF0FC"/>
          </w:tcPr>
          <w:p>
            <w:pPr>
              <w:jc w:val="right"/>
              <w:ind w:right="42"/>
              <w:spacing w:after="0" w:line="169" w:lineRule="exact"/>
              <w:rPr>
                <w:sz w:val="20"/>
                <w:szCs w:val="20"/>
                <w:color w:val="auto"/>
              </w:rPr>
            </w:pPr>
            <w:r>
              <w:rPr>
                <w:rFonts w:ascii="Arial" w:cs="Arial" w:eastAsia="Arial" w:hAnsi="Arial"/>
                <w:sz w:val="15"/>
                <w:szCs w:val="15"/>
                <w:color w:val="auto"/>
              </w:rPr>
              <w:t>$ (1,359)</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1,009,270</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110,720</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w w:val="90"/>
              </w:rPr>
              <w:t>$ 1,119,297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140"/>
              <w:spacing w:after="0"/>
              <w:rPr>
                <w:sz w:val="20"/>
                <w:szCs w:val="20"/>
                <w:color w:val="auto"/>
              </w:rPr>
            </w:pPr>
            <w:r>
              <w:rPr>
                <w:rFonts w:ascii="Arial" w:cs="Arial" w:eastAsia="Arial" w:hAnsi="Arial"/>
                <w:sz w:val="15"/>
                <w:szCs w:val="15"/>
                <w:color w:val="auto"/>
              </w:rPr>
              <w:t>Net decrease in net assets resulting from operations: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investment income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2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60"/>
              <w:spacing w:after="0" w:line="162" w:lineRule="exact"/>
              <w:rPr>
                <w:sz w:val="20"/>
                <w:szCs w:val="20"/>
                <w:color w:val="auto"/>
              </w:rPr>
            </w:pPr>
            <w:r>
              <w:rPr>
                <w:rFonts w:ascii="Arial" w:cs="Arial" w:eastAsia="Arial" w:hAnsi="Arial"/>
                <w:sz w:val="15"/>
                <w:szCs w:val="15"/>
                <w:color w:val="auto"/>
              </w:rPr>
              <w:t>Net change in unrealized losses on investments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60"/>
              <w:spacing w:after="0"/>
              <w:rPr>
                <w:sz w:val="20"/>
                <w:szCs w:val="20"/>
                <w:color w:val="auto"/>
              </w:rPr>
            </w:pPr>
            <w:r>
              <w:rPr>
                <w:rFonts w:ascii="Arial" w:cs="Arial" w:eastAsia="Arial" w:hAnsi="Arial"/>
                <w:sz w:val="15"/>
                <w:szCs w:val="15"/>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(84,680)</w:t>
            </w: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(84,680)</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Net realized losses on investments and foreign</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currency transactions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(2,081)</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(2,081)</w:t>
            </w:r>
          </w:p>
        </w:tc>
        <w:tc>
          <w:tcPr>
            <w:tcW w:w="0" w:type="dxa"/>
            <w:vAlign w:val="bottom"/>
          </w:tcPr>
          <w:p>
            <w:pPr>
              <w:spacing w:after="0"/>
              <w:rPr>
                <w:sz w:val="1"/>
                <w:szCs w:val="1"/>
                <w:color w:val="auto"/>
              </w:rPr>
            </w:pPr>
          </w:p>
        </w:tc>
      </w:tr>
      <w:tr>
        <w:trPr>
          <w:trHeight w:val="162"/>
        </w:trPr>
        <w:tc>
          <w:tcPr>
            <w:tcW w:w="4360" w:type="dxa"/>
            <w:vAlign w:val="bottom"/>
          </w:tcPr>
          <w:p>
            <w:pPr>
              <w:ind w:left="140"/>
              <w:spacing w:after="0" w:line="162" w:lineRule="exact"/>
              <w:rPr>
                <w:sz w:val="20"/>
                <w:szCs w:val="20"/>
                <w:color w:val="auto"/>
              </w:rPr>
            </w:pPr>
            <w:r>
              <w:rPr>
                <w:rFonts w:ascii="Arial" w:cs="Arial" w:eastAsia="Arial" w:hAnsi="Arial"/>
                <w:sz w:val="15"/>
                <w:szCs w:val="15"/>
                <w:color w:val="auto"/>
              </w:rPr>
              <w:t>Decrease in Net Assets Resulting from Capital Share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40"/>
              <w:spacing w:after="0"/>
              <w:rPr>
                <w:sz w:val="20"/>
                <w:szCs w:val="20"/>
                <w:color w:val="auto"/>
              </w:rPr>
            </w:pPr>
            <w:r>
              <w:rPr>
                <w:rFonts w:ascii="Arial" w:cs="Arial" w:eastAsia="Arial" w:hAnsi="Arial"/>
                <w:sz w:val="15"/>
                <w:szCs w:val="15"/>
                <w:color w:val="auto"/>
              </w:rPr>
              <w:t>Transactions: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treasury stock</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(206,964)</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206,964</w:t>
            </w:r>
          </w:p>
        </w:tc>
        <w:tc>
          <w:tcPr>
            <w:tcW w:w="860" w:type="dxa"/>
            <w:vAlign w:val="bottom"/>
            <w:gridSpan w:val="3"/>
            <w:shd w:val="clear" w:color="auto" w:fill="CFF0FC"/>
          </w:tcPr>
          <w:p>
            <w:pPr>
              <w:jc w:val="right"/>
              <w:ind w:right="42"/>
              <w:spacing w:after="0"/>
              <w:rPr>
                <w:sz w:val="20"/>
                <w:szCs w:val="20"/>
                <w:color w:val="auto"/>
              </w:rPr>
            </w:pPr>
            <w:r>
              <w:rPr>
                <w:rFonts w:ascii="Arial" w:cs="Arial" w:eastAsia="Arial" w:hAnsi="Arial"/>
                <w:sz w:val="15"/>
                <w:szCs w:val="15"/>
                <w:color w:val="auto"/>
              </w:rPr>
              <w:t>(2,932)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(2,932)</w:t>
            </w:r>
          </w:p>
        </w:tc>
        <w:tc>
          <w:tcPr>
            <w:tcW w:w="0" w:type="dxa"/>
            <w:vAlign w:val="bottom"/>
          </w:tcPr>
          <w:p>
            <w:pPr>
              <w:spacing w:after="0"/>
              <w:rPr>
                <w:sz w:val="1"/>
                <w:szCs w:val="1"/>
                <w:color w:val="auto"/>
              </w:rPr>
            </w:pPr>
          </w:p>
        </w:tc>
      </w:tr>
      <w:tr>
        <w:trPr>
          <w:trHeight w:val="175"/>
        </w:trPr>
        <w:tc>
          <w:tcPr>
            <w:tcW w:w="4360" w:type="dxa"/>
            <w:vAlign w:val="bottom"/>
          </w:tcPr>
          <w:p>
            <w:pPr>
              <w:ind w:left="140"/>
              <w:spacing w:after="0"/>
              <w:rPr>
                <w:sz w:val="20"/>
                <w:szCs w:val="20"/>
                <w:color w:val="auto"/>
              </w:rPr>
            </w:pPr>
            <w:r>
              <w:rPr>
                <w:rFonts w:ascii="Arial" w:cs="Arial" w:eastAsia="Arial" w:hAnsi="Arial"/>
                <w:sz w:val="15"/>
                <w:szCs w:val="15"/>
                <w:color w:val="auto"/>
              </w:rPr>
              <w:t>Dividends to stockholders: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 issued in connection with dividend reinvestment plan</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252,144</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4,828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260"/>
              <w:spacing w:after="0"/>
              <w:rPr>
                <w:sz w:val="20"/>
                <w:szCs w:val="20"/>
                <w:color w:val="auto"/>
              </w:rPr>
            </w:pPr>
            <w:r>
              <w:rPr>
                <w:rFonts w:ascii="Arial" w:cs="Arial" w:eastAsia="Arial" w:hAnsi="Arial"/>
                <w:sz w:val="15"/>
                <w:szCs w:val="15"/>
                <w:color w:val="auto"/>
              </w:rPr>
              <w:t>Dividends declared from net investment income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(31,358)</w:t>
            </w: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(31,358)</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Tax reclassification of stockholders' equity in accordance with</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at March 31, 2020</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66,569,771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669</w:t>
            </w: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20" w:type="dxa"/>
            <w:vAlign w:val="bottom"/>
          </w:tcPr>
          <w:p>
            <w:pPr>
              <w:jc w:val="right"/>
              <w:ind w:right="42"/>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1,013,079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27,279</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88"/>
              </w:rPr>
              <w:t>$ 1,036,736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for further information related to the adoption of ASU 2020-06.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56,652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(53,099)</w:t>
            </w: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(decrease) in net assets resulting from operations</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(11,444)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(13,799)</w:t>
            </w: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(14,586)</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(7,026)</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(170,432)</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(119,852)</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87,984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218,075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(2,260)</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(17,688)</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(25,849)</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Borrowings on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404,159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215,699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(423,092)</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(332,196)</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(7,832)</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(26,613)</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32,567</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Excise and other taxes paid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4,200</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4,709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4,828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Sixth Street Specialty Lending, Inc. (formerly known as TPG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(formerly known as TSL Advisers, LLC) (the “Adviser”). On June 1, 2011, the Company formed a wholly-owned subsidiary, TC Lending, LLC, a Delaware limited liability company. On March 22, 2012, the Company formed a wholly-owned subsidiary, Sixth Street SL SPV, LLC (formerly known as TPG SL SPV, LLC), a Delaware limited liability company. On May 19, 2014, the Company formed a wholly-owned subsidiary, Sixth Street SL Holding, LLC (formerly known as TSL MR, LLC), a Delaware limited liability company. On December 9, 2020, the Company formed a wholly-owned subsidiary, Sixth Street Specialty Lending Sub, LLC, a Cayman Islands limited liability company.</w:t>
      </w:r>
    </w:p>
    <w:p>
      <w:pPr>
        <w:spacing w:after="0" w:line="166"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June 15, 2020, the Company changed its name from TPG Specialty Lending, Inc. to Sixth Street Specialty Lending,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2020, which was filed with the Securities and Exchange Commission (“SEC”), on February 17, 2021.</w:t>
      </w:r>
    </w:p>
    <w:p>
      <w:pPr>
        <w:spacing w:after="0" w:line="188"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March 31, 2021,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right="4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00" w:hanging="249"/>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00" w:right="60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2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0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0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2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95"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For the three months ended March 31, 2021 and 2020, we recorded a net expense of $0.5 million and $1.0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right="80"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2021</w:t>
      </w:r>
    </w:p>
    <w:p>
      <w:pPr>
        <w:spacing w:after="0" w:line="225"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and in January 2021, the Financial Accounting Standards Board issued Accounting Standards Update 2021-01 (“ASU 2021-01”) “Reference Rate Reform (Topic 848): Scope.”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and ASU 2021-01 are effective for all entities as of March 12, 2020 through December 31, 2022. The Company expects that the adoption of this guidance will not have a material impact on the Company’s financial position, result of operations or cash flows.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November 2020, the Board renewed the Administration Agreement. Unless earlier terminated as described below, the Administration Agreement will remain in effect until November 2021,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140"/>
        <w:spacing w:after="0" w:line="254" w:lineRule="auto"/>
        <w:rPr>
          <w:sz w:val="20"/>
          <w:szCs w:val="20"/>
          <w:color w:val="auto"/>
        </w:rPr>
      </w:pPr>
      <w:r>
        <w:rPr>
          <w:rFonts w:ascii="Arial" w:cs="Arial" w:eastAsia="Arial" w:hAnsi="Arial"/>
          <w:sz w:val="18"/>
          <w:szCs w:val="18"/>
          <w:color w:val="auto"/>
        </w:rPr>
        <w:t>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5"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For the three months ended March 31, 2021 and 2020, the Company incurred expenses of $1.7 million and $1.0 million, respectively, for administrative services payable to the Adviser under the terms of the Administration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2021 and 2020, Management Fees were $8.7 million and $8.2 million, respectively.</w:t>
      </w:r>
    </w:p>
    <w:p>
      <w:pPr>
        <w:spacing w:after="0" w:line="225"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As of March 31, 2021, no Management Fees have been waived pursuant to the Leverage Waiver.</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9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4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left="500" w:hanging="249"/>
        <w:spacing w:after="0" w:line="255"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500" w:right="220"/>
        <w:spacing w:after="0" w:line="279" w:lineRule="auto"/>
        <w:rPr>
          <w:sz w:val="20"/>
          <w:szCs w:val="20"/>
          <w:color w:val="auto"/>
        </w:rPr>
      </w:pPr>
      <w:r>
        <w:rPr>
          <w:rFonts w:ascii="Arial" w:cs="Arial" w:eastAsia="Arial" w:hAnsi="Arial"/>
          <w:sz w:val="17"/>
          <w:szCs w:val="17"/>
          <w:color w:val="auto"/>
        </w:rPr>
        <w:t>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w:t>
      </w:r>
    </w:p>
    <w:p>
      <w:pPr>
        <w:spacing w:after="0" w:line="171" w:lineRule="exact"/>
        <w:rPr>
          <w:sz w:val="20"/>
          <w:szCs w:val="20"/>
          <w:color w:val="auto"/>
        </w:rPr>
      </w:pPr>
    </w:p>
    <w:p>
      <w:pPr>
        <w:ind w:right="46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ind w:right="22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For the three months ended March 31, 2021 and 2020, Incentive Fees were $12.3 million and $7.1 million, respectively, of which $7.8 million and $7.1 million, respectively, were realized and payable to the Adviser. For the three months ended March 31, 2021, $4.5 million of Incentive Fees was accrued related to cumulative unrealized capital gains in excess of cumulative net realized capital gains less any cumulative unrealized losses and capital gains incentive fees paid inception to date. For the three months ended March 31, 2020, no Incentive Fees were accrued related to capital gains.</w:t>
      </w:r>
    </w:p>
    <w:p>
      <w:pPr>
        <w:spacing w:after="0" w:line="15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In November 2020, the Board renewed the Investment Advisory Agreement. Unless earlier terminated as described below, the Investment Advisory Agreement will remain in effect until November 2021,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9"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20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March 31, 2021 and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9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2,223,472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2,259,671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36,199</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2,331,460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2,382,746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51,286</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40" w:type="dxa"/>
            <w:vAlign w:val="bottom"/>
            <w:vMerge w:val="restart"/>
          </w:tcPr>
          <w:p>
            <w:pPr>
              <w:jc w:val="right"/>
              <w:ind w:right="53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9" w:name="page30"/>
    <w:bookmarkEnd w:id="29"/>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March 31, 2021 and December 31,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1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vMerge w:val="restart"/>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Communications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Financial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Insurance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Marketing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Pharmaceuticals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March 31, 2021 and December 31,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South</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Australia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Canada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40" w:firstLine="255"/>
        <w:spacing w:after="0" w:line="286" w:lineRule="auto"/>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 $115.0 million notional amount. The Company receives fixed rate interest at 4.50% and pays variable rate interest based on three-month LIBOR plus 2.37%. The swap transaction matures on August 1, 2022, matching the maturity date of the 2022 Convertible Notes.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778" w:right="459" w:bottom="1440" w:gutter="0" w:footer="0" w:header="0"/>
        </w:sectPr>
      </w:pPr>
    </w:p>
    <w:bookmarkStart w:id="30" w:name="page31"/>
    <w:bookmarkEnd w:id="30"/>
    <w:p>
      <w:pPr>
        <w:jc w:val="both"/>
        <w:ind w:right="200" w:firstLine="255"/>
        <w:spacing w:after="0" w:line="263"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4"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jc w:val="both"/>
        <w:ind w:right="460" w:firstLine="255"/>
        <w:spacing w:after="0" w:line="286" w:lineRule="auto"/>
        <w:rPr>
          <w:sz w:val="20"/>
          <w:szCs w:val="20"/>
          <w:color w:val="auto"/>
        </w:rPr>
      </w:pPr>
      <w:r>
        <w:rPr>
          <w:rFonts w:ascii="Arial" w:cs="Arial" w:eastAsia="Arial" w:hAnsi="Arial"/>
          <w:sz w:val="17"/>
          <w:szCs w:val="17"/>
          <w:color w:val="auto"/>
        </w:rPr>
        <w:t>In June 2019, upon maturity of the original swap transaction on an existing fixed rate investment, the Company entered into an interest rate swap transaction with a $91.5 million notional amount. The Company received three-month LIBOR and paid fixed rate interest at 1.97%. In April 2020, in connection with the repayment of the underlying investment, the Company terminated this interest rate swap.</w:t>
      </w:r>
    </w:p>
    <w:p>
      <w:pPr>
        <w:spacing w:after="0" w:line="165"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$11.7 million notional swap transaction matures on July 30, 2021, matching the current expected repayment date of the investment. In December 2020, in connection with the repayment of the underlying investment, the Company terminated the $3.2 million notional interest rate swap resulting in a realized loss of less than $0.1 million.</w:t>
      </w:r>
    </w:p>
    <w:p>
      <w:pPr>
        <w:spacing w:after="0" w:line="188"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In November 2019, in connection with the issuance of the 2024 Notes, the Company entered into an interest rate swap transaction with a $300.0 million notional amount. The Company receives fixed rate interest at 3.875%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7"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In February 2020, in connection with the reopening and issuance of additional 2024 Notes, the Company entered into an interest rate swap transaction with a $50.0 million notional amount. The Company receives fixed rate interest at 3.875% and pays variable rate interest based on three-month LIBOR plus 2.46%. The swap transaction matures on November 1, 2024, matching the maturity date of the additional 2024 Notes. The Company designated this interest rate swap as the hedging instrument in a hedge accounting relationship with the additional 2024 Notes.</w:t>
      </w:r>
    </w:p>
    <w:p>
      <w:pPr>
        <w:spacing w:after="0" w:line="171" w:lineRule="exact"/>
        <w:rPr>
          <w:sz w:val="20"/>
          <w:szCs w:val="20"/>
          <w:color w:val="auto"/>
        </w:rPr>
      </w:pPr>
    </w:p>
    <w:p>
      <w:pPr>
        <w:ind w:right="140" w:firstLine="255"/>
        <w:spacing w:after="0" w:line="311" w:lineRule="auto"/>
        <w:rPr>
          <w:sz w:val="20"/>
          <w:szCs w:val="20"/>
          <w:color w:val="auto"/>
        </w:rPr>
      </w:pPr>
      <w:r>
        <w:rPr>
          <w:rFonts w:ascii="Arial" w:cs="Arial" w:eastAsia="Arial" w:hAnsi="Arial"/>
          <w:sz w:val="16"/>
          <w:szCs w:val="16"/>
          <w:color w:val="auto"/>
        </w:rPr>
        <w:t>In May 2020, in connection with the repurchase of $29.7 million of the 2022 Convertible Notes, the Company entered into two interest rate swap transactions with $27.5 million and $2.2 million notional amounts. The Company pays fixed rate interest at 4.5% and receives variable rate interest based on three-month LIBOR plus 2.11%. The swap transactions mature on August 1, 2022, matching the maturity date of the 2022 Convertible Notes.</w:t>
      </w:r>
    </w:p>
    <w:p>
      <w:pPr>
        <w:spacing w:after="0" w:line="149"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May 2020, in connection with the repurchase of $2.5 million of the 2024 Notes, the Company entered into an interest rate swap transaction with $2.5 million notional amount. The Company pays fixed rate interest at 3.875% and receives variable rate interest based on three-month LIBOR plus 2.28%. The swap transaction matures on November 1, 2024, matching the maturity date of the 2024 Notes. At the same time, the Company de-designated $2.5 million notional amount of the existing interest rate swaps related to the 2024 Notes as hedging instruments in a hedge accounting relationship with the 2024 Notes.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June 2020, in connection with two fixed rate investments, the Company entered into two interest rate swap transactions with notional amounts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 million and $2.2 million. The Company receives three-month LIBOR and pays fixed rate interest at 0.33% and 0.26%, respectively. The $5.0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notional swap transaction matures on June 9, 2023, matching the expected repayment date of the investment. In December 2020,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 of the underlying investment, the Company terminated the $2.2 million notional interest rate swap resulting in a realized loss of less than $0.1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right="100" w:firstLine="255"/>
        <w:spacing w:after="0" w:line="259" w:lineRule="auto"/>
        <w:rPr>
          <w:sz w:val="20"/>
          <w:szCs w:val="20"/>
          <w:color w:val="auto"/>
        </w:rPr>
      </w:pPr>
      <w:r>
        <w:rPr>
          <w:rFonts w:ascii="Arial" w:cs="Arial" w:eastAsia="Arial" w:hAnsi="Arial"/>
          <w:sz w:val="18"/>
          <w:szCs w:val="18"/>
          <w:color w:val="auto"/>
        </w:rPr>
        <w:t>In February 2021, in connection with the issuance of the 2026 Notes, the Company entered into an interest rate swap transaction with a $300.0 million notional amount. The Company receives fixed rate interest at 2.50% and pays variable rate interest based on three-month LIBOR plus 1.91%. The swap transaction matures on August 1, 2026, matching the maturity date of the 2026 Notes. The Company designated this interest rate swap as the hedging instrument in a hedge accounting relationship with the 2026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1" w:name="page32"/>
    <w:bookmarkEnd w:id="31"/>
    <w:p>
      <w:pPr>
        <w:ind w:right="44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excluding upfront fees, for the three months ended March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2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For the Three Months Ended March 31, 2021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760"/>
              <w:spacing w:after="0" w:line="155" w:lineRule="exact"/>
              <w:rPr>
                <w:sz w:val="20"/>
                <w:szCs w:val="20"/>
                <w:color w:val="auto"/>
              </w:rPr>
            </w:pPr>
            <w:r>
              <w:rPr>
                <w:rFonts w:ascii="Arial" w:cs="Arial" w:eastAsia="Arial" w:hAnsi="Arial"/>
                <w:sz w:val="14"/>
                <w:szCs w:val="14"/>
                <w:b w:val="1"/>
                <w:bCs w:val="1"/>
                <w:color w:val="auto"/>
              </w:rPr>
              <w:t>Paid</w:t>
            </w:r>
          </w:p>
        </w:tc>
        <w:tc>
          <w:tcPr>
            <w:tcW w:w="260" w:type="dxa"/>
            <w:vAlign w:val="bottom"/>
          </w:tcPr>
          <w:p>
            <w:pPr>
              <w:spacing w:after="0"/>
              <w:rPr>
                <w:sz w:val="13"/>
                <w:szCs w:val="13"/>
                <w:color w:val="auto"/>
              </w:rPr>
            </w:pPr>
          </w:p>
        </w:tc>
        <w:tc>
          <w:tcPr>
            <w:tcW w:w="120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Received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ind w:right="556"/>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7/30/2021</w:t>
            </w: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11,700</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115,000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(754)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(231)</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7,500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27,531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(310)</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1/22/2023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(842)</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6/9/2023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(1,815)</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11/1/2024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(324)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8/1/2026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(853)</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1,021,391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(5,256)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8,303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60" w:type="dxa"/>
            <w:vAlign w:val="bottom"/>
          </w:tcPr>
          <w:p>
            <w:pPr>
              <w:spacing w:after="0"/>
              <w:rPr>
                <w:sz w:val="24"/>
                <w:szCs w:val="24"/>
                <w:color w:val="auto"/>
              </w:rPr>
            </w:pPr>
          </w:p>
        </w:tc>
        <w:tc>
          <w:tcPr>
            <w:tcW w:w="12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For the Three Months Ended March 31, 2020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760"/>
              <w:spacing w:after="0" w:line="155" w:lineRule="exact"/>
              <w:rPr>
                <w:sz w:val="20"/>
                <w:szCs w:val="20"/>
                <w:color w:val="auto"/>
              </w:rPr>
            </w:pPr>
            <w:r>
              <w:rPr>
                <w:rFonts w:ascii="Arial" w:cs="Arial" w:eastAsia="Arial" w:hAnsi="Arial"/>
                <w:sz w:val="14"/>
                <w:szCs w:val="14"/>
                <w:b w:val="1"/>
                <w:bCs w:val="1"/>
                <w:color w:val="auto"/>
              </w:rPr>
              <w:t>Paid</w:t>
            </w:r>
          </w:p>
        </w:tc>
        <w:tc>
          <w:tcPr>
            <w:tcW w:w="260" w:type="dxa"/>
            <w:vAlign w:val="bottom"/>
          </w:tcPr>
          <w:p>
            <w:pPr>
              <w:spacing w:after="0"/>
              <w:rPr>
                <w:sz w:val="13"/>
                <w:szCs w:val="13"/>
                <w:color w:val="auto"/>
              </w:rPr>
            </w:pPr>
          </w:p>
        </w:tc>
        <w:tc>
          <w:tcPr>
            <w:tcW w:w="120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Received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ind w:right="556"/>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6/25/2020</w:t>
            </w: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440</w:t>
            </w:r>
          </w:p>
        </w:tc>
        <w:tc>
          <w:tcPr>
            <w:tcW w:w="300" w:type="dxa"/>
            <w:vAlign w:val="bottom"/>
            <w:tcBorders>
              <w:top w:val="single" w:sz="8" w:color="CFF0FC"/>
            </w:tcBorders>
            <w:gridSpan w:val="2"/>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7/30/2021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11,700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7/29/2022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115,000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(1,259)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(449)</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8/1/2022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7,500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(68)</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1/22/2023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(1,500)</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tcPr>
          <w:p>
            <w:pPr>
              <w:jc w:val="right"/>
              <w:spacing w:after="0"/>
              <w:rPr>
                <w:sz w:val="20"/>
                <w:szCs w:val="20"/>
                <w:color w:val="auto"/>
              </w:rPr>
            </w:pPr>
            <w:r>
              <w:rPr>
                <w:rFonts w:ascii="Arial" w:cs="Arial" w:eastAsia="Arial" w:hAnsi="Arial"/>
                <w:sz w:val="17"/>
                <w:szCs w:val="17"/>
                <w:color w:val="auto"/>
              </w:rPr>
              <w:t>11/1/2024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(3,149)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(283)</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9"/>
        </w:trPr>
        <w:tc>
          <w:tcPr>
            <w:tcW w:w="3060" w:type="dxa"/>
            <w:vAlign w:val="bottom"/>
          </w:tcPr>
          <w:p>
            <w:pPr>
              <w:ind w:left="260"/>
              <w:spacing w:after="0"/>
              <w:rPr>
                <w:sz w:val="20"/>
                <w:szCs w:val="20"/>
                <w:color w:val="auto"/>
              </w:rPr>
            </w:pPr>
            <w:r>
              <w:rPr>
                <w:rFonts w:ascii="Arial" w:cs="Arial" w:eastAsia="Arial" w:hAnsi="Arial"/>
                <w:sz w:val="17"/>
                <w:szCs w:val="17"/>
                <w:b w:val="1"/>
                <w:bCs w:val="1"/>
                <w:color w:val="auto"/>
              </w:rPr>
              <w:t>Total</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778,900</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(7,218)</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7,316</w:t>
            </w:r>
          </w:p>
        </w:tc>
        <w:tc>
          <w:tcPr>
            <w:tcW w:w="300" w:type="dxa"/>
            <w:vAlign w:val="bottom"/>
            <w:gridSpan w:val="2"/>
          </w:tcPr>
          <w:p>
            <w:pPr>
              <w:spacing w:after="0"/>
              <w:rPr>
                <w:sz w:val="18"/>
                <w:szCs w:val="18"/>
                <w:color w:val="auto"/>
              </w:rPr>
            </w:pPr>
          </w:p>
        </w:tc>
        <w:tc>
          <w:tcPr>
            <w:tcW w:w="540" w:type="dxa"/>
            <w:vAlign w:val="bottom"/>
            <w:tcBorders>
              <w:top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8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70"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For the three months ended March 31, 2021 and 2020, the Company recognized $1.8 million in net change in unrealized losses and $9.2 million in net change in unrealized gains, respectively, on interest rate swaps not designated as hedging instruments in the consolidated statement of operations related to the swap transactions. For the three months ended March 31, 2021 and 2020, the Company recognized $14.6 million in net change in unrealized losses and $18.8 million in net change in unrealized gains, respectively, on interest rate swaps designated as hedging instruments as a component of interest expense in the consolidated statement of operations. For the three months ended March 31, 2021 and 2020, this amount is offset by a decrease of $5.6 million and increase of $18.8 million, respectively, for a change in the carrying value of the 2024 Notes and a decrease of $9.0 million, for a change in carrying value of the 2026 Notes.</w:t>
      </w:r>
    </w:p>
    <w:p>
      <w:pPr>
        <w:spacing w:after="0" w:line="195"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As of March 31, 2021, the swap transactions had a fair value of $12.2 million which is netted against cash collateral received on the Company’s consolidated balance sheet. As of December 31, 2020, the swap transactions had a fair value of $28.6 million which is netted against cash collateral on the Company’s consolidated balance sheet.</w:t>
      </w:r>
    </w:p>
    <w:p>
      <w:pPr>
        <w:spacing w:after="0" w:line="184" w:lineRule="exact"/>
        <w:rPr>
          <w:sz w:val="20"/>
          <w:szCs w:val="20"/>
          <w:color w:val="auto"/>
        </w:rPr>
      </w:pPr>
    </w:p>
    <w:p>
      <w:pPr>
        <w:ind w:right="8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As of March 31, 2021, $16.3 million of cash is pledged as collateral under the Company’s derivative instruments and is included in restricted cash as a component of cash and cash equivalents on the Company’s consolidated balance sheet. As of December 31, 2020, $10.8 million of cash is pledged as collateral under the Company’s derivative instruments and is included in restricted cash as a component of cash and cash equivalents on the Company’s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2021 and December 31, 2020:</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Fair Value Hierarchy at March 31, 2021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2,253,180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2,259,671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14,171</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103,398</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2,340,897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2,382,746</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2,340,897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2,394,945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2,158,551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2,196,910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2,298,870</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28,638</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2,327,508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2,158,551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152,707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153,905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(74,042)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(11,827)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2,253,180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2,340,897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Mezzanine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(218,019)</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(218,019)</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(85,669)</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(11,123)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(97,171)</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1,976,913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2,036,282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March 31, 2021 and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Net Change in 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Gains or (Losses)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04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March 31, 2021 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2020 on</w:t>
            </w: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Investments Held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March 31, 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2020</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(11,123)</w:t>
            </w:r>
          </w:p>
        </w:tc>
      </w:tr>
      <w:tr>
        <w:trPr>
          <w:trHeight w:val="223"/>
        </w:trPr>
        <w:tc>
          <w:tcPr>
            <w:tcW w:w="4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March 31, 2021 and December 31, 2020. The tables are not intended to be all-inclusive, but instead capture the significant unobservable inputs relevant to the Company’s determination of fair values.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March 31, 2021</w:t>
            </w:r>
          </w:p>
        </w:tc>
        <w:tc>
          <w:tcPr>
            <w:tcW w:w="1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8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9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0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2,253,180</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8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9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4"/>
              </w:rPr>
              <w:t>5.9% — 13.9% (9.0%)</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5,506</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88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900" w:type="dxa"/>
            <w:vAlign w:val="bottom"/>
          </w:tcPr>
          <w:p>
            <w:pPr>
              <w:jc w:val="center"/>
              <w:ind w:right="22"/>
              <w:spacing w:after="0"/>
              <w:rPr>
                <w:sz w:val="20"/>
                <w:szCs w:val="20"/>
                <w:color w:val="auto"/>
              </w:rPr>
            </w:pPr>
            <w:r>
              <w:rPr>
                <w:rFonts w:ascii="Arial" w:cs="Arial" w:eastAsia="Arial" w:hAnsi="Arial"/>
                <w:sz w:val="16"/>
                <w:szCs w:val="16"/>
                <w:color w:val="auto"/>
                <w:w w:val="93"/>
              </w:rPr>
              <w:t>9.8% — 9.8% (9.8%)</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6,855</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(2)</w:t>
            </w:r>
          </w:p>
        </w:tc>
        <w:tc>
          <w:tcPr>
            <w:tcW w:w="18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9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4"/>
              </w:rPr>
              <w:t>10.1% — 10.1% (10.1%)</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7,316</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Market Multiple</w:t>
            </w:r>
          </w:p>
        </w:tc>
        <w:tc>
          <w:tcPr>
            <w:tcW w:w="188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900" w:type="dxa"/>
            <w:vAlign w:val="bottom"/>
          </w:tcPr>
          <w:p>
            <w:pPr>
              <w:jc w:val="center"/>
              <w:ind w:right="22"/>
              <w:spacing w:after="0"/>
              <w:rPr>
                <w:sz w:val="20"/>
                <w:szCs w:val="20"/>
                <w:color w:val="auto"/>
              </w:rPr>
            </w:pPr>
            <w:r>
              <w:rPr>
                <w:rFonts w:ascii="Arial" w:cs="Arial" w:eastAsia="Arial" w:hAnsi="Arial"/>
                <w:sz w:val="16"/>
                <w:szCs w:val="16"/>
                <w:color w:val="auto"/>
                <w:w w:val="94"/>
              </w:rPr>
              <w:t>6.0x — 6.7x (6.4x)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68,040</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(3)</w:t>
            </w:r>
          </w:p>
        </w:tc>
        <w:tc>
          <w:tcPr>
            <w:tcW w:w="18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Comparable multiple</w:t>
            </w:r>
          </w:p>
        </w:tc>
        <w:tc>
          <w:tcPr>
            <w:tcW w:w="1900" w:type="dxa"/>
            <w:vAlign w:val="bottom"/>
            <w:shd w:val="clear" w:color="auto" w:fill="CFF0FC"/>
          </w:tcPr>
          <w:p>
            <w:pPr>
              <w:jc w:val="center"/>
              <w:ind w:right="22"/>
              <w:spacing w:after="0"/>
              <w:rPr>
                <w:sz w:val="20"/>
                <w:szCs w:val="20"/>
                <w:color w:val="auto"/>
              </w:rPr>
            </w:pPr>
            <w:r>
              <w:rPr>
                <w:rFonts w:ascii="Arial" w:cs="Arial" w:eastAsia="Arial" w:hAnsi="Arial"/>
                <w:sz w:val="16"/>
                <w:szCs w:val="16"/>
                <w:color w:val="auto"/>
                <w:w w:val="94"/>
              </w:rPr>
              <w:t>4.5x — 18.0x (8.1x)</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27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2,340,897</w:t>
            </w:r>
          </w:p>
        </w:tc>
        <w:tc>
          <w:tcPr>
            <w:tcW w:w="2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40" w:hanging="492"/>
        <w:spacing w:after="0" w:line="27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$0.9 million of debt investments which, due to proximity of the transaction relative to the measurement date were valued using the cost of the investments.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$0.5 million of debt investments which were valued using an asset valuation waterfall.</w:t>
      </w:r>
    </w:p>
    <w:p>
      <w:pPr>
        <w:spacing w:after="0" w:line="49" w:lineRule="exact"/>
        <w:rPr>
          <w:rFonts w:ascii="Arial" w:cs="Arial" w:eastAsia="Arial" w:hAnsi="Arial"/>
          <w:sz w:val="18"/>
          <w:szCs w:val="18"/>
          <w:color w:val="auto"/>
        </w:rPr>
      </w:pPr>
    </w:p>
    <w:p>
      <w:pPr>
        <w:ind w:left="500" w:right="40" w:hanging="492"/>
        <w:spacing w:after="0" w:line="286"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$6.9 million of equity investments which were valued using an asset valuation waterfall, $6.5 million of equity investments using a Black-Scholes model, $16.8 million of equity investments using a discounted cash flow approach, and $6.3 million of equity investments which, due to the proximity of the transactions relative to the measurement date, were valued using the cost of the investments.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41"/>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0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2,158,551</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35.2% (9.4%)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440" w:type="dxa"/>
            <w:vAlign w:val="bottom"/>
          </w:tcPr>
          <w:p>
            <w:pPr>
              <w:jc w:val="right"/>
              <w:spacing w:after="0"/>
              <w:rPr>
                <w:sz w:val="20"/>
                <w:szCs w:val="20"/>
                <w:color w:val="auto"/>
              </w:rPr>
            </w:pPr>
            <w:r>
              <w:rPr>
                <w:rFonts w:ascii="Arial" w:cs="Arial" w:eastAsia="Arial" w:hAnsi="Arial"/>
                <w:sz w:val="16"/>
                <w:szCs w:val="16"/>
                <w:color w:val="auto"/>
                <w:w w:val="92"/>
              </w:rPr>
              <w:t>11.8%</w:t>
            </w:r>
          </w:p>
        </w:tc>
        <w:tc>
          <w:tcPr>
            <w:tcW w:w="1400" w:type="dxa"/>
            <w:vAlign w:val="bottom"/>
          </w:tcPr>
          <w:p>
            <w:pPr>
              <w:ind w:left="40"/>
              <w:spacing w:after="0"/>
              <w:rPr>
                <w:sz w:val="20"/>
                <w:szCs w:val="20"/>
                <w:color w:val="auto"/>
              </w:rPr>
            </w:pPr>
            <w:r>
              <w:rPr>
                <w:rFonts w:ascii="Arial" w:cs="Arial" w:eastAsia="Arial" w:hAnsi="Arial"/>
                <w:sz w:val="16"/>
                <w:szCs w:val="16"/>
                <w:color w:val="auto"/>
              </w:rPr>
              <w:t>— 11.8% (11.8%)</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10,982</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(2)</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10.1%</w:t>
            </w:r>
          </w:p>
        </w:tc>
        <w:tc>
          <w:tcPr>
            <w:tcW w:w="1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11.9% (10.5%)</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75,150</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(3)</w:t>
            </w:r>
          </w:p>
        </w:tc>
        <w:tc>
          <w:tcPr>
            <w:tcW w:w="194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840" w:type="dxa"/>
            <w:vAlign w:val="bottom"/>
            <w:gridSpan w:val="2"/>
          </w:tcPr>
          <w:p>
            <w:pPr>
              <w:jc w:val="center"/>
              <w:ind w:right="81"/>
              <w:spacing w:after="0"/>
              <w:rPr>
                <w:sz w:val="20"/>
                <w:szCs w:val="20"/>
                <w:color w:val="auto"/>
              </w:rPr>
            </w:pPr>
            <w:r>
              <w:rPr>
                <w:rFonts w:ascii="Arial" w:cs="Arial" w:eastAsia="Arial" w:hAnsi="Arial"/>
                <w:sz w:val="16"/>
                <w:szCs w:val="16"/>
                <w:color w:val="auto"/>
                <w:w w:val="94"/>
              </w:rPr>
              <w:t>3.5x — 16.0x (8.7x)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7"/>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2,249,720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$21.6 million of first-lien debt investments which were valued using an asset valuation waterfall.</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$4.5 million of debt investments which were valued using a comparable multiple.</w:t>
      </w:r>
    </w:p>
    <w:p>
      <w:pPr>
        <w:spacing w:after="0" w:line="49" w:lineRule="exact"/>
        <w:rPr>
          <w:rFonts w:ascii="Arial" w:cs="Arial" w:eastAsia="Arial" w:hAnsi="Arial"/>
          <w:sz w:val="18"/>
          <w:szCs w:val="18"/>
          <w:color w:val="auto"/>
        </w:rPr>
      </w:pPr>
    </w:p>
    <w:p>
      <w:pPr>
        <w:ind w:left="500" w:right="60" w:hanging="492"/>
        <w:spacing w:after="0" w:line="259"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$1.3 million of equity investments which were valued using a weighted valuation approach, $3.9 million of equity investments valued using an asset valuation waterfall, $3.0 million of equity investments using a Black-Scholes model, $15.8 million of equity investments using a discounted cash flow model and $8.1 million of equity investments which, due to the proximity of the transactions relative to the measurement date, were valued using the cost of the investments.</w:t>
      </w:r>
    </w:p>
    <w:p>
      <w:pPr>
        <w:spacing w:after="0" w:line="187"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March 31, 2021 and December 31, 2020, approximates its carrying value as the outstanding balance is callable at carrying value.</w:t>
      </w:r>
    </w:p>
    <w:p>
      <w:pPr>
        <w:spacing w:after="0" w:line="170" w:lineRule="exact"/>
        <w:rPr>
          <w:sz w:val="20"/>
          <w:szCs w:val="20"/>
          <w:color w:val="auto"/>
        </w:rPr>
      </w:pPr>
    </w:p>
    <w:p>
      <w:pPr>
        <w:ind w:right="80" w:firstLine="255"/>
        <w:spacing w:after="0" w:line="272" w:lineRule="auto"/>
        <w:rPr>
          <w:sz w:val="20"/>
          <w:szCs w:val="20"/>
          <w:color w:val="auto"/>
        </w:rPr>
      </w:pPr>
      <w:r>
        <w:rPr>
          <w:rFonts w:ascii="Arial" w:cs="Arial" w:eastAsia="Arial" w:hAnsi="Arial"/>
          <w:sz w:val="17"/>
          <w:szCs w:val="17"/>
          <w:color w:val="auto"/>
        </w:rPr>
        <w:t>The fair value of the Company’s 2022 Convertible Notes, 2023 Notes, 2024 Notes and 2026 Notes, which are categorized as Level 2 within the fair value hierarchy, as of March 31, 2021 were $157.1 million, $156.6 million, $364.5 million and $297.3 million, respectively, based on broker quotes received by the Company. The aggregate principal amount of the Company’s 2022 Convertible Notes, 2023 Notes, 2024 Notes and 2026 Notes, as of March 31, 2021, were $142.8 million, $150.0 million, $347.5 million and $300.0 million, respectively. The fair value of the Company’s 2022 Convertible Notes, 2023 Notes and 2024 Notes, which are categorized as Level 2 within the fair value hierarchy, as of December 31, 2020 were $156.3 million, $155.0 million and $359.6 million, based on broker quotes received by the Company. The aggregate principal amount of the Company’s 2022 Convertible Notes, 2023 Notes and 2024 Notes, as of December 31, 2020 were $142.8 million, $150.0 million and $347.5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March 31, 2021 and December 31, 2020, the Company’s asset coverage was 208.5% and 204.5%,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1,329,585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2,425,309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1,095,724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1,329,585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40" w:hanging="492"/>
        <w:spacing w:after="0" w:line="25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of $13.9 million, $1.0 million, $1.2 million, $5.0 million and $6.1 million, respectively.</w:t>
      </w:r>
    </w:p>
    <w:p>
      <w:pPr>
        <w:ind w:left="500" w:right="400" w:hanging="492"/>
        <w:spacing w:after="0" w:line="32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$11.2 million and ($9.0) million, respectively, which represents an adjustment in the carrying values of the 2024 Notes and 2026 Notes resulting from a hedge accounting relationship.</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472,281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1,112,590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1,110,363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40" w:hanging="492"/>
        <w:spacing w:after="0" w:line="258"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hanging="492"/>
        <w:spacing w:after="0" w:line="26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For the three months ended March 31, 2021 and 2020,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4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3"/>
                <w:szCs w:val="13"/>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Commitment fees</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w:t>
            </w:r>
          </w:p>
        </w:tc>
      </w:tr>
      <w:tr>
        <w:trPr>
          <w:trHeight w:val="263"/>
        </w:trPr>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9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12,910</w:t>
            </w:r>
          </w:p>
        </w:tc>
        <w:tc>
          <w:tcPr>
            <w:tcW w:w="180" w:type="dxa"/>
            <w:vAlign w:val="bottom"/>
            <w:tcBorders>
              <w:bottom w:val="single" w:sz="8" w:color="CFF0FC"/>
            </w:tcBorders>
          </w:tcPr>
          <w:p>
            <w:pPr>
              <w:spacing w:after="0"/>
              <w:rPr>
                <w:sz w:val="22"/>
                <w:szCs w:val="22"/>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9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w:t>
            </w:r>
          </w:p>
        </w:tc>
        <w:tc>
          <w:tcPr>
            <w:tcW w:w="180" w:type="dxa"/>
            <w:vAlign w:val="bottom"/>
            <w:shd w:val="clear" w:color="auto" w:fill="CFF0F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00" w:firstLine="255"/>
        <w:spacing w:after="0" w:line="31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w:t>
      </w:r>
    </w:p>
    <w:p>
      <w:pPr>
        <w:spacing w:after="0" w:line="149" w:lineRule="exact"/>
        <w:rPr>
          <w:sz w:val="20"/>
          <w:szCs w:val="20"/>
          <w:color w:val="auto"/>
        </w:rPr>
      </w:pPr>
    </w:p>
    <w:p>
      <w:pPr>
        <w:ind w:right="140" w:firstLine="255"/>
        <w:spacing w:after="0" w:line="255"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As a result, $1.460 billion of total commitments are now subject to these revolving period and stated maturity dates. For the remaining $25.0 million of commitments, the revolving period ends January 31, 2024 and the stated maturity is January 31, 2025.</w:t>
      </w:r>
    </w:p>
    <w:p>
      <w:pPr>
        <w:spacing w:after="0" w:line="192"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2021, the Company had outstanding debt denominated in Australian dollars (AUD) of 51.5 million, Canadian dollars (CAD) of 74.6 million, and Euro (EUR) of 8.6 million on its Revolving Credit Facility, included in the Outstanding Principal amount in the table above.</w:t>
      </w:r>
    </w:p>
    <w:p>
      <w:pPr>
        <w:spacing w:after="0" w:line="184" w:lineRule="exact"/>
        <w:rPr>
          <w:sz w:val="20"/>
          <w:szCs w:val="20"/>
          <w:color w:val="auto"/>
        </w:rPr>
      </w:pPr>
    </w:p>
    <w:p>
      <w:pPr>
        <w:jc w:val="both"/>
        <w:ind w:right="240"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 million. As of March 31, 2021 and December 31, 2020,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5"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540" w:right="4760" w:hanging="5289"/>
        <w:spacing w:after="0" w:line="573"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asset coverage ratio of no less than 1.5 to 1 on the last day of any fiscal quarter;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 w:name="page38"/>
    <w:bookmarkEnd w:id="37"/>
    <w:p>
      <w:pPr>
        <w:ind w:left="500" w:right="80" w:hanging="249"/>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700" w:firstLine="255"/>
        <w:spacing w:after="0" w:line="308" w:lineRule="auto"/>
        <w:rPr>
          <w:sz w:val="20"/>
          <w:szCs w:val="20"/>
          <w:color w:val="auto"/>
        </w:rPr>
      </w:pPr>
      <w:r>
        <w:rPr>
          <w:rFonts w:ascii="Arial" w:cs="Arial" w:eastAsia="Arial" w:hAnsi="Arial"/>
          <w:sz w:val="17"/>
          <w:szCs w:val="17"/>
          <w:color w:val="auto"/>
        </w:rPr>
        <w:t>Net proceeds received from the Company’s common stock issuance in February 2021 and net proceeds received from the issuance of the 2022 Convertible Notes, 2023 Notes, 2024 Notes and 2026 Notes were used to pay down borrowings on the Revolving Credit Facility.</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and December 31, 2020,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March 31, 2021, the estimated adjusted conversion price was approximately $18.63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6" w:lineRule="exact"/>
        <w:rPr>
          <w:sz w:val="20"/>
          <w:szCs w:val="20"/>
          <w:color w:val="auto"/>
        </w:rPr>
      </w:pPr>
    </w:p>
    <w:p>
      <w:pPr>
        <w:ind w:right="80" w:firstLine="255"/>
        <w:spacing w:after="0" w:line="293"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predominately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8" w:name="page39"/>
    <w:bookmarkEnd w:id="38"/>
    <w:p>
      <w:pPr>
        <w:ind w:right="60" w:firstLine="255"/>
        <w:spacing w:after="0" w:line="254" w:lineRule="auto"/>
        <w:rPr>
          <w:sz w:val="20"/>
          <w:szCs w:val="20"/>
          <w:color w:val="auto"/>
        </w:rPr>
      </w:pPr>
      <w:r>
        <w:rPr>
          <w:rFonts w:ascii="Arial" w:cs="Arial" w:eastAsia="Arial" w:hAnsi="Arial"/>
          <w:sz w:val="18"/>
          <w:szCs w:val="18"/>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the Company’s effective interest rate on the outstanding 2022 Convertible Notes is three-month LIBOR plus 2.11% (on a weighted-average basis).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100" w:firstLine="8"/>
        <w:spacing w:after="0" w:line="281"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200" w:firstLine="8"/>
        <w:spacing w:after="0" w:line="292"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months ended March 31, 2021 and 2020, the components of interest expense related to the 2022 Convertible Notes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March 31, 2021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80" w:type="dxa"/>
            <w:vAlign w:val="bottom"/>
          </w:tcPr>
          <w:p>
            <w:pPr>
              <w:spacing w:after="0"/>
              <w:rPr>
                <w:sz w:val="13"/>
                <w:szCs w:val="13"/>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8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255"/>
        <w:spacing w:after="0" w:line="279" w:lineRule="auto"/>
        <w:rPr>
          <w:sz w:val="20"/>
          <w:szCs w:val="20"/>
          <w:color w:val="auto"/>
        </w:rPr>
      </w:pPr>
      <w:r>
        <w:rPr>
          <w:rFonts w:ascii="Arial" w:cs="Arial" w:eastAsia="Arial" w:hAnsi="Arial"/>
          <w:sz w:val="17"/>
          <w:szCs w:val="17"/>
          <w:color w:val="auto"/>
        </w:rPr>
        <w:t>Total interest expense in the table above does not include the effect of the interest rate swaps. During the three months ended March 31, 2021 and 2020, the Company received $2.1 million and $1.9 million, respectively, and paid $1.4 million and $1.8 million, respectively, related to the settlements of its interest rate swaps related to the 2022 Convertible Notes. These net amounts are reflected in interest expense in the Company’s consolidated statements of operations. See Note 5 for further information about the Company’s interest rate swaps.</w:t>
      </w:r>
    </w:p>
    <w:p>
      <w:pPr>
        <w:spacing w:after="0" w:line="17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As of March 31, 2021 and December 31, 2020, the components of the carrying value of the 2022 Convertible Notes and the stated interest rate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2020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Original issue discount, net of accretion/amortization</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Carrying value of debt</w:t>
            </w:r>
          </w:p>
        </w:tc>
        <w:tc>
          <w:tcPr>
            <w:tcW w:w="18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141,772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141,297</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11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100" w:type="dxa"/>
            <w:vAlign w:val="bottom"/>
            <w:vMerge w:val="continue"/>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80" w:type="dxa"/>
            <w:vAlign w:val="bottom"/>
          </w:tcPr>
          <w:p>
            <w:pPr>
              <w:jc w:val="right"/>
              <w:ind w:right="13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9" w:name="page40"/>
    <w:bookmarkEnd w:id="39"/>
    <w:p>
      <w:pPr>
        <w:ind w:right="16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See Note 5 for further information about the Company’s interest rate swaps.</w:t>
      </w:r>
    </w:p>
    <w:p>
      <w:pPr>
        <w:spacing w:after="0" w:line="184" w:lineRule="exact"/>
        <w:rPr>
          <w:sz w:val="20"/>
          <w:szCs w:val="20"/>
          <w:color w:val="auto"/>
        </w:rPr>
      </w:pPr>
    </w:p>
    <w:p>
      <w:pPr>
        <w:ind w:right="32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March 31, 2021 and December 31, 2020, the Company was in compliance with the terms of the indenture governing the 2022 Convertible Notes.</w:t>
      </w:r>
    </w:p>
    <w:p>
      <w:pPr>
        <w:spacing w:after="0" w:line="188" w:lineRule="exact"/>
        <w:rPr>
          <w:sz w:val="20"/>
          <w:szCs w:val="20"/>
          <w:color w:val="auto"/>
        </w:rPr>
      </w:pPr>
    </w:p>
    <w:p>
      <w:pPr>
        <w:ind w:right="100" w:firstLine="255"/>
        <w:spacing w:after="0" w:line="287" w:lineRule="auto"/>
        <w:rPr>
          <w:sz w:val="20"/>
          <w:szCs w:val="20"/>
          <w:color w:val="auto"/>
        </w:rPr>
      </w:pPr>
      <w:r>
        <w:rPr>
          <w:rFonts w:ascii="Arial" w:cs="Arial" w:eastAsia="Arial" w:hAnsi="Arial"/>
          <w:sz w:val="16"/>
          <w:szCs w:val="16"/>
          <w:color w:val="auto"/>
        </w:rPr>
        <w:t>The 2022 Convertible Notes are accounted for in accordance with ASC Topic 470-20. Upon conversion of any of the 2022 Convertible Notes, the Company currently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 During the period ended March 31, 2021, the Company early adopted ASU 2020-06 and in accordance with this guidance has reclassed the remaining unamortized discount on the 2022 Convertible Notes from the carrying value of the instrument to “additional paid-in capital” in the accompanying consolidated balance sheet.</w:t>
      </w:r>
    </w:p>
    <w:p>
      <w:pPr>
        <w:spacing w:after="0" w:line="172"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The average daily closing price of the Company’s common stock for the three months ended March 31, 2021 was greater than the estimated adjusted conversion price for the 2022 Convertible Notes outstanding as of March 31, 2021. The average daily closing price of the Company’s common stock for the three months ended March 31, 2020 was less than the estimated adjusted conversion price for the 2022 Convertible Notes outstanding as of March 31, 2020.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6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jc w:val="both"/>
        <w:ind w:right="180" w:firstLine="255"/>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See Note 5 for further information about the Company’s interest rate swaps.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ind w:right="160" w:firstLine="255"/>
        <w:spacing w:after="0" w:line="272"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continue to align the interest rates of its liabilities with the Company’s investment portfolio, which consists of predominately floating rate loans.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March 31, 2021 and December 31, 2020 the effective hedge interest rate swaps had a fair value of $11.2 million and $16.8 million, respectively, which is offset within interest expense by an equal, but opposite, fair value change for the hedged risk on the 2024 Notes.</w:t>
      </w:r>
    </w:p>
    <w:p>
      <w:pPr>
        <w:spacing w:after="0" w:line="177"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the Company’s effective interest rate on the outstanding 2024 Notes is three-month LIBOR plus 2.28% (on a weighted average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76"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In connection with the issuance of the 2026 Notes, the Company entered into an interest rate swap to continue to align the interest rates of its liabilities with the Company’s investment portfolio, which consists of predominately floating rate loans.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March 31, 2021 the effective hedge interest rate swaps had a fair value of ($9.0) million, which is offset within interest expense by an equal, but opposite, fair value change for the hedged risk on the 2026 Notes.</w:t>
      </w:r>
    </w:p>
    <w:p>
      <w:pPr>
        <w:spacing w:after="0" w:line="178"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For the three months ended March 31, 2021 and 2020, the components of interest expense related to the 2023 Notes, 2024 Notes and 2026 Notes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March 31, 2021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80" w:type="dxa"/>
            <w:vAlign w:val="bottom"/>
          </w:tcPr>
          <w:p>
            <w:pPr>
              <w:spacing w:after="0"/>
              <w:rPr>
                <w:sz w:val="13"/>
                <w:szCs w:val="13"/>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FF0FC"/>
          </w:tcPr>
          <w:p>
            <w:pPr>
              <w:spacing w:after="0"/>
              <w:rPr>
                <w:sz w:val="19"/>
                <w:szCs w:val="19"/>
                <w:color w:val="auto"/>
              </w:rPr>
            </w:pP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8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2023 Notes, 2024 Notes and 2026 Notes. During the three months ended March 31, 2021 and 2020, the Company received $6.2 million and $4.9 million, respectively, and paid $3.9 million and $4.9 million, respectively, related to the settlements of its interest rate swaps, excluding upfront fees, related to the 2023, 2024 and 2026 Notes. These net amounts are reflected in interest expense in the Company’s consolidated statements of operations. See Note 5 for further information about the Company’s interest rate swaps.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420" w:firstLine="255"/>
        <w:spacing w:after="0" w:line="277" w:lineRule="auto"/>
        <w:rPr>
          <w:sz w:val="20"/>
          <w:szCs w:val="20"/>
          <w:color w:val="auto"/>
        </w:rPr>
      </w:pPr>
      <w:r>
        <w:rPr>
          <w:rFonts w:ascii="Arial" w:cs="Arial" w:eastAsia="Arial" w:hAnsi="Arial"/>
          <w:sz w:val="18"/>
          <w:szCs w:val="18"/>
          <w:color w:val="auto"/>
        </w:rPr>
        <w:t>As of March 31, 2021 and December 31, 2020 the components of the carrying value of the 2023 Notes, 2024 Notes and 2026 Notes and the stated interest rate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r>
      <w:tr>
        <w:trPr>
          <w:trHeight w:val="237"/>
        </w:trPr>
        <w:tc>
          <w:tcPr>
            <w:tcW w:w="368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2023 Notes</w:t>
            </w:r>
          </w:p>
        </w:tc>
        <w:tc>
          <w:tcPr>
            <w:tcW w:w="12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2024 Notes</w:t>
            </w:r>
          </w:p>
        </w:tc>
        <w:tc>
          <w:tcPr>
            <w:tcW w:w="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2026 Notes</w:t>
            </w:r>
          </w:p>
        </w:tc>
        <w:tc>
          <w:tcPr>
            <w:tcW w:w="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2023 Notes</w:t>
            </w:r>
          </w:p>
        </w:tc>
        <w:tc>
          <w:tcPr>
            <w:tcW w:w="8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2024 Notes</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150,000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300,000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(3,903)</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11,156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16,769</w:t>
            </w:r>
          </w:p>
        </w:tc>
        <w:tc>
          <w:tcPr>
            <w:tcW w:w="180" w:type="dxa"/>
            <w:vAlign w:val="bottom"/>
          </w:tcPr>
          <w:p>
            <w:pPr>
              <w:spacing w:after="0"/>
              <w:rPr>
                <w:sz w:val="19"/>
                <w:szCs w:val="19"/>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148,814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353,646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284,893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148,653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358,921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Stated interest rate</w:t>
            </w: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r>
    </w:tbl>
    <w:p>
      <w:pPr>
        <w:spacing w:after="0" w:line="242"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As of March 31, 2021 the Company’s swap-adjusted interest rate on the 2023 Notes, 2024 Notes and 2026 Notes is three month LIBOR plus 1.99%, 2.28% (on a weighted average basis), and 1.91%, respectively. As of December 31, 2020 the Company’s swap-adjusted interest rate on the 2023 Notes and 2024 Notes is three month LIBOR plus 1.99% and 2.28% (on a weighted average basis), respectively.</w:t>
      </w:r>
    </w:p>
    <w:p>
      <w:pPr>
        <w:spacing w:after="0" w:line="187"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March 31, 2021 and December 31, 2020, the Company was in compliance with the terms of the indentures governing the 2023 Notes, 2024 Notes and 2026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2" w:name="page43"/>
    <w:bookmarkEnd w:id="42"/>
    <w:p>
      <w:pPr>
        <w:ind w:left="260"/>
        <w:spacing w:after="0"/>
        <w:rPr>
          <w:sz w:val="20"/>
          <w:szCs w:val="20"/>
          <w:color w:val="auto"/>
        </w:rPr>
      </w:pPr>
      <w:r>
        <w:rPr>
          <w:rFonts w:ascii="Arial" w:cs="Arial" w:eastAsia="Arial" w:hAnsi="Arial"/>
          <w:sz w:val="17"/>
          <w:szCs w:val="17"/>
          <w:color w:val="auto"/>
        </w:rPr>
        <w:t>As of March 31, 2021 and December 31, 2020,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American Achievement, Corp.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Biohaven Pharmaceuticals, Inc.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Clinicient, Inc.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DaySmart Holdings, LLC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ForeScout Technologies, Inc.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InvMetrics Holdings, Inc.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Lexipol, LLC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Netwrix Corp. - Delayed Draw</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16,492</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Netwrix Corp.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Nintex Global, Ltd.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PrimeRevenue, Inc.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ReliaQuest Holdings, LLC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27,609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29,289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ReliaQuest Holdings, LLC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ResMan, LLC - Delayed Draw</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ResMan, LLC - Revolver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Sprinklr - Delayed Draw Convertible Note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Valant Medical Solutions, Inc.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WideOrbit, Inc. - Revolver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Workwell Acquisition Co. - Delayed Draw</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(1)(2)</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161,849</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192,810</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26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00" w:righ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As of March 31, 2021 and December 31, 2020, the Company did not have any unfunded commitments to fund investments to new borrowers that were not current portfolio companies as of such date.</w:t>
      </w:r>
    </w:p>
    <w:p>
      <w:pPr>
        <w:spacing w:after="0" w:line="170"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2021 and December 31, 2020, management is not aware of any material pending or threatened litigation that would require accounting recognition or financial statement disclosure.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2021 and 2020. All shares issued to stockholders in the tables below are newly issued shares.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6"/>
              </w:rPr>
              <w:t>March 31, 2021</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4, 2020</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2020</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2021</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17, 2021</w:t>
            </w:r>
          </w:p>
        </w:tc>
        <w:tc>
          <w:tcPr>
            <w:tcW w:w="1220" w:type="dxa"/>
            <w:vAlign w:val="bottom"/>
            <w:tcBorders>
              <w:bottom w:val="single" w:sz="8" w:color="CFF0FC"/>
            </w:tcBorders>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February 26, 2021</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March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236,100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6"/>
              </w:rPr>
              <w:t>March 31, 2020</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19, 2020</w:t>
            </w:r>
          </w:p>
        </w:tc>
        <w:tc>
          <w:tcPr>
            <w:tcW w:w="1220" w:type="dxa"/>
            <w:vAlign w:val="bottom"/>
            <w:tcBorders>
              <w:bottom w:val="single" w:sz="8" w:color="CFF0FC"/>
            </w:tcBorders>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February 28, 2020</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252,144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25" w:lineRule="exact"/>
        <w:rPr>
          <w:sz w:val="20"/>
          <w:szCs w:val="20"/>
          <w:color w:val="auto"/>
        </w:rPr>
      </w:pPr>
    </w:p>
    <w:p>
      <w:pPr>
        <w:ind w:right="160" w:firstLine="255"/>
        <w:spacing w:after="0" w:line="257" w:lineRule="auto"/>
        <w:rPr>
          <w:sz w:val="20"/>
          <w:szCs w:val="20"/>
          <w:color w:val="auto"/>
        </w:rPr>
      </w:pPr>
      <w:r>
        <w:rPr>
          <w:rFonts w:ascii="Arial" w:cs="Arial" w:eastAsia="Arial" w:hAnsi="Arial"/>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4, 2020. The amount and timing of stock repurchases under the program may vary depending on market conditions, and no assurance can be given that any particular amount of common stock will be repurchased.</w:t>
      </w:r>
    </w:p>
    <w:p>
      <w:pPr>
        <w:spacing w:after="0" w:line="188" w:lineRule="exact"/>
        <w:rPr>
          <w:sz w:val="20"/>
          <w:szCs w:val="20"/>
          <w:color w:val="auto"/>
        </w:rPr>
      </w:pPr>
    </w:p>
    <w:p>
      <w:pPr>
        <w:ind w:right="100" w:firstLine="255"/>
        <w:spacing w:after="0" w:line="308" w:lineRule="auto"/>
        <w:rPr>
          <w:sz w:val="20"/>
          <w:szCs w:val="20"/>
          <w:color w:val="auto"/>
        </w:rPr>
      </w:pPr>
      <w:r>
        <w:rPr>
          <w:rFonts w:ascii="Arial" w:cs="Arial" w:eastAsia="Arial" w:hAnsi="Arial"/>
          <w:sz w:val="17"/>
          <w:szCs w:val="17"/>
          <w:color w:val="auto"/>
        </w:rPr>
        <w:t>During the three months ended March 31, 2020, the Company repurchased 206,964 shares at a weighted average price per share of $14.17 inclusive of commissions, for a total cost of $2.9 million. No shares were repurchased during the three months ended March 31, 2021.</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10. Earnings (Loss) per share</w:t>
      </w:r>
    </w:p>
    <w:p>
      <w:pPr>
        <w:spacing w:after="0" w:line="121"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for the three months ended March 31, 2021 and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March 31, 2021</w:t>
            </w:r>
          </w:p>
        </w:tc>
        <w:tc>
          <w:tcPr>
            <w:tcW w:w="520" w:type="dxa"/>
            <w:vAlign w:val="bottom"/>
          </w:tcPr>
          <w:p>
            <w:pPr>
              <w:spacing w:after="0"/>
              <w:rPr>
                <w:sz w:val="13"/>
                <w:szCs w:val="13"/>
                <w:color w:val="auto"/>
              </w:rPr>
            </w:pPr>
          </w:p>
        </w:tc>
        <w:tc>
          <w:tcPr>
            <w:tcW w:w="154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3"/>
                <w:szCs w:val="13"/>
                <w:color w:val="auto"/>
              </w:rPr>
            </w:pP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Earnings (loss) per common share—basic</w:t>
            </w:r>
          </w:p>
        </w:tc>
        <w:tc>
          <w:tcPr>
            <w:tcW w:w="3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Numerator for basic earnings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56,652</w:t>
            </w:r>
          </w:p>
        </w:tc>
        <w:tc>
          <w:tcPr>
            <w:tcW w:w="30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(53,099)</w:t>
            </w: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 shares</w:t>
            </w:r>
          </w:p>
        </w:tc>
        <w:tc>
          <w:tcPr>
            <w:tcW w:w="3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69,691,162</w:t>
            </w:r>
          </w:p>
        </w:tc>
        <w:tc>
          <w:tcPr>
            <w:tcW w:w="3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66,656,280</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(loss) per common share—basic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3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common share—diluted</w:t>
            </w: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Numerator for increase (decrease) in net assets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56,652</w:t>
            </w:r>
          </w:p>
        </w:tc>
        <w:tc>
          <w:tcPr>
            <w:tcW w:w="30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(53,099)</w:t>
            </w:r>
          </w:p>
        </w:tc>
      </w:tr>
      <w:tr>
        <w:trPr>
          <w:trHeight w:val="215"/>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Adjustment for interest expense and deferred financing</w:t>
            </w: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on Convertible Notes, incentive fee and</w:t>
            </w: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excise tax, net</w:t>
            </w:r>
          </w:p>
        </w:tc>
        <w:tc>
          <w:tcPr>
            <w:tcW w:w="3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Numerator for diluted earnings (loss) per share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58,091</w:t>
            </w:r>
          </w:p>
        </w:tc>
        <w:tc>
          <w:tcPr>
            <w:tcW w:w="300" w:type="dxa"/>
            <w:vAlign w:val="bottom"/>
          </w:tcPr>
          <w:p>
            <w:pPr>
              <w:spacing w:after="0"/>
              <w:rPr>
                <w:sz w:val="19"/>
                <w:szCs w:val="19"/>
                <w:color w:val="auto"/>
              </w:rPr>
            </w:pPr>
          </w:p>
        </w:tc>
        <w:tc>
          <w:tcPr>
            <w:tcW w:w="520" w:type="dxa"/>
            <w:vAlign w:val="bottom"/>
            <w:tcBorders>
              <w:top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 shares</w:t>
            </w: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69,691,162</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66,656,280</w:t>
            </w:r>
          </w:p>
        </w:tc>
        <w:tc>
          <w:tcPr>
            <w:tcW w:w="10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Adjustment for dilutive effect of Convertible Notes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7,665,330</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 for diluted weighted average shares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77,356,492</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66,656,280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Earnings (loss) per common share—diluted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30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In certain circumstances, the 2022 Convertible Notes will be convertible into cash, shares of the Company’s common stock or a combination of cash and shares of the Company’s common stock, at the Company’s election which can be dilutive to common stockholders. Diluted earnings (loss) per share is the amount of earnings (loss)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95" w:lineRule="exact"/>
        <w:rPr>
          <w:sz w:val="20"/>
          <w:szCs w:val="20"/>
          <w:color w:val="auto"/>
        </w:rPr>
      </w:pPr>
    </w:p>
    <w:p>
      <w:pPr>
        <w:ind w:right="160" w:firstLine="255"/>
        <w:spacing w:after="0" w:line="259" w:lineRule="auto"/>
        <w:rPr>
          <w:sz w:val="20"/>
          <w:szCs w:val="20"/>
          <w:color w:val="auto"/>
        </w:rPr>
      </w:pPr>
      <w:r>
        <w:rPr>
          <w:rFonts w:ascii="Arial" w:cs="Arial" w:eastAsia="Arial" w:hAnsi="Arial"/>
          <w:sz w:val="18"/>
          <w:szCs w:val="18"/>
          <w:color w:val="auto"/>
        </w:rPr>
        <w:t>For the purpose of calculating diluted earnings (loss) per common share, the average daily closing price of the Company’s common stock for the three months ended March 31, 2021 was greater than the estimated adjusted conversion price for the 2022 Convertible Notes outstanding as of March 31, 2021. Therefore, for this period presented in the consolidated financial statements the Company applied the if-converted method for purposes of calculating diluted earnings (loss) per common share.</w:t>
      </w:r>
    </w:p>
    <w:p>
      <w:pPr>
        <w:spacing w:after="0" w:line="187" w:lineRule="exact"/>
        <w:rPr>
          <w:sz w:val="20"/>
          <w:szCs w:val="20"/>
          <w:color w:val="auto"/>
        </w:rPr>
      </w:pPr>
    </w:p>
    <w:p>
      <w:pPr>
        <w:ind w:right="180" w:firstLine="255"/>
        <w:spacing w:after="0" w:line="259" w:lineRule="auto"/>
        <w:rPr>
          <w:sz w:val="20"/>
          <w:szCs w:val="20"/>
          <w:color w:val="auto"/>
        </w:rPr>
      </w:pPr>
      <w:r>
        <w:rPr>
          <w:rFonts w:ascii="Arial" w:cs="Arial" w:eastAsia="Arial" w:hAnsi="Arial"/>
          <w:sz w:val="18"/>
          <w:szCs w:val="18"/>
          <w:color w:val="auto"/>
        </w:rPr>
        <w:t>For the purpose of calculating diluted earnings (loss) per common share, the average daily closing price of the Company’s common stock for the three months ended March 31, 2020 was less than the estimated adjusted conversion price for the 2022 Convertible Notes outstanding as of March 31, 2020. Therefore, for this period presented in the consolidated financial statements, the 2022 Convertible Notes have no impact on the computation of diluted earnings (loss)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70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three months ended March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3"/>
          </w:tcPr>
          <w:p>
            <w:pPr>
              <w:jc w:val="right"/>
              <w:ind w:right="10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jc w:val="right"/>
              <w:ind w:right="1175"/>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40" w:type="dxa"/>
            <w:vAlign w:val="bottom"/>
          </w:tcPr>
          <w:p>
            <w:pPr>
              <w:jc w:val="right"/>
              <w:ind w:right="415"/>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26, 2021</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February 17, 2021</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2021</w:t>
            </w:r>
          </w:p>
        </w:tc>
        <w:tc>
          <w:tcPr>
            <w:tcW w:w="1840" w:type="dxa"/>
            <w:vAlign w:val="bottom"/>
          </w:tcPr>
          <w:p>
            <w:pPr>
              <w:jc w:val="right"/>
              <w:spacing w:after="0"/>
              <w:rPr>
                <w:sz w:val="20"/>
                <w:szCs w:val="20"/>
                <w:color w:val="auto"/>
              </w:rPr>
            </w:pPr>
            <w:r>
              <w:rPr>
                <w:rFonts w:ascii="Arial" w:cs="Arial" w:eastAsia="Arial" w:hAnsi="Arial"/>
                <w:sz w:val="18"/>
                <w:szCs w:val="18"/>
                <w:color w:val="auto"/>
              </w:rPr>
              <w:t>April 15, 2021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25, 2021</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8, 2021</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46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vMerge w:val="restart"/>
          </w:tcPr>
          <w:p>
            <w:pPr>
              <w:jc w:val="right"/>
              <w:ind w:right="95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45" w:name="page46"/>
    <w:bookmarkEnd w:id="45"/>
    <w:tbl>
      <w:tblPr>
        <w:tblLayout w:type="fixed"/>
        <w:tblInd w:w="11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jc w:val="right"/>
              <w:ind w:right="117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4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13, 2020</w:t>
            </w:r>
          </w:p>
        </w:tc>
        <w:tc>
          <w:tcPr>
            <w:tcW w:w="184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15, 2020</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15, 2020</w:t>
            </w: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dividends declared during the three months ended March 31, 2021 and 2020 were derived from net investment income, determined on a tax basis.</w:t>
      </w:r>
    </w:p>
    <w:p>
      <w:pPr>
        <w:spacing w:after="0" w:line="244"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2021 and 2020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2021</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2020</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Ordinary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Capital Gains</w:t>
            </w: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basis components of distributable earnings as of March 31, 2021 and December 31, 2020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net investment income - tax basis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90,377</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Undistributed net realized gains (losses) - tax</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basis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30,451</w:t>
            </w:r>
          </w:p>
        </w:tc>
        <w:tc>
          <w:tcPr>
            <w:tcW w:w="80" w:type="dxa"/>
            <w:vAlign w:val="bottom"/>
          </w:tcPr>
          <w:p>
            <w:pPr>
              <w:spacing w:after="0"/>
              <w:rPr>
                <w:sz w:val="20"/>
                <w:szCs w:val="20"/>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24,159</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2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(129,636)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(5,737)</w:t>
            </w:r>
          </w:p>
        </w:tc>
      </w:tr>
      <w:tr>
        <w:trPr>
          <w:trHeight w:val="223"/>
        </w:trPr>
        <w:tc>
          <w:tcPr>
            <w:tcW w:w="43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distributable earnings - book basis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The following reconciles increase (decrease) in net assets resulting from operations for the three months ended March 31, 2021 and 2020 to taxable income at March 31, 2021 and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net assets resulting from</w:t>
            </w:r>
          </w:p>
        </w:tc>
        <w:tc>
          <w:tcPr>
            <w:tcW w:w="1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56,652</w:t>
            </w:r>
          </w:p>
        </w:tc>
        <w:tc>
          <w:tcPr>
            <w:tcW w:w="22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(53,099)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84,680</w:t>
            </w:r>
          </w:p>
        </w:tc>
        <w:tc>
          <w:tcPr>
            <w:tcW w:w="80" w:type="dxa"/>
            <w:vAlign w:val="bottom"/>
            <w:shd w:val="clear" w:color="auto" w:fill="CFF0FC"/>
          </w:tcPr>
          <w:p>
            <w:pPr>
              <w:spacing w:after="0"/>
              <w:rPr>
                <w:sz w:val="19"/>
                <w:szCs w:val="19"/>
                <w:color w:val="auto"/>
              </w:rPr>
            </w:pPr>
          </w:p>
        </w:tc>
      </w:tr>
      <w:tr>
        <w:trPr>
          <w:trHeight w:val="215"/>
        </w:trPr>
        <w:tc>
          <w:tcPr>
            <w:tcW w:w="4320" w:type="dxa"/>
            <w:vAlign w:val="bottom"/>
          </w:tcPr>
          <w:p>
            <w:pPr>
              <w:ind w:left="240"/>
              <w:spacing w:after="0"/>
              <w:rPr>
                <w:sz w:val="20"/>
                <w:szCs w:val="20"/>
                <w:color w:val="auto"/>
              </w:rPr>
            </w:pPr>
            <w:r>
              <w:rPr>
                <w:rFonts w:ascii="Arial" w:cs="Arial" w:eastAsia="Arial" w:hAnsi="Arial"/>
                <w:sz w:val="18"/>
                <w:szCs w:val="18"/>
                <w:color w:val="auto"/>
              </w:rPr>
              <w:t>Other income for tax purposes, not</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20" w:type="dxa"/>
            <w:vAlign w:val="bottom"/>
          </w:tcPr>
          <w:p>
            <w:pPr>
              <w:ind w:left="380"/>
              <w:spacing w:after="0"/>
              <w:rPr>
                <w:sz w:val="20"/>
                <w:szCs w:val="20"/>
                <w:color w:val="auto"/>
              </w:rPr>
            </w:pPr>
            <w:r>
              <w:rPr>
                <w:rFonts w:ascii="Arial" w:cs="Arial" w:eastAsia="Arial" w:hAnsi="Arial"/>
                <w:sz w:val="18"/>
                <w:szCs w:val="18"/>
                <w:color w:val="auto"/>
              </w:rPr>
              <w:t>book</w:t>
            </w:r>
          </w:p>
        </w:tc>
        <w:tc>
          <w:tcPr>
            <w:tcW w:w="12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20"/>
                <w:szCs w:val="20"/>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(8,601)</w:t>
            </w:r>
          </w:p>
        </w:tc>
      </w:tr>
      <w:tr>
        <w:trPr>
          <w:trHeight w:val="223"/>
        </w:trPr>
        <w:tc>
          <w:tcPr>
            <w:tcW w:w="4320" w:type="dxa"/>
            <w:vAlign w:val="bottom"/>
          </w:tcPr>
          <w:p>
            <w:pPr>
              <w:ind w:left="480"/>
              <w:spacing w:after="0"/>
              <w:rPr>
                <w:sz w:val="20"/>
                <w:szCs w:val="20"/>
                <w:color w:val="auto"/>
              </w:rPr>
            </w:pPr>
            <w:r>
              <w:rPr>
                <w:rFonts w:ascii="Arial" w:cs="Arial" w:eastAsia="Arial" w:hAnsi="Arial"/>
                <w:sz w:val="18"/>
                <w:szCs w:val="18"/>
                <w:b w:val="1"/>
                <w:bCs w:val="1"/>
                <w:color w:val="auto"/>
              </w:rPr>
              <w:t>Taxable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Note: Taxable income is an estimate and is not fully determined until the Company’s tax return is filed. 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248"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4"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30" w:right="399" w:bottom="1440" w:gutter="0" w:footer="0" w:header="0"/>
        </w:sectPr>
      </w:pPr>
    </w:p>
    <w:bookmarkStart w:id="46" w:name="page47"/>
    <w:bookmarkEnd w:id="46"/>
    <w:p>
      <w:pPr>
        <w:ind w:right="420"/>
        <w:spacing w:after="0" w:line="277" w:lineRule="auto"/>
        <w:rPr>
          <w:sz w:val="20"/>
          <w:szCs w:val="20"/>
          <w:color w:val="auto"/>
        </w:rPr>
      </w:pPr>
      <w:r>
        <w:rPr>
          <w:rFonts w:ascii="Arial" w:cs="Arial" w:eastAsia="Arial" w:hAnsi="Arial"/>
          <w:sz w:val="18"/>
          <w:szCs w:val="18"/>
          <w:color w:val="auto"/>
        </w:rPr>
        <w:t>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70"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During the three months ended March 31, 2021, the Company increased distributable earnings and decreased additional paid in capital by $0.5 million which was primarily attributable to U.S. federal excise taxes.</w:t>
      </w:r>
    </w:p>
    <w:p>
      <w:pPr>
        <w:spacing w:after="0" w:line="170"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During the three months ended March 31, 2020, the Company increased distributable earnings and decreased additional paid in capital by $1.0 million attributable to U.S. federal excise taxes.</w:t>
      </w:r>
    </w:p>
    <w:p>
      <w:pPr>
        <w:spacing w:after="0" w:line="170"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March 31, 2021, the Company had a deferred tax asset of $0.4 million pertaining to operating losses, related to one of its investments. Given the losses generated by the entity, the deferred tax asset has been offset by a valuation allowance of $0.4 million.</w:t>
      </w:r>
    </w:p>
    <w:p>
      <w:pPr>
        <w:spacing w:after="0" w:line="170"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December 31, 2020, the Company had a deferred tax asset of $0.4 million pertaining to operating losses, related to one of its investments. Given the losses generated by the entity, the deferred tax asset has been offset by a valuation allowance of $0.4 million.</w:t>
      </w:r>
    </w:p>
    <w:p>
      <w:pPr>
        <w:spacing w:after="0" w:line="170" w:lineRule="exact"/>
        <w:rPr>
          <w:sz w:val="20"/>
          <w:szCs w:val="20"/>
          <w:color w:val="auto"/>
        </w:rPr>
      </w:pPr>
    </w:p>
    <w:p>
      <w:pPr>
        <w:ind w:right="180" w:firstLine="255"/>
        <w:spacing w:after="0" w:line="279" w:lineRule="auto"/>
        <w:rPr>
          <w:sz w:val="20"/>
          <w:szCs w:val="20"/>
          <w:color w:val="auto"/>
        </w:rPr>
      </w:pPr>
      <w:r>
        <w:rPr>
          <w:rFonts w:ascii="Arial" w:cs="Arial" w:eastAsia="Arial" w:hAnsi="Arial"/>
          <w:sz w:val="17"/>
          <w:szCs w:val="17"/>
          <w:color w:val="auto"/>
        </w:rPr>
        <w:t>During the period April 1, 2020 through March 31, 2021, the Company’s estimated U.S. federal taxable income exceeded its distributions made from such taxable income during the tax year; consequently, the Company has elected to carry forward the excess for distribution to shareholders. The amount carried forward is estimated to be approximately $42.6 million, which is inclusive of dividends payable as of March 31, 2021 of $119.4 million, all of which is expected to be ordinary income, although these amounts will not be finalized until the 2020 tax returns are filed in 2021.</w:t>
      </w:r>
    </w:p>
    <w:p>
      <w:pPr>
        <w:spacing w:after="0" w:line="171"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three months ended March 31, 2021 and 2020, a net expense of $0.5 million and $1.0 million, respectively, was recorded for U.S. federal excise tax.</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40" w:firstLine="255"/>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2021 and 2020.</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(6)</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19"/>
                <w:szCs w:val="19"/>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net</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Total decrease in net assets</w:t>
            </w:r>
          </w:p>
        </w:tc>
        <w:tc>
          <w:tcPr>
            <w:tcW w:w="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 Value, End of Period</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8"/>
                <w:szCs w:val="18"/>
                <w:color w:val="auto"/>
              </w:rPr>
              <w:t>Per share market value at end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period</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21.03</w:t>
            </w:r>
          </w:p>
        </w:tc>
        <w:tc>
          <w:tcPr>
            <w:tcW w:w="26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return based on net asset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71,969,998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66,569,771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assets</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to average net assets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1,185,332</w:t>
            </w:r>
          </w:p>
        </w:tc>
        <w:tc>
          <w:tcPr>
            <w:tcW w:w="26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1,036,736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36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2021.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Sixth Street Specialty Lending, Inc. (formerly known as TPG Specialty Lending, Inc.) is a Delaware corporation formed on July 21, 2010. Effective June 15, 2020, we changed our name from TPG Specialty Lending, Inc. to Sixth Street Specialty Lending, Inc. The Adviser is our external manager. We have four wholly owned subsidiaries, TC Lending, LLC, a Delaware limited liability company, which holds a California finance lender and broker license, Sixth Street SL SPV, LLC (formerly known as TPG SL SPV, LLC), a Delaware limited liability company, in which we hold assets that were previously used to support our asset-backed credit facility, Sixth Street SL Holding, LLC (formerly known as TSL MR, LLC), a Delaware limited liability company, in which we hold certain investments, and Sixth Street Specialty Lending Sub, LLC, a Cayman Islands limited liability company, in which we plan to hold certain investments.</w:t>
      </w:r>
    </w:p>
    <w:p>
      <w:pPr>
        <w:spacing w:after="0" w:line="195"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00" w:right="380" w:hanging="249"/>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2021, we have originated more than $16.2 billion aggregate principal amount of investments and retained approximately $7.4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right="100" w:firstLine="255"/>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2021, our core portfolio companies, which exclude certain investments that fall outside of our typical borrower profile and represent 87.7% of our total investments based on fair value, had weighted average annual revenue of $116.4 million and weighted average annual EBITDA of $40.8 million.</w:t>
      </w:r>
    </w:p>
    <w:p>
      <w:pPr>
        <w:spacing w:after="0" w:line="18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4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60" w:firstLine="255"/>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2021, the largest single investment based on fair value represented 3.6% of our total investment portfolio.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left="260"/>
        <w:spacing w:after="0"/>
        <w:rPr>
          <w:sz w:val="20"/>
          <w:szCs w:val="20"/>
          <w:color w:val="auto"/>
        </w:rPr>
      </w:pPr>
      <w:r>
        <w:rPr>
          <w:rFonts w:ascii="Arial" w:cs="Arial" w:eastAsia="Arial" w:hAnsi="Arial"/>
          <w:sz w:val="17"/>
          <w:szCs w:val="17"/>
          <w:color w:val="auto"/>
        </w:rPr>
        <w:t>As of March 31, 2021, the average investment size in each of our portfolio companies was approximately $35.0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the largest industry represented 22.2% of our total investment portfolio based on fair value.</w:t>
      </w:r>
    </w:p>
    <w:p>
      <w:pPr>
        <w:spacing w:after="0" w:line="225"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2021,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95.1% of our portfolio was invested in secured debt, including 94.9%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2021, the weighted average term on new investment commitments in new portfolio companies was 5.0 years.</w:t>
      </w:r>
    </w:p>
    <w:p>
      <w:pPr>
        <w:spacing w:after="0" w:line="17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40" w:firstLine="255"/>
        <w:spacing w:after="0" w:line="287"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March 31, 2021, we had call protection on 83.6% of our debt investments based on fair value, with weighted average call prices of 106.8% for the first year, 104.2% for the second year and 101.5% for the third year, in each case from the date of the initial investment. As of March 31, 2021,</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99.0% of our debt investments based on fair value bore interest at floating rates (when including investment specific hedges), with 99.2% of these subject to interest rate floors, which we believe helps act as a portfolio-wide hedge against inflation.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4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right="40" w:firstLine="255"/>
        <w:spacing w:after="0" w:line="288" w:lineRule="auto"/>
        <w:rPr>
          <w:sz w:val="20"/>
          <w:szCs w:val="20"/>
          <w:color w:val="auto"/>
        </w:rPr>
      </w:pPr>
      <w:r>
        <w:rPr>
          <w:rFonts w:ascii="Arial" w:cs="Arial" w:eastAsia="Arial" w:hAnsi="Arial"/>
          <w:sz w:val="16"/>
          <w:szCs w:val="16"/>
          <w:color w:val="auto"/>
        </w:rPr>
        <w:t>Sixth Street is a global investment business with over $50 billion of assets under management as of March 31, 2021.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320 investment and operating professionals. As of March 31, 2021, thirty-three (33) of these personnel are dedicated to our business, including twenty-five (25) investment professionals.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0" w:name="page51"/>
    <w:bookmarkEnd w:id="50"/>
    <w:p>
      <w:pPr>
        <w:ind w:right="100" w:firstLine="255"/>
        <w:spacing w:after="0" w:line="277" w:lineRule="auto"/>
        <w:rPr>
          <w:sz w:val="20"/>
          <w:szCs w:val="20"/>
          <w:color w:val="auto"/>
        </w:rPr>
      </w:pPr>
      <w:r>
        <w:rPr>
          <w:rFonts w:ascii="Arial" w:cs="Arial" w:eastAsia="Arial" w:hAnsi="Arial"/>
          <w:sz w:val="18"/>
          <w:szCs w:val="18"/>
          <w:color w:val="auto"/>
        </w:rPr>
        <w:t>Sixth Street was in a strategic relationship with TPG Global, LLC, or TPG from 2009 to 2020. On May 1, 2020, Sixth Street and TPG agreed to evolve their relationship and become independent, unaffiliated businesses.</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08"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2021, 99.0% of these investments based on fair value bore interest at a floating rate (when including investment specific hedges), with 99.2% of these subject to interest rate floors. Interest on debt investments is generally payable quarterly or semiannually. Some of our debt investments provide for deferred interest payments or PIK interest. For the three months ended March 31, 2021, 3.3% of our total investment income was comprised of PIK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60" w:firstLine="255"/>
        <w:spacing w:after="0" w:line="290" w:lineRule="auto"/>
        <w:rPr>
          <w:sz w:val="20"/>
          <w:szCs w:val="20"/>
          <w:color w:val="auto"/>
        </w:rPr>
      </w:pPr>
      <w:r>
        <w:rPr>
          <w:rFonts w:ascii="Arial" w:cs="Arial" w:eastAsia="Arial" w:hAnsi="Arial"/>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2024 Notes and 2026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5"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right="80" w:hanging="249"/>
        <w:spacing w:after="0" w:line="25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left="500" w:hanging="249"/>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2"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Small Business Credit Availability Act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76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2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53" w:name="page54"/>
    <w:bookmarkEnd w:id="53"/>
    <w:p>
      <w:pPr>
        <w:ind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As of March 31, 2021, our portfolio based on fair value consisted of 94.9% first-lien debt investments, 0.2% second-lien debt investments, 0.6% mezzanine debt investments, and 4.3% equity and other investments. As of December 31, 2020, our portfolio based on fair value consisted of 95.6% first-lien debt investments, 0.2% second-lien debt investments, 0.5% mezzanine debt investments, and 3.7% equity and other investments.</w:t>
      </w:r>
    </w:p>
    <w:p>
      <w:pPr>
        <w:spacing w:after="0" w:line="165" w:lineRule="exact"/>
        <w:rPr>
          <w:sz w:val="20"/>
          <w:szCs w:val="20"/>
          <w:color w:val="auto"/>
        </w:rPr>
      </w:pPr>
    </w:p>
    <w:p>
      <w:pPr>
        <w:ind w:right="140" w:firstLine="255"/>
        <w:spacing w:after="0" w:line="311" w:lineRule="auto"/>
        <w:rPr>
          <w:sz w:val="20"/>
          <w:szCs w:val="20"/>
          <w:color w:val="auto"/>
        </w:rPr>
      </w:pPr>
      <w:r>
        <w:rPr>
          <w:rFonts w:ascii="Arial" w:cs="Arial" w:eastAsia="Arial" w:hAnsi="Arial"/>
          <w:sz w:val="16"/>
          <w:szCs w:val="16"/>
          <w:color w:val="auto"/>
        </w:rPr>
        <w:t>As of March 31, 2021 and December 31, 2020, our weighted average total yield of debt and income-producing securities at fair value (which includes interest income and amortization of fees and discounts) was 9.8% and 10.0%, respectively, and our weighted average total yield of debt and income-producing securities at amortized cost (which includes interest income and amortization of fees and discounts) was 10.1% and 10.2%, respectively.</w:t>
      </w:r>
    </w:p>
    <w:p>
      <w:pPr>
        <w:spacing w:after="0" w:line="149"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As of March 31, 2021 and December 31, 2020, we had investments in 68 and 70 portfolio companies, respectively, with an aggregate fair value of $2,382.7 million and $2,298.9 million, respectively.</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For the three months ended March 31, 2021, the principal amount of new investments funded was $130.4 million in two new portfolio companies and six existing portfolio companies. For this period, we had $85.1 million aggregate principal amount in exits and repayments.</w:t>
      </w:r>
    </w:p>
    <w:p>
      <w:pPr>
        <w:spacing w:after="0" w:line="170"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For the three months ended March 31, 2020, the principal amount of new investments funded was $80.3 million in three new portfolio companies and four existing portfolio companies. For this period, we had $211.9 million aggregate principal amount in exits and repayments.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4" w:name="page55"/>
    <w:bookmarkEnd w:id="54"/>
    <w:p>
      <w:pPr>
        <w:ind w:right="320" w:firstLine="255"/>
        <w:spacing w:after="0" w:line="277" w:lineRule="auto"/>
        <w:rPr>
          <w:sz w:val="20"/>
          <w:szCs w:val="20"/>
          <w:color w:val="auto"/>
        </w:rPr>
      </w:pPr>
      <w:r>
        <w:rPr>
          <w:rFonts w:ascii="Arial" w:cs="Arial" w:eastAsia="Arial" w:hAnsi="Arial"/>
          <w:sz w:val="18"/>
          <w:szCs w:val="18"/>
          <w:color w:val="auto"/>
        </w:rPr>
        <w:t>Our investment activity for the three months ended March 31, 2021 and 2020 is presented below (information presented herein is at par value unless otherwise indicated).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vMerge w:val="continue"/>
          </w:tcPr>
          <w:p>
            <w:pPr>
              <w:spacing w:after="0"/>
              <w:rPr>
                <w:sz w:val="13"/>
                <w:szCs w:val="13"/>
                <w:color w:val="auto"/>
              </w:rPr>
            </w:pPr>
          </w:p>
        </w:tc>
        <w:tc>
          <w:tcPr>
            <w:tcW w:w="14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March 31, 2021</w:t>
            </w: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381.6</w:t>
            </w:r>
          </w:p>
        </w:tc>
        <w:tc>
          <w:tcPr>
            <w:tcW w:w="28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145.4</w:t>
            </w:r>
          </w:p>
        </w:tc>
        <w:tc>
          <w:tcPr>
            <w:tcW w:w="28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129.2</w:t>
            </w:r>
          </w:p>
        </w:tc>
        <w:tc>
          <w:tcPr>
            <w:tcW w:w="28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w:t>
            </w:r>
          </w:p>
        </w:tc>
        <w:tc>
          <w:tcPr>
            <w:tcW w:w="6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and December 31, 2020,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8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5" w:name="page56"/>
    <w:bookmarkEnd w:id="55"/>
    <w:p>
      <w:pPr>
        <w:ind w:right="240" w:firstLine="255"/>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March 31, 2021 and December 31,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13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gridSpan w:val="2"/>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115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60" w:hanging="492"/>
        <w:spacing w:after="0" w:line="29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March 31, 2021 and December 31, 2020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2020</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5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bl>
    <w:p>
      <w:pPr>
        <w:spacing w:after="0" w:line="229"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9.5% at March 31, 2021 and 9.5% at December 31, 2020.</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56" w:name="page57"/>
    <w:bookmarkEnd w:id="56"/>
    <w:p>
      <w:pPr>
        <w:ind w:left="500" w:right="160" w:hanging="249"/>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40" w:hanging="249"/>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40" w:hanging="249"/>
        <w:spacing w:after="0" w:line="255"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2021 and December 31, 2020. Investment performance ratings are accurate only as of those dates and may change due to subsequent developments relating to a portfolio company’s business or financial condition, market conditions or developments, and other factors.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3"/>
              </w:rPr>
              <w:t>December 31, 2020</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ind w:right="257"/>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right"/>
              <w:ind w:right="455"/>
              <w:spacing w:after="0" w:line="147" w:lineRule="exact"/>
              <w:rPr>
                <w:sz w:val="20"/>
                <w:szCs w:val="20"/>
                <w:color w:val="auto"/>
              </w:rPr>
            </w:pPr>
            <w:r>
              <w:rPr>
                <w:rFonts w:ascii="Arial" w:cs="Arial" w:eastAsia="Arial" w:hAnsi="Arial"/>
                <w:sz w:val="14"/>
                <w:szCs w:val="14"/>
                <w:b w:val="1"/>
                <w:bCs w:val="1"/>
                <w:color w:val="auto"/>
              </w:rPr>
              <w:t>Investments at</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164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2,107.2</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1,996.5</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214.9</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2,382.7</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2,298.9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investments with an amortized cost of $1.5 million for which the fair value as of March 31, 2021 and December 31, 2020 was $0.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months ended March 31,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2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March 31, 2021</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7040" w:type="dxa"/>
            <w:vAlign w:val="bottom"/>
            <w:gridSpan w:val="2"/>
            <w:vMerge w:val="restart"/>
          </w:tcPr>
          <w:p>
            <w:pPr>
              <w:jc w:val="right"/>
              <w:ind w:right="3672"/>
              <w:spacing w:after="0"/>
              <w:rPr>
                <w:sz w:val="20"/>
                <w:szCs w:val="20"/>
                <w:color w:val="auto"/>
              </w:rPr>
            </w:pPr>
            <w:r>
              <w:rPr>
                <w:rFonts w:ascii="Arial" w:cs="Arial" w:eastAsia="Arial" w:hAnsi="Arial"/>
                <w:sz w:val="18"/>
                <w:szCs w:val="18"/>
                <w:color w:val="auto"/>
                <w:w w:val="94"/>
              </w:rPr>
              <w:t>Includes foreign exchange hedging activity.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7040" w:type="dxa"/>
            <w:vAlign w:val="bottom"/>
            <w:gridSpan w:val="2"/>
          </w:tcPr>
          <w:p>
            <w:pPr>
              <w:jc w:val="right"/>
              <w:ind w:right="1592"/>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68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2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March 31, 2021</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255"/>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decreased from $63.0 million for the three months ended March 31, 2020 to $62.9 million for the three months ended March 31, 2021. The decrease in interest from investments was primarily a result of a decline in effective LIBOR, taking into account the existence of LIBOR floors, offset by an increase in prepayment fees and accelerated amortization of upfront fees. Accelerated amortization of upfront fees, which were primarily from unscheduled paydowns, increased from $4.3 million for the three months ended March 31, 2020 to $4.6 million for the three months ended March 31, 2021. Prepayment fees increased from $3.3 million for the three months ended March 31, 2020 to $3.4 million for the three months ended March 31, 2021. The accelerated amortization of upfront fees and prepayment fees primarily resulted from full paydowns on three portfolio investments, and partial paydowns on two portfolio investments, and earning prepayment fees on three portfolio investments during the three months ended March 31, 2020. The accelerated amortization of upfront fees and prepayment fees primarily resulted from full paydowns on three portfolio investments, partial paydowns on one portfolio investment, and earning prepayment fees on three portfolio investments during the three months ended March 31, 2021. Other income decreased from $2.8 million for the three months ended March 31, 2020 to $2.3 million for the three months ended March 31, 2021, primarily due to decreased exits fees offset by increased amendment and other fees during the three months ended March 31, 2021 compared to the same period in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2021 and 2020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5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March 31, 2021</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Directors fees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1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Interest expense, including other debt financing expenses, decreased from $12.9 million for the three months ended March 31, 2020 to $9.0 million for the three months ended March 31, 2021. This decrease was primarily due to a decrease in the average interest rate on our debt outstanding from the three months ended March 31, 2020 to the three months ended March 31, 2021. The average interest rate on our debt outstanding decreased from 3.9% for three months ended March 31, 2020 to 2.3% for the three months ended March 31, 2021 primarily due to changes in LIBOR rates. The average debt outstanding increased from $1,107.7 million for the three months ended March 31, 2020 to $1,122.7 million for the three months ended March 31, 2021.</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Management Fees increased from $8.2 million for the three months ended March 31, 2020 to $8.7 million for the three months ended March 31, 2021 due to an increase in average assets for the three months ended March 31, 2021 compared to the same period in 2020. The Adviser did not waive any Management Fees for the three months ended March 31, 2021 or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Incentive Fees related to pre-Incentive Fee net investment income increased from $7.1 million for the three months ended March 31, 2020 to $7.8 million for the three months ended March 31, 2021. This increase resulted from a decrease in interest expense for the three months ended March 31, 2021. The Adviser did not waive any Incentive Fees related to pre-Incentive Fee net investment income for the three months ended March 31, 2021 or 2020. There were no Incentive Fees related to net capital gains for the three months ended March, 31 2020 due to cumulative realized and unrealized losses on our investments and $4.5 million of Incentive Fees were accrued for the three months ended March 31, 2021 related to cumulative unrealized capital gains in excess of cumulative net realized capital gains less cumulative unrealized losses and capital gains incentive fees paid inception to date.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Professional fees decreased from $1.7 million for the three months ended March 31, 2020 to $1.4 million for the three months ended March 31, 2021 primarily due to lower legal fees. Other general and administrative fees increased from $1.5 million for the three months ended March 31, 2020 to $1.8 million for the three months ended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For the three months ended March 31, 2021 and 2020, we recorded a net expense of $0.5 million and $1.0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6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600" w:type="dxa"/>
            <w:vAlign w:val="bottom"/>
            <w:tcBorders>
              <w:bottom w:val="single" w:sz="8" w:color="CFF0FC"/>
            </w:tcBorders>
            <w:vMerge w:val="continue"/>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March 31, 2021</w:t>
            </w:r>
          </w:p>
        </w:tc>
        <w:tc>
          <w:tcPr>
            <w:tcW w:w="2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6"/>
              </w:rPr>
              <w:t>Net realized gains (losses) on foreign currency transactions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8"/>
              </w:rPr>
              <w:t>Net realized gains (losses) on foreign currency borrowings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2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23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2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Unrealized gains on foreign currency borrowings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losses on foreign currency cash</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Unrealized gains (losses) on interest rate swaps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2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bottom w:val="single" w:sz="8" w:color="CFF0FC"/>
            </w:tcBorders>
            <w:vMerge w:val="restart"/>
          </w:tcPr>
          <w:p>
            <w:pPr>
              <w:jc w:val="right"/>
              <w:ind w:right="1690"/>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59" w:name="page60"/>
    <w:bookmarkEnd w:id="59"/>
    <w:p>
      <w:pPr>
        <w:ind w:firstLine="255"/>
        <w:spacing w:after="0" w:line="254" w:lineRule="auto"/>
        <w:rPr>
          <w:sz w:val="20"/>
          <w:szCs w:val="20"/>
          <w:color w:val="auto"/>
        </w:rPr>
      </w:pPr>
      <w:r>
        <w:rPr>
          <w:rFonts w:ascii="Arial" w:cs="Arial" w:eastAsia="Arial" w:hAnsi="Arial"/>
          <w:sz w:val="18"/>
          <w:szCs w:val="18"/>
          <w:color w:val="auto"/>
        </w:rPr>
        <w:t>For the three months ended March 31, 2021, we had net realized gains on investments of $14.6 million, primarily driven by two investments and for the three months ended March 31, 2020 we had net realized losses of $2.0 million, primarily driven by one investment. For the three months ended March 31, 2021 and 2020, we had net realized gains of less than $0.1 million on foreign currency transactions and net realized losses of $0.1 million on foreign currency transactions, respectively, primarily as a result of translating foreign currency related to our non-USD denominated investments. For the three months ended March 31, 2021 and 2020, we had net realized losses of less than $0.1 million and $0.1 million, respectively, on foreign currency investments. For the three months ended March 31, 2021 and 2020, we had net realized losses of less than $0.1 million and net realized gains of $0.1 million, respectively, on foreign currency borrowings. The net realized gains and losses on foreign currency borrowings were a result of payments on our revolving credit facility.</w:t>
      </w:r>
    </w:p>
    <w:p>
      <w:pPr>
        <w:spacing w:after="0" w:line="192" w:lineRule="exact"/>
        <w:rPr>
          <w:sz w:val="20"/>
          <w:szCs w:val="20"/>
          <w:color w:val="auto"/>
        </w:rPr>
      </w:pPr>
    </w:p>
    <w:p>
      <w:pPr>
        <w:ind w:right="80" w:firstLine="255"/>
        <w:spacing w:after="0" w:line="272" w:lineRule="auto"/>
        <w:rPr>
          <w:sz w:val="20"/>
          <w:szCs w:val="20"/>
          <w:color w:val="auto"/>
        </w:rPr>
      </w:pPr>
      <w:r>
        <w:rPr>
          <w:rFonts w:ascii="Arial" w:cs="Arial" w:eastAsia="Arial" w:hAnsi="Arial"/>
          <w:sz w:val="17"/>
          <w:szCs w:val="17"/>
          <w:color w:val="auto"/>
        </w:rPr>
        <w:t>For the three months ended March 31, 2021 we had $30.9 million in unrealized gains on 48 portfolio company investments, which was offset by $19.4 million in unrealized losses on 20 portfolio company investments. Unrealized gains resulted from an increase in fair value, primarily due to tightening of credit spreads and positive portfolio company specific adjustments. Unrealized losses primarily resulted from the unwind of prior period unrealized gains due to realizations and negative credit-related adjustments. For the three months ended March 31, 2020 we had $5.5 million in unrealized gains on 4 portfolio company investments, which was offset by $113.2 million in unrealized losses on 62 portfolio company investments. Unrealized gains resulted from an increase in fair value, primarily due to positive credit-related adjustments. Unrealized losses primarily resulted from a widening spread environment and in some instances negative credit-related adjustments.</w:t>
      </w:r>
    </w:p>
    <w:p>
      <w:pPr>
        <w:spacing w:after="0" w:line="17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For the three months ended March 31, 2021 and 2020, we had unrealized gains on foreign currency borrowings of $0.1 million and $13.8 million, respectively, as a result of fluctuations in the AUD, CAD and EUR exchange rates. For the three months ended March 31, 2020, we had unrealized losses on foreign currency cash of less than $0.1 million. For the three months ended March 31, 2021 and 2020, we had unrealized losses on interest rate swaps of $1.8 million and unrealized gains on interest rate swaps of $9.2 million, respectively, due to fluctuations in interest rates and the periodic settlement of interest rate swaps.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Since we began investing in 2011 through March 31, 2021, weighted by capital invested, our exited investments have generated an average realized gross internal rate of return to us of 18.9% (based on total capital invested of $5.0 billion and total proceeds from these exited investments of $6.3 billion). Ninety-two percent of these exited investments resulted in a realized gross internal rate of return to us of 10% or greater.</w:t>
      </w:r>
    </w:p>
    <w:p>
      <w:pPr>
        <w:spacing w:after="0" w:line="165"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2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2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ind w:right="8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0" w:name="page61"/>
    <w:bookmarkEnd w:id="60"/>
    <w:p>
      <w:pPr>
        <w:ind w:right="40" w:firstLine="255"/>
        <w:spacing w:after="0" w:line="301"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17"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months ended March 31, 2021, and 2020, we incurred $0.1 million and $13.8 million of unrealized gains, respectively, on the translation of our non-U.S. dollar denominated debt into U.S. dollars; such amounts approximate the corresponding unrealized gains and losses on the translation of our non-U.S. dollar denominated investments into U.S. dollars for the three months ended March 31, 2021 and 2020. See Note 2 for additional disclosure regarding our accounting for foreign currency. See Note 7 for additional disclosure regarding the amounts of outstanding debt denominated in each foreign currency at March 31, 2021. See our consolidated schedule of investments for additional disclosure regarding the foreign currency amounts (in both par and fair value) of our non-U.S. dollar denominated investments.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March 31, 2021 and December 31, 2020, our asset coverage ratio was 208.5% and 204.5%,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6" w:lineRule="exact"/>
        <w:rPr>
          <w:sz w:val="20"/>
          <w:szCs w:val="20"/>
          <w:color w:val="auto"/>
        </w:rPr>
      </w:pPr>
    </w:p>
    <w:p>
      <w:pPr>
        <w:ind w:right="540" w:firstLine="255"/>
        <w:spacing w:after="0" w:line="263" w:lineRule="auto"/>
        <w:rPr>
          <w:sz w:val="20"/>
          <w:szCs w:val="20"/>
          <w:color w:val="auto"/>
        </w:rPr>
      </w:pPr>
      <w:r>
        <w:rPr>
          <w:rFonts w:ascii="Arial" w:cs="Arial" w:eastAsia="Arial" w:hAnsi="Arial"/>
          <w:sz w:val="18"/>
          <w:szCs w:val="18"/>
          <w:color w:val="auto"/>
        </w:rPr>
        <w:t>Cash and cash equivalents as of March 31, 2021, taken together with cash available under our credit facilities, is expected to be sufficient for our investing activities and to conduct our operations in the near term. As of March 31, 2021, we had approximately $1.3 billion of availability on our Revolving Credit Facility, subject to asset coverage limitations.</w:t>
      </w:r>
    </w:p>
    <w:p>
      <w:pPr>
        <w:spacing w:after="0" w:line="184"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As of March 31, 2021, we had $20.0 million in cash and cash equivalents, including $16.3 million of restricted cash, an increase of $6.7 million from December 31, 2020. During the three months ended March 31, 2021, we used $25.8 million in cash from operating activities as a result of funding portfolio investments of $170.4 million, and other operating activity of $33.8 million, which was partially offset by repayments and proceeds from investments of $121.7 million and an increase in net assets resulting from operations of $56.7 million. Lastly, cash provided by financing activities was $32.6 million during the period due to borrowings of $404.2 million (including the issuance of $300.0 million principal amount of our 2026 Notes), and proceeds from the issuance of common stock, net of offering and underwriting costs, of $85.9 million, which was partially offset by paydowns on our Revolving Credit Facility of $423.1 million (including $293.7 million net proceeds from our 2026 Notes and $85.9 million net proceeds from our equity offering in February 2021), dividends paid of $26.6 million, and deferred financing costs of $7.8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firstLine="255"/>
        <w:spacing w:after="0" w:line="277" w:lineRule="auto"/>
        <w:rPr>
          <w:sz w:val="20"/>
          <w:szCs w:val="20"/>
          <w:color w:val="auto"/>
        </w:rPr>
      </w:pPr>
      <w:r>
        <w:rPr>
          <w:rFonts w:ascii="Arial" w:cs="Arial" w:eastAsia="Arial" w:hAnsi="Arial"/>
          <w:sz w:val="18"/>
          <w:szCs w:val="18"/>
          <w:color w:val="auto"/>
        </w:rPr>
        <w:t>As of March 31, 2021, we had $16.3 million of restricted cash pledged as collateral under our interest rate swap agreements, an increase of $5.5 million from December 31, 2020 primarily due to increases in the notional amount and fair value of our swaps.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320" w:firstLine="255"/>
        <w:spacing w:after="0" w:line="286" w:lineRule="auto"/>
        <w:rPr>
          <w:sz w:val="20"/>
          <w:szCs w:val="20"/>
          <w:color w:val="auto"/>
        </w:rPr>
      </w:pPr>
      <w:r>
        <w:rPr>
          <w:rFonts w:ascii="Arial" w:cs="Arial" w:eastAsia="Arial" w:hAnsi="Arial"/>
          <w:sz w:val="17"/>
          <w:szCs w:val="17"/>
          <w:color w:val="auto"/>
        </w:rPr>
        <w:t>On February 23, 2021, we issued a total of 4,000,000 shares of commons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During the three months ended March 31, 2021 and 2020, we also issued 236,100 and 252,144 shares of our common stock, respectively, to investors who have not opted out of our dividend reinvestment plan for proceeds of $4.7 million and $4.8 million, respectively. On April 8, 2021 and April 15, 2021, we issued 483,361 and 165,400 shares, respectively, of our common stock through our dividend reinvestment plan for proceeds of $10.2 million and $3.5 million, respectively, which are not reflected in the number of shares issued for the three months ended March 31, 2021 in this section or the consolidated financial statements for the three months ended March 31, 2021.</w:t>
      </w:r>
    </w:p>
    <w:p>
      <w:pPr>
        <w:spacing w:after="0" w:line="176" w:lineRule="exact"/>
        <w:rPr>
          <w:sz w:val="20"/>
          <w:szCs w:val="20"/>
          <w:color w:val="auto"/>
        </w:rPr>
      </w:pPr>
    </w:p>
    <w:p>
      <w:pPr>
        <w:jc w:val="both"/>
        <w:ind w:right="60" w:firstLine="255"/>
        <w:spacing w:after="0" w:line="301" w:lineRule="auto"/>
        <w:rPr>
          <w:sz w:val="20"/>
          <w:szCs w:val="20"/>
          <w:color w:val="auto"/>
        </w:rPr>
      </w:pPr>
      <w:r>
        <w:rPr>
          <w:rFonts w:ascii="Arial" w:cs="Arial" w:eastAsia="Arial" w:hAnsi="Arial"/>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2020.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820" w:firstLine="255"/>
        <w:spacing w:after="0" w:line="308" w:lineRule="auto"/>
        <w:rPr>
          <w:sz w:val="20"/>
          <w:szCs w:val="20"/>
          <w:color w:val="auto"/>
        </w:rPr>
      </w:pPr>
      <w:r>
        <w:rPr>
          <w:rFonts w:ascii="Arial" w:cs="Arial" w:eastAsia="Arial" w:hAnsi="Arial"/>
          <w:sz w:val="17"/>
          <w:szCs w:val="17"/>
          <w:color w:val="auto"/>
        </w:rPr>
        <w:t>During the three months ended March 31, 2020, we repurchased 206,964 shares at a weighted average price per share of $14.17 inclusive of commissions, for a total cost of $2.9 million. No shares were repurchased during the three months ended March 31,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2021 and December 31,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19"/>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9"/>
                <w:szCs w:val="19"/>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w:t>
            </w:r>
          </w:p>
        </w:tc>
        <w:tc>
          <w:tcPr>
            <w:tcW w:w="120" w:type="dxa"/>
            <w:vAlign w:val="bottom"/>
            <w:shd w:val="clear" w:color="auto" w:fill="CFF0FC"/>
          </w:tcPr>
          <w:p>
            <w:pPr>
              <w:spacing w:after="0"/>
              <w:rPr>
                <w:sz w:val="19"/>
                <w:szCs w:val="19"/>
                <w:color w:val="auto"/>
              </w:rPr>
            </w:pPr>
          </w:p>
        </w:tc>
      </w:tr>
      <w:tr>
        <w:trPr>
          <w:trHeight w:val="223"/>
        </w:trPr>
        <w:tc>
          <w:tcPr>
            <w:tcW w:w="42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1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84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hanging="492"/>
        <w:spacing w:after="0" w:line="265"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of $13.9 million, $1.0 million, $1.2 million, $5.0 million and $6.1 million, respectively.</w:t>
      </w:r>
    </w:p>
    <w:p>
      <w:pPr>
        <w:ind w:left="500" w:right="400" w:hanging="492"/>
        <w:spacing w:after="0" w:line="323"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$11.2 million and ($9.0) million, respectively, which represents an adjustment in the carrying values of the 2024 Notes and 2026 Notes resulting from a hedge accounting relationship.</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84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2" w:name="page63"/>
    <w:bookmarkEnd w:id="62"/>
    <w:p>
      <w:pPr>
        <w:ind w:left="500" w:right="160" w:hanging="492"/>
        <w:spacing w:after="0" w:line="258"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spacing w:after="0" w:line="1" w:lineRule="exact"/>
        <w:rPr>
          <w:rFonts w:ascii="Arial" w:cs="Arial" w:eastAsia="Arial" w:hAnsi="Arial"/>
          <w:sz w:val="18"/>
          <w:szCs w:val="18"/>
          <w:color w:val="auto"/>
        </w:rPr>
      </w:pPr>
    </w:p>
    <w:p>
      <w:pPr>
        <w:ind w:left="500" w:right="180" w:hanging="492"/>
        <w:spacing w:after="0" w:line="26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an incremental $16.8 million, which represents an adjustment in the carrying value of the 2024 Notes resulting from a hedge accounting relationship.</w:t>
      </w:r>
    </w:p>
    <w:p>
      <w:pPr>
        <w:spacing w:after="0" w:line="185"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As of March 31, 2021 and December 31, 2020,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00" w:firstLine="255"/>
        <w:spacing w:after="0" w:line="31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w:t>
      </w:r>
    </w:p>
    <w:p>
      <w:pPr>
        <w:spacing w:after="0" w:line="149" w:lineRule="exact"/>
        <w:rPr>
          <w:sz w:val="20"/>
          <w:szCs w:val="20"/>
          <w:color w:val="auto"/>
        </w:rPr>
      </w:pPr>
    </w:p>
    <w:p>
      <w:pPr>
        <w:ind w:right="140" w:firstLine="255"/>
        <w:spacing w:after="0" w:line="255"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As a result, $1.460 billion of total commitments are now subject to these revolving period and stated maturity dates. For the remaining $25.0 million of commitments, the revolving period ends January 31, 2024 and the stated maturity is January 31, 2025.</w:t>
      </w:r>
    </w:p>
    <w:p>
      <w:pPr>
        <w:spacing w:after="0" w:line="192" w:lineRule="exact"/>
        <w:rPr>
          <w:sz w:val="20"/>
          <w:szCs w:val="20"/>
          <w:color w:val="auto"/>
        </w:rPr>
      </w:pPr>
    </w:p>
    <w:p>
      <w:pPr>
        <w:ind w:right="46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March 31, 2021, we had outstanding debt denominated in Australian Dollars (AUD) of 51.5 million, Canadian Dollars (CAD) of 74.6 million, and Euro (EUR) of 8.6 million on our Revolving Credit Facility, included in the Outstanding Principal amount in the table above.</w:t>
      </w:r>
    </w:p>
    <w:p>
      <w:pPr>
        <w:spacing w:after="0" w:line="184"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March 31, 2021 and December 31, 2020,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2"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4"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240" w:hanging="249"/>
        <w:spacing w:after="0" w:line="375" w:lineRule="auto"/>
        <w:tabs>
          <w:tab w:leader="none" w:pos="5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ind w:left="500" w:hanging="249"/>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3" w:name="page64"/>
    <w:bookmarkEnd w:id="63"/>
    <w:p>
      <w:pPr>
        <w:ind w:left="500" w:hanging="249"/>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700" w:firstLine="255"/>
        <w:spacing w:after="0" w:line="308" w:lineRule="auto"/>
        <w:rPr>
          <w:sz w:val="20"/>
          <w:szCs w:val="20"/>
          <w:color w:val="auto"/>
        </w:rPr>
      </w:pPr>
      <w:r>
        <w:rPr>
          <w:rFonts w:ascii="Arial" w:cs="Arial" w:eastAsia="Arial" w:hAnsi="Arial"/>
          <w:sz w:val="17"/>
          <w:szCs w:val="17"/>
          <w:color w:val="auto"/>
        </w:rPr>
        <w:t>Net proceeds received from the Company’s common stock issuance in February 2021 and net proceeds received from the issuance of the 2022 Convertible Notes, 2023 Notes, 2024 Notes and 2026 Notes were used to pay down borrowings on the Revolving Credit Facility.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March 31, 2021, the estimated adjusted conversion price was approximately $18.63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72" w:lineRule="exact"/>
        <w:rPr>
          <w:sz w:val="20"/>
          <w:szCs w:val="20"/>
          <w:color w:val="auto"/>
        </w:rPr>
      </w:pPr>
    </w:p>
    <w:p>
      <w:pPr>
        <w:ind w:right="180" w:firstLine="255"/>
        <w:spacing w:after="0" w:line="296" w:lineRule="auto"/>
        <w:rPr>
          <w:sz w:val="20"/>
          <w:szCs w:val="20"/>
          <w:color w:val="auto"/>
        </w:rPr>
      </w:pPr>
      <w:r>
        <w:rPr>
          <w:rFonts w:ascii="Arial" w:cs="Arial" w:eastAsia="Arial" w:hAnsi="Arial"/>
          <w:sz w:val="16"/>
          <w:szCs w:val="16"/>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predominately floating rate loans. As a result of the additional swaps, our effective interest rate on the additional 2022 Convertible Notes is approximately three-month LIBOR plus 1.60%.</w:t>
      </w:r>
    </w:p>
    <w:p>
      <w:pPr>
        <w:spacing w:after="0" w:line="161"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During the year ended December 31, 2021,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our effective interest rate on the outstanding 2022 Convertible Notes is three-month LIBOR plus 2.11% (on a weighted-average basis).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60" w:firstLine="8"/>
        <w:spacing w:after="0" w:line="281"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40" w:firstLine="8"/>
        <w:spacing w:after="0" w:line="292"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4" w:name="page65"/>
    <w:bookmarkEnd w:id="64"/>
    <w:p>
      <w:pPr>
        <w:jc w:val="both"/>
        <w:ind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60" w:firstLine="255"/>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March 31, 2021, we were in compliance with the terms of the indenture governing the 2022 Convertible Notes.</w:t>
      </w:r>
    </w:p>
    <w:p>
      <w:pPr>
        <w:spacing w:after="0" w:line="171"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The 2022 Convertible Notes are accounted for in accordance with ASC Topic 470-20. Upon conversion of any of the 2022 Convertible Notes, we currently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 During the period ended March 31, 2021, we early adopted ASU 2020-06 and in accordance with this guidance reclassed the remaining unamortized discount on the 2022 Convertible Notes from the carrying value of the instrument to “additional paid-in capital” in the accompanying consolidated balance sheet.</w:t>
      </w:r>
    </w:p>
    <w:p>
      <w:pPr>
        <w:spacing w:after="0" w:line="182"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The average daily closing price of our common stock for the three months ended March 31, 2021 was greater than the estimated adjusted conversion price for the 2022 Convertible Notes outstanding as of March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connection with the 2024 Notes offering and reopening of the 2024 Notes, we entered into interest rate swaps to continue to align the interest rates of our liabilities with our investment portfolio, which consists of predominately floating rate loans. As a result of the swaps, our effective interest rate on the 2024 Notes is three-month LIBOR plus 2.28% (on a weighted average basis).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ind w:firstLine="255"/>
        <w:spacing w:after="0" w:line="254" w:lineRule="auto"/>
        <w:rPr>
          <w:sz w:val="20"/>
          <w:szCs w:val="20"/>
          <w:color w:val="auto"/>
        </w:rPr>
      </w:pPr>
      <w:r>
        <w:rPr>
          <w:rFonts w:ascii="Arial" w:cs="Arial" w:eastAsia="Arial" w:hAnsi="Arial"/>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our effective interest rate on the outstanding 2024 Notes is three-month LIBOR plus 2.28% (on a weighted average basis).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76"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In connection with the issuance of the 2026 Notes, we entered into an interest rate swap to continue to align the interest rates of our liabilities with our investment portfolio, which consists of predominately floating rate loans. As a result of the swap, our effective interest rate on the 2026 Notes is three-month LIBOR plus 1.91%.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2021 and December 31, 2020, we had the following commitments to fund investments in current portfolio companies: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Borders>
              <w:bottom w:val="single" w:sz="8" w:color="CFF0FC"/>
            </w:tcBorders>
          </w:tcPr>
          <w:p>
            <w:pPr>
              <w:spacing w:after="0"/>
              <w:rPr>
                <w:sz w:val="14"/>
                <w:szCs w:val="14"/>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Alpha Midco, Inc. - Delayed Draw</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American Achievement, Corp.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Biohaven Pharmaceuticals, Inc.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Clinicient, Inc.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DaySmart Holdings, LLC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Factor Systems, Inc.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ForeScout Technologies, Inc.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G Treasury SS, LLC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Integration Appliance, Inc.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IntelePeer Holdings, Inc.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InvMetrics Holdings, Inc.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IRGSE Holding Corp.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Kyriba Corp.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Kyriba Corp.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Lexipol, LLC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 LLC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Lucidworks, Inc.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Netwrix Corp.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Netwrix Corp.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Nintex Global, Ltd.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PageUp People, Ltd.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PayScale Holdings, Inc.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PrimeRevenue, Inc.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PrimeRevenue, Inc.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ReliaQuest Holdings, LLC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ReliaQuest Holdings, LLC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ResMan, LLC - Delayed Draw</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ResMan, LLC - Revolver</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Sprinklr - Delayed Draw Convertible Note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 Inc.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Valant Medical Solutions, Inc.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w w:val="99"/>
              </w:rPr>
              <w:t>Verdad Resources Intermediate Holdings, LLC - Delayed Draw</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WideOrbit, Inc. - Revolver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Workwell Acquisition Co. - Delayed Draw</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9"/>
                <w:szCs w:val="19"/>
                <w:color w:val="auto"/>
              </w:rPr>
            </w:pPr>
          </w:p>
        </w:tc>
      </w:tr>
      <w:tr>
        <w:trPr>
          <w:trHeight w:val="209"/>
        </w:trPr>
        <w:tc>
          <w:tcPr>
            <w:tcW w:w="4440" w:type="dxa"/>
            <w:vAlign w:val="bottom"/>
          </w:tcPr>
          <w:p>
            <w:pPr>
              <w:ind w:left="240"/>
              <w:spacing w:after="0" w:line="210" w:lineRule="exact"/>
              <w:rPr>
                <w:sz w:val="20"/>
                <w:szCs w:val="20"/>
                <w:color w:val="auto"/>
              </w:rPr>
            </w:pPr>
            <w:r>
              <w:rPr>
                <w:rFonts w:ascii="Arial" w:cs="Arial" w:eastAsia="Arial" w:hAnsi="Arial"/>
                <w:sz w:val="15"/>
                <w:szCs w:val="15"/>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161.8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192.8</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right="30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00" w:right="7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March 31, 2021 and December 31, 2020, we did not have any unfunded commitments to fund new investments to new borrowers that were not current portfolio companies as of such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7" w:name="page68"/>
    <w:bookmarkEnd w:id="67"/>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w w:val="90"/>
              </w:rPr>
              <w:t>Payments Due by Period</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1-3 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2026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20" w:hanging="249"/>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540" w:right="3780" w:hanging="5289"/>
        <w:spacing w:after="0" w:line="52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left="500" w:right="180" w:hanging="249"/>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00" w:right="380" w:hanging="249"/>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ongoing agreement with an affiliate of TPG governing, inter alia, the parties’ respective ownership of and rights to use the “Sixth Street” and “TPG” trademarks and certain variations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2020, filed with the SEC on February 17, 2021, and elsewhere in our filings with the SEC.</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4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As of March 31, 2021, 99.0% of our debt investments based on fair value in our portfolio bore interest at floating rates (when including investment specific hedges), with 99.2%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Assuming that our consolidated balance sheet as of March 31, 2021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Interest Expense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553" w:right="5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2020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62" w:lineRule="exact"/>
        <w:rPr>
          <w:sz w:val="20"/>
          <w:szCs w:val="20"/>
          <w:color w:val="auto"/>
        </w:rPr>
      </w:pPr>
    </w:p>
    <w:p>
      <w:pPr>
        <w:ind w:firstLine="255"/>
        <w:spacing w:after="0" w:line="268"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and liquidity issues. While these effects are hoped to be temporary, some effects could be persistent or even permanent. We cannot predict when, or if, the impacts of the COVID-19 pandemic may lessen.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80" w:lineRule="exact"/>
        <w:rPr>
          <w:sz w:val="20"/>
          <w:szCs w:val="20"/>
          <w:color w:val="auto"/>
        </w:rPr>
      </w:pPr>
    </w:p>
    <w:p>
      <w:pPr>
        <w:jc w:val="both"/>
        <w:ind w:right="620" w:firstLine="255"/>
        <w:spacing w:after="0" w:line="263" w:lineRule="auto"/>
        <w:rPr>
          <w:sz w:val="20"/>
          <w:szCs w:val="20"/>
          <w:color w:val="auto"/>
        </w:rPr>
      </w:pPr>
      <w:r>
        <w:rPr>
          <w:rFonts w:ascii="Arial" w:cs="Arial" w:eastAsia="Arial" w:hAnsi="Arial"/>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84"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Moreover, the effects of the COVID-19 pandemic may heighten the other risks described in the section entitled “Risk Factors” in our most recent Annual Report on Form 10-K and any subsequent report filed with the Securities and Exchange Commission.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disruption, volatility and uncertainty in the capital markets and in the economy generally.</w:t>
      </w:r>
    </w:p>
    <w:p>
      <w:pPr>
        <w:spacing w:after="0" w:line="117" w:lineRule="exact"/>
        <w:rPr>
          <w:sz w:val="20"/>
          <w:szCs w:val="20"/>
          <w:color w:val="auto"/>
        </w:rPr>
      </w:pPr>
    </w:p>
    <w:p>
      <w:pPr>
        <w:ind w:right="20" w:firstLine="255"/>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ind w:right="100" w:firstLine="255"/>
        <w:spacing w:after="0" w:line="257" w:lineRule="auto"/>
        <w:rPr>
          <w:sz w:val="20"/>
          <w:szCs w:val="20"/>
          <w:color w:val="auto"/>
        </w:rPr>
      </w:pPr>
      <w:r>
        <w:rPr>
          <w:rFonts w:ascii="Arial" w:cs="Arial" w:eastAsia="Arial" w:hAnsi="Arial"/>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88" w:lineRule="exact"/>
        <w:rPr>
          <w:sz w:val="20"/>
          <w:szCs w:val="20"/>
          <w:color w:val="auto"/>
        </w:rPr>
      </w:pPr>
    </w:p>
    <w:p>
      <w:pPr>
        <w:jc w:val="both"/>
        <w:ind w:right="460" w:firstLine="255"/>
        <w:spacing w:after="0" w:line="311"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7" w:lineRule="exact"/>
        <w:rPr>
          <w:sz w:val="20"/>
          <w:szCs w:val="20"/>
          <w:color w:val="auto"/>
        </w:rPr>
      </w:pPr>
    </w:p>
    <w:p>
      <w:pPr>
        <w:jc w:val="both"/>
        <w:ind w:right="160" w:firstLine="255"/>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460" w:firstLine="255"/>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0" w:firstLine="255"/>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80" w:firstLine="255"/>
        <w:spacing w:after="0" w:line="254"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85"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28, 2020, we are currently permitted to sell or otherwise issue shares of our common stock at a price below our then-current net asset value per share, subject to the approval of our Board and certain other conditions. Such stockholder approval expires on May 28, 2021. On April 13, 2021, we filed a definitive proxy statement for a special meeting of stockholders, to be held on May 26, 2021. The definitive proxy statement sets forth a proposal to be voted upon at the special meeting that, if approved by stockholders, would have the effect of extending this approval to the one-year anniversary of the date of the special meeting.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6"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6"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March 31, 2021,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240"/>
        <w:spacing w:after="0" w:line="279" w:lineRule="auto"/>
        <w:rPr>
          <w:sz w:val="20"/>
          <w:szCs w:val="20"/>
          <w:color w:val="auto"/>
        </w:rPr>
      </w:pPr>
      <w:r>
        <w:rPr>
          <w:rFonts w:ascii="Arial" w:cs="Arial" w:eastAsia="Arial" w:hAnsi="Arial"/>
          <w:sz w:val="17"/>
          <w:szCs w:val="17"/>
          <w:color w:val="auto"/>
        </w:rPr>
        <w:t>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1" w:lineRule="exact"/>
        <w:rPr>
          <w:sz w:val="20"/>
          <w:szCs w:val="20"/>
          <w:color w:val="auto"/>
        </w:rPr>
      </w:pPr>
    </w:p>
    <w:p>
      <w:pPr>
        <w:ind w:right="100" w:firstLine="255"/>
        <w:spacing w:after="0" w:line="273" w:lineRule="auto"/>
        <w:rPr>
          <w:sz w:val="20"/>
          <w:szCs w:val="20"/>
          <w:color w:val="auto"/>
        </w:rPr>
      </w:pPr>
      <w:r>
        <w:rPr>
          <w:rFonts w:ascii="Arial" w:cs="Arial" w:eastAsia="Arial" w:hAnsi="Arial"/>
          <w:sz w:val="17"/>
          <w:szCs w:val="17"/>
          <w:color w:val="auto"/>
        </w:rPr>
        <w:t>As of March 31, 2021, we had $1,095.7 million of outstanding indebtedness, which had an annualized interest cost of 2.28% under the terms of our debt, excluding fees (such as fees on undrawn amounts and amortization of upfront fees) and giving effect to the swap-adjusted interest rates on our 2022 Convertible Notes, 2023 Notes, 2024 Notes and 2026 Notes. As of March 31, 2021,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 and the interest rate on the 2026 Notes was three-month LIBOR plus 1.91% .</w:t>
      </w:r>
    </w:p>
    <w:p>
      <w:pPr>
        <w:spacing w:after="0" w:line="178"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1.0%.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March 31, 2021</w:t>
      </w:r>
    </w:p>
    <w:p>
      <w:pPr>
        <w:spacing w:after="0" w:line="221"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wp:posOffset>
            </wp:positionV>
            <wp:extent cx="39604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CCEEFF"/>
            </w:tcBorders>
          </w:tcPr>
          <w:p>
            <w:pPr>
              <w:spacing w:after="0"/>
              <w:rPr>
                <w:sz w:val="14"/>
                <w:szCs w:val="14"/>
                <w:color w:val="auto"/>
              </w:rPr>
            </w:pPr>
          </w:p>
        </w:tc>
      </w:tr>
      <w:tr>
        <w:trPr>
          <w:trHeight w:val="209"/>
        </w:trPr>
        <w:tc>
          <w:tcPr>
            <w:tcW w:w="45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r>
    </w:tbl>
    <w:p>
      <w:pPr>
        <w:spacing w:after="0" w:line="202" w:lineRule="exact"/>
        <w:rPr>
          <w:sz w:val="20"/>
          <w:szCs w:val="20"/>
          <w:color w:val="auto"/>
        </w:rPr>
      </w:pPr>
    </w:p>
    <w:p>
      <w:pPr>
        <w:ind w:left="500" w:right="20" w:hanging="492"/>
        <w:spacing w:after="0" w:line="271"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March 31, 2021. As a result, it has not been updated to take into account any changes in assets or leverage since March 31, 2021.</w:t>
      </w:r>
    </w:p>
    <w:p>
      <w:pPr>
        <w:ind w:left="500" w:right="100" w:hanging="492"/>
        <w:spacing w:after="0" w:line="25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March 31, 2021 to obtain an assumed return to us. From this amount, the interest expense (calculated by multiplying the weighted average stated interest rate of 2.3% by the approximately $1,095.7 million of principal debt outstanding) is subtracted to determine the return available to stockholders. The return available to stockholders is then divided by the total value of our net assets at March 31, 2021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200"/>
        <w:spacing w:after="0" w:line="263" w:lineRule="auto"/>
        <w:rPr>
          <w:sz w:val="20"/>
          <w:szCs w:val="20"/>
          <w:color w:val="auto"/>
        </w:rPr>
      </w:pPr>
      <w:r>
        <w:rPr>
          <w:rFonts w:ascii="Arial" w:cs="Arial" w:eastAsia="Arial" w:hAnsi="Arial"/>
          <w:sz w:val="18"/>
          <w:szCs w:val="18"/>
          <w:color w:val="auto"/>
        </w:rPr>
        <w:t>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84"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60" w:hanging="509"/>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center"/>
        <w:ind w:right="320"/>
        <w:spacing w:after="0"/>
        <w:tabs>
          <w:tab w:leader="none" w:pos="3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01">
        <w:r>
          <w:rPr>
            <w:rFonts w:ascii="Arial" w:cs="Arial" w:eastAsia="Arial" w:hAnsi="Arial"/>
            <w:sz w:val="16"/>
            <w:szCs w:val="16"/>
            <w:u w:val="single" w:color="auto"/>
            <w:color w:val="0000EE"/>
          </w:rPr>
          <w:t>Tenth Amendment to Second Amended and Restated Senior Secured Revolving Credit Agreement, dated as of February 5, 2021, among Sixth</w:t>
        </w:r>
      </w:hyperlink>
    </w:p>
    <w:p>
      <w:pPr>
        <w:spacing w:after="0" w:line="23" w:lineRule="exact"/>
        <w:rPr>
          <w:sz w:val="20"/>
          <w:szCs w:val="20"/>
          <w:color w:val="auto"/>
        </w:rPr>
      </w:pPr>
    </w:p>
    <w:p>
      <w:pPr>
        <w:ind w:left="640"/>
        <w:spacing w:after="0" w:line="323" w:lineRule="auto"/>
        <w:rPr>
          <w:rFonts w:ascii="Arial" w:cs="Arial" w:eastAsia="Arial" w:hAnsi="Arial"/>
          <w:sz w:val="16"/>
          <w:szCs w:val="16"/>
          <w:u w:val="single" w:color="auto"/>
          <w:color w:val="0000EE"/>
        </w:rPr>
      </w:pPr>
      <w:hyperlink r:id="rId101">
        <w:r>
          <w:rPr>
            <w:rFonts w:ascii="Arial" w:cs="Arial" w:eastAsia="Arial" w:hAnsi="Arial"/>
            <w:sz w:val="16"/>
            <w:szCs w:val="16"/>
            <w:u w:val="single" w:color="auto"/>
            <w:color w:val="0000EE"/>
          </w:rPr>
          <w:t>Street Specialty Lending, Inc., as Borrower, the Lenders party thereto and Truist Bank (as successor by merger to SunTrust Bank), as</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Administrative Agent (incorporated by reference to the Exhibit 10.18 to the Company’s Annual Report on Form 10-K filed on February 17, 2021).</w:t>
        </w:r>
      </w:hyperlink>
    </w:p>
    <w:p>
      <w:pPr>
        <w:spacing w:after="0" w:line="138"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9">
        <w:r>
          <w:rPr>
            <w:rFonts w:ascii="Arial" w:cs="Arial" w:eastAsia="Arial" w:hAnsi="Arial"/>
            <w:sz w:val="16"/>
            <w:szCs w:val="16"/>
            <w:u w:val="single" w:color="auto"/>
            <w:color w:val="0000EE"/>
          </w:rPr>
          <w:t>Certification of Chief Executive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0">
        <w:r>
          <w:rPr>
            <w:rFonts w:ascii="Arial" w:cs="Arial" w:eastAsia="Arial" w:hAnsi="Arial"/>
            <w:sz w:val="16"/>
            <w:szCs w:val="16"/>
            <w:u w:val="single" w:color="auto"/>
            <w:color w:val="0000EE"/>
          </w:rPr>
          <w:t>Certification of Chief Financial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2002</w:t>
        </w:r>
      </w:hyperlink>
    </w:p>
    <w:p>
      <w:pPr>
        <w:spacing w:after="0" w:line="211"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7" w:lineRule="exact"/>
        <w:rPr>
          <w:rFonts w:ascii="Arial" w:cs="Arial" w:eastAsia="Arial" w:hAnsi="Arial"/>
          <w:sz w:val="17"/>
          <w:szCs w:val="17"/>
          <w:u w:val="single" w:color="auto"/>
          <w:color w:val="0000EE"/>
        </w:rPr>
      </w:pPr>
    </w:p>
    <w:p>
      <w:pPr>
        <w:ind w:left="5540"/>
        <w:spacing w:after="0"/>
        <w:rPr>
          <w:rFonts w:ascii="Arial" w:cs="Arial" w:eastAsia="Arial" w:hAnsi="Arial"/>
          <w:sz w:val="17"/>
          <w:szCs w:val="17"/>
          <w:u w:val="single" w:color="auto"/>
          <w:color w:val="0000EE"/>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3340"/>
              <w:spacing w:after="0"/>
              <w:rPr>
                <w:sz w:val="20"/>
                <w:szCs w:val="20"/>
                <w:color w:val="auto"/>
              </w:rPr>
            </w:pPr>
            <w:r>
              <w:rPr>
                <w:rFonts w:ascii="Arial" w:cs="Arial" w:eastAsia="Arial" w:hAnsi="Arial"/>
                <w:sz w:val="18"/>
                <w:szCs w:val="18"/>
                <w:color w:val="auto"/>
              </w:rPr>
              <w:t>SIXTH STREET SPECIALTY LENDING, INC.</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May 4, 2021</w:t>
            </w:r>
          </w:p>
        </w:tc>
        <w:tc>
          <w:tcPr>
            <w:tcW w:w="7800" w:type="dxa"/>
            <w:vAlign w:val="bottom"/>
            <w:gridSpan w:val="2"/>
          </w:tcPr>
          <w:p>
            <w:pPr>
              <w:ind w:left="3340"/>
              <w:spacing w:after="0"/>
              <w:rPr>
                <w:sz w:val="20"/>
                <w:szCs w:val="20"/>
                <w:color w:val="auto"/>
              </w:rPr>
            </w:pPr>
            <w:r>
              <w:rPr>
                <w:rFonts w:ascii="Arial" w:cs="Arial" w:eastAsia="Arial" w:hAnsi="Arial"/>
                <w:sz w:val="18"/>
                <w:szCs w:val="18"/>
                <w:color w:val="auto"/>
              </w:rPr>
              <w:t>By: /s/ Joshua Easterly</w:t>
            </w:r>
          </w:p>
        </w:tc>
      </w:tr>
      <w:tr>
        <w:trPr>
          <w:trHeight w:val="195"/>
        </w:trPr>
        <w:tc>
          <w:tcPr>
            <w:tcW w:w="34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May 4, 2021</w:t>
            </w:r>
          </w:p>
        </w:tc>
        <w:tc>
          <w:tcPr>
            <w:tcW w:w="7800" w:type="dxa"/>
            <w:vAlign w:val="bottom"/>
            <w:gridSpan w:val="2"/>
          </w:tcPr>
          <w:p>
            <w:pPr>
              <w:ind w:left="3340"/>
              <w:spacing w:after="0"/>
              <w:rPr>
                <w:sz w:val="20"/>
                <w:szCs w:val="20"/>
                <w:color w:val="auto"/>
              </w:rPr>
            </w:pPr>
            <w:r>
              <w:rPr>
                <w:rFonts w:ascii="Arial" w:cs="Arial" w:eastAsia="Arial" w:hAnsi="Arial"/>
                <w:sz w:val="18"/>
                <w:szCs w:val="18"/>
                <w:color w:val="auto"/>
              </w:rPr>
              <w:t>By: /s/ Ian Simmonds</w:t>
            </w:r>
          </w:p>
        </w:tc>
      </w:tr>
      <w:tr>
        <w:trPr>
          <w:trHeight w:val="195"/>
        </w:trPr>
        <w:tc>
          <w:tcPr>
            <w:tcW w:w="34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440" w:type="dxa"/>
            <w:vAlign w:val="bottom"/>
          </w:tcPr>
          <w:p>
            <w:pPr>
              <w:spacing w:after="0"/>
              <w:rPr>
                <w:sz w:val="24"/>
                <w:szCs w:val="24"/>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78</w:t>
            </w:r>
          </w:p>
        </w:tc>
        <w:tc>
          <w:tcPr>
            <w:tcW w:w="41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connection with the quarterly report on Form 10-Q of Sixth Street Specialty Lending, Inc. (the “Company”) for the quarterly period ended March 31, 2021,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62"/>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0"/>
              <w:spacing w:after="0"/>
              <w:rPr>
                <w:sz w:val="20"/>
                <w:szCs w:val="20"/>
                <w:color w:val="auto"/>
              </w:rPr>
            </w:pPr>
            <w:r>
              <w:rPr>
                <w:rFonts w:ascii="Arial" w:cs="Arial" w:eastAsia="Arial" w:hAnsi="Arial"/>
                <w:sz w:val="18"/>
                <w:szCs w:val="18"/>
                <w:color w:val="auto"/>
              </w:rPr>
              <w:t>May 4, 2021</w:t>
            </w:r>
          </w:p>
        </w:tc>
      </w:tr>
    </w:tbl>
    <w:p>
      <w:pPr>
        <w:spacing w:after="0" w:line="20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lvl w:ilvl="1">
      <w:lvlJc w:val="left"/>
      <w:lvlText w:val="(%2)"/>
      <w:numFmt w:val="lowerLetter"/>
      <w:start w:val="1"/>
    </w:lvl>
  </w:abstractNum>
  <w:abstractNum w:abstractNumId="4">
    <w:nsid w:val="4516DDE9"/>
    <w:multiLevelType w:val="hybridMultilevel"/>
    <w:lvl w:ilvl="0">
      <w:lvlJc w:val="left"/>
      <w:lvlText w:val="(%1)"/>
      <w:numFmt w:val="decimal"/>
      <w:start w:val="1"/>
    </w:lvl>
    <w:lvl w:ilvl="1">
      <w:lvlJc w:val="left"/>
      <w:lvlText w:val="%2"/>
      <w:numFmt w:val="lowerLetter"/>
      <w:start w:val="1"/>
    </w:lvl>
  </w:abstractNum>
  <w:abstractNum w:abstractNumId="5">
    <w:nsid w:val="3006C83E"/>
    <w:multiLevelType w:val="hybridMultilevel"/>
    <w:lvl w:ilvl="0">
      <w:lvlJc w:val="left"/>
      <w:lvlText w:val="%1"/>
      <w:numFmt w:val="decimal"/>
      <w:start w:val="1"/>
    </w:lvl>
    <w:lvl w:ilvl="1">
      <w:lvlJc w:val="left"/>
      <w:lvlText w:val="(%2)"/>
      <w:numFmt w:val="lowerLetter"/>
      <w:start w:val="1"/>
    </w:lvl>
  </w:abstractNum>
  <w:abstractNum w:abstractNumId="6">
    <w:nsid w:val="614FD4A1"/>
    <w:multiLevelType w:val="hybridMultilevel"/>
    <w:lvl w:ilvl="0">
      <w:lvlJc w:val="left"/>
      <w:lvlText w:val="(%1)"/>
      <w:numFmt w:val="decimal"/>
      <w:start w:val="7"/>
    </w:lvl>
    <w:lvl w:ilvl="1">
      <w:lvlJc w:val="left"/>
      <w:lvlText w:val="%2"/>
      <w:numFmt w:val="lowerLetter"/>
      <w:start w:val="1"/>
    </w:lvl>
  </w:abstractNum>
  <w:abstractNum w:abstractNumId="7">
    <w:nsid w:val="419AC241"/>
    <w:multiLevelType w:val="hybridMultilevel"/>
    <w:lvl w:ilvl="0">
      <w:lvlJc w:val="left"/>
      <w:lvlText w:val="%1"/>
      <w:numFmt w:val="decimal"/>
      <w:start w:val="1"/>
    </w:lvl>
    <w:lvl w:ilvl="1">
      <w:lvlJc w:val="left"/>
      <w:lvlText w:val="(%2)"/>
      <w:numFmt w:val="lowerLetter"/>
      <w:start w:val="1"/>
    </w:lvl>
  </w:abstractNum>
  <w:abstractNum w:abstractNumId="8">
    <w:nsid w:val="5577F8E1"/>
    <w:multiLevelType w:val="hybridMultilevel"/>
    <w:lvl w:ilvl="0">
      <w:lvlJc w:val="left"/>
      <w:lvlText w:val="(%1)"/>
      <w:numFmt w:val="decimal"/>
      <w:start w:val="8"/>
    </w:lvl>
    <w:lvl w:ilvl="1">
      <w:lvlJc w:val="left"/>
      <w:lvlText w:val="%2"/>
      <w:numFmt w:val="lowerLetter"/>
      <w:start w:val="1"/>
    </w:lvl>
  </w:abstractNum>
  <w:abstractNum w:abstractNumId="9">
    <w:nsid w:val="440BADFC"/>
    <w:multiLevelType w:val="hybridMultilevel"/>
    <w:lvl w:ilvl="0">
      <w:lvlJc w:val="left"/>
      <w:lvlText w:val="%1"/>
      <w:numFmt w:val="decimal"/>
      <w:start w:val="1"/>
    </w:lvl>
    <w:lvl w:ilvl="1">
      <w:lvlJc w:val="left"/>
      <w:lvlText w:val="(%2)"/>
      <w:numFmt w:val="lowerLetter"/>
      <w:start w:val="1"/>
    </w:lvl>
  </w:abstractNum>
  <w:abstractNum w:abstractNumId="10">
    <w:nsid w:val="5072367"/>
    <w:multiLevelType w:val="hybridMultilevel"/>
    <w:lvl w:ilvl="0">
      <w:lvlJc w:val="left"/>
      <w:lvlText w:val="(%1)"/>
      <w:numFmt w:val="decimal"/>
      <w:start w:val="1"/>
    </w:lvl>
    <w:lvl w:ilvl="1">
      <w:lvlJc w:val="left"/>
      <w:lvlText w:val="%2"/>
      <w:numFmt w:val="lowerLetter"/>
      <w:start w:val="1"/>
    </w:lvl>
  </w:abstractNum>
  <w:abstractNum w:abstractNumId="11">
    <w:nsid w:val="3804823E"/>
    <w:multiLevelType w:val="hybridMultilevel"/>
    <w:lvl w:ilvl="0">
      <w:lvlJc w:val="left"/>
      <w:lvlText w:val="%1"/>
      <w:numFmt w:val="decimal"/>
      <w:start w:val="1"/>
    </w:lvl>
    <w:lvl w:ilvl="1">
      <w:lvlJc w:val="left"/>
      <w:lvlText w:val="(%2)"/>
      <w:numFmt w:val="lowerLetter"/>
      <w:start w:val="1"/>
    </w:lvl>
  </w:abstractNum>
  <w:abstractNum w:abstractNumId="12">
    <w:nsid w:val="77465F01"/>
    <w:multiLevelType w:val="hybridMultilevel"/>
    <w:lvl w:ilvl="0">
      <w:lvlJc w:val="left"/>
      <w:lvlText w:val="(%1)"/>
      <w:numFmt w:val="decimal"/>
      <w:start w:val="7"/>
    </w:lvl>
    <w:lvl w:ilvl="1">
      <w:lvlJc w:val="left"/>
      <w:lvlText w:val="%2"/>
      <w:numFmt w:val="lowerLetter"/>
      <w:start w:val="1"/>
    </w:lvl>
  </w:abstractNum>
  <w:abstractNum w:abstractNumId="13">
    <w:nsid w:val="7724C67E"/>
    <w:multiLevelType w:val="hybridMultilevel"/>
    <w:lvl w:ilvl="0">
      <w:lvlJc w:val="left"/>
      <w:lvlText w:val="%1"/>
      <w:numFmt w:val="decimal"/>
      <w:start w:val="1"/>
    </w:lvl>
    <w:lvl w:ilvl="1">
      <w:lvlJc w:val="left"/>
      <w:lvlText w:val="(%2)"/>
      <w:numFmt w:val="lowerLetter"/>
      <w:start w:val="1"/>
    </w:lvl>
  </w:abstractNum>
  <w:abstractNum w:abstractNumId="14">
    <w:nsid w:val="5C482A97"/>
    <w:multiLevelType w:val="hybridMultilevel"/>
    <w:lvl w:ilvl="0">
      <w:lvlJc w:val="left"/>
      <w:lvlText w:val="(%1)"/>
      <w:numFmt w:val="decimal"/>
      <w:start w:val="8"/>
    </w:lvl>
    <w:lvl w:ilvl="1">
      <w:lvlJc w:val="left"/>
      <w:lvlText w:val="%2"/>
      <w:numFmt w:val="lowerLetter"/>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lowerRoman"/>
      <w:start w:val="1"/>
    </w:lvl>
  </w:abstractNum>
  <w:abstractNum w:abstractNumId="20">
    <w:nsid w:val="153EA438"/>
    <w:multiLevelType w:val="hybridMultilevel"/>
    <w:lvl w:ilvl="0">
      <w:lvlJc w:val="left"/>
      <w:lvlText w:val="(%1)"/>
      <w:numFmt w:val="lowerRoman"/>
      <w:start w:val="2"/>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2"/>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2"/>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32"/>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1" Type="http://schemas.openxmlformats.org/officeDocument/2006/relationships/hyperlink" Target="http://www.sec.gov/Archives/edgar/data/1508655/000156459021006366/tslx-ex1018_2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2021-05-04T15:21:37Z</dcterms:created>
  <dcterms:modified xsi:type="dcterms:W3CDTF">2021-05-04T15:21:37Z</dcterms:modified>
</cp:coreProperties>
</file>