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GOLUB CAPITAL BDC INC (GBDC)</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38173M102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692"/>
              <w:spacing w:after="0"/>
              <w:rPr>
                <w:sz w:val="20"/>
                <w:szCs w:val="20"/>
                <w:color w:val="auto"/>
              </w:rPr>
            </w:pPr>
            <w:r>
              <w:rPr>
                <w:rFonts w:ascii="Arial" w:cs="Arial" w:eastAsia="Arial" w:hAnsi="Arial"/>
                <w:sz w:val="22"/>
                <w:szCs w:val="22"/>
                <w:color w:val="auto"/>
                <w:w w:val="86"/>
              </w:rPr>
              <w:t>23,253,45 8.000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272"/>
              <w:spacing w:after="0"/>
              <w:rPr>
                <w:sz w:val="20"/>
                <w:szCs w:val="20"/>
                <w:color w:val="auto"/>
              </w:rPr>
            </w:pPr>
            <w:r>
              <w:rPr>
                <w:rFonts w:ascii="Arial" w:cs="Arial" w:eastAsia="Arial" w:hAnsi="Arial"/>
                <w:sz w:val="22"/>
                <w:szCs w:val="22"/>
                <w:color w:val="auto"/>
                <w:w w:val="88"/>
              </w:rPr>
              <w:t>23,253,45 8.000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812"/>
              <w:spacing w:after="0"/>
              <w:rPr>
                <w:sz w:val="20"/>
                <w:szCs w:val="20"/>
                <w:color w:val="auto"/>
              </w:rPr>
            </w:pPr>
            <w:r>
              <w:rPr>
                <w:rFonts w:ascii="Arial" w:cs="Arial" w:eastAsia="Arial" w:hAnsi="Arial"/>
                <w:sz w:val="22"/>
                <w:szCs w:val="22"/>
                <w:color w:val="auto"/>
                <w:w w:val="93"/>
              </w:rPr>
              <w:t>23,253,45 8.000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5080" w:type="dxa"/>
            <w:vAlign w:val="bottom"/>
          </w:tcPr>
          <w:p>
            <w:pPr>
              <w:spacing w:after="0"/>
              <w:rPr>
                <w:sz w:val="20"/>
                <w:szCs w:val="20"/>
                <w:color w:val="auto"/>
              </w:rPr>
            </w:pPr>
            <w:r>
              <w:rPr>
                <w:rFonts w:ascii="Arial" w:cs="Arial" w:eastAsia="Arial" w:hAnsi="Arial"/>
                <w:sz w:val="22"/>
                <w:szCs w:val="22"/>
                <w:color w:val="auto"/>
                <w:w w:val="92"/>
              </w:rPr>
              <w:t>11) Percent of Class Represented by Amount in Row (9)</w:t>
            </w:r>
          </w:p>
        </w:tc>
        <w:tc>
          <w:tcPr>
            <w:tcW w:w="1020" w:type="dxa"/>
            <w:vAlign w:val="bottom"/>
          </w:tcPr>
          <w:p>
            <w:pPr>
              <w:jc w:val="right"/>
              <w:spacing w:after="0"/>
              <w:rPr>
                <w:sz w:val="20"/>
                <w:szCs w:val="20"/>
                <w:color w:val="auto"/>
              </w:rPr>
            </w:pPr>
            <w:r>
              <w:rPr>
                <w:rFonts w:ascii="Arial" w:cs="Arial" w:eastAsia="Arial" w:hAnsi="Arial"/>
                <w:sz w:val="22"/>
                <w:szCs w:val="22"/>
                <w:color w:val="auto"/>
              </w:rPr>
              <w:t>1 3.903%</w:t>
            </w:r>
          </w:p>
        </w:tc>
      </w:tr>
    </w:tbl>
    <w:p>
      <w:pPr>
        <w:sectPr>
          <w:pgSz w:w="11900" w:h="16887"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firstLine="378"/>
        <w:spacing w:after="0" w:line="213" w:lineRule="auto"/>
        <w:rPr>
          <w:sz w:val="20"/>
          <w:szCs w:val="20"/>
          <w:color w:val="auto"/>
        </w:rPr>
      </w:pPr>
      <w:r>
        <w:rPr>
          <w:rFonts w:ascii="Arial" w:cs="Arial" w:eastAsia="Arial" w:hAnsi="Arial"/>
          <w:sz w:val="22"/>
          <w:szCs w:val="22"/>
          <w:color w:val="auto"/>
        </w:rPr>
        <w:t>(1) Includes 0.000 shares of common stock reserved for issuance upon exercise of stock options which are exercisable as of 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GOLUB CAPITAL BDC INC</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666 Fifth Avenue</w:t>
      </w:r>
    </w:p>
    <w:p>
      <w:pPr>
        <w:ind w:left="1080"/>
        <w:spacing w:after="0" w:line="181" w:lineRule="auto"/>
        <w:rPr>
          <w:sz w:val="20"/>
          <w:szCs w:val="20"/>
          <w:color w:val="auto"/>
        </w:rPr>
      </w:pPr>
      <w:r>
        <w:rPr>
          <w:rFonts w:ascii="Arial" w:cs="Arial" w:eastAsia="Arial" w:hAnsi="Arial"/>
          <w:sz w:val="22"/>
          <w:szCs w:val="22"/>
          <w:color w:val="auto"/>
        </w:rPr>
        <w:t>New York , NY 10103</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38173M102.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3920" w:firstLine="540"/>
        <w:spacing w:after="0" w:line="339" w:lineRule="auto"/>
        <w:rPr>
          <w:sz w:val="20"/>
          <w:szCs w:val="20"/>
          <w:color w:val="auto"/>
        </w:rPr>
      </w:pPr>
      <w:r>
        <w:rPr>
          <w:rFonts w:ascii="Arial" w:cs="Arial" w:eastAsia="Arial" w:hAnsi="Arial"/>
          <w:sz w:val="22"/>
          <w:szCs w:val="22"/>
          <w:color w:val="auto"/>
        </w:rPr>
        <w:t>STRS owns 23,253,45 8.000 shares of GOLUB CAPITAL BDC INC (b) Percent of Class:</w:t>
      </w:r>
    </w:p>
    <w:p>
      <w:pPr>
        <w:spacing w:after="0" w:line="1" w:lineRule="exact"/>
        <w:rPr>
          <w:sz w:val="20"/>
          <w:szCs w:val="20"/>
          <w:color w:val="auto"/>
        </w:rPr>
      </w:pPr>
    </w:p>
    <w:p>
      <w:pPr>
        <w:jc w:val="both"/>
        <w:ind w:left="1080" w:right="900"/>
        <w:spacing w:after="0" w:line="234" w:lineRule="auto"/>
        <w:rPr>
          <w:sz w:val="20"/>
          <w:szCs w:val="20"/>
          <w:color w:val="auto"/>
        </w:rPr>
      </w:pPr>
      <w:r>
        <w:rPr>
          <w:rFonts w:ascii="Arial" w:cs="Arial" w:eastAsia="Arial" w:hAnsi="Arial"/>
          <w:sz w:val="22"/>
          <w:szCs w:val="22"/>
          <w:color w:val="auto"/>
        </w:rPr>
        <w:t>STRS believes that there are presently 167,259,51 1.000 outstanding shares of GOLUB CAPITAL BDC INC; therefore, STRS' ownership of 23,253,45 8.000 shares of GOLUB CAPITAL BDC INC stock is 1 3.903%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23,253,45 8.000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23,253,45 8.000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(iv) Shared power to dispose or to direct the disposition of 23,253,45 8.000 shares of GOLUB CAPITAL</w:t>
      </w:r>
    </w:p>
    <w:p>
      <w:pPr>
        <w:ind w:left="1080"/>
        <w:spacing w:after="0" w:line="197" w:lineRule="auto"/>
        <w:rPr>
          <w:sz w:val="20"/>
          <w:szCs w:val="20"/>
          <w:color w:val="auto"/>
        </w:rPr>
      </w:pPr>
      <w:r>
        <w:rPr>
          <w:rFonts w:ascii="Arial" w:cs="Arial" w:eastAsia="Arial" w:hAnsi="Arial"/>
          <w:sz w:val="22"/>
          <w:szCs w:val="22"/>
          <w:color w:val="auto"/>
        </w:rPr>
        <w:t>BDC INC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56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1/14/2021</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2021-01-14T08:14:46Z</dcterms:created>
  <dcterms:modified xsi:type="dcterms:W3CDTF">2021-01-14T08:14:46Z</dcterms:modified>
</cp:coreProperties>
</file>