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241935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4180" w:type="dxa"/>
            <w:vAlign w:val="bottom"/>
          </w:tcPr>
          <w:p>
            <w:pPr>
              <w:jc w:val="center"/>
              <w:ind w:right="23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8"/>
        </w:trPr>
        <w:tc>
          <w:tcPr>
            <w:tcW w:w="4180" w:type="dxa"/>
            <w:vAlign w:val="bottom"/>
          </w:tcPr>
          <w:p>
            <w:pPr>
              <w:jc w:val="center"/>
              <w:ind w:right="23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80" w:type="dxa"/>
            <w:vAlign w:val="bottom"/>
          </w:tcPr>
          <w:p>
            <w:pPr>
              <w:jc w:val="center"/>
              <w:ind w:right="23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8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7"/>
        </w:trPr>
        <w:tc>
          <w:tcPr>
            <w:tcW w:w="418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280" w:type="dxa"/>
            <w:vAlign w:val="bottom"/>
          </w:tcPr>
          <w:p>
            <w:pPr>
              <w:spacing w:after="0"/>
              <w:rPr>
                <w:sz w:val="19"/>
                <w:szCs w:val="19"/>
                <w:color w:val="auto"/>
              </w:rPr>
            </w:pPr>
          </w:p>
        </w:tc>
        <w:tc>
          <w:tcPr>
            <w:tcW w:w="2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18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234315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40" w:type="dxa"/>
            <w:vAlign w:val="bottom"/>
            <w:gridSpan w:val="2"/>
            <w:vMerge w:val="continue"/>
          </w:tcPr>
          <w:p>
            <w:pPr>
              <w:spacing w:after="0"/>
              <w:rPr>
                <w:sz w:val="16"/>
                <w:szCs w:val="16"/>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TSLX</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1.01—Entry into a Material Definitive Agreement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16, 2024, Sixth Street Specialty Lending, Inc. (the “Company”) and U.S. Bank Trust Company, National Association (the “Trustee”), entered into a First Supplemental Indenture (the “First Supplemental Indenture”) to the Indenture, dated as of January 16, 2024, between the Company and the Trustee (the “Base Indenture”; and together with the First Supplemental Indenture, the “Indenture”), relating to the Company’s issuance, offer and sale of $350,000,000 aggregate principal amount of its 6.125% notes due 2029 (the “Notes”).</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Notes will mature on March 1, 2029, and may be redeemed in whole or in part at the Company’s option at any time at the redemption prices set forth in the First Supplemental Indenture. The Notes bear interest at a rate of 6.125% per year payable semiannually on March 1 and September 1 of each year, commencing on September 1, 2024. The Notes are direct unsecured obligations of the Company.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expects to use the net proceeds of this offering to pay down debt under its revolving credit facility.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 and to provide financial information to the holders of the Notes and the Trustee if the Company should no longer be subject to the reporting requirements under the Securities Exchange Act of 1934. These covenants are subject to important limitations and exceptions that are described in the Indenture.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upon the occurrence of a change of control repurchase event (which involves the occurrence of both a change of control and a below investment grade rating of the Notes by Fitch Ratings, Inc., Moody’s Investor Service and S&amp;P Global Ratings), the Company will be required to make an offer to purchase the Notes at a price equal to 100% of the principal amount plus accrued and unpaid interest to the date of purchase.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Notes were offered and sold pursuant to the Registration Statement on Form N-2 (File No. 333-276252), the preliminary prospectus supplement filed with the Securities and Exchange Commission on January 8, 2024 and the pricing term sheet filed with the Securities and Exchange Commission on January 8, 2024. The transaction closed on January 16, 2024.</w:t>
      </w:r>
    </w:p>
    <w:p>
      <w:pPr>
        <w:spacing w:after="0" w:line="17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Base Indenture, First Supplemental Indenture and the Notes do not purport to be complete and are qualified in their entirety by reference to the full text of the Base Indenture, First Supplemental Indenture and the Notes, respectively, each filed as exhibits hereto and incorporated by reference herein.</w:t>
      </w:r>
    </w:p>
    <w:p>
      <w:pPr>
        <w:spacing w:after="0" w:line="280" w:lineRule="exact"/>
        <w:rPr>
          <w:sz w:val="20"/>
          <w:szCs w:val="20"/>
          <w:color w:val="auto"/>
        </w:rPr>
      </w:pPr>
    </w:p>
    <w:p>
      <w:pPr>
        <w:ind w:right="13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2.03—Creation of a Direct Financial Obligation or an Obligation Under an Off-Balance Sheet Arrangement of a Registrant </w:t>
      </w:r>
      <w:r>
        <w:rPr>
          <w:rFonts w:ascii="Times New Roman" w:cs="Times New Roman" w:eastAsia="Times New Roman" w:hAnsi="Times New Roman"/>
          <w:sz w:val="18"/>
          <w:szCs w:val="18"/>
          <w:color w:val="auto"/>
        </w:rPr>
        <w:t>The information set forth under Item 1.01 of this Form 8-K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8.01—Financial Statements and Exhibits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8, 2024, the Company entered into an underwriting agreement (the “Underwriting Agreement”) by and among the Company, Sixth Street Specialty Lending Advisers, LLC, (the “Adviser”) and BofA Securities, Inc., as representative of the several underwriters named in Schedule 1 thereto (the “Underwriters”), in connection with the issuance and sale of $350,000,000 aggregate principal amount of the Company’s 6.125% Notes due 2029 (the “Offering”).</w:t>
      </w:r>
    </w:p>
    <w:p>
      <w:pPr>
        <w:sectPr>
          <w:pgSz w:w="11900" w:h="16838" w:orient="portrait"/>
          <w:cols w:equalWidth="0" w:num="1">
            <w:col w:w="11200"/>
          </w:cols>
          <w:pgMar w:left="320" w:top="293" w:right="379" w:bottom="1440" w:gutter="0" w:footer="0" w:header="0"/>
        </w:sectPr>
      </w:pPr>
    </w:p>
    <w:bookmarkStart w:id="2" w:name="page3"/>
    <w:bookmarkEnd w:id="2"/>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Offering was made pursuant to the Company’s effective shelf registration statement on Form N-2 (Registration No. 333-276252) previously filed with the Securities and Exchange Commission, as supplemented by a preliminary prospectus supplement dated January 8, 2024, and a final prospectus supplement dated January 8, 2024.</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full text of the Underwriting Agreement filed with this report as Exhibit 1.1 and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2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23"/>
                <w:szCs w:val="23"/>
                <w:color w:val="auto"/>
              </w:rPr>
            </w:pPr>
          </w:p>
        </w:tc>
        <w:tc>
          <w:tcPr>
            <w:tcW w:w="10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Underwriting Agreement dated January 8, 2024 by and among Sixth Street Specialty Lending, Inc., Sixth Street Specialty Lending Advisers,</w:t>
            </w:r>
          </w:p>
        </w:tc>
        <w:tc>
          <w:tcPr>
            <w:tcW w:w="1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LLC and BofA Securities, Inc. as representative of the several underwriters named therein.</w:t>
            </w:r>
          </w:p>
        </w:tc>
        <w:tc>
          <w:tcPr>
            <w:tcW w:w="37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24"/>
                <w:szCs w:val="24"/>
                <w:color w:val="auto"/>
              </w:rPr>
            </w:pPr>
          </w:p>
        </w:tc>
        <w:tc>
          <w:tcPr>
            <w:tcW w:w="102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Indenture, dated as of January 16, 2024, between Sixth Street Specialty Lending, Inc. and U.S. Bank Trust Company, National Association, as</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Trustee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24"/>
                <w:szCs w:val="24"/>
                <w:color w:val="auto"/>
              </w:rPr>
            </w:pPr>
          </w:p>
        </w:tc>
        <w:tc>
          <w:tcPr>
            <w:tcW w:w="98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First Supplemental Indenture, dated as of January 16, 2024, between Sixth Street Specialty Lending, Inc. and U.S. Bank Trust Company,</w:t>
            </w:r>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National Association, as Trustee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24"/>
                <w:szCs w:val="24"/>
                <w:color w:val="auto"/>
              </w:rPr>
            </w:pPr>
          </w:p>
        </w:tc>
        <w:tc>
          <w:tcPr>
            <w:tcW w:w="102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Form of 6.125% Note Due 2029 (included as part of Exhibit 4.2)</w:t>
            </w:r>
          </w:p>
        </w:tc>
        <w:tc>
          <w:tcPr>
            <w:tcW w:w="0" w:type="dxa"/>
            <w:vAlign w:val="bottom"/>
          </w:tcPr>
          <w:p>
            <w:pPr>
              <w:spacing w:after="0"/>
              <w:rPr>
                <w:sz w:val="1"/>
                <w:szCs w:val="1"/>
                <w:color w:val="auto"/>
              </w:rPr>
            </w:pPr>
          </w:p>
        </w:tc>
      </w:tr>
      <w:tr>
        <w:trPr>
          <w:trHeight w:val="304"/>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Pr>
          <w:p>
            <w:pPr>
              <w:spacing w:after="0"/>
              <w:rPr>
                <w:sz w:val="24"/>
                <w:szCs w:val="24"/>
                <w:color w:val="auto"/>
              </w:rPr>
            </w:pPr>
          </w:p>
        </w:tc>
        <w:tc>
          <w:tcPr>
            <w:tcW w:w="46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Opinion of Simpson Thacher &amp; Bartlett LLP</w:t>
            </w:r>
          </w:p>
        </w:tc>
        <w:tc>
          <w:tcPr>
            <w:tcW w:w="56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23.1</w:t>
            </w:r>
          </w:p>
        </w:tc>
        <w:tc>
          <w:tcPr>
            <w:tcW w:w="440" w:type="dxa"/>
            <w:vAlign w:val="bottom"/>
          </w:tcPr>
          <w:p>
            <w:pPr>
              <w:spacing w:after="0"/>
              <w:rPr>
                <w:sz w:val="24"/>
                <w:szCs w:val="24"/>
                <w:color w:val="auto"/>
              </w:rPr>
            </w:pPr>
          </w:p>
        </w:tc>
        <w:tc>
          <w:tcPr>
            <w:tcW w:w="102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Simpson Thacher &amp; Bartlett LLP (included as part of Exhibit 5.1)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60" w:type="dxa"/>
            <w:vAlign w:val="bottom"/>
            <w:gridSpan w:val="5"/>
            <w:shd w:val="clear" w:color="auto" w:fill="0000EE"/>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10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29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75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SIXTH STREET SPECIALTY LENDING, INC.</w:t>
            </w:r>
          </w:p>
        </w:tc>
      </w:tr>
      <w:tr>
        <w:trPr>
          <w:trHeight w:val="234"/>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16, 2024</w:t>
            </w:r>
          </w:p>
        </w:tc>
        <w:tc>
          <w:tcPr>
            <w:tcW w:w="75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6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29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$350,000,000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6.125% Notes due 2029</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Sixth Street Specialty Lending, Inc., a Delaware corporation (the “Company”), proposes, subject to the terms and conditions stated herein, to issue and sell to the several Underwriters listed in Schedule 1 hereto (the “Underwriters”), for whom BofA Securities, Inc. is acting as representative (in such capacity, the “Representative”), $350,000,000 aggregate principal amount of 6.125% Notes due 2029 of the Company (the “Securities”).</w:t>
      </w:r>
    </w:p>
    <w:p>
      <w:pPr>
        <w:spacing w:after="0" w:line="176" w:lineRule="exact"/>
        <w:rPr>
          <w:sz w:val="20"/>
          <w:szCs w:val="20"/>
          <w:color w:val="auto"/>
        </w:rPr>
      </w:pPr>
    </w:p>
    <w:p>
      <w:pPr>
        <w:ind w:right="20" w:firstLine="449"/>
        <w:spacing w:after="0" w:line="281" w:lineRule="auto"/>
        <w:rPr>
          <w:sz w:val="20"/>
          <w:szCs w:val="20"/>
          <w:color w:val="auto"/>
        </w:rPr>
      </w:pPr>
      <w:r>
        <w:rPr>
          <w:rFonts w:ascii="Times New Roman" w:cs="Times New Roman" w:eastAsia="Times New Roman" w:hAnsi="Times New Roman"/>
          <w:sz w:val="17"/>
          <w:szCs w:val="17"/>
          <w:color w:val="auto"/>
        </w:rPr>
        <w:t>The Securities will be issued under an indenture, dated as of January 16, 2024 (the “Base Indenture”), as supplemented by the First Supplemental Indenture, dated as of January 16, 2024 (the “First Supplemental Indenture” and, together with the Base Indenture, the “Indenture”), between the Company and U.S. Bank Trust Company, National Association, as trustee (the “Trustee”). The Securities will be issued in book-entry form to Cede &amp; Co. as nominee of the Depository Trust Company (“DTC”) pursuant to a blanket letter of representations, dated as of March 24, 2014, between the Company and DTC.</w:t>
      </w:r>
    </w:p>
    <w:p>
      <w:pPr>
        <w:spacing w:after="0" w:line="164"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Securities as soon as the Representative deems advisable after this Agreement has been executed and delivered.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Securities, as follows:</w:t>
      </w:r>
    </w:p>
    <w:p>
      <w:pPr>
        <w:spacing w:after="0" w:line="117" w:lineRule="exact"/>
        <w:rPr>
          <w:sz w:val="20"/>
          <w:szCs w:val="20"/>
          <w:color w:val="auto"/>
        </w:rPr>
      </w:pPr>
    </w:p>
    <w:p>
      <w:pPr>
        <w:ind w:right="580" w:firstLine="457"/>
        <w:spacing w:after="0" w:line="282" w:lineRule="auto"/>
        <w:tabs>
          <w:tab w:leader="none" w:pos="6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w:t>
      </w:r>
    </w:p>
    <w:p>
      <w:pPr>
        <w:sectPr>
          <w:pgSz w:w="11900" w:h="16838" w:orient="portrait"/>
          <w:cols w:equalWidth="0" w:num="1">
            <w:col w:w="11240"/>
          </w:cols>
          <w:pgMar w:left="320" w:top="117" w:right="33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automatic shelf registration statement on Form N-2 (File No. 276252), relating to the Securities and certain of the Company’s other securities, which registration statement became effective upon filing with the Commission on December 22, 2023. The Company has also prepared and filed with the Commission a preliminary prospectus supplement, dated January 8, 2024, as such prospectus may be amended (the “Preliminary Prospectus Supplement”), which contains a base prospectus, dated December 22, 2023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or Rule 430C (“Rule 430C”) promulgated under the Securities Act and Rule 424(b) (“Rule 424(b)”). The information included or incorporated by reference in such prospectus that was omitted from such registration statement at the time it became effective but that is deemed to be part of such registration statement pursuant to Rule 430C is referred to as “Rule 430C Information” and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or Rule 430C Information contained in a prospectus subsequently filed with the Commission pursuant to Rule 424(b) under the Securities Act and deemed to be part of the registration statement and also including any registration statement filed pursuant to Rule 462(b) promulgated under the Securities Act, is herein called the “Registration Statement.” The final prospectus to be filed with the Commission pursuant to Rule 424(b) after the Applicable Time (as defined below) and to be used to confirm sales of the Securities, which will include the Base Prospectus, together with a final prospectus supplement, is hereinafter referred to as the “Prospectus.” Any reference herein to the Registration Statement, the Preliminary Prospectus and the Prospectus shall be deemed to refer to and include all financial statements and other information incorporated or deemed to be incorporated therein by reference pursuant to the rules of the Commission promulgated under the Securities Act, as of any specified date. All references in this Agreement to amendments or supplements to the Registration Statement or the Prospectus, including those made pursuant to Rule 424(b)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in or otherwise deemed under the rules of the Commission promulgated thereunder or otherwise to be a part of or included in the Registration Statement or the Prospectus, as the case may be, as of any specified date.</w:t>
      </w:r>
    </w:p>
    <w:p>
      <w:pPr>
        <w:spacing w:after="0" w:line="205"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270" w:right="359" w:bottom="1440" w:gutter="0" w:footer="0" w:header="0"/>
        </w:sectPr>
      </w:pPr>
    </w:p>
    <w:bookmarkStart w:id="6" w:name="page7"/>
    <w:bookmarkEnd w:id="6"/>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entered into an Amended and Restated Investment Advisory and Management Agreement, dated as of December 12, 2011 (the “Investment Management Agreement”), with Sixth Street Specialty Lending Advisers, LLC, a Delaware limited liability company registered as an investment adviser (the “Adviser”) under the Investment Advisers Act of 1940, as amended, and the rules and regulations thereunder (the “Advisers Act”).</w:t>
      </w:r>
    </w:p>
    <w:p>
      <w:pPr>
        <w:spacing w:after="0" w:line="176"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an Amended and Restated Administration Agreement, dated as of February 22, 2017 (the “Administration Agreement”) with the Adviser.</w:t>
      </w:r>
    </w:p>
    <w:p>
      <w:pPr>
        <w:spacing w:after="0" w:line="162"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Preliminary Prospectus, which together with the information set forth on Schedule 2 hereto, comprises the “Pricing Disclosure Package.”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“Applicable Time” means 4:00 P.M., New York City time, on January 8, 2024.</w:t>
      </w:r>
    </w:p>
    <w:p>
      <w:pPr>
        <w:spacing w:after="0" w:line="225" w:lineRule="exact"/>
        <w:rPr>
          <w:sz w:val="20"/>
          <w:szCs w:val="20"/>
          <w:color w:val="auto"/>
        </w:rPr>
      </w:pPr>
    </w:p>
    <w:p>
      <w:pPr>
        <w:ind w:left="640" w:hanging="18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Securities by the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57"/>
        <w:spacing w:after="0" w:line="261" w:lineRule="auto"/>
        <w:tabs>
          <w:tab w:leader="none" w:pos="6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aggregate principal amount of Securities set forth opposite such Underwriter’s name in Schedule 1 hereto at the price (the “Purchase Price”) set forth in Schedule 1 hereto.</w:t>
      </w:r>
    </w:p>
    <w:p>
      <w:pPr>
        <w:spacing w:after="0" w:line="179" w:lineRule="exact"/>
        <w:rPr>
          <w:rFonts w:ascii="Times New Roman" w:cs="Times New Roman" w:eastAsia="Times New Roman" w:hAnsi="Times New Roman"/>
          <w:sz w:val="18"/>
          <w:szCs w:val="18"/>
          <w:color w:val="auto"/>
        </w:rPr>
      </w:pPr>
    </w:p>
    <w:p>
      <w:pPr>
        <w:ind w:right="100" w:firstLine="457"/>
        <w:spacing w:after="0" w:line="266" w:lineRule="auto"/>
        <w:tabs>
          <w:tab w:leader="none" w:pos="7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offer the Securities for resale on the terms set forth in the Pricing Disclosure Package and the Prospectus, as in the judgment of the Representative is advisable. The Company acknowledges and agrees that the Underwriters may offer and sell Securities to or through any affiliate of an Underwriter.</w:t>
      </w:r>
    </w:p>
    <w:p>
      <w:pPr>
        <w:spacing w:after="0" w:line="175" w:lineRule="exact"/>
        <w:rPr>
          <w:rFonts w:ascii="Times New Roman" w:cs="Times New Roman" w:eastAsia="Times New Roman" w:hAnsi="Times New Roman"/>
          <w:sz w:val="18"/>
          <w:szCs w:val="18"/>
          <w:color w:val="auto"/>
        </w:rPr>
      </w:pPr>
    </w:p>
    <w:p>
      <w:pPr>
        <w:jc w:val="both"/>
        <w:ind w:right="40" w:firstLine="457"/>
        <w:spacing w:after="0" w:line="261" w:lineRule="auto"/>
        <w:tabs>
          <w:tab w:leader="none" w:pos="6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 specified by the Company to the Representative, at the offices of Ropes &amp; Gray LLP, 1211 Avenue of the Americas, New York, NY 10036, at 10:00 A.M., New York City time, on January 16, 2024, or at such other time or place on the same or such other date, not later than the fifth business day thereafter, as the Representative and the Company may agree upon in writing. The time and date of such payment for the Securities is referred to herein as the “Closing Date.”</w:t>
      </w:r>
    </w:p>
    <w:p>
      <w:pPr>
        <w:spacing w:after="0" w:line="180"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Payment for the Securities shall be made against delivery to the Representative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 shall otherwise instruct.</w:t>
      </w:r>
    </w:p>
    <w:p>
      <w:pPr>
        <w:spacing w:after="0" w:line="176" w:lineRule="exact"/>
        <w:rPr>
          <w:sz w:val="20"/>
          <w:szCs w:val="20"/>
          <w:color w:val="auto"/>
        </w:rPr>
      </w:pPr>
    </w:p>
    <w:p>
      <w:pPr>
        <w:ind w:right="120" w:firstLine="457"/>
        <w:spacing w:after="0" w:line="266" w:lineRule="auto"/>
        <w:tabs>
          <w:tab w:leader="none" w:pos="7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70" w:right="339" w:bottom="1440" w:gutter="0" w:footer="0" w:header="0"/>
        </w:sectPr>
      </w:pPr>
    </w:p>
    <w:bookmarkStart w:id="7" w:name="page8"/>
    <w:bookmarkEnd w:id="7"/>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Underwriter that:</w:t>
      </w:r>
    </w:p>
    <w:p>
      <w:pPr>
        <w:spacing w:after="0" w:line="115" w:lineRule="exact"/>
        <w:rPr>
          <w:sz w:val="20"/>
          <w:szCs w:val="20"/>
          <w:color w:val="auto"/>
        </w:rPr>
      </w:pPr>
    </w:p>
    <w:p>
      <w:pPr>
        <w:ind w:right="20" w:firstLine="457"/>
        <w:spacing w:after="0" w:line="256" w:lineRule="auto"/>
        <w:tabs>
          <w:tab w:leader="none" w:pos="6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the Preliminary Prospectus has been issued by the Commission,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182" w:lineRule="exact"/>
        <w:rPr>
          <w:rFonts w:ascii="Times New Roman" w:cs="Times New Roman" w:eastAsia="Times New Roman" w:hAnsi="Times New Roman"/>
          <w:sz w:val="18"/>
          <w:szCs w:val="18"/>
          <w:color w:val="auto"/>
        </w:rPr>
      </w:pPr>
    </w:p>
    <w:p>
      <w:pPr>
        <w:ind w:firstLine="457"/>
        <w:spacing w:after="0" w:line="253" w:lineRule="auto"/>
        <w:tabs>
          <w:tab w:leader="none" w:pos="7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 and Marketing Materials</w:t>
      </w:r>
      <w:r>
        <w:rPr>
          <w:rFonts w:ascii="Times New Roman" w:cs="Times New Roman" w:eastAsia="Times New Roman" w:hAnsi="Times New Roman"/>
          <w:sz w:val="18"/>
          <w:szCs w:val="18"/>
          <w:color w:val="auto"/>
        </w:rPr>
        <w:t>. The Pricing Disclosure Package and any Marketing Materials (as defined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considered together with the Pricing Disclosure Package, as of the Applicable Time did not, and the Pricing Disclosure Package and any Marketing Materials, considered together with the Pricing Disclosure Package,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or Marketing Materials, it being understood and agreed that the only such information furnished by any Underwriter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70" w:right="339" w:bottom="1440" w:gutter="0" w:footer="0" w:header="0"/>
        </w:sectPr>
      </w:pPr>
    </w:p>
    <w:bookmarkStart w:id="8" w:name="page9"/>
    <w:bookmarkEnd w:id="8"/>
    <w:p>
      <w:pPr>
        <w:ind w:left="-20" w:firstLine="457"/>
        <w:spacing w:after="0" w:line="252" w:lineRule="auto"/>
        <w:tabs>
          <w:tab w:leader="none" w:pos="6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Free Writing Prospectus</w:t>
      </w:r>
      <w:r>
        <w:rPr>
          <w:rFonts w:ascii="Times New Roman" w:cs="Times New Roman" w:eastAsia="Times New Roman" w:hAnsi="Times New Roman"/>
          <w:sz w:val="18"/>
          <w:szCs w:val="18"/>
          <w:color w:val="auto"/>
        </w:rPr>
        <w:t>. The Company (including its agents and representatives, other than the Underwriters in their capacity as such)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made, used, prepared,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Securities Act or Rule 134 under the Securities Act, (ii) the Registration Statement, (iii) the Preliminary Prospectus, (iv) the Prospectus, (v) the documents listed on Schedule 2 hereto, including a Pricing Term Sheet substantially in the form of Annex A hereto and (vi) any electronic road show or other written communications, in each case approved in writing in advance by the Representative, such approval not to be unreasonably withheld. Each such Issuer Free Writing Prospectus, if any,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Section 8(b) hereof.</w:t>
      </w:r>
    </w:p>
    <w:p>
      <w:pPr>
        <w:spacing w:after="0" w:line="194" w:lineRule="exact"/>
        <w:rPr>
          <w:rFonts w:ascii="Times New Roman" w:cs="Times New Roman" w:eastAsia="Times New Roman" w:hAnsi="Times New Roman"/>
          <w:sz w:val="18"/>
          <w:szCs w:val="18"/>
          <w:color w:val="auto"/>
        </w:rPr>
      </w:pPr>
    </w:p>
    <w:p>
      <w:pPr>
        <w:ind w:left="-20" w:right="260" w:firstLine="457"/>
        <w:spacing w:after="0" w:line="267" w:lineRule="auto"/>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Prospectus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Prospectus, when they became effective or were filed with the Commission, as the case may be, conformed or will conform in all material respects to the requirements of the Exchange Act.</w:t>
      </w:r>
    </w:p>
    <w:p>
      <w:pPr>
        <w:spacing w:after="0" w:line="173" w:lineRule="exact"/>
        <w:rPr>
          <w:rFonts w:ascii="Times New Roman" w:cs="Times New Roman" w:eastAsia="Times New Roman" w:hAnsi="Times New Roman"/>
          <w:sz w:val="18"/>
          <w:szCs w:val="18"/>
          <w:color w:val="auto"/>
        </w:rPr>
      </w:pPr>
    </w:p>
    <w:p>
      <w:pPr>
        <w:ind w:left="-20" w:right="40" w:firstLine="457"/>
        <w:spacing w:after="0" w:line="254" w:lineRule="auto"/>
        <w:tabs>
          <w:tab w:leader="none" w:pos="6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Company is eligible to use Form N-2. The Registration Statement became effective upon filing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and any amendment or supplement thereto will not contain any untrue statement of a material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40" w:top="268" w:right="339" w:bottom="1440" w:gutter="0" w:footer="0" w:header="0"/>
        </w:sectPr>
      </w:pPr>
    </w:p>
    <w:bookmarkStart w:id="9" w:name="page10"/>
    <w:bookmarkEnd w:id="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185" w:lineRule="exact"/>
        <w:rPr>
          <w:sz w:val="20"/>
          <w:szCs w:val="20"/>
          <w:color w:val="auto"/>
        </w:rPr>
      </w:pPr>
    </w:p>
    <w:p>
      <w:pPr>
        <w:ind w:firstLine="457"/>
        <w:spacing w:after="0" w:line="254" w:lineRule="auto"/>
        <w:tabs>
          <w:tab w:leader="none" w:pos="6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(including the related notes thereto) of the Company and its consolidated subsidiaries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(“U.S.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188" w:lineRule="exact"/>
        <w:rPr>
          <w:rFonts w:ascii="Times New Roman" w:cs="Times New Roman" w:eastAsia="Times New Roman" w:hAnsi="Times New Roman"/>
          <w:sz w:val="18"/>
          <w:szCs w:val="18"/>
          <w:color w:val="auto"/>
        </w:rPr>
      </w:pPr>
    </w:p>
    <w:p>
      <w:pPr>
        <w:ind w:right="100" w:firstLine="457"/>
        <w:spacing w:after="0" w:line="253" w:lineRule="auto"/>
        <w:tabs>
          <w:tab w:leader="none" w:pos="7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Except as disclosed in the Registration Statement, the Pricing Disclosure Package and the Prospectus,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most recent financial statements of the Company included or incorporated by reference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the dividends declared and payable on December 20, 2023 and December 29, 2023 set forth in the Company’s Form 8-K filed on November 2, 2023),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70" w:right="339" w:bottom="1440" w:gutter="0" w:footer="0" w:header="0"/>
        </w:sectPr>
      </w:pPr>
    </w:p>
    <w:bookmarkStart w:id="10" w:name="page11"/>
    <w:bookmarkEnd w:id="10"/>
    <w:p>
      <w:pPr>
        <w:ind w:firstLine="457"/>
        <w:spacing w:after="0" w:line="254" w:lineRule="auto"/>
        <w:tabs>
          <w:tab w:leader="none" w:pos="7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Organization and Good Standing. </w:t>
      </w:r>
      <w:r>
        <w:rPr>
          <w:rFonts w:ascii="Times New Roman" w:cs="Times New Roman" w:eastAsia="Times New Roman" w:hAnsi="Times New Roman"/>
          <w:sz w:val="18"/>
          <w:szCs w:val="18"/>
          <w:color w:val="auto"/>
        </w:rPr>
        <w:t>The Company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 “Material Adverse Effect”). The subsidiaries listed in Schedule 3 to this Agreement are the only subsidiaries of the Company.</w:t>
      </w:r>
    </w:p>
    <w:p>
      <w:pPr>
        <w:spacing w:after="0" w:line="188" w:lineRule="exact"/>
        <w:rPr>
          <w:rFonts w:ascii="Times New Roman" w:cs="Times New Roman" w:eastAsia="Times New Roman" w:hAnsi="Times New Roman"/>
          <w:sz w:val="18"/>
          <w:szCs w:val="18"/>
          <w:color w:val="auto"/>
        </w:rPr>
      </w:pPr>
    </w:p>
    <w:p>
      <w:pPr>
        <w:ind w:firstLine="457"/>
        <w:spacing w:after="0" w:line="253" w:lineRule="auto"/>
        <w:tabs>
          <w:tab w:leader="none" w:pos="6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As of September 30, 2023, the Company had authorized and outstanding capital stock and material indebtedness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187" w:lineRule="exact"/>
        <w:rPr>
          <w:rFonts w:ascii="Times New Roman" w:cs="Times New Roman" w:eastAsia="Times New Roman" w:hAnsi="Times New Roman"/>
          <w:sz w:val="18"/>
          <w:szCs w:val="18"/>
          <w:color w:val="auto"/>
        </w:rPr>
      </w:pPr>
    </w:p>
    <w:p>
      <w:pPr>
        <w:ind w:left="680" w:hanging="223"/>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Company has not granted, and has no policy or expectation of granting stock options.</w:t>
      </w:r>
    </w:p>
    <w:p>
      <w:pPr>
        <w:spacing w:after="0" w:line="225" w:lineRule="exact"/>
        <w:rPr>
          <w:rFonts w:ascii="Times New Roman" w:cs="Times New Roman" w:eastAsia="Times New Roman" w:hAnsi="Times New Roman"/>
          <w:sz w:val="18"/>
          <w:szCs w:val="18"/>
          <w:color w:val="auto"/>
        </w:rPr>
      </w:pPr>
    </w:p>
    <w:p>
      <w:pPr>
        <w:ind w:firstLine="457"/>
        <w:spacing w:after="0" w:line="267" w:lineRule="auto"/>
        <w:tabs>
          <w:tab w:leader="none" w:pos="7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corporate power and authority to execute and deliver this Agreement, Base Indenture,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Supplemental Indenture and the Securities, and at the applicable time had corporate power and authority to execute and deliver the Investment Management Agreement and the Administration Agreement and to perform its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68" w:right="339" w:bottom="1440" w:gutter="0" w:footer="0" w:header="0"/>
        </w:sectPr>
      </w:pPr>
    </w:p>
    <w:bookmarkStart w:id="11" w:name="page12"/>
    <w:bookmarkEnd w:id="11"/>
    <w:p>
      <w:pPr>
        <w:ind w:right="7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hereunder and thereunder; and all action required to be taken for the due and proper authorization, execution and delivery by it of this Agreement, the First Supplemental Indenture, the Base Indenture, the Securities and each of the Investment Management Agreement and the Administration Agreement and the consummation by it of the transactions contemplated hereby and thereby has been duly and validly taken.</w:t>
      </w:r>
    </w:p>
    <w:p>
      <w:pPr>
        <w:spacing w:after="0" w:line="174" w:lineRule="exact"/>
        <w:rPr>
          <w:sz w:val="20"/>
          <w:szCs w:val="20"/>
          <w:color w:val="auto"/>
        </w:rPr>
      </w:pPr>
    </w:p>
    <w:p>
      <w:pPr>
        <w:ind w:left="680" w:hanging="223"/>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firstLine="457"/>
        <w:spacing w:after="0" w:line="261" w:lineRule="auto"/>
        <w:tabs>
          <w:tab w:leader="none" w:pos="7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Management Agreement and Administration Agreement. </w:t>
      </w:r>
      <w:r>
        <w:rPr>
          <w:rFonts w:ascii="Times New Roman" w:cs="Times New Roman" w:eastAsia="Times New Roman" w:hAnsi="Times New Roman"/>
          <w:sz w:val="18"/>
          <w:szCs w:val="18"/>
          <w:color w:val="auto"/>
        </w:rPr>
        <w:t>The Investment Management Agreement and the Administration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right="160" w:firstLine="457"/>
        <w:spacing w:after="0" w:line="267" w:lineRule="auto"/>
        <w:tabs>
          <w:tab w:leader="none" w:pos="7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Base Indenture. </w:t>
      </w:r>
      <w:r>
        <w:rPr>
          <w:rFonts w:ascii="Times New Roman" w:cs="Times New Roman" w:eastAsia="Times New Roman" w:hAnsi="Times New Roman"/>
          <w:sz w:val="18"/>
          <w:szCs w:val="18"/>
          <w:color w:val="auto"/>
        </w:rPr>
        <w:t>The Base Indenture has been duly authorized, and, on the Closing Date, will be duly executed and delivered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when executed and delivered by the Trustee,,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73" w:lineRule="exact"/>
        <w:rPr>
          <w:rFonts w:ascii="Times New Roman" w:cs="Times New Roman" w:eastAsia="Times New Roman" w:hAnsi="Times New Roman"/>
          <w:sz w:val="18"/>
          <w:szCs w:val="18"/>
          <w:color w:val="auto"/>
        </w:rPr>
      </w:pPr>
    </w:p>
    <w:p>
      <w:pPr>
        <w:ind w:right="160" w:firstLine="457"/>
        <w:spacing w:after="0" w:line="261" w:lineRule="auto"/>
        <w:tabs>
          <w:tab w:leader="none" w:pos="7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Supplemental Indenture</w:t>
      </w:r>
      <w:r>
        <w:rPr>
          <w:rFonts w:ascii="Times New Roman" w:cs="Times New Roman" w:eastAsia="Times New Roman" w:hAnsi="Times New Roman"/>
          <w:sz w:val="18"/>
          <w:szCs w:val="18"/>
          <w:color w:val="auto"/>
        </w:rPr>
        <w:t>. The First Supplemental Indenture has been duly authorized, and, on the Closing Date, will be duly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The Indenture has been qualified under the TIA.</w:t>
      </w:r>
    </w:p>
    <w:p>
      <w:pPr>
        <w:spacing w:after="0" w:line="225" w:lineRule="exact"/>
        <w:rPr>
          <w:rFonts w:ascii="Times New Roman" w:cs="Times New Roman" w:eastAsia="Times New Roman" w:hAnsi="Times New Roman"/>
          <w:sz w:val="18"/>
          <w:szCs w:val="18"/>
          <w:color w:val="auto"/>
        </w:rPr>
      </w:pPr>
    </w:p>
    <w:p>
      <w:pPr>
        <w:ind w:right="60" w:firstLine="457"/>
        <w:spacing w:after="0" w:line="257" w:lineRule="auto"/>
        <w:tabs>
          <w:tab w:leader="none" w:pos="7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Securities</w:t>
      </w:r>
      <w:r>
        <w:rPr>
          <w:rFonts w:ascii="Times New Roman" w:cs="Times New Roman" w:eastAsia="Times New Roman" w:hAnsi="Times New Roman"/>
          <w:sz w:val="18"/>
          <w:szCs w:val="18"/>
          <w:color w:val="auto"/>
        </w:rPr>
        <w:t>. The Securities to be issued and sold by the Company hereunder have been duly authorized and, when issued, authenticated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Securities and the Indenture conform in all material respects to the statements relating thereto contained in the Registration Statement, the Pricing Disclosure Package and the Prospectus.</w:t>
      </w:r>
    </w:p>
    <w:p>
      <w:pPr>
        <w:spacing w:after="0" w:line="182" w:lineRule="exact"/>
        <w:rPr>
          <w:rFonts w:ascii="Times New Roman" w:cs="Times New Roman" w:eastAsia="Times New Roman" w:hAnsi="Times New Roman"/>
          <w:sz w:val="18"/>
          <w:szCs w:val="18"/>
          <w:color w:val="auto"/>
        </w:rPr>
      </w:pPr>
    </w:p>
    <w:p>
      <w:pPr>
        <w:ind w:right="440" w:firstLine="457"/>
        <w:spacing w:after="0" w:line="267" w:lineRule="auto"/>
        <w:tabs>
          <w:tab w:leader="none" w:pos="6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Investment Management Agreement and Administration Agreement</w:t>
      </w:r>
      <w:r>
        <w:rPr>
          <w:rFonts w:ascii="Times New Roman" w:cs="Times New Roman" w:eastAsia="Times New Roman" w:hAnsi="Times New Roman"/>
          <w:sz w:val="18"/>
          <w:szCs w:val="18"/>
          <w:color w:val="auto"/>
        </w:rPr>
        <w:t>. Both the Investment Management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Agreement conform in all material respects to the descriptions thereof contained in the Registration Statement, the Pricing Disclosure Package and the Prospectus.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270" w:right="379" w:bottom="1440" w:gutter="0" w:footer="0" w:header="0"/>
        </w:sectPr>
      </w:pPr>
    </w:p>
    <w:bookmarkStart w:id="12" w:name="page13"/>
    <w:bookmarkEnd w:id="12"/>
    <w:p>
      <w:pPr>
        <w:ind w:left="-20" w:right="120" w:firstLine="457"/>
        <w:spacing w:after="0" w:line="255" w:lineRule="auto"/>
        <w:tabs>
          <w:tab w:leader="none" w:pos="6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each as amended or supplemented as of the date of this Agreement;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84" w:lineRule="exact"/>
        <w:rPr>
          <w:rFonts w:ascii="Times New Roman" w:cs="Times New Roman" w:eastAsia="Times New Roman" w:hAnsi="Times New Roman"/>
          <w:sz w:val="18"/>
          <w:szCs w:val="18"/>
          <w:color w:val="auto"/>
        </w:rPr>
      </w:pPr>
    </w:p>
    <w:p>
      <w:pPr>
        <w:ind w:left="-20" w:right="180" w:firstLine="457"/>
        <w:spacing w:after="0" w:line="253"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and the Indenture, the issuance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191" w:lineRule="exact"/>
        <w:rPr>
          <w:rFonts w:ascii="Times New Roman" w:cs="Times New Roman" w:eastAsia="Times New Roman" w:hAnsi="Times New Roman"/>
          <w:sz w:val="18"/>
          <w:szCs w:val="18"/>
          <w:color w:val="auto"/>
        </w:rPr>
      </w:pPr>
    </w:p>
    <w:p>
      <w:pPr>
        <w:ind w:left="-20" w:firstLine="457"/>
        <w:spacing w:after="0" w:line="254" w:lineRule="auto"/>
        <w:tabs>
          <w:tab w:leader="none" w:pos="6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and the Indenture, the issuance and sale of the Securities and the consummation of the transactions contemplated by this Agreement and the Indenture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40" w:top="268" w:right="339" w:bottom="1440" w:gutter="0" w:footer="0" w:header="0"/>
        </w:sectPr>
      </w:pPr>
    </w:p>
    <w:bookmarkStart w:id="13" w:name="page14"/>
    <w:bookmarkEnd w:id="13"/>
    <w:p>
      <w:pPr>
        <w:ind w:left="-20" w:firstLine="457"/>
        <w:spacing w:after="0" w:line="253" w:lineRule="auto"/>
        <w:tabs>
          <w:tab w:leader="none" w:pos="6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191" w:lineRule="exact"/>
        <w:rPr>
          <w:rFonts w:ascii="Times New Roman" w:cs="Times New Roman" w:eastAsia="Times New Roman" w:hAnsi="Times New Roman"/>
          <w:sz w:val="18"/>
          <w:szCs w:val="18"/>
          <w:color w:val="auto"/>
        </w:rPr>
      </w:pPr>
    </w:p>
    <w:p>
      <w:pPr>
        <w:ind w:left="-20" w:firstLine="457"/>
        <w:spacing w:after="0" w:line="261" w:lineRule="auto"/>
        <w:tabs>
          <w:tab w:leader="none" w:pos="7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of Election</w:t>
      </w:r>
      <w:r>
        <w:rPr>
          <w:rFonts w:ascii="Times New Roman" w:cs="Times New Roman" w:eastAsia="Times New Roman" w:hAnsi="Times New Roman"/>
          <w:sz w:val="18"/>
          <w:szCs w:val="18"/>
          <w:color w:val="auto"/>
        </w:rPr>
        <w:t>. When the Notification of Election was filed with the Commission, it (i) contained all statements required to be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left="-20" w:right="60" w:firstLine="457"/>
        <w:spacing w:after="0" w:line="255" w:lineRule="auto"/>
        <w:tabs>
          <w:tab w:leader="none" w:pos="6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to be Treated as a Business Development Company</w:t>
      </w:r>
      <w:r>
        <w:rPr>
          <w:rFonts w:ascii="Times New Roman" w:cs="Times New Roman" w:eastAsia="Times New Roman" w:hAnsi="Times New Roman"/>
          <w:sz w:val="18"/>
          <w:szCs w:val="18"/>
          <w:color w:val="auto"/>
        </w:rPr>
        <w:t>. (A) The Company has duly elected to be treated by the Commission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the sale of the Securities and as of the Closing Date, the operations of the Company are in compliance in all material respects with the provisions of the Investment Company Act applicable to business development companies.</w:t>
      </w:r>
    </w:p>
    <w:p>
      <w:pPr>
        <w:spacing w:after="0" w:line="184" w:lineRule="exact"/>
        <w:rPr>
          <w:rFonts w:ascii="Times New Roman" w:cs="Times New Roman" w:eastAsia="Times New Roman" w:hAnsi="Times New Roman"/>
          <w:sz w:val="18"/>
          <w:szCs w:val="18"/>
          <w:color w:val="auto"/>
        </w:rPr>
      </w:pPr>
    </w:p>
    <w:p>
      <w:pPr>
        <w:ind w:left="-20" w:right="140" w:firstLine="457"/>
        <w:spacing w:after="0" w:line="267" w:lineRule="auto"/>
        <w:tabs>
          <w:tab w:leader="none" w:pos="6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40" w:top="268" w:right="359" w:bottom="1440" w:gutter="0" w:footer="0" w:header="0"/>
        </w:sectPr>
      </w:pPr>
    </w:p>
    <w:bookmarkStart w:id="14" w:name="page15"/>
    <w:bookmarkEnd w:id="14"/>
    <w:p>
      <w:pPr>
        <w:ind w:left="-8" w:right="60" w:firstLine="457"/>
        <w:spacing w:after="0" w:line="257" w:lineRule="auto"/>
        <w:tabs>
          <w:tab w:leader="none" w:pos="6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Real and Personal Property</w:t>
      </w:r>
      <w:r>
        <w:rPr>
          <w:rFonts w:ascii="Times New Roman" w:cs="Times New Roman" w:eastAsia="Times New Roman" w:hAnsi="Times New Roman"/>
          <w:sz w:val="18"/>
          <w:szCs w:val="18"/>
          <w:color w:val="auto"/>
        </w:rPr>
        <w:t>. Except as would not reasonably be expected, individually or in the aggregate, to have a Material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3(aa))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182" w:lineRule="exact"/>
        <w:rPr>
          <w:sz w:val="20"/>
          <w:szCs w:val="20"/>
          <w:color w:val="auto"/>
        </w:rPr>
      </w:pPr>
    </w:p>
    <w:p>
      <w:pPr>
        <w:ind w:left="772" w:hanging="323"/>
        <w:spacing w:after="0"/>
        <w:tabs>
          <w:tab w:leader="none" w:pos="7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Intellectual Property</w:t>
      </w:r>
      <w:r>
        <w:rPr>
          <w:rFonts w:ascii="Times New Roman" w:cs="Times New Roman" w:eastAsia="Times New Roman" w:hAnsi="Times New Roman"/>
          <w:sz w:val="18"/>
          <w:szCs w:val="18"/>
          <w:color w:val="auto"/>
        </w:rPr>
        <w:t>. Except as would not reasonably be expected, individually or in the aggregate, to have a Material Adverse Effect,</w:t>
      </w:r>
    </w:p>
    <w:p>
      <w:pPr>
        <w:spacing w:after="0" w:line="29" w:lineRule="exact"/>
        <w:rPr>
          <w:rFonts w:ascii="Times New Roman" w:cs="Times New Roman" w:eastAsia="Times New Roman" w:hAnsi="Times New Roman"/>
          <w:sz w:val="18"/>
          <w:szCs w:val="18"/>
          <w:color w:val="auto"/>
        </w:rPr>
      </w:pPr>
    </w:p>
    <w:p>
      <w:pPr>
        <w:ind w:left="-8" w:right="20" w:firstLine="8"/>
        <w:spacing w:after="0" w:line="252" w:lineRule="auto"/>
        <w:tabs>
          <w:tab w:leader="none" w:pos="2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86" w:lineRule="exact"/>
        <w:rPr>
          <w:rFonts w:ascii="Times New Roman" w:cs="Times New Roman" w:eastAsia="Times New Roman" w:hAnsi="Times New Roman"/>
          <w:sz w:val="18"/>
          <w:szCs w:val="18"/>
          <w:color w:val="auto"/>
        </w:rPr>
      </w:pPr>
    </w:p>
    <w:p>
      <w:pPr>
        <w:ind w:left="-8" w:right="40" w:firstLine="457"/>
        <w:spacing w:after="0" w:line="261" w:lineRule="auto"/>
        <w:tabs>
          <w:tab w:leader="none" w:pos="78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179" w:lineRule="exact"/>
        <w:rPr>
          <w:rFonts w:ascii="Times New Roman" w:cs="Times New Roman" w:eastAsia="Times New Roman" w:hAnsi="Times New Roman"/>
          <w:sz w:val="18"/>
          <w:szCs w:val="18"/>
          <w:color w:val="auto"/>
        </w:rPr>
      </w:pPr>
    </w:p>
    <w:p>
      <w:pPr>
        <w:ind w:left="-8" w:firstLine="457"/>
        <w:spacing w:after="0" w:line="258" w:lineRule="auto"/>
        <w:tabs>
          <w:tab w:leader="none" w:pos="76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its subsidiaries are not, and, after giving effect to the offering and sale of the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183" w:lineRule="exact"/>
        <w:rPr>
          <w:rFonts w:ascii="Times New Roman" w:cs="Times New Roman" w:eastAsia="Times New Roman" w:hAnsi="Times New Roman"/>
          <w:sz w:val="18"/>
          <w:szCs w:val="18"/>
          <w:color w:val="auto"/>
        </w:rPr>
      </w:pPr>
    </w:p>
    <w:p>
      <w:pPr>
        <w:ind w:left="-8" w:right="60" w:firstLine="457"/>
        <w:spacing w:after="0" w:line="257" w:lineRule="auto"/>
        <w:tabs>
          <w:tab w:leader="none" w:pos="78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(or caused to be paid) all federal, state, local and foreign taxes required by law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32"/>
          </w:cols>
          <w:pgMar w:left="328" w:top="268" w:right="339" w:bottom="1440" w:gutter="0" w:footer="0" w:header="0"/>
        </w:sectPr>
      </w:pPr>
    </w:p>
    <w:bookmarkStart w:id="15" w:name="page16"/>
    <w:bookmarkEnd w:id="15"/>
    <w:p>
      <w:pPr>
        <w:ind w:left="-8" w:firstLine="457"/>
        <w:spacing w:after="0" w:line="254" w:lineRule="auto"/>
        <w:tabs>
          <w:tab w:leader="none" w:pos="76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Licenses and Permits. </w:t>
      </w:r>
      <w:r>
        <w:rPr>
          <w:rFonts w:ascii="Times New Roman" w:cs="Times New Roman" w:eastAsia="Times New Roman" w:hAnsi="Times New Roman"/>
          <w:sz w:val="18"/>
          <w:szCs w:val="18"/>
          <w:color w:val="auto"/>
        </w:rPr>
        <w:t>The Company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88" w:lineRule="exact"/>
        <w:rPr>
          <w:rFonts w:ascii="Times New Roman" w:cs="Times New Roman" w:eastAsia="Times New Roman" w:hAnsi="Times New Roman"/>
          <w:sz w:val="18"/>
          <w:szCs w:val="18"/>
          <w:color w:val="auto"/>
        </w:rPr>
      </w:pPr>
    </w:p>
    <w:p>
      <w:pPr>
        <w:ind w:left="-8" w:right="100" w:firstLine="457"/>
        <w:spacing w:after="0" w:line="257" w:lineRule="auto"/>
        <w:tabs>
          <w:tab w:leader="none" w:pos="7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ind w:left="-8" w:right="60" w:firstLine="457"/>
        <w:spacing w:after="0" w:line="255" w:lineRule="auto"/>
        <w:tabs>
          <w:tab w:leader="none" w:pos="7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maintains a system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w:t>
      </w:r>
    </w:p>
    <w:p>
      <w:pPr>
        <w:ind w:left="-8" w:right="80" w:firstLine="8"/>
        <w:spacing w:after="0" w:line="253" w:lineRule="auto"/>
        <w:tabs>
          <w:tab w:leader="none" w:pos="2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U.S. GAAP,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32"/>
          </w:cols>
          <w:pgMar w:left="328" w:top="268" w:right="339" w:bottom="1440" w:gutter="0" w:footer="0" w:header="0"/>
        </w:sectPr>
      </w:pPr>
    </w:p>
    <w:bookmarkStart w:id="16" w:name="page17"/>
    <w:bookmarkEnd w:id="1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85" w:lineRule="exact"/>
        <w:rPr>
          <w:sz w:val="20"/>
          <w:szCs w:val="20"/>
          <w:color w:val="auto"/>
        </w:rPr>
      </w:pPr>
    </w:p>
    <w:p>
      <w:pPr>
        <w:ind w:right="40" w:firstLine="457"/>
        <w:spacing w:after="0" w:line="256" w:lineRule="auto"/>
        <w:tabs>
          <w:tab w:leader="none" w:pos="79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have insurance covering their respective properties, operations, personnel and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82" w:lineRule="exact"/>
        <w:rPr>
          <w:rFonts w:ascii="Times New Roman" w:cs="Times New Roman" w:eastAsia="Times New Roman" w:hAnsi="Times New Roman"/>
          <w:sz w:val="18"/>
          <w:szCs w:val="18"/>
          <w:color w:val="auto"/>
        </w:rPr>
      </w:pPr>
    </w:p>
    <w:p>
      <w:pPr>
        <w:ind w:right="280" w:firstLine="457"/>
        <w:spacing w:after="0" w:line="254" w:lineRule="auto"/>
        <w:tabs>
          <w:tab w:leader="none" w:pos="7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right="20" w:firstLine="8"/>
        <w:spacing w:after="0" w:line="265" w:lineRule="auto"/>
        <w:tabs>
          <w:tab w:leader="none" w:pos="3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w:t>
      </w:r>
    </w:p>
    <w:p>
      <w:pPr>
        <w:ind w:firstLine="8"/>
        <w:spacing w:after="0" w:line="255" w:lineRule="auto"/>
        <w:tabs>
          <w:tab w:leader="none" w:pos="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270" w:right="359" w:bottom="1440" w:gutter="0" w:footer="0" w:header="0"/>
        </w:sectPr>
      </w:pPr>
    </w:p>
    <w:bookmarkStart w:id="17" w:name="page18"/>
    <w:bookmarkEnd w:id="17"/>
    <w:p>
      <w:pPr>
        <w:ind w:left="-20" w:firstLine="457"/>
        <w:spacing w:after="0" w:line="256" w:lineRule="auto"/>
        <w:tabs>
          <w:tab w:leader="none" w:pos="6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182" w:lineRule="exact"/>
        <w:rPr>
          <w:rFonts w:ascii="Times New Roman" w:cs="Times New Roman" w:eastAsia="Times New Roman" w:hAnsi="Times New Roman"/>
          <w:sz w:val="18"/>
          <w:szCs w:val="18"/>
          <w:color w:val="auto"/>
        </w:rPr>
      </w:pPr>
    </w:p>
    <w:p>
      <w:pPr>
        <w:ind w:left="-20" w:firstLine="457"/>
        <w:spacing w:after="0" w:line="253" w:lineRule="auto"/>
        <w:tabs>
          <w:tab w:leader="none" w:pos="7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Russia, Syria, and the occupied Donetsk, Luhansk, and Crimea regions of Ukraine,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85" w:lineRule="exact"/>
        <w:rPr>
          <w:rFonts w:ascii="Times New Roman" w:cs="Times New Roman" w:eastAsia="Times New Roman" w:hAnsi="Times New Roman"/>
          <w:sz w:val="18"/>
          <w:szCs w:val="18"/>
          <w:color w:val="auto"/>
        </w:rPr>
      </w:pPr>
    </w:p>
    <w:p>
      <w:pPr>
        <w:ind w:left="-20" w:right="380" w:firstLine="457"/>
        <w:spacing w:after="0" w:line="267" w:lineRule="auto"/>
        <w:tabs>
          <w:tab w:leader="none" w:pos="6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Not Ineligible Issuer and is a Well-Known Seasoned Issuer</w:t>
      </w:r>
      <w:r>
        <w:rPr>
          <w:rFonts w:ascii="Times New Roman" w:cs="Times New Roman" w:eastAsia="Times New Roman" w:hAnsi="Times New Roman"/>
          <w:sz w:val="18"/>
          <w:szCs w:val="18"/>
          <w:color w:val="auto"/>
        </w:rPr>
        <w:t>. The Company is not an ineligible issuer and is a well-known seasoned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in each case as defined under the Securities Act, in each case at the times specified in the Securities Act in connection with the offering of the Securities.</w:t>
      </w:r>
    </w:p>
    <w:p>
      <w:pPr>
        <w:spacing w:after="0" w:line="173" w:lineRule="exact"/>
        <w:rPr>
          <w:rFonts w:ascii="Times New Roman" w:cs="Times New Roman" w:eastAsia="Times New Roman" w:hAnsi="Times New Roman"/>
          <w:sz w:val="18"/>
          <w:szCs w:val="18"/>
          <w:color w:val="auto"/>
        </w:rPr>
      </w:pPr>
    </w:p>
    <w:p>
      <w:pPr>
        <w:ind w:left="-20" w:firstLine="457"/>
        <w:spacing w:after="0" w:line="258" w:lineRule="auto"/>
        <w:tabs>
          <w:tab w:leader="none" w:pos="8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40" w:top="268" w:right="359" w:bottom="1440" w:gutter="0" w:footer="0" w:header="0"/>
        </w:sectPr>
      </w:pPr>
    </w:p>
    <w:bookmarkStart w:id="18" w:name="page19"/>
    <w:bookmarkEnd w:id="18"/>
    <w:p>
      <w:pPr>
        <w:ind w:left="-20" w:right="60" w:firstLine="457"/>
        <w:spacing w:after="0" w:line="267" w:lineRule="auto"/>
        <w:tabs>
          <w:tab w:leader="none" w:pos="7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this Agreement) that would give rise to a valid claim against the Company or any of its subsidiaries or any Underwriter for a brokerage commission, finder’s fee or like payment in connection with the offering and sale of the Securities.</w:t>
      </w:r>
    </w:p>
    <w:p>
      <w:pPr>
        <w:spacing w:after="0" w:line="173" w:lineRule="exact"/>
        <w:rPr>
          <w:rFonts w:ascii="Times New Roman" w:cs="Times New Roman" w:eastAsia="Times New Roman" w:hAnsi="Times New Roman"/>
          <w:sz w:val="18"/>
          <w:szCs w:val="18"/>
          <w:color w:val="auto"/>
        </w:rPr>
      </w:pPr>
    </w:p>
    <w:p>
      <w:pPr>
        <w:ind w:left="-20" w:right="40" w:firstLine="457"/>
        <w:spacing w:after="0" w:line="315" w:lineRule="auto"/>
        <w:tabs>
          <w:tab w:leader="none" w:pos="77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Stabilization or Manipulation. </w:t>
      </w:r>
      <w:r>
        <w:rPr>
          <w:rFonts w:ascii="Times New Roman" w:cs="Times New Roman" w:eastAsia="Times New Roman" w:hAnsi="Times New Roman"/>
          <w:sz w:val="17"/>
          <w:szCs w:val="17"/>
          <w:color w:val="auto"/>
        </w:rPr>
        <w:t>The Company has not taken, directly or indirectly, without giving effect to any activities by the Underwriters,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action designed, or that would reasonably be expected, to cause or result in any stabilization or manipulation of the price of the Securities.</w:t>
      </w:r>
    </w:p>
    <w:p>
      <w:pPr>
        <w:spacing w:after="0" w:line="134" w:lineRule="exact"/>
        <w:rPr>
          <w:rFonts w:ascii="Times New Roman" w:cs="Times New Roman" w:eastAsia="Times New Roman" w:hAnsi="Times New Roman"/>
          <w:sz w:val="17"/>
          <w:szCs w:val="17"/>
          <w:color w:val="auto"/>
        </w:rPr>
      </w:pPr>
    </w:p>
    <w:p>
      <w:pPr>
        <w:ind w:left="-20" w:firstLine="457"/>
        <w:spacing w:after="0" w:line="267" w:lineRule="auto"/>
        <w:tabs>
          <w:tab w:leader="none" w:pos="7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ind w:left="-20" w:right="80" w:firstLine="457"/>
        <w:spacing w:after="0" w:line="267" w:lineRule="auto"/>
        <w:tabs>
          <w:tab w:leader="none" w:pos="7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market-related data included or incorporated by reference in the Registration Statement, the Pricing Disclosure Package and the Prospectus is not based on or derived from sources that are reasonably reliable and accurate in all material respects.</w:t>
      </w:r>
    </w:p>
    <w:p>
      <w:pPr>
        <w:spacing w:after="0" w:line="173" w:lineRule="exact"/>
        <w:rPr>
          <w:rFonts w:ascii="Times New Roman" w:cs="Times New Roman" w:eastAsia="Times New Roman" w:hAnsi="Times New Roman"/>
          <w:sz w:val="18"/>
          <w:szCs w:val="18"/>
          <w:color w:val="auto"/>
        </w:rPr>
      </w:pPr>
    </w:p>
    <w:p>
      <w:pPr>
        <w:ind w:left="-20" w:right="160" w:firstLine="457"/>
        <w:spacing w:after="0" w:line="261" w:lineRule="auto"/>
        <w:tabs>
          <w:tab w:leader="none" w:pos="7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ind w:left="-20" w:firstLine="457"/>
        <w:spacing w:after="0" w:line="267" w:lineRule="auto"/>
        <w:tabs>
          <w:tab w:leader="none" w:pos="7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38a-1 Compliance</w:t>
      </w:r>
      <w:r>
        <w:rPr>
          <w:rFonts w:ascii="Times New Roman" w:cs="Times New Roman" w:eastAsia="Times New Roman" w:hAnsi="Times New Roman"/>
          <w:sz w:val="18"/>
          <w:szCs w:val="18"/>
          <w:color w:val="auto"/>
        </w:rPr>
        <w:t>. The Company has adopted and implemented written policies and procedures reasonably designed to prevent violation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173" w:lineRule="exact"/>
        <w:rPr>
          <w:rFonts w:ascii="Times New Roman" w:cs="Times New Roman" w:eastAsia="Times New Roman" w:hAnsi="Times New Roman"/>
          <w:sz w:val="18"/>
          <w:szCs w:val="18"/>
          <w:color w:val="auto"/>
        </w:rPr>
      </w:pPr>
    </w:p>
    <w:p>
      <w:pPr>
        <w:jc w:val="both"/>
        <w:ind w:left="-20" w:right="20" w:firstLine="457"/>
        <w:spacing w:after="0" w:line="267" w:lineRule="auto"/>
        <w:tabs>
          <w:tab w:leader="none" w:pos="6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73" w:lineRule="exact"/>
        <w:rPr>
          <w:rFonts w:ascii="Times New Roman" w:cs="Times New Roman" w:eastAsia="Times New Roman" w:hAnsi="Times New Roman"/>
          <w:sz w:val="18"/>
          <w:szCs w:val="18"/>
          <w:color w:val="auto"/>
        </w:rPr>
      </w:pPr>
    </w:p>
    <w:p>
      <w:pPr>
        <w:ind w:left="-20" w:right="160" w:firstLine="457"/>
        <w:spacing w:after="0" w:line="261" w:lineRule="auto"/>
        <w:tabs>
          <w:tab w:leader="none" w:pos="7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(A) To the Company’s knowledge, in the last three years, there has been no material security breach or other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340" w:top="268" w:right="359" w:bottom="1440" w:gutter="0" w:footer="0" w:header="0"/>
        </w:sectPr>
      </w:pPr>
    </w:p>
    <w:bookmarkStart w:id="19" w:name="page20"/>
    <w:bookmarkEnd w:id="1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behalf of the Company and its subsidiaries)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and warrants to, and agrees with, each Underwriter that:</w:t>
      </w:r>
    </w:p>
    <w:p>
      <w:pPr>
        <w:spacing w:after="0" w:line="115" w:lineRule="exact"/>
        <w:rPr>
          <w:sz w:val="20"/>
          <w:szCs w:val="20"/>
          <w:color w:val="auto"/>
        </w:rPr>
      </w:pPr>
    </w:p>
    <w:p>
      <w:pPr>
        <w:ind w:right="100" w:firstLine="457"/>
        <w:spacing w:after="0" w:line="255" w:lineRule="auto"/>
        <w:tabs>
          <w:tab w:leader="none" w:pos="6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Except as disclosed in the Registration Statement, the Pricing Disclosure Package and the Prospectus,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most recent financial statements of the Company included or incorporated by reference in the Registration Statement, the Pricing Disclosure Package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4" w:lineRule="exact"/>
        <w:rPr>
          <w:rFonts w:ascii="Times New Roman" w:cs="Times New Roman" w:eastAsia="Times New Roman" w:hAnsi="Times New Roman"/>
          <w:sz w:val="18"/>
          <w:szCs w:val="18"/>
          <w:color w:val="auto"/>
        </w:rPr>
      </w:pPr>
    </w:p>
    <w:p>
      <w:pPr>
        <w:ind w:firstLine="457"/>
        <w:spacing w:after="0" w:line="255" w:lineRule="auto"/>
        <w:tabs>
          <w:tab w:leader="none" w:pos="7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Adviser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270" w:right="339" w:bottom="1440" w:gutter="0" w:footer="0" w:header="0"/>
        </w:sectPr>
      </w:pPr>
    </w:p>
    <w:bookmarkStart w:id="20" w:name="page21"/>
    <w:bookmarkEnd w:id="20"/>
    <w:p>
      <w:pPr>
        <w:ind w:left="-20" w:right="120" w:firstLine="457"/>
        <w:spacing w:after="0" w:line="258" w:lineRule="auto"/>
        <w:tabs>
          <w:tab w:leader="none" w:pos="6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as an Investment Adviser</w:t>
      </w:r>
      <w:r>
        <w:rPr>
          <w:rFonts w:ascii="Times New Roman" w:cs="Times New Roman" w:eastAsia="Times New Roman" w:hAnsi="Times New Roman"/>
          <w:sz w:val="18"/>
          <w:szCs w:val="18"/>
          <w:color w:val="auto"/>
        </w:rPr>
        <w:t>. The Adviser is duly registered with the Commission as an investment adviser under the Advisers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183" w:lineRule="exact"/>
        <w:rPr>
          <w:rFonts w:ascii="Times New Roman" w:cs="Times New Roman" w:eastAsia="Times New Roman" w:hAnsi="Times New Roman"/>
          <w:sz w:val="18"/>
          <w:szCs w:val="18"/>
          <w:color w:val="auto"/>
        </w:rPr>
      </w:pPr>
    </w:p>
    <w:p>
      <w:pPr>
        <w:ind w:left="700" w:hanging="263"/>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Adviser.</w:t>
      </w:r>
    </w:p>
    <w:p>
      <w:pPr>
        <w:spacing w:after="0" w:line="225" w:lineRule="exact"/>
        <w:rPr>
          <w:rFonts w:ascii="Times New Roman" w:cs="Times New Roman" w:eastAsia="Times New Roman" w:hAnsi="Times New Roman"/>
          <w:sz w:val="18"/>
          <w:szCs w:val="18"/>
          <w:color w:val="auto"/>
        </w:rPr>
      </w:pPr>
    </w:p>
    <w:p>
      <w:pPr>
        <w:ind w:left="-20" w:right="180" w:firstLine="457"/>
        <w:spacing w:after="0" w:line="261" w:lineRule="auto"/>
        <w:tabs>
          <w:tab w:leader="none" w:pos="6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Management Agreement and the Administration Agreement. </w:t>
      </w:r>
      <w:r>
        <w:rPr>
          <w:rFonts w:ascii="Times New Roman" w:cs="Times New Roman" w:eastAsia="Times New Roman" w:hAnsi="Times New Roman"/>
          <w:sz w:val="18"/>
          <w:szCs w:val="18"/>
          <w:color w:val="auto"/>
        </w:rPr>
        <w:t>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left="-20" w:firstLine="457"/>
        <w:spacing w:after="0" w:line="255"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Adviser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184" w:lineRule="exact"/>
        <w:rPr>
          <w:rFonts w:ascii="Times New Roman" w:cs="Times New Roman" w:eastAsia="Times New Roman" w:hAnsi="Times New Roman"/>
          <w:sz w:val="18"/>
          <w:szCs w:val="18"/>
          <w:color w:val="auto"/>
        </w:rPr>
      </w:pPr>
    </w:p>
    <w:p>
      <w:pPr>
        <w:ind w:left="-20" w:right="40" w:firstLine="457"/>
        <w:spacing w:after="0" w:line="254" w:lineRule="auto"/>
        <w:tabs>
          <w:tab w:leader="none" w:pos="6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Adviser of this Agreement and the performance by the Adviser of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40" w:top="268" w:right="339" w:bottom="1440" w:gutter="0" w:footer="0" w:header="0"/>
        </w:sectPr>
      </w:pPr>
    </w:p>
    <w:bookmarkStart w:id="21" w:name="page22"/>
    <w:bookmarkEnd w:id="21"/>
    <w:p>
      <w:pPr>
        <w:ind w:left="-20" w:right="200" w:firstLine="457"/>
        <w:spacing w:after="0" w:line="257" w:lineRule="auto"/>
        <w:tabs>
          <w:tab w:leader="none" w:pos="6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82" w:lineRule="exact"/>
        <w:rPr>
          <w:rFonts w:ascii="Times New Roman" w:cs="Times New Roman" w:eastAsia="Times New Roman" w:hAnsi="Times New Roman"/>
          <w:sz w:val="18"/>
          <w:szCs w:val="18"/>
          <w:color w:val="auto"/>
        </w:rPr>
      </w:pPr>
    </w:p>
    <w:p>
      <w:pPr>
        <w:ind w:left="-20" w:right="60" w:firstLine="457"/>
        <w:spacing w:after="0" w:line="254" w:lineRule="auto"/>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188" w:lineRule="exact"/>
        <w:rPr>
          <w:rFonts w:ascii="Times New Roman" w:cs="Times New Roman" w:eastAsia="Times New Roman" w:hAnsi="Times New Roman"/>
          <w:sz w:val="18"/>
          <w:szCs w:val="18"/>
          <w:color w:val="auto"/>
        </w:rPr>
      </w:pPr>
    </w:p>
    <w:p>
      <w:pPr>
        <w:ind w:left="-20" w:right="40" w:firstLine="457"/>
        <w:spacing w:after="0" w:line="254" w:lineRule="auto"/>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Adviser and its subsidiaries possess all licenses, certificates, permits and other authorizations issued by, and have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88" w:lineRule="exact"/>
        <w:rPr>
          <w:rFonts w:ascii="Times New Roman" w:cs="Times New Roman" w:eastAsia="Times New Roman" w:hAnsi="Times New Roman"/>
          <w:sz w:val="18"/>
          <w:szCs w:val="18"/>
          <w:color w:val="auto"/>
        </w:rPr>
      </w:pPr>
    </w:p>
    <w:p>
      <w:pPr>
        <w:ind w:left="-20" w:firstLine="457"/>
        <w:spacing w:after="0" w:line="267" w:lineRule="auto"/>
        <w:tabs>
          <w:tab w:leader="none" w:pos="6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the Adviser</w:t>
      </w:r>
      <w:r>
        <w:rPr>
          <w:rFonts w:ascii="Times New Roman" w:cs="Times New Roman" w:eastAsia="Times New Roman" w:hAnsi="Times New Roman"/>
          <w:sz w:val="18"/>
          <w:szCs w:val="18"/>
          <w:color w:val="auto"/>
        </w:rPr>
        <w:t>. The description of the Adviser and its respective principals and business in the Registration Statement,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40" w:top="268" w:right="339" w:bottom="1440" w:gutter="0" w:footer="0" w:header="0"/>
        </w:sectPr>
      </w:pPr>
    </w:p>
    <w:bookmarkStart w:id="22" w:name="page23"/>
    <w:bookmarkEnd w:id="22"/>
    <w:p>
      <w:pPr>
        <w:ind w:left="-8" w:firstLine="457"/>
        <w:spacing w:after="0" w:line="267" w:lineRule="auto"/>
        <w:tabs>
          <w:tab w:leader="none" w:pos="6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Resources</w:t>
      </w:r>
      <w:r>
        <w:rPr>
          <w:rFonts w:ascii="Times New Roman" w:cs="Times New Roman" w:eastAsia="Times New Roman" w:hAnsi="Times New Roman"/>
          <w:sz w:val="18"/>
          <w:szCs w:val="18"/>
          <w:color w:val="auto"/>
        </w:rPr>
        <w:t>. The Adviser has the financial resources available to it necessary for the performance of its services and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in the Pricing Disclosure Package, the Prospectus, and under this Agreement, the Investment Management Agreement and the Administration Agreement.</w:t>
      </w:r>
    </w:p>
    <w:p>
      <w:pPr>
        <w:spacing w:after="0" w:line="173" w:lineRule="exact"/>
        <w:rPr>
          <w:rFonts w:ascii="Times New Roman" w:cs="Times New Roman" w:eastAsia="Times New Roman" w:hAnsi="Times New Roman"/>
          <w:sz w:val="18"/>
          <w:szCs w:val="18"/>
          <w:color w:val="auto"/>
        </w:rPr>
      </w:pPr>
    </w:p>
    <w:p>
      <w:pPr>
        <w:ind w:left="-8" w:right="20" w:firstLine="457"/>
        <w:spacing w:after="0" w:line="256" w:lineRule="auto"/>
        <w:tabs>
          <w:tab w:leader="none" w:pos="7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Adviser maintains a system of internal accounting controls sufficient to provide reasonable assurance that (i)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U.S. GAAP,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182" w:lineRule="exact"/>
        <w:rPr>
          <w:rFonts w:ascii="Times New Roman" w:cs="Times New Roman" w:eastAsia="Times New Roman" w:hAnsi="Times New Roman"/>
          <w:sz w:val="18"/>
          <w:szCs w:val="18"/>
          <w:color w:val="auto"/>
        </w:rPr>
      </w:pPr>
    </w:p>
    <w:p>
      <w:pPr>
        <w:ind w:left="-8" w:right="280" w:firstLine="457"/>
        <w:spacing w:after="0" w:line="254" w:lineRule="auto"/>
        <w:tabs>
          <w:tab w:leader="none" w:pos="6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Adviser nor any of its subsidiaries nor any director, officer, or employee of the Adviser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left="-8" w:right="160" w:firstLine="8"/>
        <w:spacing w:after="0" w:line="253" w:lineRule="auto"/>
        <w:tabs>
          <w:tab w:leader="none" w:pos="3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186" w:lineRule="exact"/>
        <w:rPr>
          <w:rFonts w:ascii="Times New Roman" w:cs="Times New Roman" w:eastAsia="Times New Roman" w:hAnsi="Times New Roman"/>
          <w:sz w:val="18"/>
          <w:szCs w:val="18"/>
          <w:color w:val="auto"/>
        </w:rPr>
      </w:pPr>
    </w:p>
    <w:p>
      <w:pPr>
        <w:ind w:left="-8" w:right="240" w:firstLine="457"/>
        <w:spacing w:after="0" w:line="258" w:lineRule="auto"/>
        <w:tabs>
          <w:tab w:leader="none" w:pos="6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Adviser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1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12"/>
          </w:cols>
          <w:pgMar w:left="328" w:top="268" w:right="359" w:bottom="1440" w:gutter="0" w:footer="0" w:header="0"/>
        </w:sectPr>
      </w:pPr>
    </w:p>
    <w:bookmarkStart w:id="23" w:name="page24"/>
    <w:bookmarkEnd w:id="23"/>
    <w:p>
      <w:pPr>
        <w:ind w:left="-20" w:right="220" w:firstLine="457"/>
        <w:spacing w:after="0" w:line="258" w:lineRule="auto"/>
        <w:tabs>
          <w:tab w:leader="none" w:pos="6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Conflicts with Sanctions Laws. </w:t>
      </w:r>
      <w:r>
        <w:rPr>
          <w:rFonts w:ascii="Times New Roman" w:cs="Times New Roman" w:eastAsia="Times New Roman" w:hAnsi="Times New Roman"/>
          <w:sz w:val="18"/>
          <w:szCs w:val="18"/>
          <w:color w:val="auto"/>
        </w:rPr>
        <w:t>Neither the Adviser nor any of its subsidiaries, directors, officers or employees,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83" w:lineRule="exact"/>
        <w:rPr>
          <w:rFonts w:ascii="Times New Roman" w:cs="Times New Roman" w:eastAsia="Times New Roman" w:hAnsi="Times New Roman"/>
          <w:sz w:val="18"/>
          <w:szCs w:val="18"/>
          <w:color w:val="auto"/>
        </w:rPr>
      </w:pPr>
    </w:p>
    <w:p>
      <w:pPr>
        <w:ind w:left="-20" w:right="280" w:firstLine="457"/>
        <w:spacing w:after="0" w:line="315" w:lineRule="auto"/>
        <w:tabs>
          <w:tab w:leader="none" w:pos="68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Stabilization or Manipulation. </w:t>
      </w:r>
      <w:r>
        <w:rPr>
          <w:rFonts w:ascii="Times New Roman" w:cs="Times New Roman" w:eastAsia="Times New Roman" w:hAnsi="Times New Roman"/>
          <w:sz w:val="17"/>
          <w:szCs w:val="17"/>
          <w:color w:val="auto"/>
        </w:rPr>
        <w:t>The Adviser has not taken, directly or indirectly, without giving effect to any activities by the Underwriters,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action designed to or that would reasonably be expected to cause or result in any stabilization or manipulation of the price of the Securities.</w:t>
      </w:r>
    </w:p>
    <w:p>
      <w:pPr>
        <w:spacing w:after="0" w:line="134" w:lineRule="exact"/>
        <w:rPr>
          <w:rFonts w:ascii="Times New Roman" w:cs="Times New Roman" w:eastAsia="Times New Roman" w:hAnsi="Times New Roman"/>
          <w:sz w:val="17"/>
          <w:szCs w:val="17"/>
          <w:color w:val="auto"/>
        </w:rPr>
      </w:pPr>
    </w:p>
    <w:p>
      <w:pPr>
        <w:jc w:val="both"/>
        <w:ind w:left="-20" w:right="280" w:firstLine="457"/>
        <w:spacing w:after="0" w:line="261"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Key Employees. </w:t>
      </w:r>
      <w:r>
        <w:rPr>
          <w:rFonts w:ascii="Times New Roman" w:cs="Times New Roman" w:eastAsia="Times New Roman" w:hAnsi="Times New Roman"/>
          <w:sz w:val="18"/>
          <w:szCs w:val="18"/>
          <w:color w:val="auto"/>
        </w:rPr>
        <w:t>The Adviser is not aware that (i) any of its executives, key employees or significant group of employees plans to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179" w:lineRule="exact"/>
        <w:rPr>
          <w:rFonts w:ascii="Times New Roman" w:cs="Times New Roman" w:eastAsia="Times New Roman" w:hAnsi="Times New Roman"/>
          <w:sz w:val="18"/>
          <w:szCs w:val="18"/>
          <w:color w:val="auto"/>
        </w:rPr>
      </w:pPr>
    </w:p>
    <w:p>
      <w:pPr>
        <w:ind w:left="-20" w:right="100" w:firstLine="457"/>
        <w:spacing w:after="0" w:line="261" w:lineRule="auto"/>
        <w:tabs>
          <w:tab w:leader="none" w:pos="6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Adviser or any of its subsidiaries exists 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left="-20" w:firstLine="457"/>
        <w:spacing w:after="0" w:line="256" w:lineRule="auto"/>
        <w:tabs>
          <w:tab w:leader="none" w:pos="6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430B or Rule 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w:t>
      </w:r>
    </w:p>
    <w:p>
      <w:pPr>
        <w:spacing w:after="0" w:line="182" w:lineRule="exact"/>
        <w:rPr>
          <w:rFonts w:ascii="Times New Roman" w:cs="Times New Roman" w:eastAsia="Times New Roman" w:hAnsi="Times New Roman"/>
          <w:sz w:val="18"/>
          <w:szCs w:val="18"/>
          <w:color w:val="auto"/>
        </w:rPr>
      </w:pPr>
    </w:p>
    <w:p>
      <w:pPr>
        <w:jc w:val="both"/>
        <w:ind w:left="-20" w:right="60" w:firstLine="457"/>
        <w:spacing w:after="0" w:line="290" w:lineRule="auto"/>
        <w:tabs>
          <w:tab w:leader="none" w:pos="68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Delivery of Copies. </w:t>
      </w:r>
      <w:r>
        <w:rPr>
          <w:rFonts w:ascii="Times New Roman" w:cs="Times New Roman" w:eastAsia="Times New Roman" w:hAnsi="Times New Roman"/>
          <w:sz w:val="17"/>
          <w:szCs w:val="17"/>
          <w:color w:val="auto"/>
        </w:rPr>
        <w:t>The Company will deliver, without charge, (i) to the Representative, electronic signed copies of the Registration Statement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40" w:top="268" w:right="339" w:bottom="1440" w:gutter="0" w:footer="0" w:header="0"/>
        </w:sectPr>
      </w:pPr>
    </w:p>
    <w:bookmarkStart w:id="24" w:name="page25"/>
    <w:bookmarkEnd w:id="24"/>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174" w:lineRule="exact"/>
        <w:rPr>
          <w:sz w:val="20"/>
          <w:szCs w:val="20"/>
          <w:color w:val="auto"/>
        </w:rPr>
      </w:pPr>
    </w:p>
    <w:p>
      <w:pPr>
        <w:jc w:val="both"/>
        <w:ind w:right="520" w:firstLine="457"/>
        <w:spacing w:after="0" w:line="261" w:lineRule="auto"/>
        <w:tabs>
          <w:tab w:leader="none" w:pos="6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w:t>
      </w:r>
      <w:r>
        <w:rPr>
          <w:rFonts w:ascii="Times New Roman" w:cs="Times New Roman" w:eastAsia="Times New Roman" w:hAnsi="Times New Roman"/>
          <w:sz w:val="18"/>
          <w:szCs w:val="18"/>
          <w:color w:val="auto"/>
        </w:rPr>
        <w:t>Before using, authorizing, approving, referring to or filing any amendment or supplement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w:t>
      </w:r>
    </w:p>
    <w:p>
      <w:pPr>
        <w:spacing w:after="0" w:line="179" w:lineRule="exact"/>
        <w:rPr>
          <w:rFonts w:ascii="Times New Roman" w:cs="Times New Roman" w:eastAsia="Times New Roman" w:hAnsi="Times New Roman"/>
          <w:sz w:val="18"/>
          <w:szCs w:val="18"/>
          <w:color w:val="auto"/>
        </w:rPr>
      </w:pPr>
    </w:p>
    <w:p>
      <w:pPr>
        <w:ind w:right="100" w:firstLine="457"/>
        <w:spacing w:after="0" w:line="267" w:lineRule="auto"/>
        <w:tabs>
          <w:tab w:leader="none" w:pos="7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 Materials</w:t>
      </w:r>
      <w:r>
        <w:rPr>
          <w:rFonts w:ascii="Times New Roman" w:cs="Times New Roman" w:eastAsia="Times New Roman" w:hAnsi="Times New Roman"/>
          <w:sz w:val="18"/>
          <w:szCs w:val="18"/>
          <w:color w:val="auto"/>
        </w:rPr>
        <w:t>. Before using, authorizing, approving, referring to or distributing any Marketing Materials,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and counsel for the Underwriters a copy of such materials for review and will not use, authorize, approve, refer to or distribute any such materials to which the Representative reasonably objects in a timely manner.</w:t>
      </w:r>
    </w:p>
    <w:p>
      <w:pPr>
        <w:spacing w:after="0" w:line="173" w:lineRule="exact"/>
        <w:rPr>
          <w:rFonts w:ascii="Times New Roman" w:cs="Times New Roman" w:eastAsia="Times New Roman" w:hAnsi="Times New Roman"/>
          <w:sz w:val="18"/>
          <w:szCs w:val="18"/>
          <w:color w:val="auto"/>
        </w:rPr>
      </w:pPr>
    </w:p>
    <w:p>
      <w:pPr>
        <w:ind w:firstLine="457"/>
        <w:spacing w:after="0" w:line="252" w:lineRule="auto"/>
        <w:tabs>
          <w:tab w:leader="none" w:pos="6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(i) when any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any Marketing Materials or the Prospectus or the initiation or threatening of any proceeding for that purpose or pursuant to Section 8A of the Securities Act; (v) 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 the Prospectus or suspending any such qualification of the Securities and, if any such order is issued, will use commercially reasonable efforts to obtain as soon as possible the withdrawal thereof.</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270" w:right="339" w:bottom="1440" w:gutter="0" w:footer="0" w:header="0"/>
        </w:sectPr>
      </w:pPr>
    </w:p>
    <w:bookmarkStart w:id="25" w:name="page26"/>
    <w:bookmarkEnd w:id="25"/>
    <w:p>
      <w:pPr>
        <w:ind w:left="-20" w:firstLine="457"/>
        <w:spacing w:after="0" w:line="252"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95" w:lineRule="exact"/>
        <w:rPr>
          <w:rFonts w:ascii="Times New Roman" w:cs="Times New Roman" w:eastAsia="Times New Roman" w:hAnsi="Times New Roman"/>
          <w:sz w:val="18"/>
          <w:szCs w:val="18"/>
          <w:color w:val="auto"/>
        </w:rPr>
      </w:pPr>
    </w:p>
    <w:p>
      <w:pPr>
        <w:ind w:left="-20" w:right="220" w:firstLine="457"/>
        <w:spacing w:after="0" w:line="258" w:lineRule="auto"/>
        <w:tabs>
          <w:tab w:leader="none" w:pos="6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use commercially reasonable efforts, in cooperation with the Representative, to qualify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offer and sale under the securities or Blue Sky laws of such jurisdictions as the Representative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color w:val="auto"/>
        </w:rPr>
      </w:pPr>
    </w:p>
    <w:p>
      <w:pPr>
        <w:ind w:left="-20" w:right="120" w:firstLine="457"/>
        <w:spacing w:after="0" w:line="258" w:lineRule="auto"/>
        <w:tabs>
          <w:tab w:leader="none" w:pos="6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 as soon as practicable an 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40" w:top="268" w:right="359" w:bottom="1440" w:gutter="0" w:footer="0" w:header="0"/>
        </w:sectPr>
      </w:pPr>
    </w:p>
    <w:bookmarkStart w:id="26" w:name="page27"/>
    <w:bookmarkEnd w:id="26"/>
    <w:p>
      <w:pPr>
        <w:ind w:firstLine="457"/>
        <w:spacing w:after="0" w:line="256" w:lineRule="auto"/>
        <w:tabs>
          <w:tab w:leader="none" w:pos="6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Clear Market. </w:t>
      </w:r>
      <w:r>
        <w:rPr>
          <w:rFonts w:ascii="Times New Roman" w:cs="Times New Roman" w:eastAsia="Times New Roman" w:hAnsi="Times New Roman"/>
          <w:sz w:val="18"/>
          <w:szCs w:val="18"/>
          <w:color w:val="auto"/>
        </w:rPr>
        <w:t>Through the Closing Date, the Company will not (i) offer, pledge, sell, contract to sell, sell any option or contract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Underwriters, other than the Securities to be sold hereunder for purposes of interest rate hedging.</w:t>
      </w:r>
    </w:p>
    <w:p>
      <w:pPr>
        <w:spacing w:after="0" w:line="182" w:lineRule="exact"/>
        <w:rPr>
          <w:rFonts w:ascii="Times New Roman" w:cs="Times New Roman" w:eastAsia="Times New Roman" w:hAnsi="Times New Roman"/>
          <w:sz w:val="18"/>
          <w:szCs w:val="18"/>
          <w:color w:val="auto"/>
        </w:rPr>
      </w:pPr>
    </w:p>
    <w:p>
      <w:pPr>
        <w:ind w:right="480" w:firstLine="457"/>
        <w:spacing w:after="0" w:line="284" w:lineRule="auto"/>
        <w:tabs>
          <w:tab w:leader="none" w:pos="6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apply the net proceeds from the sale of the Securities in all material respects as described in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under the heading “Use of Proceeds.”</w:t>
      </w:r>
    </w:p>
    <w:p>
      <w:pPr>
        <w:spacing w:after="0" w:line="158" w:lineRule="exact"/>
        <w:rPr>
          <w:rFonts w:ascii="Times New Roman" w:cs="Times New Roman" w:eastAsia="Times New Roman" w:hAnsi="Times New Roman"/>
          <w:sz w:val="18"/>
          <w:szCs w:val="18"/>
          <w:color w:val="auto"/>
        </w:rPr>
      </w:pPr>
    </w:p>
    <w:p>
      <w:pPr>
        <w:ind w:right="200" w:firstLine="457"/>
        <w:spacing w:after="0" w:line="315" w:lineRule="auto"/>
        <w:tabs>
          <w:tab w:leader="none" w:pos="70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Stabilization or Manipulation. </w:t>
      </w:r>
      <w:r>
        <w:rPr>
          <w:rFonts w:ascii="Times New Roman" w:cs="Times New Roman" w:eastAsia="Times New Roman" w:hAnsi="Times New Roman"/>
          <w:sz w:val="17"/>
          <w:szCs w:val="17"/>
          <w:color w:val="auto"/>
        </w:rPr>
        <w:t>The Company will not take, directly or indirectly, without giving effect to any activities by the Underwriters,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action designed, or that would reasonably be expected, to cause or result in any stabilization or manipulation of the price of the Securities.</w:t>
      </w:r>
    </w:p>
    <w:p>
      <w:pPr>
        <w:spacing w:after="0" w:line="134" w:lineRule="exact"/>
        <w:rPr>
          <w:rFonts w:ascii="Times New Roman" w:cs="Times New Roman" w:eastAsia="Times New Roman" w:hAnsi="Times New Roman"/>
          <w:sz w:val="17"/>
          <w:szCs w:val="17"/>
          <w:color w:val="auto"/>
        </w:rPr>
      </w:pPr>
    </w:p>
    <w:p>
      <w:pPr>
        <w:ind w:right="280" w:firstLine="457"/>
        <w:spacing w:after="0" w:line="258" w:lineRule="auto"/>
        <w:tabs>
          <w:tab w:leader="none" w:pos="6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one year from the date of this Agreement, so long as the Securities are outstanding,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EDGAR.</w:t>
      </w:r>
    </w:p>
    <w:p>
      <w:pPr>
        <w:spacing w:after="0" w:line="183" w:lineRule="exact"/>
        <w:rPr>
          <w:rFonts w:ascii="Times New Roman" w:cs="Times New Roman" w:eastAsia="Times New Roman" w:hAnsi="Times New Roman"/>
          <w:sz w:val="18"/>
          <w:szCs w:val="18"/>
          <w:color w:val="auto"/>
        </w:rPr>
      </w:pPr>
    </w:p>
    <w:p>
      <w:pPr>
        <w:ind w:firstLine="457"/>
        <w:spacing w:after="0" w:line="261" w:lineRule="auto"/>
        <w:tabs>
          <w:tab w:leader="none" w:pos="7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w:t>
      </w:r>
      <w:r>
        <w:rPr>
          <w:rFonts w:ascii="Times New Roman" w:cs="Times New Roman" w:eastAsia="Times New Roman" w:hAnsi="Times New Roman"/>
          <w:sz w:val="18"/>
          <w:szCs w:val="18"/>
          <w:color w:val="auto"/>
        </w:rPr>
        <w:t>. The Company, during a period of twelve months from the date of the Prospectus, will use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reasonable efforts to maintain its status as a business development company under the Investment Company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179" w:lineRule="exact"/>
        <w:rPr>
          <w:rFonts w:ascii="Times New Roman" w:cs="Times New Roman" w:eastAsia="Times New Roman" w:hAnsi="Times New Roman"/>
          <w:sz w:val="18"/>
          <w:szCs w:val="18"/>
          <w:color w:val="auto"/>
        </w:rPr>
      </w:pPr>
    </w:p>
    <w:p>
      <w:pPr>
        <w:ind w:firstLine="457"/>
        <w:spacing w:after="0" w:line="267" w:lineRule="auto"/>
        <w:tabs>
          <w:tab w:leader="none" w:pos="7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Regulated Investment Company. </w:t>
      </w:r>
      <w:r>
        <w:rPr>
          <w:rFonts w:ascii="Times New Roman" w:cs="Times New Roman" w:eastAsia="Times New Roman" w:hAnsi="Times New Roman"/>
          <w:sz w:val="18"/>
          <w:szCs w:val="18"/>
          <w:color w:val="auto"/>
        </w:rPr>
        <w:t>The Company will use commercially reasonable efforts to maintain in effect its qualification and election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regulated investment company under Subchapter M of the Code for each taxable year during which it is a business development company under the Investment Company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268" w:right="339" w:bottom="1440" w:gutter="0" w:footer="0" w:header="0"/>
        </w:sectPr>
      </w:pPr>
    </w:p>
    <w:bookmarkStart w:id="27" w:name="page28"/>
    <w:bookmarkEnd w:id="27"/>
    <w:p>
      <w:pPr>
        <w:ind w:right="200" w:firstLine="457"/>
        <w:spacing w:after="0" w:line="258" w:lineRule="auto"/>
        <w:tabs>
          <w:tab w:leader="none" w:pos="7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Compliance Reviews</w:t>
      </w:r>
      <w:r>
        <w:rPr>
          <w:rFonts w:ascii="Times New Roman" w:cs="Times New Roman" w:eastAsia="Times New Roman" w:hAnsi="Times New Roman"/>
          <w:sz w:val="18"/>
          <w:szCs w:val="18"/>
          <w:color w:val="auto"/>
        </w:rPr>
        <w:t>. The Company will retain qualified accountants and qualified tax experts (i) to test procedures and conduct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183" w:lineRule="exact"/>
        <w:rPr>
          <w:rFonts w:ascii="Times New Roman" w:cs="Times New Roman" w:eastAsia="Times New Roman" w:hAnsi="Times New Roman"/>
          <w:sz w:val="18"/>
          <w:szCs w:val="18"/>
          <w:color w:val="auto"/>
        </w:rPr>
      </w:pPr>
    </w:p>
    <w:p>
      <w:pPr>
        <w:ind w:firstLine="457"/>
        <w:spacing w:after="0" w:line="256" w:lineRule="auto"/>
        <w:tabs>
          <w:tab w:leader="none" w:pos="7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represents and agrees that, without the prior consent of the Representative (i) it will not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offering material other than the Registration Statement, the Pricing Disclosure Package, the Prospectus or the information set forth on Schedule 2 hereto, and (ii) it has not made and will not make any offer 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warrants and agrees that:</w:t>
      </w:r>
    </w:p>
    <w:p>
      <w:pPr>
        <w:spacing w:after="0" w:line="117" w:lineRule="exact"/>
        <w:rPr>
          <w:sz w:val="20"/>
          <w:szCs w:val="20"/>
          <w:color w:val="auto"/>
        </w:rPr>
      </w:pPr>
    </w:p>
    <w:p>
      <w:pPr>
        <w:ind w:right="100" w:firstLine="457"/>
        <w:spacing w:after="0" w:line="261" w:lineRule="auto"/>
        <w:tabs>
          <w:tab w:leader="none" w:pos="6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w:t>
      </w:r>
    </w:p>
    <w:p>
      <w:pPr>
        <w:spacing w:after="0" w:line="179" w:lineRule="exact"/>
        <w:rPr>
          <w:rFonts w:ascii="Times New Roman" w:cs="Times New Roman" w:eastAsia="Times New Roman" w:hAnsi="Times New Roman"/>
          <w:sz w:val="18"/>
          <w:szCs w:val="18"/>
          <w:color w:val="auto"/>
        </w:rPr>
      </w:pPr>
    </w:p>
    <w:p>
      <w:pPr>
        <w:ind w:right="280" w:firstLine="457"/>
        <w:spacing w:after="0" w:line="282" w:lineRule="auto"/>
        <w:tabs>
          <w:tab w:leader="none" w:pos="7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62" w:lineRule="exact"/>
        <w:rPr>
          <w:sz w:val="20"/>
          <w:szCs w:val="20"/>
          <w:color w:val="auto"/>
        </w:rPr>
      </w:pPr>
    </w:p>
    <w:p>
      <w:pPr>
        <w:ind w:right="140" w:firstLine="457"/>
        <w:spacing w:after="0" w:line="282" w:lineRule="auto"/>
        <w:tabs>
          <w:tab w:leader="none" w:pos="6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Securities on the Closing Date as provided herein is subject to the performance by the Company of its covenants and other obligations hereunder and to the following additional conditions:</w:t>
      </w:r>
    </w:p>
    <w:p>
      <w:pPr>
        <w:spacing w:after="0" w:line="160" w:lineRule="exact"/>
        <w:rPr>
          <w:sz w:val="20"/>
          <w:szCs w:val="20"/>
          <w:color w:val="auto"/>
        </w:rPr>
      </w:pPr>
    </w:p>
    <w:p>
      <w:pPr>
        <w:jc w:val="both"/>
        <w:ind w:right="40" w:firstLine="457"/>
        <w:spacing w:after="0" w:line="261" w:lineRule="auto"/>
        <w:tabs>
          <w:tab w:leader="none" w:pos="6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or any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268" w:right="339" w:bottom="1440" w:gutter="0" w:footer="0" w:header="0"/>
        </w:sectPr>
      </w:pPr>
    </w:p>
    <w:bookmarkStart w:id="28" w:name="page29"/>
    <w:bookmarkEnd w:id="28"/>
    <w:p>
      <w:pPr>
        <w:ind w:left="-40" w:right="80" w:firstLine="457"/>
        <w:spacing w:after="0" w:line="267" w:lineRule="auto"/>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Representations and Warranties. </w:t>
      </w:r>
      <w:r>
        <w:rPr>
          <w:rFonts w:ascii="Times New Roman" w:cs="Times New Roman" w:eastAsia="Times New Roman" w:hAnsi="Times New Roman"/>
          <w:sz w:val="18"/>
          <w:szCs w:val="18"/>
          <w:color w:val="auto"/>
        </w:rPr>
        <w:t>The representations and warranties of the Company and the Adviser contained herein shall be true and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hereof and on and as of the Closing Date; and the statements of the Company and its officers made in any certificates delivered pursuant to this Agreement shall be true and correct on and as of the Closing Date.</w:t>
      </w:r>
    </w:p>
    <w:p>
      <w:pPr>
        <w:spacing w:after="0" w:line="173" w:lineRule="exact"/>
        <w:rPr>
          <w:rFonts w:ascii="Times New Roman" w:cs="Times New Roman" w:eastAsia="Times New Roman" w:hAnsi="Times New Roman"/>
          <w:sz w:val="18"/>
          <w:szCs w:val="18"/>
          <w:color w:val="auto"/>
        </w:rPr>
      </w:pPr>
    </w:p>
    <w:p>
      <w:pPr>
        <w:ind w:left="-40" w:right="40" w:firstLine="457"/>
        <w:spacing w:after="0" w:line="258"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3(g) and Section 4(a) hereof shall have occurred or shall exist,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on the terms and in the manner contemplated by this Agreement, the Pricing Disclosure Package and the Prospectus.</w:t>
      </w:r>
    </w:p>
    <w:p>
      <w:pPr>
        <w:spacing w:after="0" w:line="183" w:lineRule="exact"/>
        <w:rPr>
          <w:rFonts w:ascii="Times New Roman" w:cs="Times New Roman" w:eastAsia="Times New Roman" w:hAnsi="Times New Roman"/>
          <w:sz w:val="18"/>
          <w:szCs w:val="18"/>
          <w:color w:val="auto"/>
        </w:rPr>
      </w:pPr>
    </w:p>
    <w:p>
      <w:pPr>
        <w:ind w:left="-40" w:right="40" w:firstLine="457"/>
        <w:spacing w:after="0" w:line="255" w:lineRule="auto"/>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Company’s Officer’s Certificate. </w:t>
      </w:r>
      <w:r>
        <w:rPr>
          <w:rFonts w:ascii="Times New Roman" w:cs="Times New Roman" w:eastAsia="Times New Roman" w:hAnsi="Times New Roman"/>
          <w:sz w:val="18"/>
          <w:szCs w:val="18"/>
          <w:color w:val="auto"/>
        </w:rPr>
        <w:t>The Representative shall have received on and as of the Closing Date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Registration Statement, the Pricing Disclosure Package and the Prospectus, (ii) confirming that, to the knowledge of such officers, the representations and warranties of the Company in Sections 3(b), 3(c) and 3(e)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to the effect set forth in paragraph (a) above and, with respect to the Company and its subsidiaries, to the effect set forth in paragraph (c) above.</w:t>
      </w:r>
    </w:p>
    <w:p>
      <w:pPr>
        <w:spacing w:after="0" w:line="184" w:lineRule="exact"/>
        <w:rPr>
          <w:rFonts w:ascii="Times New Roman" w:cs="Times New Roman" w:eastAsia="Times New Roman" w:hAnsi="Times New Roman"/>
          <w:sz w:val="18"/>
          <w:szCs w:val="18"/>
          <w:color w:val="auto"/>
        </w:rPr>
      </w:pPr>
    </w:p>
    <w:p>
      <w:pPr>
        <w:ind w:left="-40" w:right="140" w:firstLine="457"/>
        <w:spacing w:after="0" w:line="258"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Adviser’s Officer’s Certificate. </w:t>
      </w:r>
      <w:r>
        <w:rPr>
          <w:rFonts w:ascii="Times New Roman" w:cs="Times New Roman" w:eastAsia="Times New Roman" w:hAnsi="Times New Roman"/>
          <w:sz w:val="18"/>
          <w:szCs w:val="18"/>
          <w:color w:val="auto"/>
        </w:rPr>
        <w:t>The Representative shall have received on and as of the Closing Date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 (ii) with respect to the Adviser and its subsidiaries, to the effect set forth in paragraph (c) above.</w:t>
      </w:r>
    </w:p>
    <w:p>
      <w:pPr>
        <w:spacing w:after="0" w:line="183" w:lineRule="exact"/>
        <w:rPr>
          <w:rFonts w:ascii="Times New Roman" w:cs="Times New Roman" w:eastAsia="Times New Roman" w:hAnsi="Times New Roman"/>
          <w:sz w:val="18"/>
          <w:szCs w:val="18"/>
          <w:color w:val="auto"/>
        </w:rPr>
      </w:pPr>
    </w:p>
    <w:p>
      <w:pPr>
        <w:ind w:left="-40" w:firstLine="457"/>
        <w:spacing w:after="0" w:line="257" w:lineRule="auto"/>
        <w:tabs>
          <w:tab w:leader="none" w:pos="6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KPMG LLP shall have furnished to the Representative, at the request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shall use a “cut-off” date no more than three business days prior to the Closing Date.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360" w:top="268" w:right="359" w:bottom="1440" w:gutter="0" w:footer="0" w:header="0"/>
        </w:sectPr>
      </w:pPr>
    </w:p>
    <w:bookmarkStart w:id="29" w:name="page30"/>
    <w:bookmarkEnd w:id="29"/>
    <w:p>
      <w:pPr>
        <w:ind w:left="-40" w:right="280" w:firstLine="457"/>
        <w:spacing w:after="0" w:line="256" w:lineRule="auto"/>
        <w:tabs>
          <w:tab w:leader="none" w:pos="6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Opinion and 10b-5 Statement of Counsel for the Company and Adviser. </w:t>
      </w:r>
      <w:r>
        <w:rPr>
          <w:rFonts w:ascii="Times New Roman" w:cs="Times New Roman" w:eastAsia="Times New Roman" w:hAnsi="Times New Roman"/>
          <w:sz w:val="18"/>
          <w:szCs w:val="18"/>
          <w:color w:val="auto"/>
        </w:rPr>
        <w:t>Simpson Thacher &amp; Bartlett LLP, counsel for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shall have furnished to the Representative, at the request of the Company and the Adviser, their written opinions and 10b-5 letter, dated the Closing Date and addressed to the Underwriters, in form and substance reasonably satisfactory to the Representative. Morris, Nichols, Arsht &amp; Tunnell LLP, Delaware counsel for the Adviser, shall have furnished to the Representative, at the request of the Adviser, their written opinion, dated the Closing Date and addressed to the Underwriters, in form and substance reasonably satisfactory to the Representative. In-house counsel to the Company and the Adviser, shall have furnished to the Representative its written opinion, dated the Closing Date and addressed to the Underwriters, in form and substance reasonably satisfactory to the Representative.</w:t>
      </w:r>
    </w:p>
    <w:p>
      <w:pPr>
        <w:spacing w:after="0" w:line="182" w:lineRule="exact"/>
        <w:rPr>
          <w:rFonts w:ascii="Times New Roman" w:cs="Times New Roman" w:eastAsia="Times New Roman" w:hAnsi="Times New Roman"/>
          <w:sz w:val="18"/>
          <w:szCs w:val="18"/>
          <w:color w:val="auto"/>
        </w:rPr>
      </w:pPr>
    </w:p>
    <w:p>
      <w:pPr>
        <w:ind w:left="-40" w:right="140" w:firstLine="457"/>
        <w:spacing w:after="0" w:line="267" w:lineRule="auto"/>
        <w:tabs>
          <w:tab w:leader="none" w:pos="6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 shall have received on and as of the Closing Date an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10b-5 statement of Ropes &amp; Gray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173" w:lineRule="exact"/>
        <w:rPr>
          <w:rFonts w:ascii="Times New Roman" w:cs="Times New Roman" w:eastAsia="Times New Roman" w:hAnsi="Times New Roman"/>
          <w:sz w:val="18"/>
          <w:szCs w:val="18"/>
          <w:color w:val="auto"/>
        </w:rPr>
      </w:pPr>
    </w:p>
    <w:p>
      <w:pPr>
        <w:ind w:left="-40" w:right="200" w:firstLine="457"/>
        <w:spacing w:after="0" w:line="261" w:lineRule="auto"/>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prevent the issuance and sale of the Securities; and no injunction or order of any federal, state or foreign court shall have been issued that would, as of the Closing Date, prevent the issuance and sale of the Securities.</w:t>
      </w:r>
    </w:p>
    <w:p>
      <w:pPr>
        <w:spacing w:after="0" w:line="179" w:lineRule="exact"/>
        <w:rPr>
          <w:rFonts w:ascii="Times New Roman" w:cs="Times New Roman" w:eastAsia="Times New Roman" w:hAnsi="Times New Roman"/>
          <w:sz w:val="18"/>
          <w:szCs w:val="18"/>
          <w:color w:val="auto"/>
        </w:rPr>
      </w:pPr>
    </w:p>
    <w:p>
      <w:pPr>
        <w:ind w:left="-40" w:right="20" w:firstLine="457"/>
        <w:spacing w:after="0" w:line="261" w:lineRule="auto"/>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 shall have received on and as of the Closing Date reasonably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color w:val="auto"/>
        </w:rPr>
      </w:pPr>
    </w:p>
    <w:p>
      <w:pPr>
        <w:ind w:left="-40" w:right="40" w:firstLine="457"/>
        <w:spacing w:after="0" w:line="284" w:lineRule="auto"/>
        <w:tabs>
          <w:tab w:leader="none" w:pos="6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Supplemental Indenture and Securities</w:t>
      </w:r>
      <w:r>
        <w:rPr>
          <w:rFonts w:ascii="Times New Roman" w:cs="Times New Roman" w:eastAsia="Times New Roman" w:hAnsi="Times New Roman"/>
          <w:sz w:val="18"/>
          <w:szCs w:val="18"/>
          <w:color w:val="auto"/>
        </w:rPr>
        <w:t>. On or prior to the Closing Date, the Company and the Trustee shall have executed and delivered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Supplemental Indenture and the Securities.</w:t>
      </w:r>
    </w:p>
    <w:p>
      <w:pPr>
        <w:spacing w:after="0" w:line="158" w:lineRule="exact"/>
        <w:rPr>
          <w:rFonts w:ascii="Times New Roman" w:cs="Times New Roman" w:eastAsia="Times New Roman" w:hAnsi="Times New Roman"/>
          <w:sz w:val="18"/>
          <w:szCs w:val="18"/>
          <w:color w:val="auto"/>
        </w:rPr>
      </w:pPr>
    </w:p>
    <w:p>
      <w:pPr>
        <w:ind w:left="-40" w:firstLine="457"/>
        <w:spacing w:after="0" w:line="258" w:lineRule="auto"/>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Applicable Time and (B) the execution and delivery of this Agreement, if there are any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360" w:top="268" w:right="359" w:bottom="1440" w:gutter="0" w:footer="0" w:header="0"/>
        </w:sectPr>
      </w:pPr>
    </w:p>
    <w:bookmarkStart w:id="30" w:name="page31"/>
    <w:bookmarkEnd w:id="30"/>
    <w:p>
      <w:pPr>
        <w:ind w:right="360" w:firstLine="457"/>
        <w:spacing w:after="0" w:line="284" w:lineRule="auto"/>
        <w:tabs>
          <w:tab w:leader="none" w:pos="7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Documents. </w:t>
      </w:r>
      <w:r>
        <w:rPr>
          <w:rFonts w:ascii="Times New Roman" w:cs="Times New Roman" w:eastAsia="Times New Roman" w:hAnsi="Times New Roman"/>
          <w:sz w:val="18"/>
          <w:szCs w:val="18"/>
          <w:color w:val="auto"/>
        </w:rPr>
        <w:t>On or prior to the Closing Date, the Company shall have furnished to the Representative such further certificates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as the Representative may reasonably request.</w:t>
      </w:r>
    </w:p>
    <w:p>
      <w:pPr>
        <w:spacing w:after="0" w:line="160"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40" w:hanging="18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0" w:firstLine="457"/>
        <w:spacing w:after="0" w:line="253" w:lineRule="auto"/>
        <w:tabs>
          <w:tab w:leader="none" w:pos="6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w:t>
      </w:r>
    </w:p>
    <w:p>
      <w:pPr>
        <w:spacing w:after="0" w:line="185" w:lineRule="exact"/>
        <w:rPr>
          <w:rFonts w:ascii="Times New Roman" w:cs="Times New Roman" w:eastAsia="Times New Roman" w:hAnsi="Times New Roman"/>
          <w:sz w:val="18"/>
          <w:szCs w:val="18"/>
          <w:color w:val="auto"/>
        </w:rPr>
      </w:pPr>
    </w:p>
    <w:p>
      <w:pPr>
        <w:ind w:firstLine="457"/>
        <w:spacing w:after="0" w:line="255" w:lineRule="auto"/>
        <w:tabs>
          <w:tab w:leader="none" w:pos="7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the Company, its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Issuer Free Writing Prospectus, any road show, any Marketing Materials or any Pricing Disclosure Package (including any Pricing Disclosure Package that has subsequently been amended), it being understood and agreed upon that the only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268" w:right="339" w:bottom="1440" w:gutter="0" w:footer="0" w:header="0"/>
        </w:sectPr>
      </w:pPr>
    </w:p>
    <w:bookmarkStart w:id="31" w:name="page32"/>
    <w:bookmarkEnd w:id="31"/>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first and second sentences of the sixth paragraph and the information regarding stabilizing transactions contained in the first and second sentences of the eleventh paragraph, the first sentence of the twelfth paragraph and the second sentence of the thirteenth paragraph.</w:t>
      </w:r>
    </w:p>
    <w:p>
      <w:pPr>
        <w:spacing w:after="0" w:line="178" w:lineRule="exact"/>
        <w:rPr>
          <w:sz w:val="20"/>
          <w:szCs w:val="20"/>
          <w:color w:val="auto"/>
        </w:rPr>
      </w:pPr>
    </w:p>
    <w:p>
      <w:pPr>
        <w:ind w:firstLine="457"/>
        <w:spacing w:after="0" w:line="251" w:lineRule="auto"/>
        <w:tabs>
          <w:tab w:leader="none" w:pos="6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 brought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270" w:right="359" w:bottom="1440" w:gutter="0" w:footer="0" w:header="0"/>
        </w:sectPr>
      </w:pPr>
    </w:p>
    <w:bookmarkStart w:id="32" w:name="page33"/>
    <w:bookmarkEnd w:id="32"/>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6" w:lineRule="exact"/>
        <w:rPr>
          <w:sz w:val="20"/>
          <w:szCs w:val="20"/>
          <w:color w:val="auto"/>
        </w:rPr>
      </w:pPr>
    </w:p>
    <w:p>
      <w:pPr>
        <w:ind w:firstLine="457"/>
        <w:spacing w:after="0" w:line="252" w:lineRule="auto"/>
        <w:tabs>
          <w:tab w:leader="none" w:pos="7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and (b) above is unavailable to an Indemnified Person or insufficient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95" w:lineRule="exact"/>
        <w:rPr>
          <w:rFonts w:ascii="Times New Roman" w:cs="Times New Roman" w:eastAsia="Times New Roman" w:hAnsi="Times New Roman"/>
          <w:sz w:val="18"/>
          <w:szCs w:val="18"/>
          <w:color w:val="auto"/>
        </w:rPr>
      </w:pPr>
    </w:p>
    <w:p>
      <w:pPr>
        <w:ind w:left="700" w:hanging="243"/>
        <w:spacing w:after="0"/>
        <w:tabs>
          <w:tab w:leader="none" w:pos="7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paragraph</w:t>
      </w:r>
    </w:p>
    <w:p>
      <w:pPr>
        <w:spacing w:after="0" w:line="29" w:lineRule="exact"/>
        <w:rPr>
          <w:rFonts w:ascii="Times New Roman" w:cs="Times New Roman" w:eastAsia="Times New Roman" w:hAnsi="Times New Roman"/>
          <w:sz w:val="18"/>
          <w:szCs w:val="18"/>
          <w:color w:val="auto"/>
        </w:rPr>
      </w:pPr>
    </w:p>
    <w:p>
      <w:pPr>
        <w:ind w:firstLine="8"/>
        <w:spacing w:after="0" w:line="255"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270" w:right="339" w:bottom="1440" w:gutter="0" w:footer="0" w:header="0"/>
        </w:sectPr>
      </w:pPr>
    </w:p>
    <w:bookmarkStart w:id="33" w:name="page34"/>
    <w:bookmarkEnd w:id="3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90" w:lineRule="exact"/>
        <w:rPr>
          <w:sz w:val="20"/>
          <w:szCs w:val="20"/>
          <w:color w:val="auto"/>
        </w:rPr>
      </w:pPr>
    </w:p>
    <w:p>
      <w:pPr>
        <w:ind w:right="40" w:firstLine="457"/>
        <w:spacing w:after="0" w:line="284" w:lineRule="auto"/>
        <w:tabs>
          <w:tab w:leader="none" w:pos="6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8 paragraphs (a) through (e) are not exclusive and shall not limit any rights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remedies which may otherwise be available to any Indemnified Person at law or in equity.</w:t>
      </w:r>
    </w:p>
    <w:p>
      <w:pPr>
        <w:spacing w:after="0" w:line="160" w:lineRule="exact"/>
        <w:rPr>
          <w:sz w:val="20"/>
          <w:szCs w:val="20"/>
          <w:color w:val="auto"/>
        </w:rPr>
      </w:pPr>
    </w:p>
    <w:p>
      <w:pPr>
        <w:ind w:left="640" w:hanging="18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rFonts w:ascii="Times New Roman" w:cs="Times New Roman" w:eastAsia="Times New Roman" w:hAnsi="Times New Roman"/>
          <w:sz w:val="18"/>
          <w:szCs w:val="18"/>
          <w:color w:val="auto"/>
        </w:rPr>
      </w:pPr>
    </w:p>
    <w:p>
      <w:pPr>
        <w:ind w:right="40" w:firstLine="457"/>
        <w:spacing w:after="0" w:line="254" w:lineRule="auto"/>
        <w:tabs>
          <w:tab w:leader="none" w:pos="7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on the terms and in the manner contemplated by this Agreement, the Pricing Disclosure Package and the Prospectus.</w:t>
      </w:r>
    </w:p>
    <w:p>
      <w:pPr>
        <w:spacing w:after="0" w:line="191"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7"/>
        <w:spacing w:after="0" w:line="255" w:lineRule="auto"/>
        <w:tabs>
          <w:tab w:leader="none" w:pos="6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270" w:right="35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180" w:lineRule="exact"/>
        <w:rPr>
          <w:sz w:val="20"/>
          <w:szCs w:val="20"/>
          <w:color w:val="auto"/>
        </w:rPr>
      </w:pPr>
    </w:p>
    <w:p>
      <w:pPr>
        <w:ind w:right="20" w:firstLine="457"/>
        <w:spacing w:after="0" w:line="256" w:lineRule="auto"/>
        <w:tabs>
          <w:tab w:leader="none" w:pos="7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right="100" w:firstLine="457"/>
        <w:spacing w:after="0" w:line="256" w:lineRule="auto"/>
        <w:tabs>
          <w:tab w:leader="none" w:pos="6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exceeds one-eleventh of the aggregate principal amount of Securities to be purchased on such date,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87" w:lineRule="exact"/>
        <w:rPr>
          <w:rFonts w:ascii="Times New Roman" w:cs="Times New Roman" w:eastAsia="Times New Roman" w:hAnsi="Times New Roman"/>
          <w:sz w:val="18"/>
          <w:szCs w:val="18"/>
          <w:color w:val="auto"/>
        </w:rPr>
      </w:pPr>
    </w:p>
    <w:p>
      <w:pPr>
        <w:ind w:right="220" w:firstLine="457"/>
        <w:spacing w:after="0" w:line="282" w:lineRule="auto"/>
        <w:tabs>
          <w:tab w:leader="none" w:pos="7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720" w:hanging="263"/>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40" w:firstLine="457"/>
        <w:spacing w:after="0" w:line="257" w:lineRule="auto"/>
        <w:tabs>
          <w:tab w:leader="none" w:pos="6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2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incident to the preparation, printing and filing under the Securities Act of the Registration Statement, the Preliminary Prospectus, any Pricing Disclosure Package, any Marketing Materials and the Prospectus (including all exhibits, amendments and supplements thereto) and the distribution thereof;</w:t>
      </w:r>
    </w:p>
    <w:p>
      <w:pPr>
        <w:ind w:right="480" w:firstLine="8"/>
        <w:spacing w:after="0" w:line="255" w:lineRule="auto"/>
        <w:tabs>
          <w:tab w:leader="none" w:pos="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 may designate with the prior approval of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270" w:right="359" w:bottom="1440" w:gutter="0" w:footer="0" w:header="0"/>
        </w:sectPr>
      </w:pPr>
    </w:p>
    <w:bookmarkStart w:id="35" w:name="page36"/>
    <w:bookmarkEnd w:id="3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(such approval not to be unreasonably withheld, conditioned or delayed) (including the related reasonable and documented fees and expenses of counsel for the Underwriters); (v) all filing fees and the reasonable fees and expenses incurred in connection with any filing with, and clearance of the offering by, FINRA (such fees and expenses pursuant to this clause (v) and clause (iv), in the aggregate, shall not exceed $15,000); (vi) all expenses incurred by the Company in connection with any “road show” presentation to potential investors,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Underwriters shall be responsible for 50% of the third party costs of any chartered private aircraft incurred in connection with such road show; and (vii) the fees and expenses of the Trustee with respect to the Securities.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 party costs of any chartered private aircraft incurred in connection with the road show and all travel, lodging and other expenses of the Underwriters incurred by them in connection with any road show.</w:t>
      </w:r>
    </w:p>
    <w:p>
      <w:pPr>
        <w:spacing w:after="0" w:line="188" w:lineRule="exact"/>
        <w:rPr>
          <w:sz w:val="20"/>
          <w:szCs w:val="20"/>
          <w:color w:val="auto"/>
        </w:rPr>
      </w:pPr>
    </w:p>
    <w:p>
      <w:pPr>
        <w:ind w:left="720" w:hanging="263"/>
        <w:spacing w:after="0"/>
        <w:tabs>
          <w:tab w:leader="none" w:pos="7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this Agreement is terminated pursuant to Section 10 (other than as a result of a termination pursuant to clauses (i), (iii) or (iv) of Section 10),</w:t>
      </w:r>
    </w:p>
    <w:p>
      <w:pPr>
        <w:spacing w:after="0" w:line="38" w:lineRule="exact"/>
        <w:rPr>
          <w:rFonts w:ascii="Times New Roman" w:cs="Times New Roman" w:eastAsia="Times New Roman" w:hAnsi="Times New Roman"/>
          <w:sz w:val="17"/>
          <w:szCs w:val="17"/>
          <w:color w:val="auto"/>
        </w:rPr>
      </w:pPr>
    </w:p>
    <w:p>
      <w:pPr>
        <w:ind w:right="40" w:firstLine="8"/>
        <w:spacing w:after="0" w:line="253"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87" w:lineRule="exact"/>
        <w:rPr>
          <w:sz w:val="20"/>
          <w:szCs w:val="20"/>
          <w:color w:val="auto"/>
        </w:rPr>
      </w:pPr>
    </w:p>
    <w:p>
      <w:pPr>
        <w:ind w:right="40" w:firstLine="457"/>
        <w:spacing w:after="0" w:line="261" w:lineRule="auto"/>
        <w:tabs>
          <w:tab w:leader="none" w:pos="7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79" w:lineRule="exact"/>
        <w:rPr>
          <w:rFonts w:ascii="Times New Roman" w:cs="Times New Roman" w:eastAsia="Times New Roman" w:hAnsi="Times New Roman"/>
          <w:sz w:val="18"/>
          <w:szCs w:val="18"/>
          <w:color w:val="auto"/>
        </w:rPr>
      </w:pPr>
    </w:p>
    <w:p>
      <w:pPr>
        <w:jc w:val="both"/>
        <w:ind w:right="120" w:firstLine="457"/>
        <w:spacing w:after="0" w:line="261" w:lineRule="auto"/>
        <w:tabs>
          <w:tab w:leader="none" w:pos="7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79" w:lineRule="exact"/>
        <w:rPr>
          <w:rFonts w:ascii="Times New Roman" w:cs="Times New Roman" w:eastAsia="Times New Roman" w:hAnsi="Times New Roman"/>
          <w:sz w:val="18"/>
          <w:szCs w:val="18"/>
          <w:color w:val="auto"/>
        </w:rPr>
      </w:pPr>
    </w:p>
    <w:p>
      <w:pPr>
        <w:ind w:right="140" w:firstLine="457"/>
        <w:spacing w:after="0" w:line="266" w:lineRule="auto"/>
        <w:tabs>
          <w:tab w:leader="none" w:pos="7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270" w:right="359" w:bottom="1440" w:gutter="0" w:footer="0" w:header="0"/>
        </w:sectPr>
      </w:pPr>
    </w:p>
    <w:bookmarkStart w:id="36" w:name="page37"/>
    <w:bookmarkEnd w:id="36"/>
    <w:p>
      <w:pPr>
        <w:ind w:left="700" w:hanging="263"/>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60" w:firstLine="457"/>
        <w:spacing w:after="0" w:line="261" w:lineRule="auto"/>
        <w:tabs>
          <w:tab w:leader="none" w:pos="6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20" w:right="160" w:firstLine="457"/>
        <w:spacing w:after="0" w:line="261" w:lineRule="auto"/>
        <w:tabs>
          <w:tab w:leader="none" w:pos="6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20" w:firstLine="457"/>
        <w:spacing w:after="0" w:line="255" w:lineRule="auto"/>
        <w:tabs>
          <w:tab w:leader="none" w:pos="6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ind w:left="700" w:hanging="263"/>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0" w:right="40" w:firstLine="457"/>
        <w:spacing w:after="0" w:line="258" w:lineRule="auto"/>
        <w:tabs>
          <w:tab w:leader="none" w:pos="6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confirmed by any standard form of telecommunication. Notices to the Underwriters shall be given to the Representative c/o BofA Securities, Inc. 114 W 47th St., NY8-114-07-01, New York, New York 10036, Facsimile: (646) 855-5958 Attention: High Grade Transaction Management/Legal. Notices to the Company or the Adviser shall be given to either of them at Sixth Street Specialty Lending, Inc., 345 California Street, Suite 3300, San Francisco, California 94104 (fax: (415) 486-5929), Attention: Joshua Peck.</w:t>
      </w:r>
    </w:p>
    <w:p>
      <w:pPr>
        <w:spacing w:after="0" w:line="183" w:lineRule="exact"/>
        <w:rPr>
          <w:rFonts w:ascii="Times New Roman" w:cs="Times New Roman" w:eastAsia="Times New Roman" w:hAnsi="Times New Roman"/>
          <w:sz w:val="18"/>
          <w:szCs w:val="18"/>
          <w:color w:val="auto"/>
        </w:rPr>
      </w:pPr>
    </w:p>
    <w:p>
      <w:pPr>
        <w:ind w:left="-20" w:right="40" w:firstLine="457"/>
        <w:spacing w:after="0" w:line="267" w:lineRule="auto"/>
        <w:tabs>
          <w:tab w:leader="none" w:pos="6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40" w:top="270" w:right="339" w:bottom="1440" w:gutter="0" w:footer="0" w:header="0"/>
        </w:sectPr>
      </w:pPr>
    </w:p>
    <w:bookmarkStart w:id="37" w:name="page38"/>
    <w:bookmarkEnd w:id="37"/>
    <w:p>
      <w:pPr>
        <w:ind w:left="-20" w:right="520" w:firstLine="457"/>
        <w:spacing w:after="0" w:line="284" w:lineRule="auto"/>
        <w:tabs>
          <w:tab w:leader="none" w:pos="6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applicable to agreements made and to be performed in such state.</w:t>
      </w:r>
    </w:p>
    <w:p>
      <w:pPr>
        <w:spacing w:after="0" w:line="158" w:lineRule="exact"/>
        <w:rPr>
          <w:rFonts w:ascii="Times New Roman" w:cs="Times New Roman" w:eastAsia="Times New Roman" w:hAnsi="Times New Roman"/>
          <w:sz w:val="18"/>
          <w:szCs w:val="18"/>
          <w:color w:val="auto"/>
        </w:rPr>
      </w:pPr>
    </w:p>
    <w:p>
      <w:pPr>
        <w:ind w:left="-20" w:firstLine="457"/>
        <w:spacing w:after="0" w:line="258" w:lineRule="auto"/>
        <w:tabs>
          <w:tab w:leader="none" w:pos="6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one or more counterparts, each of which shall constitute an original and all of which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20" w:right="200" w:firstLine="457"/>
        <w:spacing w:after="0" w:line="284" w:lineRule="auto"/>
        <w:tabs>
          <w:tab w:leader="none" w:pos="6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 therefrom,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20" w:right="480" w:firstLine="457"/>
        <w:spacing w:after="0" w:line="284"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rFonts w:ascii="Times New Roman" w:cs="Times New Roman" w:eastAsia="Times New Roman" w:hAnsi="Times New Roman"/>
          <w:sz w:val="18"/>
          <w:szCs w:val="18"/>
          <w:color w:val="auto"/>
        </w:rPr>
      </w:pPr>
    </w:p>
    <w:p>
      <w:pPr>
        <w:ind w:left="-20" w:right="300" w:firstLine="457"/>
        <w:spacing w:after="0" w:line="267" w:lineRule="auto"/>
        <w:tabs>
          <w:tab w:leader="none" w:pos="6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of the Representative</w:t>
      </w:r>
      <w:r>
        <w:rPr>
          <w:rFonts w:ascii="Times New Roman" w:cs="Times New Roman" w:eastAsia="Times New Roman" w:hAnsi="Times New Roman"/>
          <w:sz w:val="18"/>
          <w:szCs w:val="18"/>
          <w:color w:val="auto"/>
        </w:rPr>
        <w:t>. The Representative is duly authorized to act hereunder on behalf of the other Underwriters. Any action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hereunder may be taken by the Representative on behalf of the Underwriters, and any such action taken by the Representative shall be binding on all the Underwriters.</w:t>
      </w:r>
    </w:p>
    <w:p>
      <w:pPr>
        <w:spacing w:after="0" w:line="17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 below.</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40" w:top="268" w:right="339" w:bottom="1440" w:gutter="0" w:footer="0" w:header="0"/>
        </w:sectPr>
      </w:pPr>
    </w:p>
    <w:bookmarkStart w:id="38" w:name="page39"/>
    <w:bookmarkEnd w:id="38"/>
    <w:p>
      <w:pPr>
        <w:ind w:left="5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SIXTH STREET SPECIALTY LENDING ADVISERS, LLC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060"/>
          </w:cols>
          <w:pgMar w:left="1440" w:top="270"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itself and the several Underwriters listed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Timothy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6485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Timothy Stephens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139"/>
          </w:cols>
          <w:pgMar w:left="320" w:top="270"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Securities to be paid by the several Underwriters shall be 98.036% of the aggregate principal amount thereof.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338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Principal Amount of</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5560" w:type="dxa"/>
            <w:vAlign w:val="bottom"/>
          </w:tcPr>
          <w:p>
            <w:pPr>
              <w:spacing w:after="0"/>
              <w:rPr>
                <w:sz w:val="15"/>
                <w:szCs w:val="15"/>
                <w:color w:val="auto"/>
              </w:rPr>
            </w:pPr>
          </w:p>
        </w:tc>
        <w:tc>
          <w:tcPr>
            <w:tcW w:w="158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Securities to be Purchased</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5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57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7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57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7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57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HSCB Securities (USA) Inc.</w:t>
            </w:r>
          </w:p>
        </w:tc>
        <w:tc>
          <w:tcPr>
            <w:tcW w:w="57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57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7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57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57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57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57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6,125,000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57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6,125,000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57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57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57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57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Hovde Group, LLC</w:t>
            </w:r>
          </w:p>
        </w:tc>
        <w:tc>
          <w:tcPr>
            <w:tcW w:w="57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570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570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16"/>
        </w:trPr>
        <w:tc>
          <w:tcPr>
            <w:tcW w:w="4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350,000,000</w:t>
            </w: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5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S-1-1</w:t>
            </w: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52" w:lineRule="exact"/>
        <w:rPr>
          <w:sz w:val="20"/>
          <w:szCs w:val="20"/>
          <w:color w:val="auto"/>
        </w:rPr>
      </w:pPr>
    </w:p>
    <w:p>
      <w:pPr>
        <w:ind w:left="460" w:right="260" w:hanging="452"/>
        <w:spacing w:after="0" w:line="28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January 8, 2024, containing the terms governing the Securities, substantially in the form of Annex A to this Agreement, filed with the Commission on January 8, 2024 pursuant to Rule 433.</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27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252"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 Lending, LLC</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SL SPV, LLC</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SL Holdings, LLC</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Sub, LLC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27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6.125% Notes due 2029</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8, 2024</w:t>
      </w:r>
    </w:p>
    <w:p>
      <w:pPr>
        <w:spacing w:after="0" w:line="207"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following sets forth the final terms of the 6.125% Notes due 2029 and should only be read together with the preliminary prospectus supplement dated January 8, 2024, together with the accompanying prospectus dated December 22, 2023,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240"/>
          </w:cols>
          <w:pgMar w:left="320" w:top="266" w:right="33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Ratings (Moody’s/S&amp;P/Fitch)*: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 (Issue Price):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 (Interest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 and Yield: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 (the “Issuer”)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6.125% Notes due 2029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2029, unless earlier repurchased or redeemed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2024</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Notes will be issued at a price of 99.036% of their principal amount, plus accrued interest, if any, from January 16,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6.345%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T+240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3.750% due December 31, 2028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99-04 / 3.945%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and September 1, commencing September 1, 2024</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Prior to February 1, 2029 (the “Par Call Date”), equal to the greater of the following amounts, plus, in each case, accrued and unpaid interest thereon to the redemption date:</w:t>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 (a) the sum of the present values of the remaining scheduled payments of principal and interest thereon,</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discounted to the redemption date (assuming the Notes matured on the Par Call Date) on a semi-annual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basis (assuming a 360-day year consisting of twelve 30-day months) at the Treasury Rate plus 40 basis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points less (b) interest accrued to the date of redemption; and</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 100% of the principal amount of the Notes to be redeemed;</w:t>
      </w:r>
    </w:p>
    <w:p>
      <w:pPr>
        <w:sectPr>
          <w:pgSz w:w="11900" w:h="16838" w:orient="portrait"/>
          <w:cols w:equalWidth="0" w:num="2">
            <w:col w:w="2740" w:space="540"/>
            <w:col w:w="7960"/>
          </w:cols>
          <w:pgMar w:left="320" w:top="266" w:right="339" w:bottom="1440" w:gutter="0" w:footer="0" w:header="0"/>
          <w:type w:val="continuous"/>
        </w:sectPr>
      </w:pPr>
    </w:p>
    <w:bookmarkStart w:id="44" w:name="page45"/>
    <w:bookmarkEnd w:id="44"/>
    <w:p>
      <w:pPr>
        <w:jc w:val="both"/>
        <w:ind w:left="328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w:t>
      </w:r>
      <w:r>
        <w:rPr>
          <w:rFonts w:ascii="Times New Roman" w:cs="Times New Roman" w:eastAsia="Times New Roman" w:hAnsi="Times New Roman"/>
          <w:sz w:val="18"/>
          <w:szCs w:val="18"/>
          <w:color w:val="auto"/>
        </w:rPr>
        <w:t>, that if the Issuer redeems any Notes on or after the Par Call Date, the redemption price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will be equal to 100% of the principal amount of the Notes to be redeemed, plus accrued and unpaid interest thereon to the date of redemption.</w:t>
      </w:r>
    </w:p>
    <w:p>
      <w:pPr>
        <w:sectPr>
          <w:pgSz w:w="11900" w:h="16838" w:orient="portrait"/>
          <w:cols w:equalWidth="0" w:num="1">
            <w:col w:w="11220"/>
          </w:cols>
          <w:pgMar w:left="320" w:top="376" w:right="35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Holders have the right to require the Issuer to repurchase the Notes at 100% of their principal amount plus accrued and unpaid interest, if any, in the event of a change of control repurchase event.</w:t>
      </w:r>
    </w:p>
    <w:p>
      <w:pPr>
        <w:spacing w:after="0" w:line="54" w:lineRule="exact"/>
        <w:rPr>
          <w:sz w:val="20"/>
          <w:szCs w:val="20"/>
          <w:color w:val="auto"/>
        </w:rPr>
      </w:pPr>
    </w:p>
    <w:p>
      <w:pPr>
        <w:sectPr>
          <w:pgSz w:w="11900" w:h="16838" w:orient="portrait"/>
          <w:cols w:equalWidth="0" w:num="2">
            <w:col w:w="2560" w:space="720"/>
            <w:col w:w="7940"/>
          </w:cols>
          <w:pgMar w:left="320" w:top="37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16, 2024 (T+5)</w:t>
      </w:r>
    </w:p>
    <w:p>
      <w:pPr>
        <w:spacing w:after="0" w:line="128" w:lineRule="exact"/>
        <w:rPr>
          <w:sz w:val="20"/>
          <w:szCs w:val="20"/>
          <w:color w:val="auto"/>
        </w:rPr>
      </w:pPr>
    </w:p>
    <w:p>
      <w:pPr>
        <w:sectPr>
          <w:pgSz w:w="11900" w:h="16838" w:orient="portrait"/>
          <w:cols w:equalWidth="0" w:num="2">
            <w:col w:w="2560" w:space="720"/>
            <w:col w:w="7940"/>
          </w:cols>
          <w:pgMar w:left="320" w:top="37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8" w:lineRule="exact"/>
        <w:rPr>
          <w:sz w:val="20"/>
          <w:szCs w:val="20"/>
          <w:color w:val="auto"/>
        </w:rPr>
      </w:pPr>
    </w:p>
    <w:p>
      <w:pPr>
        <w:sectPr>
          <w:pgSz w:w="11900" w:h="16838" w:orient="portrait"/>
          <w:cols w:equalWidth="0" w:num="2">
            <w:col w:w="2560" w:space="720"/>
            <w:col w:w="7940"/>
          </w:cols>
          <w:pgMar w:left="320" w:top="37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83012AAC3</w:t>
      </w:r>
    </w:p>
    <w:p>
      <w:pPr>
        <w:spacing w:after="0" w:line="117" w:lineRule="exact"/>
        <w:rPr>
          <w:sz w:val="20"/>
          <w:szCs w:val="20"/>
          <w:color w:val="auto"/>
        </w:rPr>
      </w:pPr>
    </w:p>
    <w:p>
      <w:pPr>
        <w:sectPr>
          <w:pgSz w:w="11900" w:h="16838" w:orient="portrait"/>
          <w:cols w:equalWidth="0" w:num="2">
            <w:col w:w="2560" w:space="720"/>
            <w:col w:w="7940"/>
          </w:cols>
          <w:pgMar w:left="320" w:top="37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US83012AAC36</w:t>
      </w:r>
    </w:p>
    <w:p>
      <w:pPr>
        <w:spacing w:after="0" w:line="128" w:lineRule="exact"/>
        <w:rPr>
          <w:sz w:val="20"/>
          <w:szCs w:val="20"/>
          <w:color w:val="auto"/>
        </w:rPr>
      </w:pPr>
    </w:p>
    <w:p>
      <w:pPr>
        <w:sectPr>
          <w:pgSz w:w="11900" w:h="16838" w:orient="portrait"/>
          <w:cols w:equalWidth="0" w:num="2">
            <w:col w:w="2560" w:space="720"/>
            <w:col w:w="7940"/>
          </w:cols>
          <w:pgMar w:left="320" w:top="37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112" w:lineRule="exact"/>
        <w:rPr>
          <w:sz w:val="20"/>
          <w:szCs w:val="20"/>
          <w:color w:val="auto"/>
        </w:rPr>
      </w:pPr>
    </w:p>
    <w:p>
      <w:pPr>
        <w:sectPr>
          <w:pgSz w:w="11900" w:h="16838" w:orient="portrait"/>
          <w:cols w:equalWidth="0" w:num="2">
            <w:col w:w="2560" w:space="720"/>
            <w:col w:w="7940"/>
          </w:cols>
          <w:pgMar w:left="320" w:top="37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Raymond James &amp; Associates,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Hovde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200" w:lineRule="exact"/>
        <w:rPr>
          <w:sz w:val="20"/>
          <w:szCs w:val="20"/>
          <w:color w:val="auto"/>
        </w:rPr>
      </w:pPr>
    </w:p>
    <w:p>
      <w:pPr>
        <w:sectPr>
          <w:pgSz w:w="11900" w:h="16838" w:orient="portrait"/>
          <w:cols w:equalWidth="0" w:num="2">
            <w:col w:w="2560" w:space="720"/>
            <w:col w:w="7940"/>
          </w:cols>
          <w:pgMar w:left="320" w:top="376" w:right="359" w:bottom="1440" w:gutter="0" w:footer="0" w:header="0"/>
          <w:type w:val="continuous"/>
        </w:sectPr>
      </w:pPr>
    </w:p>
    <w:p>
      <w:pPr>
        <w:spacing w:after="0" w:line="47"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131" w:lineRule="exact"/>
        <w:rPr>
          <w:sz w:val="20"/>
          <w:szCs w:val="20"/>
          <w:color w:val="auto"/>
        </w:rPr>
      </w:pPr>
    </w:p>
    <w:p>
      <w:pPr>
        <w:ind w:left="460" w:hanging="452"/>
        <w:spacing w:after="0" w:line="256"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that delivery of the Notes will be made to investors on or about January 16, 2024, which will be the fifth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92" w:lineRule="exact"/>
        <w:rPr>
          <w:rFonts w:ascii="Times New Roman" w:cs="Times New Roman" w:eastAsia="Times New Roman" w:hAnsi="Times New Roman"/>
          <w:sz w:val="18"/>
          <w:szCs w:val="18"/>
          <w:color w:val="auto"/>
        </w:rPr>
      </w:pPr>
    </w:p>
    <w:p>
      <w:pPr>
        <w:ind w:left="460" w:hanging="452"/>
        <w:spacing w:after="0" w:line="258"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20"/>
          </w:cols>
          <w:pgMar w:left="320" w:top="376" w:right="359" w:bottom="1440" w:gutter="0" w:footer="0" w:header="0"/>
          <w:type w:val="continuous"/>
        </w:sectPr>
      </w:pPr>
    </w:p>
    <w:bookmarkStart w:id="45" w:name="page46"/>
    <w:bookmarkEnd w:id="45"/>
    <w:p>
      <w:pP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w:t>
      </w:r>
    </w:p>
    <w:p>
      <w:pPr>
        <w:spacing w:after="0" w:line="17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Alternatively, the Issuer, any underwriter or any dealer participating in the offering will arrange to send you the prospectus and the prospectus supplement if you request them by calling BofA Securities, Inc. at 1-800-294-1322.</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60"/>
          </w:cols>
          <w:pgMar w:left="320" w:top="266" w:right="4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3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 January 16, 2024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Providing for the Issuance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ectPr>
          <w:pgSz w:w="11900" w:h="16838" w:orient="portrait"/>
          <w:cols w:equalWidth="0" w:num="1">
            <w:col w:w="10120"/>
          </w:cols>
          <w:pgMar w:left="1440" w:top="11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58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60" w:type="dxa"/>
            <w:vAlign w:val="bottom"/>
          </w:tcPr>
          <w:p>
            <w:pPr>
              <w:spacing w:after="0"/>
              <w:rPr>
                <w:sz w:val="20"/>
                <w:szCs w:val="20"/>
                <w:color w:val="auto"/>
              </w:rPr>
            </w:pPr>
          </w:p>
        </w:tc>
      </w:tr>
      <w:tr>
        <w:trPr>
          <w:trHeight w:val="459"/>
        </w:trPr>
        <w:tc>
          <w:tcPr>
            <w:tcW w:w="1140" w:type="dxa"/>
            <w:vAlign w:val="bottom"/>
          </w:tcPr>
          <w:p>
            <w:pPr>
              <w:spacing w:after="0"/>
              <w:rPr>
                <w:sz w:val="24"/>
                <w:szCs w:val="24"/>
                <w:color w:val="auto"/>
              </w:rPr>
            </w:pPr>
          </w:p>
        </w:tc>
        <w:tc>
          <w:tcPr>
            <w:tcW w:w="858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ARTICLE ONE</w:t>
            </w:r>
          </w:p>
        </w:tc>
        <w:tc>
          <w:tcPr>
            <w:tcW w:w="146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5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DEFINITIONS AND OTHER PROVISIONS OF GENERAL APPLICATION</w:t>
            </w:r>
          </w:p>
        </w:tc>
        <w:tc>
          <w:tcPr>
            <w:tcW w:w="1460" w:type="dxa"/>
            <w:vAlign w:val="bottom"/>
          </w:tcPr>
          <w:p>
            <w:pPr>
              <w:spacing w:after="0"/>
              <w:rPr>
                <w:sz w:val="24"/>
                <w:szCs w:val="24"/>
                <w:color w:val="auto"/>
              </w:rPr>
            </w:pPr>
          </w:p>
        </w:tc>
      </w:tr>
      <w:tr>
        <w:trPr>
          <w:trHeight w:val="30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Certificates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Acts of 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Etc., to Trustee and Company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to Holders; Waiver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Headings and Table of Contents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Successors and Assigns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Separability Clause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of Indenture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Holidays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Jury Trial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U.S.A. Patriot Act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20" w:top="266" w:right="3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8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ARTICLE TWO</w:t>
            </w:r>
          </w:p>
        </w:tc>
        <w:tc>
          <w:tcPr>
            <w:tcW w:w="2180" w:type="dxa"/>
            <w:vAlign w:val="bottom"/>
          </w:tcPr>
          <w:p>
            <w:pPr>
              <w:spacing w:after="0"/>
              <w:rPr>
                <w:sz w:val="20"/>
                <w:szCs w:val="20"/>
                <w:color w:val="auto"/>
              </w:rPr>
            </w:pPr>
          </w:p>
        </w:tc>
      </w:tr>
      <w:tr>
        <w:trPr>
          <w:trHeight w:val="324"/>
        </w:trPr>
        <w:tc>
          <w:tcPr>
            <w:tcW w:w="1140" w:type="dxa"/>
            <w:vAlign w:val="bottom"/>
          </w:tcPr>
          <w:p>
            <w:pPr>
              <w:spacing w:after="0"/>
              <w:rPr>
                <w:sz w:val="24"/>
                <w:szCs w:val="24"/>
                <w:color w:val="auto"/>
              </w:rPr>
            </w:pPr>
          </w:p>
        </w:tc>
        <w:tc>
          <w:tcPr>
            <w:tcW w:w="78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SECURITIES FORMS</w:t>
            </w:r>
          </w:p>
        </w:tc>
        <w:tc>
          <w:tcPr>
            <w:tcW w:w="2180" w:type="dxa"/>
            <w:vAlign w:val="bottom"/>
          </w:tcPr>
          <w:p>
            <w:pPr>
              <w:spacing w:after="0"/>
              <w:rPr>
                <w:sz w:val="24"/>
                <w:szCs w:val="24"/>
                <w:color w:val="auto"/>
              </w:rPr>
            </w:pPr>
          </w:p>
        </w:tc>
      </w:tr>
      <w:tr>
        <w:trPr>
          <w:trHeight w:val="30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Forms of 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Issuable in Global Form</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Certificated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1140" w:type="dxa"/>
            <w:vAlign w:val="bottom"/>
          </w:tcPr>
          <w:p>
            <w:pPr>
              <w:spacing w:after="0"/>
              <w:rPr>
                <w:sz w:val="24"/>
                <w:szCs w:val="24"/>
                <w:color w:val="auto"/>
              </w:rPr>
            </w:pPr>
          </w:p>
        </w:tc>
        <w:tc>
          <w:tcPr>
            <w:tcW w:w="78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ARTICLE THREE</w:t>
            </w:r>
          </w:p>
        </w:tc>
        <w:tc>
          <w:tcPr>
            <w:tcW w:w="21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78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THE SECURITIES</w:t>
            </w:r>
          </w:p>
        </w:tc>
        <w:tc>
          <w:tcPr>
            <w:tcW w:w="2180" w:type="dxa"/>
            <w:vAlign w:val="bottom"/>
          </w:tcPr>
          <w:p>
            <w:pPr>
              <w:spacing w:after="0"/>
              <w:rPr>
                <w:sz w:val="24"/>
                <w:szCs w:val="24"/>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Denominations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Temporary 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Registration, Registration of Transfer and Exchange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Interest; Interest Rights Preserved; Optional Interest Reset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Optional Extension of Maturity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Persons Deemed Owners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Interest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and Manner of Payments in Respect of 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and Resignation of Successor Exchange Rate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CUSIP Numbers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40" w:type="dxa"/>
            <w:vAlign w:val="bottom"/>
          </w:tcPr>
          <w:p>
            <w:pPr>
              <w:spacing w:after="0"/>
              <w:rPr>
                <w:sz w:val="24"/>
                <w:szCs w:val="24"/>
                <w:color w:val="auto"/>
              </w:rPr>
            </w:pPr>
          </w:p>
        </w:tc>
        <w:tc>
          <w:tcPr>
            <w:tcW w:w="78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ARTICLE FOUR</w:t>
            </w:r>
          </w:p>
        </w:tc>
        <w:tc>
          <w:tcPr>
            <w:tcW w:w="21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78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2180" w:type="dxa"/>
            <w:vAlign w:val="bottom"/>
          </w:tcPr>
          <w:p>
            <w:pPr>
              <w:spacing w:after="0"/>
              <w:rPr>
                <w:sz w:val="24"/>
                <w:szCs w:val="24"/>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Application of Trust Funds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40" w:type="dxa"/>
            <w:vAlign w:val="bottom"/>
          </w:tcPr>
          <w:p>
            <w:pPr>
              <w:spacing w:after="0"/>
              <w:rPr>
                <w:sz w:val="24"/>
                <w:szCs w:val="24"/>
                <w:color w:val="auto"/>
              </w:rPr>
            </w:pPr>
          </w:p>
        </w:tc>
        <w:tc>
          <w:tcPr>
            <w:tcW w:w="78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ARTICLE FIVE</w:t>
            </w:r>
          </w:p>
        </w:tc>
        <w:tc>
          <w:tcPr>
            <w:tcW w:w="21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78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REMEDIES</w:t>
            </w:r>
          </w:p>
        </w:tc>
        <w:tc>
          <w:tcPr>
            <w:tcW w:w="2180" w:type="dxa"/>
            <w:vAlign w:val="bottom"/>
          </w:tcPr>
          <w:p>
            <w:pPr>
              <w:spacing w:after="0"/>
              <w:rPr>
                <w:sz w:val="24"/>
                <w:szCs w:val="24"/>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Events of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 on Suits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Unconditional Right of Holders to Receive Principal, Premium and Interest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80"/>
          </w:cols>
          <w:pgMar w:left="320" w:top="270" w:right="3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 by Holders of Securities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Past Defaults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Stay or Extension Laws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Undertaking for Costs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32"/>
        </w:trPr>
        <w:tc>
          <w:tcPr>
            <w:tcW w:w="1140" w:type="dxa"/>
            <w:vAlign w:val="bottom"/>
          </w:tcPr>
          <w:p>
            <w:pPr>
              <w:spacing w:after="0"/>
              <w:rPr>
                <w:sz w:val="24"/>
                <w:szCs w:val="24"/>
                <w:color w:val="auto"/>
              </w:rPr>
            </w:pPr>
          </w:p>
        </w:tc>
        <w:tc>
          <w:tcPr>
            <w:tcW w:w="84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ARTICLE SIX</w:t>
            </w:r>
          </w:p>
        </w:tc>
        <w:tc>
          <w:tcPr>
            <w:tcW w:w="15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4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THE TRUSTEE</w:t>
            </w:r>
          </w:p>
        </w:tc>
        <w:tc>
          <w:tcPr>
            <w:tcW w:w="1580" w:type="dxa"/>
            <w:vAlign w:val="bottom"/>
          </w:tcPr>
          <w:p>
            <w:pPr>
              <w:spacing w:after="0"/>
              <w:rPr>
                <w:sz w:val="24"/>
                <w:szCs w:val="24"/>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Defaults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Responsible for Recitals or Issuance of Securities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Hold Securities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Held in Trust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Reimbursement and Indemnification of Trustee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32"/>
        </w:trPr>
        <w:tc>
          <w:tcPr>
            <w:tcW w:w="1140" w:type="dxa"/>
            <w:vAlign w:val="bottom"/>
          </w:tcPr>
          <w:p>
            <w:pPr>
              <w:spacing w:after="0"/>
              <w:rPr>
                <w:sz w:val="24"/>
                <w:szCs w:val="24"/>
                <w:color w:val="auto"/>
              </w:rPr>
            </w:pPr>
          </w:p>
        </w:tc>
        <w:tc>
          <w:tcPr>
            <w:tcW w:w="84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ARTICLE SEVEN</w:t>
            </w:r>
          </w:p>
        </w:tc>
        <w:tc>
          <w:tcPr>
            <w:tcW w:w="15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4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HOLDERS’ LISTS AND REPORTS BY TRUSTEE AND COMPANY</w:t>
            </w:r>
          </w:p>
        </w:tc>
        <w:tc>
          <w:tcPr>
            <w:tcW w:w="1580" w:type="dxa"/>
            <w:vAlign w:val="bottom"/>
          </w:tcPr>
          <w:p>
            <w:pPr>
              <w:spacing w:after="0"/>
              <w:rPr>
                <w:sz w:val="24"/>
                <w:szCs w:val="24"/>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of Names and Addresses of 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Preservation of Information; Communications to 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Reports by Trustee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Reports by Company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of Original Issue Discount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32"/>
        </w:trPr>
        <w:tc>
          <w:tcPr>
            <w:tcW w:w="1140" w:type="dxa"/>
            <w:vAlign w:val="bottom"/>
          </w:tcPr>
          <w:p>
            <w:pPr>
              <w:spacing w:after="0"/>
              <w:rPr>
                <w:sz w:val="24"/>
                <w:szCs w:val="24"/>
                <w:color w:val="auto"/>
              </w:rPr>
            </w:pPr>
          </w:p>
        </w:tc>
        <w:tc>
          <w:tcPr>
            <w:tcW w:w="84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ARTICLE EIGHT</w:t>
            </w:r>
          </w:p>
        </w:tc>
        <w:tc>
          <w:tcPr>
            <w:tcW w:w="15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4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CONSOLIDATION, MERGER, CONVEYANCE OR TRANSFER</w:t>
            </w:r>
          </w:p>
        </w:tc>
        <w:tc>
          <w:tcPr>
            <w:tcW w:w="1580" w:type="dxa"/>
            <w:vAlign w:val="bottom"/>
          </w:tcPr>
          <w:p>
            <w:pPr>
              <w:spacing w:after="0"/>
              <w:rPr>
                <w:sz w:val="24"/>
                <w:szCs w:val="24"/>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Consolidation or Sale of Assets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 Person Substituted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32"/>
        </w:trPr>
        <w:tc>
          <w:tcPr>
            <w:tcW w:w="1140" w:type="dxa"/>
            <w:vAlign w:val="bottom"/>
          </w:tcPr>
          <w:p>
            <w:pPr>
              <w:spacing w:after="0"/>
              <w:rPr>
                <w:sz w:val="24"/>
                <w:szCs w:val="24"/>
                <w:color w:val="auto"/>
              </w:rPr>
            </w:pPr>
          </w:p>
        </w:tc>
        <w:tc>
          <w:tcPr>
            <w:tcW w:w="84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ARTICLE NINE</w:t>
            </w:r>
          </w:p>
        </w:tc>
        <w:tc>
          <w:tcPr>
            <w:tcW w:w="15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4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SUPPLEMENTAL INDENTURES</w:t>
            </w:r>
          </w:p>
        </w:tc>
        <w:tc>
          <w:tcPr>
            <w:tcW w:w="1580" w:type="dxa"/>
            <w:vAlign w:val="bottom"/>
          </w:tcPr>
          <w:p>
            <w:pPr>
              <w:spacing w:after="0"/>
              <w:rPr>
                <w:sz w:val="24"/>
                <w:szCs w:val="24"/>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Conformity With Trust Indenture Act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in Securities to Supplemental Indentures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80"/>
          </w:cols>
          <w:pgMar w:left="320" w:top="270" w:right="399" w:bottom="1440" w:gutter="0" w:footer="0" w:header="0"/>
        </w:sectPr>
      </w:pPr>
    </w:p>
    <w:bookmarkStart w:id="50" w:name="page51"/>
    <w:bookmarkEnd w:id="50"/>
    <w:p>
      <w:pPr>
        <w:ind w:left="5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TEN</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10.01.   Payment of Principal, Premium, if any, and Interest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10.02.   Maintenance of Office or Agency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10.03.   Money for Securities Payments to Be Held in Trust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Amounts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10.05.   Statement as to Compliance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10.06.   Waiver of Certain Covenants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10.07.   Section 18(a)(1)(A) of the Investment Company Act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10.08.   Commission Reports and Reports to 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32"/>
        </w:trPr>
        <w:tc>
          <w:tcPr>
            <w:tcW w:w="1180" w:type="dxa"/>
            <w:vAlign w:val="bottom"/>
          </w:tcPr>
          <w:p>
            <w:pPr>
              <w:spacing w:after="0"/>
              <w:rPr>
                <w:sz w:val="24"/>
                <w:szCs w:val="24"/>
                <w:color w:val="auto"/>
              </w:rPr>
            </w:pPr>
          </w:p>
        </w:tc>
        <w:tc>
          <w:tcPr>
            <w:tcW w:w="8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ARTICLE ELEVEN</w:t>
            </w:r>
          </w:p>
        </w:tc>
        <w:tc>
          <w:tcPr>
            <w:tcW w:w="140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8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REDEMPTION OF SECURITIES</w:t>
            </w:r>
          </w:p>
        </w:tc>
        <w:tc>
          <w:tcPr>
            <w:tcW w:w="1400" w:type="dxa"/>
            <w:vAlign w:val="bottom"/>
          </w:tcPr>
          <w:p>
            <w:pPr>
              <w:spacing w:after="0"/>
              <w:rPr>
                <w:sz w:val="24"/>
                <w:szCs w:val="24"/>
                <w:color w:val="auto"/>
              </w:rPr>
            </w:pPr>
          </w:p>
        </w:tc>
      </w:tr>
      <w:tr>
        <w:trPr>
          <w:trHeight w:val="41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11.01.   Applicability of Article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11.02.   Election to Redeem; Notice to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11.03.   Selection by Trustee of Securities to Be Redeemed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11.04.   Notice of Redemption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11.05.   Deposit of Redemption Price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11.06.   Securities Payable on Redemption Date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11.07.   Securities Redeemed in Part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32"/>
        </w:trPr>
        <w:tc>
          <w:tcPr>
            <w:tcW w:w="1180" w:type="dxa"/>
            <w:vAlign w:val="bottom"/>
          </w:tcPr>
          <w:p>
            <w:pPr>
              <w:spacing w:after="0"/>
              <w:rPr>
                <w:sz w:val="24"/>
                <w:szCs w:val="24"/>
                <w:color w:val="auto"/>
              </w:rPr>
            </w:pPr>
          </w:p>
        </w:tc>
        <w:tc>
          <w:tcPr>
            <w:tcW w:w="8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ARTICLE TWELVE</w:t>
            </w:r>
          </w:p>
        </w:tc>
        <w:tc>
          <w:tcPr>
            <w:tcW w:w="140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8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SINKING FUNDS</w:t>
            </w:r>
          </w:p>
        </w:tc>
        <w:tc>
          <w:tcPr>
            <w:tcW w:w="1400" w:type="dxa"/>
            <w:vAlign w:val="bottom"/>
          </w:tcPr>
          <w:p>
            <w:pPr>
              <w:spacing w:after="0"/>
              <w:rPr>
                <w:sz w:val="24"/>
                <w:szCs w:val="24"/>
                <w:color w:val="auto"/>
              </w:rPr>
            </w:pPr>
          </w:p>
        </w:tc>
      </w:tr>
      <w:tr>
        <w:trPr>
          <w:trHeight w:val="41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12.01.   Applicability of Article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12.02.   Satisfaction of Sinking Fund Payments With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12.03.   Redemption of Securities for Sinking Fund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1180" w:type="dxa"/>
            <w:vAlign w:val="bottom"/>
          </w:tcPr>
          <w:p>
            <w:pPr>
              <w:spacing w:after="0"/>
              <w:rPr>
                <w:sz w:val="24"/>
                <w:szCs w:val="24"/>
                <w:color w:val="auto"/>
              </w:rPr>
            </w:pPr>
          </w:p>
        </w:tc>
        <w:tc>
          <w:tcPr>
            <w:tcW w:w="8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ARTICLE THIRTEEN</w:t>
            </w:r>
          </w:p>
        </w:tc>
        <w:tc>
          <w:tcPr>
            <w:tcW w:w="140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8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REPAYMENT AT THE OPTION OF HOLDERS</w:t>
            </w:r>
          </w:p>
        </w:tc>
        <w:tc>
          <w:tcPr>
            <w:tcW w:w="1400" w:type="dxa"/>
            <w:vAlign w:val="bottom"/>
          </w:tcPr>
          <w:p>
            <w:pPr>
              <w:spacing w:after="0"/>
              <w:rPr>
                <w:sz w:val="24"/>
                <w:szCs w:val="24"/>
                <w:color w:val="auto"/>
              </w:rPr>
            </w:pPr>
          </w:p>
        </w:tc>
      </w:tr>
      <w:tr>
        <w:trPr>
          <w:trHeight w:val="41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13.01.   Applicability of Article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13.02.   Repayment of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13.03.   Exercise of Option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13.04.   When Securities Presented for Repayment Become Due and Payable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13.05.   Securities Repaid in Part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32"/>
        </w:trPr>
        <w:tc>
          <w:tcPr>
            <w:tcW w:w="1180" w:type="dxa"/>
            <w:vAlign w:val="bottom"/>
          </w:tcPr>
          <w:p>
            <w:pPr>
              <w:spacing w:after="0"/>
              <w:rPr>
                <w:sz w:val="24"/>
                <w:szCs w:val="24"/>
                <w:color w:val="auto"/>
              </w:rPr>
            </w:pPr>
          </w:p>
        </w:tc>
        <w:tc>
          <w:tcPr>
            <w:tcW w:w="8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ARTICLE FOURTEEN</w:t>
            </w:r>
          </w:p>
        </w:tc>
        <w:tc>
          <w:tcPr>
            <w:tcW w:w="140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8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DEFEASANCE AND COVENANT DEFEASANCE</w:t>
            </w:r>
          </w:p>
        </w:tc>
        <w:tc>
          <w:tcPr>
            <w:tcW w:w="1400" w:type="dxa"/>
            <w:vAlign w:val="bottom"/>
          </w:tcPr>
          <w:p>
            <w:pPr>
              <w:spacing w:after="0"/>
              <w:rPr>
                <w:sz w:val="24"/>
                <w:szCs w:val="24"/>
                <w:color w:val="auto"/>
              </w:rPr>
            </w:pPr>
          </w:p>
        </w:tc>
      </w:tr>
      <w:tr>
        <w:trPr>
          <w:trHeight w:val="41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14.01.   Applicability of Article; Company’s Option to Effect Defeasance or Covenant Defeasance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14.02.   Defeasance and Discharge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14.03.</w:t>
            </w:r>
          </w:p>
        </w:tc>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Covenant Defeasance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14.04.   Conditions to Defeasance or Covenant Defeasance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14.05.   Deposited Money and Government Obligations to Be Held in Trust; Other Miscellaneous Provisions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80"/>
          </w:cols>
          <w:pgMar w:left="320" w:top="270" w:right="39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FIFTEEN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MEETINGS OF HOLDERS OF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Purposes for Which Meetings May Be Called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Call, Notice and Place of Meetings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15.03.</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Persons Entitled to Vote at Meetings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15.04.</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 Action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15.05.</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Determination of Voting Rights; Conduct and Adjournment of Meetings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15.06.</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Counting Votes and Recording Action of Meetings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32"/>
        </w:trPr>
        <w:tc>
          <w:tcPr>
            <w:tcW w:w="1180" w:type="dxa"/>
            <w:vAlign w:val="bottom"/>
          </w:tcPr>
          <w:p>
            <w:pPr>
              <w:spacing w:after="0"/>
              <w:rPr>
                <w:sz w:val="24"/>
                <w:szCs w:val="24"/>
                <w:color w:val="auto"/>
              </w:rPr>
            </w:pPr>
          </w:p>
        </w:tc>
        <w:tc>
          <w:tcPr>
            <w:tcW w:w="86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ARTICLE SIXTEEN</w:t>
            </w:r>
          </w:p>
        </w:tc>
        <w:tc>
          <w:tcPr>
            <w:tcW w:w="1380" w:type="dxa"/>
            <w:vAlign w:val="bottom"/>
          </w:tcPr>
          <w:p>
            <w:pPr>
              <w:spacing w:after="0"/>
              <w:rPr>
                <w:sz w:val="24"/>
                <w:szCs w:val="24"/>
                <w:color w:val="auto"/>
              </w:rPr>
            </w:pPr>
          </w:p>
        </w:tc>
      </w:tr>
      <w:tr>
        <w:trPr>
          <w:trHeight w:val="324"/>
        </w:trPr>
        <w:tc>
          <w:tcPr>
            <w:tcW w:w="1180" w:type="dxa"/>
            <w:vAlign w:val="bottom"/>
          </w:tcPr>
          <w:p>
            <w:pPr>
              <w:spacing w:after="0"/>
              <w:rPr>
                <w:sz w:val="24"/>
                <w:szCs w:val="24"/>
                <w:color w:val="auto"/>
              </w:rPr>
            </w:pPr>
          </w:p>
        </w:tc>
        <w:tc>
          <w:tcPr>
            <w:tcW w:w="862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SUBORDINATION OF SECURITIES</w:t>
            </w:r>
          </w:p>
        </w:tc>
        <w:tc>
          <w:tcPr>
            <w:tcW w:w="1380" w:type="dxa"/>
            <w:vAlign w:val="bottom"/>
          </w:tcPr>
          <w:p>
            <w:pPr>
              <w:spacing w:after="0"/>
              <w:rPr>
                <w:sz w:val="24"/>
                <w:szCs w:val="24"/>
                <w:color w:val="auto"/>
              </w:rPr>
            </w:pPr>
          </w:p>
        </w:tc>
      </w:tr>
      <w:tr>
        <w:trPr>
          <w:trHeight w:val="4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to Subordinate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on Dissolution, Liquidation and Reorganization; Subrogation of Subordinated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16.03.</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Payment on Subordinated Securities in Event of Default on Senior Indebtedness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16.04.</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Subordinated Securities Permitted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16.05.</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 of Holders to Trustee to Effect Subordination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16.06.</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 to Trustee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16.07.</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Trustee as Holder of Senior Indebtedness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16.08.</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Modifications of Terms of Senior Indebtedness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16.09.</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Reliance on Judicial Order or Certificate of Liquidating Agent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80"/>
          </w:cols>
          <w:pgMar w:left="320" w:top="270"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Reconciliation and tie between Trust Indenture Act of 1939</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and Indenture, dated as of January 16, 2024</w:t>
            </w:r>
          </w:p>
        </w:tc>
        <w:tc>
          <w:tcPr>
            <w:tcW w:w="0" w:type="dxa"/>
            <w:vAlign w:val="bottom"/>
          </w:tcPr>
          <w:p>
            <w:pPr>
              <w:spacing w:after="0"/>
              <w:rPr>
                <w:sz w:val="1"/>
                <w:szCs w:val="1"/>
                <w:color w:val="auto"/>
              </w:rPr>
            </w:pPr>
          </w:p>
        </w:tc>
      </w:tr>
      <w:tr>
        <w:trPr>
          <w:trHeight w:val="411"/>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4"/>
                <w:szCs w:val="14"/>
                <w:b w:val="1"/>
                <w:bCs w:val="1"/>
                <w:color w:val="auto"/>
              </w:rPr>
              <w:t>Indenture Section</w:t>
            </w:r>
          </w:p>
        </w:tc>
        <w:tc>
          <w:tcPr>
            <w:tcW w:w="0" w:type="dxa"/>
            <w:vAlign w:val="bottom"/>
          </w:tcPr>
          <w:p>
            <w:pPr>
              <w:spacing w:after="0"/>
              <w:rPr>
                <w:sz w:val="1"/>
                <w:szCs w:val="1"/>
                <w:color w:val="auto"/>
              </w:rPr>
            </w:pPr>
          </w:p>
        </w:tc>
      </w:tr>
      <w:tr>
        <w:trPr>
          <w:trHeight w:val="185"/>
        </w:trPr>
        <w:tc>
          <w:tcPr>
            <w:tcW w:w="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§310</w:t>
            </w:r>
          </w:p>
        </w:tc>
        <w:tc>
          <w:tcPr>
            <w:tcW w:w="1000" w:type="dxa"/>
            <w:vAlign w:val="bottom"/>
            <w:tcBorders>
              <w:top w:val="single" w:sz="8" w:color="auto"/>
            </w:tcBorders>
          </w:tcPr>
          <w:p>
            <w:pPr>
              <w:ind w:left="380"/>
              <w:spacing w:after="0" w:line="185" w:lineRule="exact"/>
              <w:rPr>
                <w:sz w:val="20"/>
                <w:szCs w:val="20"/>
                <w:color w:val="auto"/>
              </w:rPr>
            </w:pPr>
            <w:r>
              <w:rPr>
                <w:rFonts w:ascii="Times New Roman" w:cs="Times New Roman" w:eastAsia="Times New Roman" w:hAnsi="Times New Roman"/>
                <w:sz w:val="18"/>
                <w:szCs w:val="18"/>
                <w:color w:val="auto"/>
              </w:rPr>
              <w:t>(a)(1)</w:t>
            </w:r>
          </w:p>
        </w:tc>
        <w:tc>
          <w:tcPr>
            <w:tcW w:w="12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1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(a)(2)</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(a)(5)</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4"/>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7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gridSpan w:val="2"/>
            <w:vMerge w:val="restart"/>
          </w:tcPr>
          <w:p>
            <w:pPr>
              <w:ind w:left="416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(a)(4)</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(c)(1)</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(c)(2)</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 (last sentence)</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1.01 (“Outstanding”)</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(a)(1)(A)</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5.02, 5.12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(a)(1)(B)</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(a)(1)</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(a)(2)</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w:t>
            </w:r>
          </w:p>
        </w:tc>
        <w:tc>
          <w:tcPr>
            <w:tcW w:w="83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40"/>
          </w:cols>
          <w:pgMar w:left="320" w:top="266" w:right="339" w:bottom="1440" w:gutter="0" w:footer="0" w:header="0"/>
        </w:sectPr>
      </w:pPr>
    </w:p>
    <w:bookmarkStart w:id="53" w:name="page54"/>
    <w:bookmarkEnd w:id="53"/>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January 16, 2024 between Sixth Street Specialty Lending,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more fully set forth in Section 1.01), and U.S. Bank Trust Company, National Association, as Trustee (as trustee in such capacity and not in its individual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more fully set forth in Section 1.01).</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WHEREAS, the Company deems it necessary to issue from time to time for its lawful purposes debt securities (hereinafter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evidencing its secured or unsecured indebtedness, which may or may not be convertible into or exchangeable for any securities of any Person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shall be fixed as hereinafter provided;</w:t>
      </w:r>
    </w:p>
    <w:p>
      <w:pPr>
        <w:spacing w:after="0" w:line="183"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WHEREAS, this Indenture (as defined herein) is subject to the provisions of the Trust Indenture Act (as defined herein), that are required to be part of this Indenture and shall, to the extent applicable, be governed by such provisions; and</w:t>
      </w:r>
    </w:p>
    <w:p>
      <w:pPr>
        <w:spacing w:after="0" w:line="162" w:lineRule="exact"/>
        <w:rPr>
          <w:sz w:val="20"/>
          <w:szCs w:val="20"/>
          <w:color w:val="auto"/>
        </w:rPr>
      </w:pPr>
    </w:p>
    <w:p>
      <w:pPr>
        <w:ind w:right="740" w:firstLine="449"/>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Indenture a valid and legally binding agreement of, and enforceable against, the Company, in accordance with its terms, have been done.</w:t>
      </w:r>
    </w:p>
    <w:p>
      <w:pPr>
        <w:spacing w:after="0" w:line="162" w:lineRule="exact"/>
        <w:rPr>
          <w:sz w:val="20"/>
          <w:szCs w:val="20"/>
          <w:color w:val="auto"/>
        </w:rPr>
      </w:pPr>
    </w:p>
    <w:p>
      <w:pPr>
        <w:jc w:val="both"/>
        <w:ind w:right="420" w:firstLine="449"/>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the purchase of the Securities by the Holders (as defined herein) thereof, it is mutually covenanted and agreed, for the benefit of each other and for the equal and proportionate benefit of all Holders of the Securities, or of a series thereof, as follows: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right="100" w:firstLine="457"/>
        <w:spacing w:after="0" w:line="282" w:lineRule="auto"/>
        <w:tabs>
          <w:tab w:leader="none" w:pos="69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w:t>
      </w:r>
    </w:p>
    <w:p>
      <w:pPr>
        <w:spacing w:after="0" w:line="161" w:lineRule="exact"/>
        <w:rPr>
          <w:rFonts w:ascii="Times New Roman" w:cs="Times New Roman" w:eastAsia="Times New Roman" w:hAnsi="Times New Roman"/>
          <w:sz w:val="18"/>
          <w:szCs w:val="18"/>
          <w:color w:val="auto"/>
        </w:rPr>
      </w:pPr>
    </w:p>
    <w:p>
      <w:pPr>
        <w:jc w:val="both"/>
        <w:ind w:right="380" w:firstLine="457"/>
        <w:spacing w:after="0" w:line="266" w:lineRule="auto"/>
        <w:tabs>
          <w:tab w:leader="none" w:pos="7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Trust Indenture Act either directly or by reference therein, have the meanings assigned to them therein, and the terms “cash transaction” and “self-liquidating paper”, as used in Section 311 of the Trust Indenture Act, shall have the meanings assigned to them in the rules of the Commission (as defined herein) adopted under the Trust Indenture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270" w:right="339" w:bottom="1440" w:gutter="0" w:footer="0" w:header="0"/>
        </w:sectPr>
      </w:pPr>
    </w:p>
    <w:bookmarkStart w:id="54" w:name="page55"/>
    <w:bookmarkEnd w:id="54"/>
    <w:p>
      <w:pPr>
        <w:ind w:right="660" w:firstLine="457"/>
        <w:spacing w:after="0" w:line="282" w:lineRule="auto"/>
        <w:tabs>
          <w:tab w:leader="none" w:pos="69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accounting terms not otherwise defined herein have the meanings assigned to them in accordance with generally accepted accounting principles in the United States of America;</w:t>
      </w:r>
    </w:p>
    <w:p>
      <w:pPr>
        <w:spacing w:after="0" w:line="161" w:lineRule="exact"/>
        <w:rPr>
          <w:rFonts w:ascii="Times New Roman" w:cs="Times New Roman" w:eastAsia="Times New Roman" w:hAnsi="Times New Roman"/>
          <w:sz w:val="18"/>
          <w:szCs w:val="18"/>
          <w:color w:val="auto"/>
        </w:rPr>
      </w:pPr>
    </w:p>
    <w:p>
      <w:pPr>
        <w:ind w:right="480" w:firstLine="457"/>
        <w:spacing w:after="0" w:line="282" w:lineRule="auto"/>
        <w:tabs>
          <w:tab w:leader="none" w:pos="7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700" w:hanging="243"/>
        <w:spacing w:after="0"/>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right="120" w:firstLine="457"/>
        <w:spacing w:after="0" w:line="282" w:lineRule="auto"/>
        <w:tabs>
          <w:tab w:leader="none" w:pos="6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 references to sections of or rules under the Exchange Act shall be deemed to include substitute, replacement of successor sections or rules adopted by the Commission from time to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used in other Articles herein, are defined in those Articles.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when used with respect to any Holder of a Security, has the meaning specified in Section 1.04.</w:t>
      </w:r>
    </w:p>
    <w:p>
      <w:pPr>
        <w:spacing w:after="0" w:line="225"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means any additional amounts that are required by a Security or by or pursuant to a Board Resolution, under circumstances specified therein, to be paid by the Company in respect of certain taxes imposed on certain Holders and that are owing to such Holders.</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any Registrar, Paying Agent, Authenticating Agent, or Depositary Custodian.</w:t>
      </w:r>
    </w:p>
    <w:p>
      <w:pPr>
        <w:spacing w:after="0" w:line="22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matter at any time relating to a Global Note, the rules, policies and procedures of the Depositary applicable to such matter.</w:t>
      </w:r>
    </w:p>
    <w:p>
      <w:pPr>
        <w:spacing w:after="0" w:line="162"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means the Trustee or any authenticating agent appointed by the Trustee pursuant to Section 6.12 to act on behalf of the Trustee to authenticate Securities of one or more series.</w:t>
      </w:r>
    </w:p>
    <w:p>
      <w:pPr>
        <w:spacing w:after="0" w:line="16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Newspaper</w:t>
      </w:r>
      <w:r>
        <w:rPr>
          <w:rFonts w:ascii="Times New Roman" w:cs="Times New Roman" w:eastAsia="Times New Roman" w:hAnsi="Times New Roman"/>
          <w:sz w:val="18"/>
          <w:szCs w:val="18"/>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has the meaning specified in Section 5.01.</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270" w:right="399"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 or any committee of that board duly authorized to act hereunder.</w:t>
      </w:r>
    </w:p>
    <w:p>
      <w:pPr>
        <w:spacing w:after="0" w:line="22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6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when used with respect to any Place of Payment or any other particular location referred to in this Indenture or in the Securities, means, unless otherwise specified with respect to any Securities pursuant to Section 3.01, each Monday, Tuesday, Wednesday, Thursday and Friday that is not a day on which the Corporate Trust Office or banking institutions in that Place of Payment or particular location are authorized or obligated by law or executive order to close.</w:t>
      </w:r>
    </w:p>
    <w:p>
      <w:pPr>
        <w:spacing w:after="0" w:line="180"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76"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Person shall have become such pursuant to the applicable provisions of this Indenture, and thereafter “Company” shall mean such successor corporation.</w:t>
      </w:r>
    </w:p>
    <w:p>
      <w:pPr>
        <w:spacing w:after="0" w:line="162"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mean, respectively, a written request or order signed in the name of the Company by a Chief Executive Officer, and by the Chief Financial Officer, the Chief Operating Officer, Chief Compliance Officer, any President or Vice President, the Secretary or an Assistant Secretary, of the Company, and delivered to the Trustee.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Component Currency</w:t>
      </w:r>
      <w:r>
        <w:rPr>
          <w:rFonts w:ascii="Times New Roman" w:cs="Times New Roman" w:eastAsia="Times New Roman" w:hAnsi="Times New Roman"/>
          <w:sz w:val="18"/>
          <w:szCs w:val="18"/>
          <w:color w:val="auto"/>
        </w:rPr>
        <w:t>” has the meaning specified in Section 3.12(h).</w:t>
      </w:r>
    </w:p>
    <w:p>
      <w:pPr>
        <w:spacing w:after="0" w:line="225"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u w:val="single" w:color="auto"/>
          <w:color w:val="auto"/>
        </w:rPr>
        <w:t>“Controlled Subsidiary”</w:t>
      </w:r>
      <w:r>
        <w:rPr>
          <w:rFonts w:ascii="Times New Roman" w:cs="Times New Roman" w:eastAsia="Times New Roman" w:hAnsi="Times New Roman"/>
          <w:sz w:val="18"/>
          <w:szCs w:val="18"/>
          <w:color w:val="auto"/>
        </w:rPr>
        <w:t xml:space="preserve">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has the meaning specified in Section 3.12(d).</w:t>
      </w:r>
    </w:p>
    <w:p>
      <w:pPr>
        <w:spacing w:after="0" w:line="225"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Event</w:t>
      </w:r>
      <w:r>
        <w:rPr>
          <w:rFonts w:ascii="Times New Roman" w:cs="Times New Roman" w:eastAsia="Times New Roman" w:hAnsi="Times New Roman"/>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70" w:right="339" w:bottom="1440" w:gutter="0" w:footer="0" w:header="0"/>
        </w:sectPr>
      </w:pPr>
    </w:p>
    <w:bookmarkStart w:id="56" w:name="page57"/>
    <w:bookmarkEnd w:id="56"/>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in respect of this Indenture shall be administered, which office at the date hereof is located at 100 Wall Street, STE 600, New York, NY 10005,</w:t>
      </w: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or the principal corporate trust office of any successor Trustee (or such other address as such successor Trustee may designate from time to time by notice to the Holders and the Company) or if at any time there is more than one Trustee, means the Corporate Trust Office of any such other Trustee with respect to the Securities of the applicable series.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includes corporations, associations, companies and business trusts.</w:t>
      </w:r>
    </w:p>
    <w:p>
      <w:pPr>
        <w:spacing w:after="0" w:line="225" w:lineRule="exact"/>
        <w:rPr>
          <w:sz w:val="20"/>
          <w:szCs w:val="20"/>
          <w:color w:val="auto"/>
        </w:rPr>
      </w:pPr>
    </w:p>
    <w:p>
      <w:pPr>
        <w:jc w:val="both"/>
        <w:ind w:right="12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means any currency or currencies, composite currency or currency unit or currency units, including, without limitation, the ECU, issued by the government of one or more countries or by any reorganized confederation or association of such governments.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has the meaning specified in Section 3.07(a).</w:t>
      </w:r>
    </w:p>
    <w:p>
      <w:pPr>
        <w:spacing w:after="0" w:line="225"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each global Security, the Person specified in Section 3.03 as the Depositary with respect to such Securities, until a successor shall have been appointed and become such pursuant to the applicable provisions of this Indenture, and thereafter,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mean or include such successor.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 Custodian</w:t>
      </w:r>
      <w:r>
        <w:rPr>
          <w:rFonts w:ascii="Times New Roman" w:cs="Times New Roman" w:eastAsia="Times New Roman" w:hAnsi="Times New Roman"/>
          <w:sz w:val="18"/>
          <w:szCs w:val="18"/>
          <w:color w:val="auto"/>
        </w:rPr>
        <w:t>” means the Trustee as custodian with respect to the Global Notes or any successor entity thereto.</w:t>
      </w:r>
    </w:p>
    <w:p>
      <w:pPr>
        <w:spacing w:after="0" w:line="22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a dollar or other equivalent unit in such coin or currency of the United States of America as at the time shall be legal tender for the payment of public and private debts.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ECU</w:t>
      </w:r>
      <w:r>
        <w:rPr>
          <w:rFonts w:ascii="Times New Roman" w:cs="Times New Roman" w:eastAsia="Times New Roman" w:hAnsi="Times New Roman"/>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Date</w:t>
      </w:r>
      <w:r>
        <w:rPr>
          <w:rFonts w:ascii="Times New Roman" w:cs="Times New Roman" w:eastAsia="Times New Roman" w:hAnsi="Times New Roman"/>
          <w:sz w:val="18"/>
          <w:szCs w:val="18"/>
          <w:color w:val="auto"/>
        </w:rPr>
        <w:t>” has the meaning specified in Section 3.12(h).</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Communities</w:t>
      </w:r>
      <w:r>
        <w:rPr>
          <w:rFonts w:ascii="Times New Roman" w:cs="Times New Roman" w:eastAsia="Times New Roman" w:hAnsi="Times New Roman"/>
          <w:sz w:val="18"/>
          <w:szCs w:val="18"/>
          <w:color w:val="auto"/>
        </w:rPr>
        <w:t>” means the European Union, the European Coal and Steel Community and the European Atomic Energy Community.</w:t>
      </w:r>
    </w:p>
    <w:p>
      <w:pPr>
        <w:spacing w:after="0" w:line="225"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Monetary System</w:t>
      </w:r>
      <w:r>
        <w:rPr>
          <w:rFonts w:ascii="Times New Roman" w:cs="Times New Roman" w:eastAsia="Times New Roman" w:hAnsi="Times New Roman"/>
          <w:sz w:val="18"/>
          <w:szCs w:val="18"/>
          <w:color w:val="auto"/>
        </w:rPr>
        <w:t>” means the European Monetary System established by the Resolution of December 5, 1978 of the Council of the European Communities.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right="88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promulgated by the Commission thereunder and any statute successor thereto, in each case as amended from time to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70" w:right="339" w:bottom="1440" w:gutter="0" w:footer="0" w:header="0"/>
        </w:sectPr>
      </w:pPr>
    </w:p>
    <w:bookmarkStart w:id="57" w:name="page58"/>
    <w:bookmarkEnd w:id="57"/>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Rate Agent</w:t>
      </w:r>
      <w:r>
        <w:rPr>
          <w:rFonts w:ascii="Times New Roman" w:cs="Times New Roman" w:eastAsia="Times New Roman" w:hAnsi="Times New Roman"/>
          <w:sz w:val="18"/>
          <w:szCs w:val="18"/>
          <w:color w:val="auto"/>
        </w:rPr>
        <w:t>”, with respect to Securities of or within any series, means, unless otherwise specified with respect to any Securities pursuant to Section 3.01, a New York Clearing House bank designated pursuant to Section 3.01 or Section 3.13.</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 Officer’s Certificate</w:t>
      </w:r>
      <w:r>
        <w:rPr>
          <w:rFonts w:ascii="Times New Roman" w:cs="Times New Roman" w:eastAsia="Times New Roman" w:hAnsi="Times New Roman"/>
          <w:sz w:val="18"/>
          <w:szCs w:val="18"/>
          <w:color w:val="auto"/>
        </w:rPr>
        <w:t>” means a certificate setting forth (i) the applicable Market Exchange Rate or the applicable bid quotation and</w:t>
      </w:r>
    </w:p>
    <w:p>
      <w:pPr>
        <w:spacing w:after="0" w:line="27" w:lineRule="exact"/>
        <w:rPr>
          <w:sz w:val="20"/>
          <w:szCs w:val="20"/>
          <w:color w:val="auto"/>
        </w:rPr>
      </w:pPr>
    </w:p>
    <w:p>
      <w:pPr>
        <w:ind w:right="40" w:firstLine="8"/>
        <w:spacing w:after="0" w:line="253"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Financial Officer or any President or Vice President of the Company.</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Notice</w:t>
      </w:r>
      <w:r>
        <w:rPr>
          <w:rFonts w:ascii="Times New Roman" w:cs="Times New Roman" w:eastAsia="Times New Roman" w:hAnsi="Times New Roman"/>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Period</w:t>
      </w:r>
      <w:r>
        <w:rPr>
          <w:rFonts w:ascii="Times New Roman" w:cs="Times New Roman" w:eastAsia="Times New Roman" w:hAnsi="Times New Roman"/>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Maturity</w:t>
      </w:r>
      <w:r>
        <w:rPr>
          <w:rFonts w:ascii="Times New Roman" w:cs="Times New Roman" w:eastAsia="Times New Roman" w:hAnsi="Times New Roman"/>
          <w:sz w:val="18"/>
          <w:szCs w:val="18"/>
          <w:color w:val="auto"/>
        </w:rPr>
        <w:t>” has the meaning specified in Section 3.08.</w:t>
      </w:r>
    </w:p>
    <w:p>
      <w:pPr>
        <w:spacing w:after="0" w:line="225"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Currency, including, without limitation, the ECU, issued by the government of one or more countries other than the United States of America or by any recognized confederation or association of such governments.</w:t>
      </w:r>
    </w:p>
    <w:p>
      <w:pPr>
        <w:spacing w:after="0" w:line="162"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Obligations</w:t>
      </w:r>
      <w:r>
        <w:rPr>
          <w:rFonts w:ascii="Times New Roman" w:cs="Times New Roman" w:eastAsia="Times New Roman" w:hAnsi="Times New Roman"/>
          <w:sz w:val="18"/>
          <w:szCs w:val="18"/>
          <w:color w:val="auto"/>
        </w:rPr>
        <w:t>” means securities that are (i) direct obligations of the United States of America or the government which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that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270" w:right="379"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in the case of a Registered Security, the Person in whose name a Security is registered in the Security Register.</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that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8"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Indexed Security</w:t>
      </w:r>
      <w:r>
        <w:rPr>
          <w:rFonts w:ascii="Times New Roman" w:cs="Times New Roman" w:eastAsia="Times New Roman" w:hAnsi="Times New Roman"/>
          <w:sz w:val="18"/>
          <w:szCs w:val="18"/>
          <w:color w:val="auto"/>
        </w:rPr>
        <w:t>”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w:t>
      </w:r>
    </w:p>
    <w:p>
      <w:pPr>
        <w:spacing w:after="0" w:line="176"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when used with respect to an Original Issue Discount Security which by its terms bears interest only after Maturity, means interest payable after Maturity, and, when used with respect to a Security which provides for the payment of Additional Amounts pursuant to Section 10.04, includes such Additional Amounts.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 and the rules, regulations and interpretations promulgated thereunder, to the extent applicable, and any statute successor thereto.</w:t>
      </w:r>
    </w:p>
    <w:p>
      <w:pPr>
        <w:spacing w:after="0" w:line="162"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Subordinated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Junior Subordinated Securities</w:t>
      </w:r>
      <w:r>
        <w:rPr>
          <w:rFonts w:ascii="Times New Roman" w:cs="Times New Roman" w:eastAsia="Times New Roman" w:hAnsi="Times New Roman"/>
          <w:sz w:val="18"/>
          <w:szCs w:val="18"/>
          <w:color w:val="auto"/>
        </w:rPr>
        <w:t>” means any Security or Securities designated pursuant to Section 3.01 as a Junior Subordinated Security.</w:t>
      </w:r>
    </w:p>
    <w:p>
      <w:pPr>
        <w:spacing w:after="0" w:line="16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Subordinated Indebtedness</w:t>
      </w:r>
      <w:r>
        <w:rPr>
          <w:rFonts w:ascii="Times New Roman" w:cs="Times New Roman" w:eastAsia="Times New Roman" w:hAnsi="Times New Roman"/>
          <w:sz w:val="18"/>
          <w:szCs w:val="18"/>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ranks junior in right of payment to the Company’s Senior Indebtedness and Senior Subordinated Indebtedness and equally and pari passu in right of payment to any other Junior Subordinated Indebtedness, (b) Junior Subordinated Securities, and (c) renewals, extensions, modifications and refinancings of any such indebtedness.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270" w:right="359" w:bottom="1440" w:gutter="0" w:footer="0" w:header="0"/>
        </w:sectPr>
      </w:pPr>
    </w:p>
    <w:bookmarkStart w:id="59" w:name="page60"/>
    <w:bookmarkEnd w:id="59"/>
    <w:p>
      <w:pPr>
        <w:ind w:firstLine="449"/>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Market Exchange Rate</w:t>
      </w:r>
      <w:r>
        <w:rPr>
          <w:rFonts w:ascii="Times New Roman" w:cs="Times New Roman" w:eastAsia="Times New Roman" w:hAnsi="Times New Roman"/>
          <w:sz w:val="18"/>
          <w:szCs w:val="18"/>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 as determined by the Exchange Rate Agent, in its sole discretion.</w:t>
      </w:r>
    </w:p>
    <w:p>
      <w:pPr>
        <w:spacing w:after="0" w:line="195"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has the meaning provided in Section 5.01.</w:t>
      </w:r>
    </w:p>
    <w:p>
      <w:pPr>
        <w:spacing w:after="0" w:line="225" w:lineRule="exact"/>
        <w:rPr>
          <w:sz w:val="20"/>
          <w:szCs w:val="20"/>
          <w:color w:val="auto"/>
        </w:rPr>
      </w:pPr>
    </w:p>
    <w:p>
      <w:pPr>
        <w:jc w:val="both"/>
        <w:ind w:right="26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a Chief Executive Officer and by the Chief Financial Officer, the Chief Operating Officer, the Chief Compliance Officer, any President or Vice President, the Secretary or an Assistant Secretary of the Company, and delivered to the Trustee.</w:t>
      </w:r>
    </w:p>
    <w:p>
      <w:pPr>
        <w:spacing w:after="0" w:line="162"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the Company or who may be an employee of the Company, or other counsel acceptable to the Trustee.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Reset Date</w:t>
      </w:r>
      <w:r>
        <w:rPr>
          <w:rFonts w:ascii="Times New Roman" w:cs="Times New Roman" w:eastAsia="Times New Roman" w:hAnsi="Times New Roman"/>
          <w:sz w:val="18"/>
          <w:szCs w:val="18"/>
          <w:color w:val="auto"/>
        </w:rPr>
        <w:t>” has the meaning specified in Section 3.07(b).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70" w:right="339" w:bottom="1440" w:gutter="0" w:footer="0" w:header="0"/>
        </w:sectPr>
      </w:pPr>
    </w:p>
    <w:bookmarkStart w:id="60" w:name="page61"/>
    <w:bookmarkEnd w:id="60"/>
    <w:p>
      <w:pPr>
        <w:ind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Original Issue Discount Security</w:t>
      </w:r>
      <w:r>
        <w:rPr>
          <w:rFonts w:ascii="Times New Roman" w:cs="Times New Roman" w:eastAsia="Times New Roman" w:hAnsi="Times New Roman"/>
          <w:sz w:val="18"/>
          <w:szCs w:val="18"/>
          <w:color w:val="auto"/>
        </w:rPr>
        <w:t>” means any Security that provides for an amount less than the principal amount thereof to be due and payable upon a declaration of acceleration of the Maturity thereof pursuant to Section 5.02.</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Stated Maturity</w:t>
      </w:r>
      <w:r>
        <w:rPr>
          <w:rFonts w:ascii="Times New Roman" w:cs="Times New Roman" w:eastAsia="Times New Roman" w:hAnsi="Times New Roman"/>
          <w:sz w:val="18"/>
          <w:szCs w:val="18"/>
          <w:color w:val="auto"/>
        </w:rPr>
        <w:t>” has the meaning specified in Section 3.08.</w:t>
      </w:r>
    </w:p>
    <w:p>
      <w:pPr>
        <w:spacing w:after="0" w:line="225"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xml:space="preserve">”, when used with respect to Securities or any series of Securities, means, as of the date of determination, all Securities or all Securities of such series, as the case may be, theretofore authenticated and delivered under this Indenture,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640" w:hanging="212"/>
        <w:spacing w:after="0"/>
        <w:tabs>
          <w:tab w:leader="none" w:pos="1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the Trustee or delivered to the Trustee for cancellation;</w:t>
      </w:r>
    </w:p>
    <w:p>
      <w:pPr>
        <w:spacing w:after="0" w:line="117" w:lineRule="exact"/>
        <w:rPr>
          <w:rFonts w:ascii="Times New Roman" w:cs="Times New Roman" w:eastAsia="Times New Roman" w:hAnsi="Times New Roman"/>
          <w:sz w:val="18"/>
          <w:szCs w:val="18"/>
          <w:color w:val="auto"/>
        </w:rPr>
      </w:pPr>
    </w:p>
    <w:p>
      <w:pPr>
        <w:ind w:left="1020" w:right="80" w:firstLine="408"/>
        <w:spacing w:after="0" w:line="258" w:lineRule="auto"/>
        <w:tabs>
          <w:tab w:leader="none" w:pos="169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75" w:lineRule="exact"/>
        <w:rPr>
          <w:rFonts w:ascii="Times New Roman" w:cs="Times New Roman" w:eastAsia="Times New Roman" w:hAnsi="Times New Roman"/>
          <w:sz w:val="18"/>
          <w:szCs w:val="18"/>
          <w:color w:val="auto"/>
        </w:rPr>
      </w:pPr>
    </w:p>
    <w:p>
      <w:pPr>
        <w:ind w:left="1020" w:right="180" w:firstLine="408"/>
        <w:spacing w:after="0" w:line="282" w:lineRule="auto"/>
        <w:tabs>
          <w:tab w:leader="none" w:pos="17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Sections 14.02 and 14.03, with respect to which the Company has effected defeasance and/or covenant defeasance as provided in Article Fourteen; and</w:t>
      </w:r>
    </w:p>
    <w:p>
      <w:pPr>
        <w:spacing w:after="0" w:line="53"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have been paid pursuant to Section 3.06 or in exchange for or in lieu of which other Securities have been</w:t>
      </w:r>
    </w:p>
    <w:p>
      <w:pPr>
        <w:spacing w:after="0" w:line="27" w:lineRule="exact"/>
        <w:rPr>
          <w:rFonts w:ascii="Times New Roman" w:cs="Times New Roman" w:eastAsia="Times New Roman" w:hAnsi="Times New Roman"/>
          <w:sz w:val="18"/>
          <w:szCs w:val="18"/>
          <w:color w:val="auto"/>
        </w:rPr>
      </w:pPr>
    </w:p>
    <w:p>
      <w:pPr>
        <w:ind w:left="102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70" w:right="339" w:bottom="1440" w:gutter="0" w:footer="0" w:header="0"/>
        </w:sectPr>
      </w:pPr>
    </w:p>
    <w:bookmarkStart w:id="61" w:name="page62"/>
    <w:bookmarkEnd w:id="6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9"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principal of (or premium, if any) or interest, if any, on any Securities on behalf of the Company.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Securities</w:t>
      </w:r>
      <w:r>
        <w:rPr>
          <w:rFonts w:ascii="Times New Roman" w:cs="Times New Roman" w:eastAsia="Times New Roman" w:hAnsi="Times New Roman"/>
          <w:sz w:val="18"/>
          <w:szCs w:val="18"/>
          <w:color w:val="auto"/>
        </w:rPr>
        <w:t>”, has the meaning specified in Section 16.02.</w:t>
      </w:r>
    </w:p>
    <w:p>
      <w:pPr>
        <w:spacing w:after="0" w:line="225" w:lineRule="exact"/>
        <w:rPr>
          <w:sz w:val="20"/>
          <w:szCs w:val="20"/>
          <w:color w:val="auto"/>
        </w:rPr>
      </w:pPr>
    </w:p>
    <w:p>
      <w:pPr>
        <w:ind w:right="92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joint venture, association, joint-stock company, limited liability company, trust, unincorporated organization or government or any agency or political subdivision thereof, or any other entity.</w:t>
      </w:r>
    </w:p>
    <w:p>
      <w:pPr>
        <w:spacing w:after="0" w:line="162"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when used with respect to the Securities of or within any series, means the place or places where the principal of (and premium, if any) and interest, if any, on such Securities are payable as specified and as contemplated by Sections 3.01 and 10.02.</w:t>
      </w:r>
    </w:p>
    <w:p>
      <w:pPr>
        <w:spacing w:after="0" w:line="162"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76"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Security to be redeemed, in whole or in part, means the date fixed for such redemption by or pursuant to this Indenture.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Redemption Price</w:t>
      </w:r>
      <w:r>
        <w:rPr>
          <w:rFonts w:ascii="Times New Roman" w:cs="Times New Roman" w:eastAsia="Times New Roman" w:hAnsi="Times New Roman"/>
          <w:sz w:val="17"/>
          <w:szCs w:val="17"/>
          <w:color w:val="auto"/>
        </w:rPr>
        <w:t>”, when used with respect to any Security to be redeemed, means the price at which it is to be redeemed pursuant to this Indenture.</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Security</w:t>
      </w:r>
      <w:r>
        <w:rPr>
          <w:rFonts w:ascii="Times New Roman" w:cs="Times New Roman" w:eastAsia="Times New Roman" w:hAnsi="Times New Roman"/>
          <w:sz w:val="18"/>
          <w:szCs w:val="18"/>
          <w:color w:val="auto"/>
        </w:rPr>
        <w:t>” means any Security that is registered in the Security Register.</w:t>
      </w:r>
    </w:p>
    <w:p>
      <w:pPr>
        <w:spacing w:after="0" w:line="225"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62"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means, when used with respect to any Security to be repaid at the option of the Holder, means the date fixed for such repayment by or pursuant to this Indenture.</w:t>
      </w:r>
    </w:p>
    <w:p>
      <w:pPr>
        <w:spacing w:after="0" w:line="16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Price</w:t>
      </w:r>
      <w:r>
        <w:rPr>
          <w:rFonts w:ascii="Times New Roman" w:cs="Times New Roman" w:eastAsia="Times New Roman" w:hAnsi="Times New Roman"/>
          <w:sz w:val="18"/>
          <w:szCs w:val="18"/>
          <w:color w:val="auto"/>
        </w:rPr>
        <w:t>” means, when used with respect to any Security to be repaid at the option of the Holder, means the price at which it is to be repaid by or pursuant to this Indenture.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Notice</w:t>
      </w:r>
      <w:r>
        <w:rPr>
          <w:rFonts w:ascii="Times New Roman" w:cs="Times New Roman" w:eastAsia="Times New Roman" w:hAnsi="Times New Roman"/>
          <w:sz w:val="18"/>
          <w:szCs w:val="18"/>
          <w:color w:val="auto"/>
        </w:rPr>
        <w:t>” has the meaning specified in Section 3.07(b).</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270" w:right="359" w:bottom="1440" w:gutter="0" w:footer="0" w:header="0"/>
        </w:sectPr>
      </w:pPr>
    </w:p>
    <w:bookmarkStart w:id="62" w:name="page63"/>
    <w:bookmarkEnd w:id="62"/>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Trustee, means any officer of the Trustee assigned by the Trustee to administer its corporate trust matters who shall have direct responsibility for the administration of this Indenture, or any other officer to whom any corporate trust matter is referred because of such officer’s knowledge of and familiarity with the particular subject.</w:t>
      </w:r>
    </w:p>
    <w:p>
      <w:pPr>
        <w:spacing w:after="0" w:line="176"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has the meaning stated in the first recital of this Indenture and, more particularly, means any Security or Securities authenticated and delivered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under which the same is outstanding it is provided that such indebtedness is not senior or prior in right of payment to Subordinated Indebtedness, (b) Senior Securities, and (c) renewals, extensions, modifications and refinancings of any such indebtedness.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Senior Securities</w:t>
      </w:r>
      <w:r>
        <w:rPr>
          <w:rFonts w:ascii="Times New Roman" w:cs="Times New Roman" w:eastAsia="Times New Roman" w:hAnsi="Times New Roman"/>
          <w:sz w:val="18"/>
          <w:szCs w:val="18"/>
          <w:color w:val="auto"/>
        </w:rPr>
        <w:t>” means any Security or Securities designated pursuant to Section 3.01 as a Senior Security.</w:t>
      </w:r>
    </w:p>
    <w:p>
      <w:pPr>
        <w:spacing w:after="0" w:line="22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Subordinated Indebtedness</w:t>
      </w:r>
      <w:r>
        <w:rPr>
          <w:rFonts w:ascii="Times New Roman" w:cs="Times New Roman" w:eastAsia="Times New Roman" w:hAnsi="Times New Roman"/>
          <w:sz w:val="18"/>
          <w:szCs w:val="18"/>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that in the instrument creating or evidencing the same or pursuant to which the same is outstanding it is provided that such indebtedness ranks junior in right of payment to the Company’s Senior Indebtedness, equally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other Senior Subordinated Indebtedness and senior in right of payment to any Junior Subordinated Indebtedness, (b) Senior Subordinated Securities, and (c) renewals, extensions, modifications and refinancings of any such indebtedness.</w:t>
      </w:r>
    </w:p>
    <w:p>
      <w:pPr>
        <w:spacing w:after="0" w:line="187"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Subordinated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Senior Subordinated Securities</w:t>
      </w:r>
      <w:r>
        <w:rPr>
          <w:rFonts w:ascii="Times New Roman" w:cs="Times New Roman" w:eastAsia="Times New Roman" w:hAnsi="Times New Roman"/>
          <w:sz w:val="18"/>
          <w:szCs w:val="18"/>
          <w:color w:val="auto"/>
        </w:rPr>
        <w:t>” means any Security or Securities designated pursuant to Section 3.01 as a Senior Subordinated Security.</w:t>
      </w:r>
    </w:p>
    <w:p>
      <w:pPr>
        <w:spacing w:after="0" w:line="162"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under the Exchange Act, as such regulation is in effect on the original date of this Indenture (but excluding any Subsidiary which is (a) a non-recourse or limited recourse Subsidiary, (b) a bankruptcy remote special purpose vehicle or (c) is not consolidated with the Company for purposes of GAAP).</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270" w:right="379" w:bottom="1440" w:gutter="0" w:footer="0" w:header="0"/>
        </w:sectPr>
      </w:pPr>
    </w:p>
    <w:bookmarkStart w:id="63" w:name="page64"/>
    <w:bookmarkEnd w:id="63"/>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for the payment of any Defaulted Interest on the Registered Securities of or within any series means a date fixed by the Trustee pursuant to Section 3.07.</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Amount</w:t>
      </w:r>
      <w:r>
        <w:rPr>
          <w:rFonts w:ascii="Times New Roman" w:cs="Times New Roman" w:eastAsia="Times New Roman" w:hAnsi="Times New Roman"/>
          <w:sz w:val="18"/>
          <w:szCs w:val="18"/>
          <w:color w:val="auto"/>
        </w:rPr>
        <w:t>” has the meaning specified in Section 3.12(h).</w:t>
      </w:r>
    </w:p>
    <w:p>
      <w:pPr>
        <w:spacing w:after="0" w:line="225"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Senior Subordinated Indebtedness or Junior Subordinated Indebtedness.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Interest Period</w:t>
      </w:r>
      <w:r>
        <w:rPr>
          <w:rFonts w:ascii="Times New Roman" w:cs="Times New Roman" w:eastAsia="Times New Roman" w:hAnsi="Times New Roman"/>
          <w:sz w:val="18"/>
          <w:szCs w:val="18"/>
          <w:color w:val="auto"/>
        </w:rPr>
        <w:t>” has the meaning specified in Section 3.07(b).</w:t>
      </w:r>
    </w:p>
    <w:p>
      <w:pPr>
        <w:spacing w:after="0" w:line="22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 In addition, for purposes of this definition, “Subsidiary” shall exclude any investments held by the Company in the ordinary course of business which are not, under GAAP, consolidated on the financial statements of the Company and its Subsidiaries.</w:t>
      </w:r>
    </w:p>
    <w:p>
      <w:pPr>
        <w:spacing w:after="0" w:line="183"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means the Trust Indenture Act of 1939, as amended, as in force at the date as of which this Indenture was executed, except as provided in Section 9.05.</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w:t>
      </w:r>
    </w:p>
    <w:p>
      <w:pPr>
        <w:ind w:right="320"/>
        <w:spacing w:after="0" w:line="260" w:lineRule="auto"/>
        <w:rPr>
          <w:sz w:val="20"/>
          <w:szCs w:val="20"/>
          <w:color w:val="auto"/>
        </w:rPr>
      </w:pP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there is more than one such Person, “Trustee” as used with respect to the Securities of any series shall mean only the Trustee with respect to Securities of that series.</w:t>
      </w:r>
    </w:p>
    <w:p>
      <w:pPr>
        <w:spacing w:after="0" w:line="181"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means, unless otherwise specified with respect to any Securities pursuant to Section 3.01, any individual who is a citizen or resident of the United States, a corporation, partnership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270" w:right="359"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Valuation Date</w:t>
      </w:r>
      <w:r>
        <w:rPr>
          <w:rFonts w:ascii="Times New Roman" w:cs="Times New Roman" w:eastAsia="Times New Roman" w:hAnsi="Times New Roman"/>
          <w:sz w:val="18"/>
          <w:szCs w:val="18"/>
          <w:color w:val="auto"/>
        </w:rPr>
        <w:t>” has the meaning specified in Section 3.12(c).</w:t>
      </w:r>
    </w:p>
    <w:p>
      <w:pPr>
        <w:spacing w:after="0" w:line="225" w:lineRule="exact"/>
        <w:rPr>
          <w:sz w:val="20"/>
          <w:szCs w:val="20"/>
          <w:color w:val="auto"/>
        </w:rPr>
      </w:pPr>
    </w:p>
    <w:p>
      <w:pPr>
        <w:ind w:right="160" w:firstLine="449"/>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Yield to Maturity</w:t>
      </w:r>
      <w:r>
        <w:rPr>
          <w:rFonts w:ascii="Times New Roman" w:cs="Times New Roman" w:eastAsia="Times New Roman" w:hAnsi="Times New Roman"/>
          <w:sz w:val="17"/>
          <w:szCs w:val="17"/>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3" w:lineRule="exact"/>
        <w:rPr>
          <w:sz w:val="20"/>
          <w:szCs w:val="20"/>
          <w:color w:val="auto"/>
        </w:rPr>
      </w:pPr>
    </w:p>
    <w:p>
      <w:pPr>
        <w:ind w:right="860" w:firstLine="449"/>
        <w:spacing w:after="0" w:line="282" w:lineRule="auto"/>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(other than pursuant to Section 10.05) shall include;</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a statement that each individual signing such certificate or opinion has read such condition or covenant and the definitions herein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 a brief statement as to the nature and scope of the examination or investigation upon which the statements contained in such certificate 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w:t>
      </w:r>
    </w:p>
    <w:p>
      <w:pPr>
        <w:spacing w:after="0" w:line="207" w:lineRule="exact"/>
        <w:rPr>
          <w:sz w:val="20"/>
          <w:szCs w:val="20"/>
          <w:color w:val="auto"/>
        </w:rPr>
      </w:pPr>
    </w:p>
    <w:p>
      <w:pPr>
        <w:ind w:right="280" w:firstLine="1019"/>
        <w:spacing w:after="0" w:line="282" w:lineRule="auto"/>
        <w:tabs>
          <w:tab w:leader="none" w:pos="1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such individual signing the certificate or opinion has made such examination or investigation as is necessary to enable such individual to express an informed opinion as to whether or not such condition or covenant has been complied with; and</w:t>
      </w:r>
    </w:p>
    <w:p>
      <w:pPr>
        <w:spacing w:after="0" w:line="161" w:lineRule="exact"/>
        <w:rPr>
          <w:rFonts w:ascii="Times New Roman" w:cs="Times New Roman" w:eastAsia="Times New Roman" w:hAnsi="Times New Roman"/>
          <w:sz w:val="18"/>
          <w:szCs w:val="18"/>
          <w:color w:val="auto"/>
        </w:rPr>
      </w:pPr>
    </w:p>
    <w:p>
      <w:pPr>
        <w:ind w:left="1280" w:hanging="261"/>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such individual such condition or covenant has been complied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270" w:right="359" w:bottom="1440" w:gutter="0" w:footer="0" w:header="0"/>
        </w:sectPr>
      </w:pPr>
    </w:p>
    <w:bookmarkStart w:id="65" w:name="page66"/>
    <w:bookmarkEnd w:id="65"/>
    <w:p>
      <w:pPr>
        <w:ind w:right="440" w:firstLine="44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w:t>
      </w:r>
    </w:p>
    <w:p>
      <w:pPr>
        <w:spacing w:after="0" w:line="187"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019"/>
        <w:spacing w:after="0" w:line="266" w:lineRule="auto"/>
        <w:tabs>
          <w:tab w:leader="none" w:pos="1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w:t>
      </w:r>
    </w:p>
    <w:p>
      <w:pPr>
        <w:spacing w:after="0" w:line="176"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3" w:lineRule="exact"/>
        <w:rPr>
          <w:sz w:val="20"/>
          <w:szCs w:val="20"/>
          <w:color w:val="auto"/>
        </w:rPr>
      </w:pPr>
    </w:p>
    <w:p>
      <w:pPr>
        <w:ind w:right="200" w:firstLine="1019"/>
        <w:spacing w:after="0" w:line="256" w:lineRule="auto"/>
        <w:tabs>
          <w:tab w:leader="none" w:pos="12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w:t>
      </w:r>
    </w:p>
    <w:p>
      <w:pPr>
        <w:spacing w:after="0" w:line="187" w:lineRule="exact"/>
        <w:rPr>
          <w:rFonts w:ascii="Times New Roman" w:cs="Times New Roman" w:eastAsia="Times New Roman" w:hAnsi="Times New Roman"/>
          <w:sz w:val="18"/>
          <w:szCs w:val="18"/>
          <w:color w:val="auto"/>
        </w:rPr>
      </w:pPr>
    </w:p>
    <w:p>
      <w:pPr>
        <w:ind w:left="1260" w:hanging="241"/>
        <w:spacing w:after="0"/>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Registered Securities shall be proved by the Security Register.</w:t>
      </w:r>
    </w:p>
    <w:p>
      <w:pPr>
        <w:spacing w:after="0" w:line="225" w:lineRule="exact"/>
        <w:rPr>
          <w:rFonts w:ascii="Times New Roman" w:cs="Times New Roman" w:eastAsia="Times New Roman" w:hAnsi="Times New Roman"/>
          <w:sz w:val="18"/>
          <w:szCs w:val="18"/>
          <w:color w:val="auto"/>
        </w:rPr>
      </w:pPr>
    </w:p>
    <w:p>
      <w:pPr>
        <w:ind w:left="1280" w:hanging="261"/>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270" w:right="339" w:bottom="1440" w:gutter="0" w:footer="0" w:header="0"/>
        </w:sectPr>
      </w:pPr>
    </w:p>
    <w:bookmarkStart w:id="66" w:name="page67"/>
    <w:bookmarkEnd w:id="66"/>
    <w:p>
      <w:pPr>
        <w:ind w:right="100" w:firstLine="1019"/>
        <w:spacing w:after="0" w:line="253" w:lineRule="auto"/>
        <w:tabs>
          <w:tab w:leader="none" w:pos="1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91" w:lineRule="exact"/>
        <w:rPr>
          <w:rFonts w:ascii="Times New Roman" w:cs="Times New Roman" w:eastAsia="Times New Roman" w:hAnsi="Times New Roman"/>
          <w:sz w:val="18"/>
          <w:szCs w:val="18"/>
          <w:color w:val="auto"/>
        </w:rPr>
      </w:pPr>
    </w:p>
    <w:p>
      <w:pPr>
        <w:ind w:right="220" w:firstLine="1019"/>
        <w:spacing w:after="0" w:line="261"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and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Act of Holders or other document provided or permitted by this Indenture to be made upon, given or furnished to, or filed with,</w:t>
      </w:r>
    </w:p>
    <w:p>
      <w:pPr>
        <w:spacing w:after="0" w:line="54" w:lineRule="exact"/>
        <w:rPr>
          <w:sz w:val="20"/>
          <w:szCs w:val="20"/>
          <w:color w:val="auto"/>
        </w:rPr>
      </w:pPr>
    </w:p>
    <w:p>
      <w:pPr>
        <w:ind w:left="1020" w:right="160" w:firstLine="408"/>
        <w:spacing w:after="0" w:line="266" w:lineRule="auto"/>
        <w:tabs>
          <w:tab w:leader="none" w:pos="1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by any Holder or by the Company shall be sufficient for every purpose hereunder if in writing and sent, first-class postage prepaid, or sent via overnight courier guaranteeing next day delivery, or same day messenger service or by electronic mail (in PDF) to the Trustee at its Corporate Trust Office, Attention: Sixth Street Specialty Lending, or</w:t>
      </w:r>
    </w:p>
    <w:p>
      <w:pPr>
        <w:spacing w:after="0" w:line="67" w:lineRule="exact"/>
        <w:rPr>
          <w:rFonts w:ascii="Times New Roman" w:cs="Times New Roman" w:eastAsia="Times New Roman" w:hAnsi="Times New Roman"/>
          <w:sz w:val="18"/>
          <w:szCs w:val="18"/>
          <w:color w:val="auto"/>
        </w:rPr>
      </w:pPr>
    </w:p>
    <w:p>
      <w:pPr>
        <w:ind w:left="1020" w:firstLine="408"/>
        <w:spacing w:after="0" w:line="261" w:lineRule="auto"/>
        <w:tabs>
          <w:tab w:leader="none" w:pos="16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sent, first-class postage prepaid, or sent via overnight courier guaranteeing next day delivery, or same day messenger service, or by electronic mail (in PDF), to the Company, to the attention of its Chief Financial Officer at 888 Seventh Avenue, 35th Floor, New York, New York 10019, with a copy to the TSL Chief Compliance Officer at the same address.</w:t>
      </w:r>
    </w:p>
    <w:p>
      <w:pPr>
        <w:spacing w:after="0" w:line="180" w:lineRule="exact"/>
        <w:rPr>
          <w:sz w:val="20"/>
          <w:szCs w:val="20"/>
          <w:color w:val="auto"/>
        </w:rPr>
      </w:pPr>
    </w:p>
    <w:p>
      <w:pPr>
        <w:jc w:val="center"/>
        <w:ind w:right="40"/>
        <w:spacing w:after="0" w:line="454"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 14</w:t>
      </w:r>
    </w:p>
    <w:p>
      <w:pPr>
        <w:sectPr>
          <w:pgSz w:w="11900" w:h="16838" w:orient="portrait"/>
          <w:cols w:equalWidth="0" w:num="1">
            <w:col w:w="11240"/>
          </w:cols>
          <w:pgMar w:left="320" w:top="270" w:right="339" w:bottom="1440" w:gutter="0" w:footer="0" w:header="0"/>
        </w:sectPr>
      </w:pPr>
    </w:p>
    <w:bookmarkStart w:id="67" w:name="page68"/>
    <w:bookmarkEnd w:id="67"/>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notices and communications (other than those sent to Holders) shall be deemed to have been duly given: (i) at the time delivered by hand, if personally delivered; (ii) when return receipt is delivered, if delivered by electronic mail; (iii) five Business Days after being deposited in the mail, postage prepaid; and (iv) the next Business Day after timely delivery to the courier, if sent by overnight air courier guaranteeing next day delivery. Notice to the Trustee shall be effective only if such receipt is acknowledged.</w:t>
      </w:r>
    </w:p>
    <w:p>
      <w:pPr>
        <w:spacing w:after="0" w:line="180"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Whenever under this Indenture the Trustee or the Company is required to provide any notice by mail, in all cases each of the Trustee and the Company may alternatively provide notice by overnight courier, by facsimile, with confirmation of transmission, or by electronic mail, with return receipt requested.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Notice to Holders;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Where this Indenture provides for notice of any event to Holders of Registered Securities by the Company or the Trustee, such notice shall be sufficiently given (unless otherwise herein expressly provided) if in writing and mailed, first-class postage prepaid, by overnight courier guaranteeing next day delivery, by facsimile or by electronic mail to each such Holder affected by such event, at his address, facsimile number or email address as it appears in the Security Register, not later than the latest date, and not earlier than the earliest date, prescribed for the giving of such notice. Any notice or communication shall also be so delivered to any Person described in TIA Section 313(c), to the extent required by the TIA. In any case where notice to Holders of Registered Securities is given as provided herein, neither the failure to send such notice, nor any defect in any notice so sent, to any particular Holder shall affect the sufficiency of such notice with respect to other Holders of Registered Securities. Any notice mailed or sent to a Holder in the manner herein prescribed shall be conclusively deemed to have been received by such Holder, whether or not such Holder actually receives such notice. In the case of a global Security, notices shall be given in accordance with the applicable procedures of the Depositary. Notwithstanding any other provision of this Indenture or any Note, where this Indenture or any Note provides for notice of any event (including any notice of redemption or repurchase) to a Holder of a global Security (whether by mail or otherwise), such notice shall be sufficiently given if given to the Depositary (or its designee) pursuant to the standing instructions from the Depositary or its designee, including by electronic mail in accordance with Applicable Procedures.</w:t>
      </w:r>
    </w:p>
    <w:p>
      <w:pPr>
        <w:spacing w:after="0" w:line="190"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76"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27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1.07. </w:t>
      </w:r>
      <w:r>
        <w:rPr>
          <w:rFonts w:ascii="Times New Roman" w:cs="Times New Roman" w:eastAsia="Times New Roman" w:hAnsi="Times New Roman"/>
          <w:sz w:val="18"/>
          <w:szCs w:val="18"/>
          <w:u w:val="single" w:color="auto"/>
          <w:color w:val="auto"/>
        </w:rPr>
        <w:t>Effect of Headings and Table of Contents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Article and Section headings herein, the TIA cross reference table, and the Table of Contents are for convenience only and shall not affect the construction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covenants and agreements in this Indenture by the Company shall bind its successors and assigns, whether so expressed or not.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Separability Clause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any Security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to any Person, other than the parties hereto, any Security Registrar, any Depositary Custodian, any Paying Agent, any Authenticating Agent and their successors hereunder and the Holders any benefit or any legal or equitable right, remedy or claim under this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9"/>
        <w:spacing w:after="0" w:line="266" w:lineRule="auto"/>
        <w:rPr>
          <w:sz w:val="20"/>
          <w:szCs w:val="20"/>
          <w:color w:val="auto"/>
        </w:rPr>
      </w:pPr>
      <w:r>
        <w:rPr>
          <w:rFonts w:ascii="Times New Roman" w:cs="Times New Roman" w:eastAsia="Times New Roman" w:hAnsi="Times New Roman"/>
          <w:sz w:val="18"/>
          <w:szCs w:val="18"/>
          <w:color w:val="auto"/>
        </w:rPr>
        <w:t>This Indenture and the Securities shall be governed by and construed in accordance with the law of the State of New York without regard to principles of conflicts of laws that would cause the application of laws of another jurisdiction. This Indenture is subject to the provisions of the Trust Indenture Act that are required to be part of this Indenture and shall, to the extent applicable, be governed by such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interest shall accrue on the amount so payable for the period from and after such Interest Payment Date, Redemption Date, Repayment Date, sinking fund payment date, Stated Maturity or Maturity, as the case may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270"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1.13.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Company hereby irrevocably submits to the non-exclusive jurisdiction of any New York state or federal court sitting in The City of New York, New York County in any action or proceeding arising out of or relating to the Indenture and the Securities of any series, and the Company hereby irrevocably agrees that all claims in respect of such action or proceeding may be heard and determined in such New York state or federal court. The Company hereby irrevocably waives, to the fullest extent it may effectively do so, the defense of an inconvenient forum to the maintenance of such action or proceeding.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The Registered Securities of each series,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8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definitive Securities shall be printed, lithographed or engraved or produced by any combination of these methods on a steel engraved border or steel engraved borders or may be produced in any other manner, all as determined by the officers executing such Securities, as evidenced by their execution of such Securities.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270"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Section 6.12, the Trustee’s certificate of authentication shall be in substantially the following form: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760"/>
        <w:spacing w:after="0"/>
        <w:tabs>
          <w:tab w:leader="none" w:pos="7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as Trustee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Securities Issuable in Global Form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If Securities of or within a series are issuable in global form, as specified as contemplated by Section 3.01, then, notwithstanding clause (viii)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instructions given by the Person or Persons specified therein or in the applicable Company Order.</w:t>
      </w:r>
    </w:p>
    <w:p>
      <w:pPr>
        <w:spacing w:after="0" w:line="18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provisions of the second to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with regard to the reduction in the principal amount of Securities represented thereby, together with the written statement contemplated by the second to last sentence of Section 3.03.</w:t>
      </w:r>
    </w:p>
    <w:p>
      <w:pPr>
        <w:spacing w:after="0" w:line="180"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 Neither the Trustee nor any Agent shall have responsibility for any actions taken or not taken by the Depositary.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270" w:right="359" w:bottom="1440" w:gutter="0" w:footer="0" w:header="0"/>
        </w:sectPr>
      </w:pPr>
    </w:p>
    <w:bookmarkStart w:id="71" w:name="page72"/>
    <w:bookmarkEnd w:id="71"/>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the Trustee, any authenticating agent, any Paying Agent, and any Securities Registrar may deem the Person in whose name a Security shall be registered upon the Security Register to be, and may treat it as, the absolute owner of such Security (whether or not such Security shall be overdue and notwithstanding any notation of ownership or other writing thereon made by any Person other than the Company or any Security Registrar) for the purpose of receiving payment of or on account of the principal of and (subject to Section 3.07) accrued and unpaid interest on such Security, for conversion of such Security and for all other purposes; and neither the Company nor the Trustee nor any Paying Agent nor any Conversion Agent nor any Security Registrar shall be affected by any notice to the contrary. All such payments so made to any Holder for the time being, or upon its order, shall be valid, and, to the extent of the sum or sums so paid, effectual to satisfy and discharge the liability for monies payable upon any such Security.</w:t>
      </w:r>
    </w:p>
    <w:p>
      <w:pPr>
        <w:spacing w:after="0" w:line="18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Unless otherwise specified as contemplated by Section 3.01 for the Securities evidenced thereby, every global Security authenticated and delivered hereunder shall bear a legend in substantially the following form:</w:t>
      </w:r>
    </w:p>
    <w:p>
      <w:pPr>
        <w:spacing w:after="0" w:line="54"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Certificated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Securities in physical, certificated form will be issued and delivered to each person that the Depositary identifies as a beneficial owner of the related Securities only if:</w:t>
      </w:r>
    </w:p>
    <w:p>
      <w:pPr>
        <w:spacing w:after="0" w:line="54" w:lineRule="exact"/>
        <w:rPr>
          <w:sz w:val="20"/>
          <w:szCs w:val="20"/>
          <w:color w:val="auto"/>
        </w:rPr>
      </w:pPr>
    </w:p>
    <w:p>
      <w:pPr>
        <w:ind w:right="320" w:firstLine="457"/>
        <w:spacing w:after="0" w:line="282" w:lineRule="auto"/>
        <w:tabs>
          <w:tab w:leader="none" w:pos="69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notifies the Company at any time that it is unwilling or unable to continue as depositary for the Securities in global form and a successor depositary is not appointed within 90 days;</w:t>
      </w:r>
    </w:p>
    <w:p>
      <w:pPr>
        <w:spacing w:after="0" w:line="161"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ceases to be registered as a clearing agency under the Exchange Act and a successor depositary is not appointed within 90 days; or</w:t>
      </w:r>
    </w:p>
    <w:p>
      <w:pPr>
        <w:spacing w:after="0" w:line="225" w:lineRule="exact"/>
        <w:rPr>
          <w:rFonts w:ascii="Times New Roman" w:cs="Times New Roman" w:eastAsia="Times New Roman" w:hAnsi="Times New Roman"/>
          <w:sz w:val="18"/>
          <w:szCs w:val="18"/>
          <w:color w:val="auto"/>
        </w:rPr>
      </w:pPr>
    </w:p>
    <w:p>
      <w:pPr>
        <w:ind w:firstLine="457"/>
        <w:spacing w:after="0" w:line="282" w:lineRule="auto"/>
        <w:tabs>
          <w:tab w:leader="none" w:pos="69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Securities has occurred and is continuing and such beneficial owner requests that its Securities be issued in physical, certificated form.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270" w:right="359" w:bottom="1440" w:gutter="0" w:footer="0" w:header="0"/>
        </w:sectPr>
      </w:pPr>
    </w:p>
    <w:bookmarkStart w:id="72" w:name="page73"/>
    <w:bookmarkEnd w:id="72"/>
    <w:p>
      <w:pPr>
        <w:ind w:left="4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THREE</w:t>
      </w:r>
    </w:p>
    <w:p>
      <w:pPr>
        <w:spacing w:after="0" w:line="1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The Securities may be issued in one or more series, each of which may consist of one or more tranches, and shall be designated as Senior Securities, Senior Subordinated Securities or Junior Subordinated Securities. Senior Securities are unsubordinated, shall rank equally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of the Company’s Senior Indebtedness and senior to all Subordinated Securities. Senior Subordinated Securities shall rank junior to the Company’s Senior Indebtedness, equally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Senior Subordinated Indebtedness and senior to any Junior Subordinated Indebtedness. Junior Subordinated Securities shall rank junior to the Company’s Senior Indebtedness and any Senior Subordinated Indebtedness and equally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Junior Subordinated Indebtedness. There shall be (i) established in one or more Board Resolutions or pursuant to authority granted by one or more Board Resolutions and, subject to Section 3.03, set forth, or determined in the manner provided, in an Officers’ Certificate, or (ii) established in one or more indentures supplemental hereto, prior to the issuance of Securities of any series, any or all of the following, as applicable (each of which (except for the matters set forth in clauses (i), (ii) and (xv) below), if so provided, may be determined from time to time by the Company with respect to unissued Securities of the series when issued from time to time, as provided in Section 3.03):</w:t>
      </w:r>
    </w:p>
    <w:p>
      <w:pPr>
        <w:spacing w:after="0" w:line="86" w:lineRule="exact"/>
        <w:rPr>
          <w:sz w:val="20"/>
          <w:szCs w:val="20"/>
          <w:color w:val="auto"/>
        </w:rPr>
      </w:pPr>
    </w:p>
    <w:p>
      <w:pPr>
        <w:ind w:left="1020" w:right="120" w:firstLine="408"/>
        <w:spacing w:after="0" w:line="282" w:lineRule="auto"/>
        <w:tabs>
          <w:tab w:leader="none" w:pos="16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including CUSIP numbers (which shall distinguish the Securities of such series from all other series of Securities);</w:t>
      </w:r>
    </w:p>
    <w:p>
      <w:pPr>
        <w:spacing w:after="0" w:line="53" w:lineRule="exact"/>
        <w:rPr>
          <w:rFonts w:ascii="Times New Roman" w:cs="Times New Roman" w:eastAsia="Times New Roman" w:hAnsi="Times New Roman"/>
          <w:sz w:val="18"/>
          <w:szCs w:val="18"/>
          <w:color w:val="auto"/>
        </w:rPr>
      </w:pPr>
    </w:p>
    <w:p>
      <w:pPr>
        <w:ind w:left="1020" w:right="100" w:firstLine="408"/>
        <w:spacing w:after="0" w:line="261" w:lineRule="auto"/>
        <w:tabs>
          <w:tab w:leader="none" w:pos="16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w:t>
      </w:r>
    </w:p>
    <w:p>
      <w:pPr>
        <w:spacing w:after="0" w:line="71" w:lineRule="exact"/>
        <w:rPr>
          <w:rFonts w:ascii="Times New Roman" w:cs="Times New Roman" w:eastAsia="Times New Roman" w:hAnsi="Times New Roman"/>
          <w:sz w:val="18"/>
          <w:szCs w:val="18"/>
          <w:color w:val="auto"/>
        </w:rPr>
      </w:pPr>
    </w:p>
    <w:p>
      <w:pPr>
        <w:ind w:left="1020" w:right="720" w:firstLine="408"/>
        <w:spacing w:after="0" w:line="282" w:lineRule="auto"/>
        <w:tabs>
          <w:tab w:leader="none" w:pos="17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by which such date or dates will be determined or extended, on which the principal of the Securities of the series shall be payable;</w:t>
      </w:r>
    </w:p>
    <w:p>
      <w:pPr>
        <w:spacing w:after="0" w:line="53" w:lineRule="exact"/>
        <w:rPr>
          <w:rFonts w:ascii="Times New Roman" w:cs="Times New Roman" w:eastAsia="Times New Roman" w:hAnsi="Times New Roman"/>
          <w:sz w:val="18"/>
          <w:szCs w:val="18"/>
          <w:color w:val="auto"/>
        </w:rPr>
      </w:pPr>
    </w:p>
    <w:p>
      <w:pPr>
        <w:ind w:left="1020" w:firstLine="408"/>
        <w:spacing w:after="0" w:line="258" w:lineRule="auto"/>
        <w:tabs>
          <w:tab w:leader="none" w:pos="17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will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266" w:right="359" w:bottom="1440" w:gutter="0" w:footer="0" w:header="0"/>
        </w:sectPr>
      </w:pPr>
    </w:p>
    <w:bookmarkStart w:id="73" w:name="page74"/>
    <w:bookmarkEnd w:id="73"/>
    <w:p>
      <w:pPr>
        <w:ind w:left="-100" w:right="40" w:firstLine="408"/>
        <w:spacing w:after="0" w:line="258" w:lineRule="auto"/>
        <w:tabs>
          <w:tab w:leader="none" w:pos="5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place or places, if any, other than or in addition to the Corporate Trust Office, where the principal of (and premium, if any) and interest, if any, on Securities of the series shall be payable, any Registered Securities of the series may be surrendered for registration of transfer, Securities of the series may be surrendered for exchange, where Securities of that series that are convertible or exchangeable may be surrendered for conversion or exchange, as applicable, and where notices or demands to or upon the Company in respect of the Securities of the series and this Indenture may be served;</w:t>
      </w:r>
    </w:p>
    <w:p>
      <w:pPr>
        <w:spacing w:after="0" w:line="75" w:lineRule="exact"/>
        <w:rPr>
          <w:rFonts w:ascii="Times New Roman" w:cs="Times New Roman" w:eastAsia="Times New Roman" w:hAnsi="Times New Roman"/>
          <w:sz w:val="18"/>
          <w:szCs w:val="18"/>
          <w:color w:val="auto"/>
        </w:rPr>
      </w:pPr>
    </w:p>
    <w:p>
      <w:pPr>
        <w:jc w:val="both"/>
        <w:ind w:left="-100" w:right="40" w:firstLine="408"/>
        <w:spacing w:after="0" w:line="266" w:lineRule="auto"/>
        <w:tabs>
          <w:tab w:leader="none" w:pos="6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w:t>
      </w:r>
    </w:p>
    <w:p>
      <w:pPr>
        <w:spacing w:after="0" w:line="67" w:lineRule="exact"/>
        <w:rPr>
          <w:rFonts w:ascii="Times New Roman" w:cs="Times New Roman" w:eastAsia="Times New Roman" w:hAnsi="Times New Roman"/>
          <w:sz w:val="18"/>
          <w:szCs w:val="18"/>
          <w:color w:val="auto"/>
        </w:rPr>
      </w:pPr>
    </w:p>
    <w:p>
      <w:pPr>
        <w:ind w:left="-100" w:right="140" w:firstLine="408"/>
        <w:spacing w:after="0" w:line="261" w:lineRule="auto"/>
        <w:tabs>
          <w:tab w:leader="none" w:pos="6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left="-100" w:right="640" w:firstLine="408"/>
        <w:spacing w:after="0" w:line="282" w:lineRule="auto"/>
        <w:tabs>
          <w:tab w:leader="none" w:pos="7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 or denominations in which any Registered Securities of the series shall be issuable;</w:t>
      </w:r>
    </w:p>
    <w:p>
      <w:pPr>
        <w:spacing w:after="0" w:line="5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each Security Registrar, Depositary Custodian, and/or Paying Agent;</w:t>
      </w:r>
    </w:p>
    <w:p>
      <w:pPr>
        <w:spacing w:after="0" w:line="117" w:lineRule="exact"/>
        <w:rPr>
          <w:rFonts w:ascii="Times New Roman" w:cs="Times New Roman" w:eastAsia="Times New Roman" w:hAnsi="Times New Roman"/>
          <w:sz w:val="18"/>
          <w:szCs w:val="18"/>
          <w:color w:val="auto"/>
        </w:rPr>
      </w:pPr>
    </w:p>
    <w:p>
      <w:pPr>
        <w:ind w:left="-100" w:right="180" w:firstLine="408"/>
        <w:spacing w:after="0" w:line="261" w:lineRule="auto"/>
        <w:tabs>
          <w:tab w:leader="none" w:pos="5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w:t>
      </w:r>
    </w:p>
    <w:p>
      <w:pPr>
        <w:spacing w:after="0" w:line="71" w:lineRule="exact"/>
        <w:rPr>
          <w:rFonts w:ascii="Times New Roman" w:cs="Times New Roman" w:eastAsia="Times New Roman" w:hAnsi="Times New Roman"/>
          <w:sz w:val="18"/>
          <w:szCs w:val="18"/>
          <w:color w:val="auto"/>
        </w:rPr>
      </w:pPr>
    </w:p>
    <w:p>
      <w:pPr>
        <w:ind w:left="-100" w:firstLine="408"/>
        <w:spacing w:after="0" w:line="266" w:lineRule="auto"/>
        <w:tabs>
          <w:tab w:leader="none" w:pos="6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67" w:lineRule="exact"/>
        <w:rPr>
          <w:rFonts w:ascii="Times New Roman" w:cs="Times New Roman" w:eastAsia="Times New Roman" w:hAnsi="Times New Roman"/>
          <w:sz w:val="18"/>
          <w:szCs w:val="18"/>
          <w:color w:val="auto"/>
        </w:rPr>
      </w:pPr>
    </w:p>
    <w:p>
      <w:pPr>
        <w:ind w:left="-100" w:firstLine="408"/>
        <w:spacing w:after="0" w:line="266" w:lineRule="auto"/>
        <w:tabs>
          <w:tab w:leader="none" w:pos="6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67" w:lineRule="exact"/>
        <w:rPr>
          <w:rFonts w:ascii="Times New Roman" w:cs="Times New Roman" w:eastAsia="Times New Roman" w:hAnsi="Times New Roman"/>
          <w:sz w:val="18"/>
          <w:szCs w:val="18"/>
          <w:color w:val="auto"/>
        </w:rPr>
      </w:pPr>
    </w:p>
    <w:p>
      <w:pPr>
        <w:ind w:left="-100" w:right="20" w:firstLine="408"/>
        <w:spacing w:after="0" w:line="256" w:lineRule="auto"/>
        <w:tabs>
          <w:tab w:leader="none" w:pos="7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100"/>
          </w:cols>
          <w:pgMar w:left="1440" w:top="270" w:right="359" w:bottom="1440" w:gutter="0" w:footer="0" w:header="0"/>
        </w:sectPr>
      </w:pPr>
    </w:p>
    <w:bookmarkStart w:id="74" w:name="page75"/>
    <w:bookmarkEnd w:id="74"/>
    <w:p>
      <w:pPr>
        <w:ind w:right="260" w:firstLine="408"/>
        <w:spacing w:after="0" w:line="282" w:lineRule="auto"/>
        <w:tabs>
          <w:tab w:leader="none" w:pos="8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if any, granting special rights to the Holders of Securities of the series, including, without limitation, with respect to any collateral securing such Securities;</w:t>
      </w:r>
    </w:p>
    <w:p>
      <w:pPr>
        <w:spacing w:after="0" w:line="53"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(including any deletions from,</w:t>
      </w:r>
    </w:p>
    <w:p>
      <w:pPr>
        <w:spacing w:after="0" w:line="27" w:lineRule="exact"/>
        <w:rPr>
          <w:rFonts w:ascii="Times New Roman" w:cs="Times New Roman" w:eastAsia="Times New Roman" w:hAnsi="Times New Roman"/>
          <w:sz w:val="18"/>
          <w:szCs w:val="18"/>
          <w:color w:val="auto"/>
        </w:rPr>
      </w:pPr>
    </w:p>
    <w:p>
      <w:pPr>
        <w:ind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of or additions to any of the provisions of Section 10.06) of the Company with respect to Securities of the series, whether or not such Events of Default or covenants are consistent with the Events of Default or covenants set forth herein;</w:t>
      </w:r>
    </w:p>
    <w:p>
      <w:pPr>
        <w:spacing w:after="0" w:line="73" w:lineRule="exact"/>
        <w:rPr>
          <w:rFonts w:ascii="Times New Roman" w:cs="Times New Roman" w:eastAsia="Times New Roman" w:hAnsi="Times New Roman"/>
          <w:sz w:val="18"/>
          <w:szCs w:val="18"/>
          <w:color w:val="auto"/>
        </w:rPr>
      </w:pPr>
    </w:p>
    <w:p>
      <w:pPr>
        <w:ind w:right="40" w:firstLine="408"/>
        <w:spacing w:after="0" w:line="256" w:lineRule="auto"/>
        <w:tabs>
          <w:tab w:leader="none" w:pos="8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and the circumstances under which and the place or places where such exchanges may be made and if Securities of the series are to be issuable as a global Security, the identity of the depositary for such series;</w:t>
      </w:r>
    </w:p>
    <w:p>
      <w:pPr>
        <w:spacing w:after="0" w:line="79" w:lineRule="exact"/>
        <w:rPr>
          <w:rFonts w:ascii="Times New Roman" w:cs="Times New Roman" w:eastAsia="Times New Roman" w:hAnsi="Times New Roman"/>
          <w:sz w:val="18"/>
          <w:szCs w:val="18"/>
          <w:color w:val="auto"/>
        </w:rPr>
      </w:pPr>
    </w:p>
    <w:p>
      <w:pPr>
        <w:ind w:right="220" w:firstLine="408"/>
        <w:spacing w:after="0" w:line="282" w:lineRule="auto"/>
        <w:tabs>
          <w:tab w:leader="none" w:pos="8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temporary global Security representing Outstanding Securities of the series shall be dated if other than the date of original issuance of the first Security of the series to be issued;</w:t>
      </w:r>
    </w:p>
    <w:p>
      <w:pPr>
        <w:spacing w:after="0" w:line="53" w:lineRule="exact"/>
        <w:rPr>
          <w:rFonts w:ascii="Times New Roman" w:cs="Times New Roman" w:eastAsia="Times New Roman" w:hAnsi="Times New Roman"/>
          <w:sz w:val="18"/>
          <w:szCs w:val="18"/>
          <w:color w:val="auto"/>
        </w:rPr>
      </w:pPr>
    </w:p>
    <w:p>
      <w:pPr>
        <w:ind w:firstLine="408"/>
        <w:spacing w:after="0" w:line="258" w:lineRule="auto"/>
        <w:tabs>
          <w:tab w:leader="none" w:pos="9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will be paid if other than in the manner provided in Section 3.07;</w:t>
      </w:r>
    </w:p>
    <w:p>
      <w:pPr>
        <w:spacing w:after="0" w:line="75" w:lineRule="exact"/>
        <w:rPr>
          <w:rFonts w:ascii="Times New Roman" w:cs="Times New Roman" w:eastAsia="Times New Roman" w:hAnsi="Times New Roman"/>
          <w:sz w:val="18"/>
          <w:szCs w:val="18"/>
          <w:color w:val="auto"/>
        </w:rPr>
      </w:pPr>
    </w:p>
    <w:p>
      <w:pPr>
        <w:ind w:right="380" w:firstLine="408"/>
        <w:spacing w:after="0" w:line="282" w:lineRule="auto"/>
        <w:tabs>
          <w:tab w:leader="none" w:pos="8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Sections 14.02 and/or 14.03 to the Securities of the series and any provisions in modification of, in addition to or in lieu of any of the provisions of Article Fourteen;</w:t>
      </w:r>
    </w:p>
    <w:p>
      <w:pPr>
        <w:spacing w:after="0" w:line="53" w:lineRule="exact"/>
        <w:rPr>
          <w:rFonts w:ascii="Times New Roman" w:cs="Times New Roman" w:eastAsia="Times New Roman" w:hAnsi="Times New Roman"/>
          <w:sz w:val="18"/>
          <w:szCs w:val="18"/>
          <w:color w:val="auto"/>
        </w:rPr>
      </w:pPr>
    </w:p>
    <w:p>
      <w:pPr>
        <w:jc w:val="both"/>
        <w:ind w:right="180" w:firstLine="408"/>
        <w:spacing w:after="0" w:line="266" w:lineRule="auto"/>
        <w:tabs>
          <w:tab w:leader="none" w:pos="7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67" w:lineRule="exact"/>
        <w:rPr>
          <w:rFonts w:ascii="Times New Roman" w:cs="Times New Roman" w:eastAsia="Times New Roman" w:hAnsi="Times New Roman"/>
          <w:sz w:val="18"/>
          <w:szCs w:val="18"/>
          <w:color w:val="auto"/>
        </w:rPr>
      </w:pPr>
    </w:p>
    <w:p>
      <w:pPr>
        <w:ind w:right="140" w:firstLine="408"/>
        <w:spacing w:after="0" w:line="261" w:lineRule="auto"/>
        <w:tabs>
          <w:tab w:leader="none" w:pos="8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under what circumstances and the Currency in which, the Company will pay Additional Amounts as contemplated by 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1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220"/>
          </w:cols>
          <w:pgMar w:left="1340" w:top="270" w:right="339" w:bottom="1440" w:gutter="0" w:footer="0" w:header="0"/>
        </w:sectPr>
      </w:pPr>
    </w:p>
    <w:bookmarkStart w:id="75" w:name="page76"/>
    <w:bookmarkEnd w:id="75"/>
    <w:p>
      <w:pPr>
        <w:ind w:left="1880" w:hanging="452"/>
        <w:spacing w:after="0"/>
        <w:tabs>
          <w:tab w:leader="none" w:pos="18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designation of the initial Exchange Rate Agent, if any;</w:t>
      </w:r>
    </w:p>
    <w:p>
      <w:pPr>
        <w:spacing w:after="0" w:line="117" w:lineRule="exact"/>
        <w:rPr>
          <w:rFonts w:ascii="Times New Roman" w:cs="Times New Roman" w:eastAsia="Times New Roman" w:hAnsi="Times New Roman"/>
          <w:sz w:val="18"/>
          <w:szCs w:val="18"/>
          <w:color w:val="auto"/>
        </w:rPr>
      </w:pPr>
    </w:p>
    <w:p>
      <w:pPr>
        <w:ind w:left="1020" w:right="140" w:firstLine="408"/>
        <w:spacing w:after="0" w:line="282" w:lineRule="auto"/>
        <w:tabs>
          <w:tab w:leader="none" w:pos="19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issued upon the exercise of warrants, the time, manner and place for such Securities to be authenticated and delivered;</w:t>
      </w:r>
    </w:p>
    <w:p>
      <w:pPr>
        <w:spacing w:after="0" w:line="53" w:lineRule="exact"/>
        <w:rPr>
          <w:rFonts w:ascii="Times New Roman" w:cs="Times New Roman" w:eastAsia="Times New Roman" w:hAnsi="Times New Roman"/>
          <w:sz w:val="18"/>
          <w:szCs w:val="18"/>
          <w:color w:val="auto"/>
        </w:rPr>
      </w:pPr>
    </w:p>
    <w:p>
      <w:pPr>
        <w:ind w:left="1020" w:firstLine="408"/>
        <w:spacing w:after="0" w:line="282" w:lineRule="auto"/>
        <w:tabs>
          <w:tab w:leader="none" w:pos="19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convertible into or exchangeable for any securities of any Person (including the Company), the terms and conditions upon which such Securities will be so convertible or exchangeable;</w:t>
      </w:r>
    </w:p>
    <w:p>
      <w:pPr>
        <w:spacing w:after="0" w:line="53"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listed on a securities exchange, the name of such exchange may be indicated; and</w:t>
      </w:r>
    </w:p>
    <w:p>
      <w:pPr>
        <w:spacing w:after="0" w:line="117" w:lineRule="exact"/>
        <w:rPr>
          <w:rFonts w:ascii="Times New Roman" w:cs="Times New Roman" w:eastAsia="Times New Roman" w:hAnsi="Times New Roman"/>
          <w:sz w:val="18"/>
          <w:szCs w:val="18"/>
          <w:color w:val="auto"/>
        </w:rPr>
      </w:pPr>
    </w:p>
    <w:p>
      <w:pPr>
        <w:ind w:left="1020" w:firstLine="408"/>
        <w:spacing w:after="0" w:line="312" w:lineRule="auto"/>
        <w:tabs>
          <w:tab w:leader="none" w:pos="191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series (which terms shall not be inconsistent with the provisions of this Indenture or the requirements of the Trust Indenture Act, except as permitted by Section 9.01(v)), including, but not limited to, secured Securities and guarantees of Securities.</w:t>
      </w:r>
    </w:p>
    <w:p>
      <w:pPr>
        <w:spacing w:after="0" w:line="140"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the Board Resolution referred to above (subject to Section 3.03) and set forth in the Officers’ Certificate referred to above or in any such indenture supplemental hereto. No Board Resolution or Officers’ Certificate may affect the Trustee’s own rights, duties or immunities under this Indenture or otherwise with respect to any series of Securities except as it may agree in writing.</w:t>
      </w:r>
    </w:p>
    <w:p>
      <w:pPr>
        <w:spacing w:after="0" w:line="180"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unless otherwise provided, a series may be reopened, without the consent of the Holders, for issuances of additional Securities of such series.</w:t>
      </w:r>
    </w:p>
    <w:p>
      <w:pPr>
        <w:spacing w:after="0" w:line="162"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76"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The Company shall be responsible for making calculations called for under the Securities and this Indenture, including but not limited to determination of interest, additional interest, Additional Amounts, Redemption Price, Repayment Price, applicable premium, make whole Amount, premium, if any, and any other amounts payable on the Securities. The Company will make the calculations in good faith and, absent manifest error, its calculations will be final and binding on the Holders. The Company will provide a schedule of its calculations to the Trustee when requested by the Trustee, and the Trustee is entitled to rely conclusively on the accuracy of the Company’s calculations without independent verification. The Trustee shall forward the Company’s calculations to any Holder of the Securities upon the written request of such Holder.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27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Securities shall be executed on behalf of the Company by a Chief Executive Officer, the Chief Financial Officer, Chief Operating Officer, Chief Compliance Officer, Secretary or one of its Presidents or Vice Presidents. The signature of any of these officers on the Securities may be manual or by facsimile, .pdf attachment or other electronically transmitted signature of the present or any future such authorized officer and may be imprinted or otherwise reproduced on the Securities.</w:t>
      </w:r>
    </w:p>
    <w:p>
      <w:pPr>
        <w:spacing w:after="0" w:line="180"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Securities bearing the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6"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receive, and (subject to TIA Section 315(a) through 315(d)) shall be fully protected in relying upon,</w:t>
      </w:r>
    </w:p>
    <w:p>
      <w:pPr>
        <w:spacing w:after="0" w:line="189" w:lineRule="exact"/>
        <w:rPr>
          <w:sz w:val="20"/>
          <w:szCs w:val="20"/>
          <w:color w:val="auto"/>
        </w:rPr>
      </w:pPr>
    </w:p>
    <w:p>
      <w:pPr>
        <w:ind w:left="700" w:hanging="243"/>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form or forms of such Securities have been established in conformity with the provisions of this Indenture;</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of such Securities have been established in conformity with the provisions of this Indenture; and</w:t>
      </w:r>
    </w:p>
    <w:p>
      <w:pPr>
        <w:spacing w:after="0" w:line="117" w:lineRule="exact"/>
        <w:rPr>
          <w:rFonts w:ascii="Times New Roman" w:cs="Times New Roman" w:eastAsia="Times New Roman" w:hAnsi="Times New Roman"/>
          <w:sz w:val="18"/>
          <w:szCs w:val="18"/>
          <w:color w:val="auto"/>
        </w:rPr>
      </w:pPr>
    </w:p>
    <w:p>
      <w:pPr>
        <w:ind w:left="1020" w:right="40" w:firstLine="408"/>
        <w:spacing w:after="0" w:line="274" w:lineRule="auto"/>
        <w:tabs>
          <w:tab w:leader="none" w:pos="1744"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this Indenture and such Securities,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other qualifications as such counsel shall conclude do not materially affect the rights of Holders of such Securities; and</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270" w:right="379" w:bottom="1440" w:gutter="0" w:footer="0" w:header="0"/>
        </w:sectPr>
      </w:pPr>
    </w:p>
    <w:bookmarkStart w:id="77" w:name="page78"/>
    <w:bookmarkEnd w:id="77"/>
    <w:p>
      <w:pPr>
        <w:ind w:right="160" w:firstLine="457"/>
        <w:spacing w:after="0" w:line="282" w:lineRule="auto"/>
        <w:tabs>
          <w:tab w:leader="none" w:pos="7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Officers’ Certificate stating, to the best of the knowledge of the signers of such certificate, that no Event of Default with respect to any of the Securities shall have occurred and be continuing.</w:t>
      </w:r>
    </w:p>
    <w:p>
      <w:pPr>
        <w:spacing w:after="0" w:line="162" w:lineRule="exact"/>
        <w:rPr>
          <w:sz w:val="20"/>
          <w:szCs w:val="20"/>
          <w:color w:val="auto"/>
        </w:rPr>
      </w:pPr>
    </w:p>
    <w:p>
      <w:pPr>
        <w:ind w:right="320" w:firstLine="449"/>
        <w:spacing w:after="0" w:line="258"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that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Security shall be dated the date of its authentication.</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until authenticated substantially in the form set out in Section 2.02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92"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The Company initially appoints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act as Depositary with respect to the global Securities and the Trustee as Depositary Custodian. The Company has entered into a letter of representations with the Depositary in the form provided by the Depositary and the Trustee and each Agent are hereby authorized to act in accordance with such letter and Applicable Procedures.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27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8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Except in the case of temporary Securities in global form (which shall be exchanged as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and like tenor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Registration, Registration of 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w:t>
      </w:r>
    </w:p>
    <w:p>
      <w:pPr>
        <w:spacing w:after="0" w:line="18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Upon surrender for registration of transfer of any Registered Security of any series to the Security Registrar or any co-Security Registrar, and satisfaction of the requirements for such transfer set forth in this Section 3.05, the Company shall execute, and the Trustee shall, upon receipt of a Company Order,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270" w:right="359" w:bottom="1440" w:gutter="0" w:footer="0" w:header="0"/>
        </w:sectPr>
      </w:pPr>
    </w:p>
    <w:bookmarkStart w:id="79" w:name="page80"/>
    <w:bookmarkEnd w:id="79"/>
    <w:p>
      <w:pPr>
        <w:ind w:right="340" w:firstLine="449"/>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 Registered Securities that the Holder making the exchange is entitled to receive.</w:t>
      </w:r>
    </w:p>
    <w:p>
      <w:pPr>
        <w:spacing w:after="0" w:line="164"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Whenever any Securities are so surrendered for exchange, the Company shall execute, and the Trustee, upon receipt of a Company Order, shall authenticate and deliver, the Securities that the Holder making the exchange is entitled to receive.</w:t>
      </w:r>
    </w:p>
    <w:p>
      <w:pPr>
        <w:spacing w:after="0" w:line="16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except as otherwise specified as contemplated by Section 3.01 and 2.04,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exchanges may occur during a period beginning at the opening of business 15 days before any selection of Securities to be redeemed and ending on the relevant Redemption Date if the Security for which exchange is requested may be among those selected for redemption.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or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9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270" w:right="339" w:bottom="1440" w:gutter="0" w:footer="0" w:header="0"/>
        </w:sectPr>
      </w:pPr>
    </w:p>
    <w:bookmarkStart w:id="80" w:name="page81"/>
    <w:bookmarkEnd w:id="80"/>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w:t>
      </w:r>
    </w:p>
    <w:p>
      <w:pPr>
        <w:spacing w:after="0" w:line="176"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7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the day the relevant notice of redemption is sent, or (ii) to register the transfer of or exchange any Registered Security so selected for redemption in whole or in part, except, in the case of any Registered Security to be redeemed in part, the portion thereof not to be redeemed, or (iii) to issue, register the transfer of or exchange any Security that has been surrendered for repayment at the option of the Holder, except the portion, if any, of such Security not to be so repaid.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If any mutilated Security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there shall be delivered to the Company and to the Trustee (i) evidence to their satisfaction of the destruction, loss or theft of any Security, and</w:t>
      </w:r>
    </w:p>
    <w:p>
      <w:pPr>
        <w:spacing w:after="0" w:line="27" w:lineRule="exact"/>
        <w:rPr>
          <w:sz w:val="20"/>
          <w:szCs w:val="20"/>
          <w:color w:val="auto"/>
        </w:rPr>
      </w:pPr>
    </w:p>
    <w:p>
      <w:pPr>
        <w:jc w:val="both"/>
        <w:ind w:right="120" w:firstLine="8"/>
        <w:spacing w:after="0" w:line="253" w:lineRule="auto"/>
        <w:tabs>
          <w:tab w:leader="none" w:pos="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subject to the following paragraph, execute and upon its request the Trustee shall authenticate and deliver, in lieu of any such destroyed, lost or stolen Security, a new Security of the same series and principal amount, containing identical terms and provisions and bearing a number not contemporaneously outstanding.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270" w:right="339" w:bottom="1440" w:gutter="0" w:footer="0" w:header="0"/>
        </w:sectPr>
      </w:pPr>
    </w:p>
    <w:bookmarkStart w:id="81" w:name="page82"/>
    <w:bookmarkEnd w:id="81"/>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provisions of the previous two paragraphs, 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center"/>
        <w:ind w:right="120"/>
        <w:spacing w:after="0" w:line="312" w:lineRule="auto"/>
        <w:rPr>
          <w:sz w:val="20"/>
          <w:szCs w:val="20"/>
          <w:color w:val="auto"/>
        </w:rPr>
      </w:pPr>
      <w:r>
        <w:rPr>
          <w:rFonts w:ascii="Times New Roman" w:cs="Times New Roman" w:eastAsia="Times New Roman" w:hAnsi="Times New Roman"/>
          <w:sz w:val="17"/>
          <w:szCs w:val="17"/>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4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6"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 Interest Rights Preserved; Optional Interest Reset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57"/>
        <w:spacing w:after="0" w:line="255" w:lineRule="auto"/>
        <w:tabs>
          <w:tab w:leader="none" w:pos="69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maintained by the payee located in the United States.</w:t>
      </w:r>
    </w:p>
    <w:p>
      <w:pPr>
        <w:spacing w:after="0" w:line="189"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shall forthwith cease to be payable to the registered Holder thereof on the relevant Regular Record Date by virtue of having been such Holder, and such Defaulted Interest may be paid by the Company, at its election in each case, as provided in clause (i) or (ii) below:</w:t>
      </w:r>
    </w:p>
    <w:p>
      <w:pPr>
        <w:spacing w:after="0" w:line="72" w:lineRule="exact"/>
        <w:rPr>
          <w:sz w:val="20"/>
          <w:szCs w:val="20"/>
          <w:color w:val="auto"/>
        </w:rPr>
      </w:pPr>
    </w:p>
    <w:p>
      <w:pPr>
        <w:ind w:left="1020" w:right="60" w:firstLine="408"/>
        <w:spacing w:after="0" w:line="256" w:lineRule="auto"/>
        <w:tabs>
          <w:tab w:leader="none" w:pos="1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270" w:right="339" w:bottom="1440" w:gutter="0" w:footer="0" w:header="0"/>
        </w:sectPr>
      </w:pPr>
    </w:p>
    <w:bookmarkStart w:id="82" w:name="page83"/>
    <w:bookmarkEnd w:id="82"/>
    <w:p>
      <w:pPr>
        <w:ind w:left="94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the Trustee shall cause notice of the proposed payment of such Defaulted Interest and the Special Record Date therefor to be sent pursuant to Applicable Procedures or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 been mailed or sent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(ii).</w:t>
      </w:r>
    </w:p>
    <w:p>
      <w:pPr>
        <w:spacing w:after="0" w:line="79" w:lineRule="exact"/>
        <w:rPr>
          <w:sz w:val="20"/>
          <w:szCs w:val="20"/>
          <w:color w:val="auto"/>
        </w:rPr>
      </w:pPr>
    </w:p>
    <w:p>
      <w:pPr>
        <w:ind w:left="940" w:right="160" w:firstLine="408"/>
        <w:spacing w:after="0" w:line="258" w:lineRule="auto"/>
        <w:tabs>
          <w:tab w:leader="none" w:pos="161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(and certification by the Company that the proposed manner of payment complies with the requirements of this clause (ii)), such manner of payment shall be deemed practicable by the Trustee.</w:t>
      </w:r>
    </w:p>
    <w:p>
      <w:pPr>
        <w:spacing w:after="0" w:line="183" w:lineRule="exact"/>
        <w:rPr>
          <w:rFonts w:ascii="Times New Roman" w:cs="Times New Roman" w:eastAsia="Times New Roman" w:hAnsi="Times New Roman"/>
          <w:sz w:val="18"/>
          <w:szCs w:val="18"/>
          <w:color w:val="auto"/>
        </w:rPr>
      </w:pPr>
    </w:p>
    <w:p>
      <w:pPr>
        <w:ind w:left="-80" w:firstLine="457"/>
        <w:spacing w:after="0" w:line="253" w:lineRule="auto"/>
        <w:tabs>
          <w:tab w:leader="none" w:pos="6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Times New Roman" w:cs="Times New Roman" w:eastAsia="Times New Roman" w:hAnsi="Times New Roman"/>
          <w:sz w:val="18"/>
          <w:szCs w:val="18"/>
          <w:u w:val="single" w:color="auto"/>
          <w:color w:val="auto"/>
        </w:rPr>
        <w:t>Optional Reset Date</w:t>
      </w:r>
      <w:r>
        <w:rPr>
          <w:rFonts w:ascii="Times New Roman" w:cs="Times New Roman" w:eastAsia="Times New Roman" w:hAnsi="Times New Roman"/>
          <w:sz w:val="18"/>
          <w:szCs w:val="18"/>
          <w:color w:val="auto"/>
        </w:rPr>
        <w:t>”).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w:t>
      </w:r>
      <w:r>
        <w:rPr>
          <w:rFonts w:ascii="Times New Roman" w:cs="Times New Roman" w:eastAsia="Times New Roman" w:hAnsi="Times New Roman"/>
          <w:sz w:val="18"/>
          <w:szCs w:val="18"/>
          <w:u w:val="single" w:color="auto"/>
          <w:color w:val="auto"/>
        </w:rPr>
        <w:t>Reset Notice</w:t>
      </w:r>
      <w:r>
        <w:rPr>
          <w:rFonts w:ascii="Times New Roman" w:cs="Times New Roman" w:eastAsia="Times New Roman" w:hAnsi="Times New Roman"/>
          <w:sz w:val="18"/>
          <w:szCs w:val="18"/>
          <w:color w:val="auto"/>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Times New Roman" w:cs="Times New Roman" w:eastAsia="Times New Roman" w:hAnsi="Times New Roman"/>
          <w:sz w:val="18"/>
          <w:szCs w:val="18"/>
          <w:u w:val="single" w:color="auto"/>
          <w:color w:val="auto"/>
        </w:rPr>
        <w:t>Subsequent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including the date or dates on which or the period or periods during which and the price or prices at which such redemption may occur during the Subsequent Interest Period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400" w:top="270" w:right="399" w:bottom="1440" w:gutter="0" w:footer="0" w:header="0"/>
        </w:sectPr>
      </w:pPr>
    </w:p>
    <w:bookmarkStart w:id="83" w:name="page84"/>
    <w:bookmarkEnd w:id="83"/>
    <w:p>
      <w:pPr>
        <w:ind w:firstLine="44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not later than 20 days prior to the Optional Reset Date (or if 20 days does not fall on a Business Day, the next succeeding Business Day),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 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w:t>
      </w:r>
    </w:p>
    <w:p>
      <w:pPr>
        <w:spacing w:after="0" w:line="188"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87"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that were carried by such other Security.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Optional Extension of Maturity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Times New Roman" w:cs="Times New Roman" w:eastAsia="Times New Roman" w:hAnsi="Times New Roman"/>
          <w:sz w:val="18"/>
          <w:szCs w:val="18"/>
          <w:u w:val="single" w:color="auto"/>
          <w:color w:val="auto"/>
        </w:rPr>
        <w:t>Extension Period</w:t>
      </w:r>
      <w:r>
        <w:rPr>
          <w:rFonts w:ascii="Times New Roman" w:cs="Times New Roman" w:eastAsia="Times New Roman" w:hAnsi="Times New Roman"/>
          <w:sz w:val="18"/>
          <w:szCs w:val="18"/>
          <w:color w:val="auto"/>
        </w:rPr>
        <w:t>”) up to but not beyond the date (the “</w:t>
      </w:r>
      <w:r>
        <w:rPr>
          <w:rFonts w:ascii="Times New Roman" w:cs="Times New Roman" w:eastAsia="Times New Roman" w:hAnsi="Times New Roman"/>
          <w:sz w:val="18"/>
          <w:szCs w:val="18"/>
          <w:u w:val="single" w:color="auto"/>
          <w:color w:val="auto"/>
        </w:rPr>
        <w:t>Final Maturity</w:t>
      </w:r>
      <w:r>
        <w:rPr>
          <w:rFonts w:ascii="Times New Roman" w:cs="Times New Roman" w:eastAsia="Times New Roman" w:hAnsi="Times New Roman"/>
          <w:sz w:val="18"/>
          <w:szCs w:val="18"/>
          <w:color w:val="auto"/>
        </w:rPr>
        <w:t>”)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w:t>
      </w:r>
      <w:r>
        <w:rPr>
          <w:rFonts w:ascii="Times New Roman" w:cs="Times New Roman" w:eastAsia="Times New Roman" w:hAnsi="Times New Roman"/>
          <w:sz w:val="18"/>
          <w:szCs w:val="18"/>
          <w:u w:val="single" w:color="auto"/>
          <w:color w:val="auto"/>
        </w:rPr>
        <w:t>Original Stated Maturity</w:t>
      </w:r>
      <w:r>
        <w:rPr>
          <w:rFonts w:ascii="Times New Roman" w:cs="Times New Roman" w:eastAsia="Times New Roman" w:hAnsi="Times New Roman"/>
          <w:sz w:val="18"/>
          <w:szCs w:val="18"/>
          <w:color w:val="auto"/>
        </w:rPr>
        <w:t>”). If the Company exercises such option, the Trustee shall transmit, in the manner provided for in Section 1.06, to the Holder of such Security not later than 40 days prior to the Original Stated Maturity a notice (the “</w:t>
      </w:r>
      <w:r>
        <w:rPr>
          <w:rFonts w:ascii="Times New Roman" w:cs="Times New Roman" w:eastAsia="Times New Roman" w:hAnsi="Times New Roman"/>
          <w:sz w:val="18"/>
          <w:szCs w:val="18"/>
          <w:u w:val="single" w:color="auto"/>
          <w:color w:val="auto"/>
        </w:rPr>
        <w:t>Extension Notice</w:t>
      </w:r>
      <w:r>
        <w:rPr>
          <w:rFonts w:ascii="Times New Roman" w:cs="Times New Roman" w:eastAsia="Times New Roman" w:hAnsi="Times New Roman"/>
          <w:sz w:val="18"/>
          <w:szCs w:val="18"/>
          <w:color w:val="auto"/>
        </w:rPr>
        <w:t>”), prepared by the Company,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270" w:right="339" w:bottom="1440" w:gutter="0" w:footer="0" w:header="0"/>
        </w:sectPr>
      </w:pPr>
    </w:p>
    <w:bookmarkStart w:id="84" w:name="page85"/>
    <w:bookmarkEnd w:id="84"/>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not later than 20 days before the Original Stated Maturity (or if 20 days does not fall on a Business Day, the next succeeding Business Day)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will bear such higher interest rate.</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83"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76"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270"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3.10.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All Securities surrendered for payment, redemption, repayment at the option of the Holder, registration of transfer or exchange or for credit against any sinking fund payment shall, if surrendered to any Person other than the Trustee, be delivered to the Trustee, and any such Securities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held by the Trustee shall be destroyed by the Trustee in accordance with its customary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with respect to Securities of any series, interest, if any, on the Securities of each series shall be computed on the basis of a 360-day year consisting of twelve 30-day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Currency and Manner of Payments in Respect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7"/>
        <w:spacing w:after="0" w:line="281" w:lineRule="auto"/>
        <w:tabs>
          <w:tab w:leader="none" w:pos="69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payment of the principal of (and premium, if any) and interest, if any, on any Registered Security of such series will be made in the Currency in which such Registered Security is payable. The provisions of this Section 3.12 may be modified or superseded with respect to any Securities pursuant to Section 3.01.</w:t>
      </w:r>
    </w:p>
    <w:p>
      <w:pPr>
        <w:spacing w:after="0" w:line="164" w:lineRule="exact"/>
        <w:rPr>
          <w:rFonts w:ascii="Times New Roman" w:cs="Times New Roman" w:eastAsia="Times New Roman" w:hAnsi="Times New Roman"/>
          <w:sz w:val="17"/>
          <w:szCs w:val="17"/>
          <w:color w:val="auto"/>
        </w:rPr>
      </w:pPr>
    </w:p>
    <w:p>
      <w:pPr>
        <w:ind w:firstLine="457"/>
        <w:spacing w:after="0" w:line="255" w:lineRule="auto"/>
        <w:tabs>
          <w:tab w:leader="none" w:pos="7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270" w:right="379" w:bottom="1440" w:gutter="0" w:footer="0" w:header="0"/>
        </w:sectPr>
      </w:pPr>
    </w:p>
    <w:bookmarkStart w:id="86" w:name="page87"/>
    <w:bookmarkEnd w:id="8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Unless otherwise specified pursuant to Section 3.01, if the election referred to in paragraph (b) above has been provided for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3.01, then, unless otherwise specified pursuant to Section 3.01, not later than the fourth Business Day after the Election Date for each payment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Registered Securities of any series, the Exchange Rate Agent will deliver to the Company a written notice specifying the Currency in which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such series are payable, the respective aggregate amounts of principal of (and premium, if any) and interest, if any, on the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be paid on such payment date, specifying the amounts in such Currency so payable in respect of the Registered Securities as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Registered Securities denominated in any Currency shall have elected to be paid in another Currency as provided in paragraph (b) above.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referred to in paragraph (b) above has been provided for pursuant to Section 3.01 and if at least one Holder has made such election, then,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specified pursuant to Section 3.01, on the second Business Day preceding such payment date the Company will deliver to the Trustee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of Registered Securities an Exchange Rate Officer’s Certificate in respect of the Dollar or Foreign Currency or Currencies payments to be made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payment date. Unless otherwise specified pursuant to Section 3.01, the Dollar or Foreign Currency or Currencies amount receivable by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Securities who have elected payment in a Currency as provided in paragraph (b) above shall be determined by the Company on the basis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Market Exchange Rate in effect on the second Business Day (the “</w:t>
      </w:r>
      <w:r>
        <w:rPr>
          <w:rFonts w:ascii="Times New Roman" w:cs="Times New Roman" w:eastAsia="Times New Roman" w:hAnsi="Times New Roman"/>
          <w:sz w:val="18"/>
          <w:szCs w:val="18"/>
          <w:u w:val="single" w:color="auto"/>
          <w:color w:val="auto"/>
        </w:rPr>
        <w:t>Valuation Date</w:t>
      </w:r>
      <w:r>
        <w:rPr>
          <w:rFonts w:ascii="Times New Roman" w:cs="Times New Roman" w:eastAsia="Times New Roman" w:hAnsi="Times New Roman"/>
          <w:sz w:val="18"/>
          <w:szCs w:val="18"/>
          <w:color w:val="auto"/>
        </w:rPr>
        <w:t>”) immediately preceding each payment date,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shall be conclusive and binding for all purposes, absent manifest error.</w:t>
      </w:r>
    </w:p>
    <w:p>
      <w:pPr>
        <w:spacing w:after="0" w:line="207" w:lineRule="exact"/>
        <w:rPr>
          <w:sz w:val="20"/>
          <w:szCs w:val="20"/>
          <w:color w:val="auto"/>
        </w:rPr>
      </w:pPr>
    </w:p>
    <w:p>
      <w:pPr>
        <w:ind w:firstLine="457"/>
        <w:spacing w:after="0" w:line="255" w:lineRule="auto"/>
        <w:tabs>
          <w:tab w:leader="none" w:pos="70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the Dollar shall be the currency of payment for use on each such payment date. Unless otherwise specified pursuant to</w:t>
      </w:r>
    </w:p>
    <w:p>
      <w:pPr>
        <w:spacing w:after="0" w:line="2"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270" w:right="359" w:bottom="1440" w:gutter="0" w:footer="0" w:header="0"/>
        </w:sectPr>
      </w:pPr>
    </w:p>
    <w:bookmarkStart w:id="87" w:name="page88"/>
    <w:bookmarkEnd w:id="87"/>
    <w:p>
      <w:pPr>
        <w:ind w:left="-8" w:firstLine="457"/>
        <w:spacing w:after="0" w:line="258" w:lineRule="auto"/>
        <w:tabs>
          <w:tab w:leader="none" w:pos="68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of this Section 3.12.</w:t>
      </w:r>
    </w:p>
    <w:p>
      <w:pPr>
        <w:spacing w:after="0" w:line="183" w:lineRule="exact"/>
        <w:rPr>
          <w:rFonts w:ascii="Times New Roman" w:cs="Times New Roman" w:eastAsia="Times New Roman" w:hAnsi="Times New Roman"/>
          <w:sz w:val="18"/>
          <w:szCs w:val="18"/>
          <w:color w:val="auto"/>
        </w:rPr>
      </w:pPr>
    </w:p>
    <w:p>
      <w:pPr>
        <w:ind w:left="-8" w:right="400" w:firstLine="457"/>
        <w:spacing w:after="0" w:line="282" w:lineRule="auto"/>
        <w:tabs>
          <w:tab w:leader="none" w:pos="66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Dollar Equivalent of the Foreign Currency</w:t>
      </w:r>
      <w:r>
        <w:rPr>
          <w:rFonts w:ascii="Times New Roman" w:cs="Times New Roman" w:eastAsia="Times New Roman" w:hAnsi="Times New Roman"/>
          <w:sz w:val="18"/>
          <w:szCs w:val="18"/>
          <w:color w:val="auto"/>
        </w:rPr>
        <w:t>” shall be determined by the Exchange Rate Agent and shall be obtained for each subsequent payment date by converting the specified Foreign Currency into Dollars at the Market Exchange Rate on the Conversion Date.</w:t>
      </w:r>
    </w:p>
    <w:p>
      <w:pPr>
        <w:spacing w:after="0" w:line="161" w:lineRule="exact"/>
        <w:rPr>
          <w:rFonts w:ascii="Times New Roman" w:cs="Times New Roman" w:eastAsia="Times New Roman" w:hAnsi="Times New Roman"/>
          <w:sz w:val="18"/>
          <w:szCs w:val="18"/>
          <w:color w:val="auto"/>
        </w:rPr>
      </w:pPr>
    </w:p>
    <w:p>
      <w:pPr>
        <w:ind w:left="712" w:hanging="263"/>
        <w:spacing w:after="0"/>
        <w:tabs>
          <w:tab w:leader="none" w:pos="71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Dollar Equivalent of the Currency Unit</w:t>
      </w:r>
      <w:r>
        <w:rPr>
          <w:rFonts w:ascii="Times New Roman" w:cs="Times New Roman" w:eastAsia="Times New Roman" w:hAnsi="Times New Roman"/>
          <w:sz w:val="18"/>
          <w:szCs w:val="18"/>
          <w:color w:val="auto"/>
        </w:rPr>
        <w:t>” shall be determined by the Exchange Rate Agent and subject to the provisions of paragraph</w:t>
      </w:r>
    </w:p>
    <w:p>
      <w:pPr>
        <w:spacing w:after="0" w:line="27" w:lineRule="exact"/>
        <w:rPr>
          <w:rFonts w:ascii="Times New Roman" w:cs="Times New Roman" w:eastAsia="Times New Roman" w:hAnsi="Times New Roman"/>
          <w:sz w:val="18"/>
          <w:szCs w:val="18"/>
          <w:color w:val="auto"/>
        </w:rPr>
      </w:pPr>
    </w:p>
    <w:p>
      <w:pPr>
        <w:ind w:left="-8" w:firstLine="8"/>
        <w:spacing w:after="0" w:line="260" w:lineRule="auto"/>
        <w:tabs>
          <w:tab w:leader="none" w:pos="24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be the sum of each amount obtained by converting the Specified Amount of each Component Currency into Dollars at the Market Exchange Rate for such Component Currency on the Valuation Date with respect to each payment.</w:t>
      </w:r>
    </w:p>
    <w:p>
      <w:pPr>
        <w:spacing w:after="0" w:line="181" w:lineRule="exact"/>
        <w:rPr>
          <w:rFonts w:ascii="Times New Roman" w:cs="Times New Roman" w:eastAsia="Times New Roman" w:hAnsi="Times New Roman"/>
          <w:sz w:val="18"/>
          <w:szCs w:val="18"/>
          <w:color w:val="auto"/>
        </w:rPr>
      </w:pPr>
    </w:p>
    <w:p>
      <w:pPr>
        <w:ind w:left="712" w:hanging="263"/>
        <w:spacing w:after="0"/>
        <w:tabs>
          <w:tab w:leader="none" w:pos="71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3.12, the following terms shall have the following meanings:</w:t>
      </w:r>
    </w:p>
    <w:p>
      <w:pPr>
        <w:spacing w:after="0" w:line="117" w:lineRule="exact"/>
        <w:rPr>
          <w:sz w:val="20"/>
          <w:szCs w:val="20"/>
          <w:color w:val="auto"/>
        </w:rPr>
      </w:pPr>
    </w:p>
    <w:p>
      <w:pPr>
        <w:ind w:left="1012" w:right="60" w:firstLine="409"/>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Component Currency</w:t>
      </w:r>
      <w:r>
        <w:rPr>
          <w:rFonts w:ascii="Times New Roman" w:cs="Times New Roman" w:eastAsia="Times New Roman" w:hAnsi="Times New Roman"/>
          <w:sz w:val="18"/>
          <w:szCs w:val="18"/>
          <w:color w:val="auto"/>
        </w:rPr>
        <w:t>” shall mean any currency which, on the Conversion Date, was a component currency of the relevant currency unit, including, but not limited to, the ECU.</w:t>
      </w:r>
    </w:p>
    <w:p>
      <w:pPr>
        <w:spacing w:after="0" w:line="54" w:lineRule="exact"/>
        <w:rPr>
          <w:sz w:val="20"/>
          <w:szCs w:val="20"/>
          <w:color w:val="auto"/>
        </w:rPr>
      </w:pPr>
    </w:p>
    <w:p>
      <w:pPr>
        <w:ind w:left="1012" w:firstLine="409"/>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Specified Amount</w:t>
      </w:r>
      <w:r>
        <w:rPr>
          <w:rFonts w:ascii="Times New Roman" w:cs="Times New Roman" w:eastAsia="Times New Roman" w:hAnsi="Times New Roman"/>
          <w:sz w:val="18"/>
          <w:szCs w:val="18"/>
          <w:color w:val="auto"/>
        </w:rPr>
        <w:t>” of a Component Currency shall mean the number of units of such Component Currency or fractions thereof which were represented in the relevant currency unit, including, but not limited to, the ECU,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ECU, a</w:t>
      </w:r>
    </w:p>
    <w:p>
      <w:pPr>
        <w:spacing w:after="0" w:line="1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12"/>
          </w:cols>
          <w:pgMar w:left="328" w:top="270" w:right="359" w:bottom="1440" w:gutter="0" w:footer="0" w:header="0"/>
        </w:sectPr>
      </w:pPr>
    </w:p>
    <w:bookmarkStart w:id="88" w:name="page89"/>
    <w:bookmarkEnd w:id="88"/>
    <w:p>
      <w:pPr>
        <w:ind w:left="10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Event (other than any event referred to above in this definition of “</w:t>
      </w:r>
      <w:r>
        <w:rPr>
          <w:rFonts w:ascii="Times New Roman" w:cs="Times New Roman" w:eastAsia="Times New Roman" w:hAnsi="Times New Roman"/>
          <w:sz w:val="18"/>
          <w:szCs w:val="18"/>
          <w:u w:val="single" w:color="auto"/>
          <w:color w:val="auto"/>
        </w:rPr>
        <w:t>Specified Amount</w:t>
      </w:r>
      <w:r>
        <w:rPr>
          <w:rFonts w:ascii="Times New Roman" w:cs="Times New Roman" w:eastAsia="Times New Roman" w:hAnsi="Times New Roman"/>
          <w:sz w:val="18"/>
          <w:szCs w:val="18"/>
          <w:color w:val="auto"/>
        </w:rPr>
        <w: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72" w:lineRule="exact"/>
        <w:rPr>
          <w:sz w:val="20"/>
          <w:szCs w:val="20"/>
          <w:color w:val="auto"/>
        </w:rPr>
      </w:pPr>
    </w:p>
    <w:p>
      <w:pPr>
        <w:ind w:left="1020" w:right="260" w:firstLine="409"/>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Election Date</w:t>
      </w:r>
      <w:r>
        <w:rPr>
          <w:rFonts w:ascii="Times New Roman" w:cs="Times New Roman" w:eastAsia="Times New Roman" w:hAnsi="Times New Roman"/>
          <w:sz w:val="18"/>
          <w:szCs w:val="18"/>
          <w:color w:val="auto"/>
        </w:rPr>
        <w:t>” shall mean the Regular Record Date for the applicable series of Registered Securities or at least 16 days prior to Maturity, as the case may be, or such other prior date for any series of Registered Securities as specified pursuant to clause (xiii) of Section 3.01 by which the written election referred to in Section 3.12(b) may be made.</w:t>
      </w:r>
    </w:p>
    <w:p>
      <w:pPr>
        <w:spacing w:after="0" w:line="176"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the event that the Company determines in good faith that a Conversion Event has occurred with respect to a Foreign Currency, the Company will immediately give written notice thereof and of the applicable Conversion Date to the Trustee of the appropriate series of Securities and to the Exchange Rate Agent (and such Trustee will promptly thereafter give notice in the manner provided in Section 1.06 to the affected Holders) specifying the Conversion Date. In the event the Company so determines that a Conversion Event has occurred with respect to the ECU or any other currency unit in which Securities are denominated or payable, the Company will immediately give written notice thereof to the Trustee of the appropriate series of Securities and to the Exchange Rate Agent (and such Trustee will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of the appropriate series of Securities and to the Exchange Rate Agent.</w:t>
      </w:r>
    </w:p>
    <w:p>
      <w:pPr>
        <w:spacing w:after="0" w:line="188"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20" w:top="270"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3.13. </w:t>
      </w:r>
      <w:r>
        <w:rPr>
          <w:rFonts w:ascii="Times New Roman" w:cs="Times New Roman" w:eastAsia="Times New Roman" w:hAnsi="Times New Roman"/>
          <w:sz w:val="18"/>
          <w:szCs w:val="18"/>
          <w:u w:val="single" w:color="auto"/>
          <w:color w:val="auto"/>
        </w:rPr>
        <w:t>Appointment and Resignation of Successor Exchange Rate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hanging="243"/>
        <w:spacing w:after="0"/>
        <w:tabs>
          <w:tab w:leader="none" w:pos="7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pursuant to Section 3.01, if and so long as the Securities of any series (i) are denominated in a Foreign Currency or</w:t>
      </w:r>
    </w:p>
    <w:p>
      <w:pPr>
        <w:spacing w:after="0" w:line="27" w:lineRule="exact"/>
        <w:rPr>
          <w:rFonts w:ascii="Times New Roman" w:cs="Times New Roman" w:eastAsia="Times New Roman" w:hAnsi="Times New Roman"/>
          <w:sz w:val="18"/>
          <w:szCs w:val="18"/>
          <w:color w:val="auto"/>
        </w:rPr>
      </w:pPr>
    </w:p>
    <w:p>
      <w:pPr>
        <w:ind w:right="180" w:firstLine="8"/>
        <w:spacing w:after="0" w:line="253" w:lineRule="auto"/>
        <w:tabs>
          <w:tab w:leader="none" w:pos="2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payable in a Foreign Currency,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186" w:lineRule="exact"/>
        <w:rPr>
          <w:rFonts w:ascii="Times New Roman" w:cs="Times New Roman" w:eastAsia="Times New Roman" w:hAnsi="Times New Roman"/>
          <w:sz w:val="18"/>
          <w:szCs w:val="18"/>
          <w:color w:val="auto"/>
        </w:rPr>
      </w:pPr>
    </w:p>
    <w:p>
      <w:pPr>
        <w:ind w:right="240" w:firstLine="457"/>
        <w:spacing w:after="0" w:line="266" w:lineRule="auto"/>
        <w:tabs>
          <w:tab w:leader="none" w:pos="7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75" w:lineRule="exact"/>
        <w:rPr>
          <w:rFonts w:ascii="Times New Roman" w:cs="Times New Roman" w:eastAsia="Times New Roman" w:hAnsi="Times New Roman"/>
          <w:sz w:val="18"/>
          <w:szCs w:val="18"/>
          <w:color w:val="auto"/>
        </w:rPr>
      </w:pPr>
    </w:p>
    <w:p>
      <w:pPr>
        <w:ind w:right="20" w:firstLine="457"/>
        <w:spacing w:after="0" w:line="256" w:lineRule="auto"/>
        <w:tabs>
          <w:tab w:leader="none" w:pos="69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numbers (if then generally in use), and, if so, the Trustee shall indicate the respective “CUSIP” numbers of the Securities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advise the Trustee as promptly as practicable in writing of any change in the CUSIP numbers.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 of the Company, shall execute proper instruments acknowledging satisfaction and discharge of this Indenture as to such series when</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270" w:right="359"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either</w:t>
      </w:r>
    </w:p>
    <w:p>
      <w:pPr>
        <w:spacing w:after="0" w:line="117" w:lineRule="exact"/>
        <w:rPr>
          <w:sz w:val="20"/>
          <w:szCs w:val="20"/>
          <w:color w:val="auto"/>
        </w:rPr>
      </w:pPr>
    </w:p>
    <w:p>
      <w:pPr>
        <w:ind w:left="1020" w:right="40" w:firstLine="408"/>
        <w:spacing w:after="0" w:line="261" w:lineRule="auto"/>
        <w:tabs>
          <w:tab w:leader="none" w:pos="164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(i) Securities that have been destroyed, lost or stolen and which have been replaced or paid as provided in Section 3.06 and (ii) Securities of such series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7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w:t>
      </w:r>
    </w:p>
    <w:p>
      <w:pPr>
        <w:spacing w:after="0" w:line="117" w:lineRule="exact"/>
        <w:rPr>
          <w:rFonts w:ascii="Times New Roman" w:cs="Times New Roman" w:eastAsia="Times New Roman" w:hAnsi="Times New Roman"/>
          <w:sz w:val="18"/>
          <w:szCs w:val="18"/>
          <w:color w:val="auto"/>
        </w:rPr>
      </w:pPr>
    </w:p>
    <w:p>
      <w:pPr>
        <w:ind w:left="2280" w:hanging="250"/>
        <w:spacing w:after="0"/>
        <w:tabs>
          <w:tab w:leader="none" w:pos="228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17" w:lineRule="exact"/>
        <w:rPr>
          <w:rFonts w:ascii="Times New Roman" w:cs="Times New Roman" w:eastAsia="Times New Roman" w:hAnsi="Times New Roman"/>
          <w:sz w:val="18"/>
          <w:szCs w:val="18"/>
          <w:color w:val="auto"/>
        </w:rPr>
      </w:pPr>
    </w:p>
    <w:p>
      <w:pPr>
        <w:ind w:left="2280" w:hanging="250"/>
        <w:spacing w:after="0"/>
        <w:tabs>
          <w:tab w:leader="none" w:pos="228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2020" w:firstLine="10"/>
        <w:spacing w:after="0" w:line="255" w:lineRule="auto"/>
        <w:tabs>
          <w:tab w:leader="none" w:pos="2275"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88"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irrevocably paid or caused to be irrevocably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right="320" w:firstLine="457"/>
        <w:spacing w:after="0" w:line="282" w:lineRule="auto"/>
        <w:tabs>
          <w:tab w:leader="none" w:pos="69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62"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 (ii) of clause (a) of this Section, the obligations of the Trustee under Section 4.02 and the last paragraph of Section 10.03 shall survive any termination of this Indenture.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270"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Application of Trust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w:t>
      </w:r>
    </w:p>
    <w:p>
      <w:pPr>
        <w:spacing w:after="0" w:line="75" w:lineRule="exact"/>
        <w:rPr>
          <w:sz w:val="20"/>
          <w:szCs w:val="20"/>
          <w:color w:val="auto"/>
        </w:rPr>
      </w:pPr>
    </w:p>
    <w:p>
      <w:pPr>
        <w:ind w:left="1020" w:firstLine="408"/>
        <w:spacing w:after="0" w:line="282" w:lineRule="auto"/>
        <w:tabs>
          <w:tab w:leader="none" w:pos="1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Security of that series, when such interest becomes due and payable, and continuance of such default for a period of 30 days; or</w:t>
      </w:r>
    </w:p>
    <w:p>
      <w:pPr>
        <w:spacing w:after="0" w:line="53" w:lineRule="exact"/>
        <w:rPr>
          <w:rFonts w:ascii="Times New Roman" w:cs="Times New Roman" w:eastAsia="Times New Roman" w:hAnsi="Times New Roman"/>
          <w:sz w:val="18"/>
          <w:szCs w:val="18"/>
          <w:color w:val="auto"/>
        </w:rPr>
      </w:pPr>
    </w:p>
    <w:p>
      <w:pPr>
        <w:ind w:left="1020" w:right="300" w:firstLine="408"/>
        <w:spacing w:after="0" w:line="282" w:lineRule="auto"/>
        <w:tabs>
          <w:tab w:leader="none" w:pos="169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any Security of that series when it becomes due and payable at its Maturity, including upon any Redemption Date or required repurchase date; or</w:t>
      </w:r>
    </w:p>
    <w:p>
      <w:pPr>
        <w:spacing w:after="0" w:line="53" w:lineRule="exact"/>
        <w:rPr>
          <w:rFonts w:ascii="Times New Roman" w:cs="Times New Roman" w:eastAsia="Times New Roman" w:hAnsi="Times New Roman"/>
          <w:sz w:val="18"/>
          <w:szCs w:val="18"/>
          <w:color w:val="auto"/>
        </w:rPr>
      </w:pPr>
    </w:p>
    <w:p>
      <w:pPr>
        <w:ind w:left="1020" w:right="80" w:firstLine="408"/>
        <w:spacing w:after="0" w:line="282" w:lineRule="auto"/>
        <w:tabs>
          <w:tab w:leader="none" w:pos="17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any Security of that series, and continuance of such default for a period of 5 days; or</w:t>
      </w:r>
    </w:p>
    <w:p>
      <w:pPr>
        <w:spacing w:after="0" w:line="53" w:lineRule="exact"/>
        <w:rPr>
          <w:rFonts w:ascii="Times New Roman" w:cs="Times New Roman" w:eastAsia="Times New Roman" w:hAnsi="Times New Roman"/>
          <w:sz w:val="18"/>
          <w:szCs w:val="18"/>
          <w:color w:val="auto"/>
        </w:rPr>
      </w:pPr>
    </w:p>
    <w:p>
      <w:pPr>
        <w:ind w:left="1020" w:right="300" w:firstLine="408"/>
        <w:spacing w:after="0" w:line="266" w:lineRule="auto"/>
        <w:tabs>
          <w:tab w:leader="none" w:pos="173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for 60 consecutive days after written notice from the Trustee or the Holders of at least 25% in principal amount of the Securities of such series then Outstanding to the Company and the Trustee, as applicable, has been received to comply with any of the Company’s other agreements contained in such Securities or this Indenture;</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1720" w:hanging="252"/>
        <w:spacing w:after="0"/>
        <w:tabs>
          <w:tab w:leader="none" w:pos="17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 under any Bankruptcy Law,</w:t>
      </w:r>
    </w:p>
    <w:p>
      <w:pPr>
        <w:spacing w:after="0" w:line="117" w:lineRule="exact"/>
        <w:rPr>
          <w:rFonts w:ascii="Times New Roman" w:cs="Times New Roman" w:eastAsia="Times New Roman" w:hAnsi="Times New Roman"/>
          <w:sz w:val="18"/>
          <w:szCs w:val="18"/>
          <w:color w:val="auto"/>
        </w:rPr>
      </w:pPr>
    </w:p>
    <w:p>
      <w:pPr>
        <w:ind w:left="1460" w:right="540" w:firstLine="8"/>
        <w:spacing w:after="0" w:line="282" w:lineRule="auto"/>
        <w:tabs>
          <w:tab w:leader="none" w:pos="171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commencement of any bankruptcy or insolvency case or proceeding against it, or files a petition or answer or consent seeking reorganization or relief against it,</w:t>
      </w:r>
    </w:p>
    <w:p>
      <w:pPr>
        <w:spacing w:after="0" w:line="53" w:lineRule="exact"/>
        <w:rPr>
          <w:rFonts w:ascii="Times New Roman" w:cs="Times New Roman" w:eastAsia="Times New Roman" w:hAnsi="Times New Roman"/>
          <w:sz w:val="18"/>
          <w:szCs w:val="18"/>
          <w:color w:val="auto"/>
        </w:rPr>
      </w:pPr>
    </w:p>
    <w:p>
      <w:pPr>
        <w:ind w:left="1720" w:hanging="252"/>
        <w:spacing w:after="0"/>
        <w:tabs>
          <w:tab w:leader="none" w:pos="17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 decree or order for relief against it in an involuntary case or proceeding,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270" w:right="339" w:bottom="1440" w:gutter="0" w:footer="0" w:header="0"/>
        </w:sectPr>
      </w:pPr>
    </w:p>
    <w:bookmarkStart w:id="92" w:name="page93"/>
    <w:bookmarkEnd w:id="92"/>
    <w:p>
      <w:pPr>
        <w:ind w:left="440" w:right="340" w:firstLine="8"/>
        <w:spacing w:after="0" w:line="282"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consents to the filing of such petition or to the appointment of or taking possession by a Custodian of the Company or for all or substantially all of its property, or</w:t>
      </w:r>
    </w:p>
    <w:p>
      <w:pPr>
        <w:spacing w:after="0" w:line="53" w:lineRule="exact"/>
        <w:rPr>
          <w:rFonts w:ascii="Times New Roman" w:cs="Times New Roman" w:eastAsia="Times New Roman" w:hAnsi="Times New Roman"/>
          <w:sz w:val="18"/>
          <w:szCs w:val="18"/>
          <w:color w:val="auto"/>
        </w:rPr>
      </w:pPr>
    </w:p>
    <w:p>
      <w:pPr>
        <w:ind w:left="440" w:right="160" w:firstLine="8"/>
        <w:spacing w:after="0" w:line="282"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 assignment for the benefit of creditors, or admits in writing of its inability to pay its debts generally as they become due or takes any corporate action in furtherance of any such action;</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title 11, U.S. Code or any applicable federal or state bankruptcy, insolvency, reorganization or other similar law. The term “</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custodian, receiver, trustee, assignee, liquidator, sequestrator or other similar official under any Bankruptcy Law.</w:t>
      </w:r>
    </w:p>
    <w:p>
      <w:pPr>
        <w:spacing w:after="0" w:line="68" w:lineRule="exact"/>
        <w:rPr>
          <w:sz w:val="20"/>
          <w:szCs w:val="20"/>
          <w:color w:val="auto"/>
        </w:rPr>
      </w:pPr>
    </w:p>
    <w:p>
      <w:pPr>
        <w:ind w:left="720" w:hanging="312"/>
        <w:spacing w:after="0"/>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is for relief against the Company in an involuntary case or proceeding, or</w:t>
      </w:r>
    </w:p>
    <w:p>
      <w:pPr>
        <w:spacing w:after="0" w:line="117" w:lineRule="exact"/>
        <w:rPr>
          <w:sz w:val="20"/>
          <w:szCs w:val="20"/>
          <w:color w:val="auto"/>
        </w:rPr>
      </w:pPr>
    </w:p>
    <w:p>
      <w:pPr>
        <w:ind w:left="440" w:right="680" w:firstLine="8"/>
        <w:spacing w:after="0" w:line="282"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adjudges the Company bankrupt or insolvent, or approves as properly filed a petition seeking reorganization, arrangement, adjustment or composition of or in respect of the Company, or</w:t>
      </w:r>
    </w:p>
    <w:p>
      <w:pPr>
        <w:spacing w:after="0" w:line="53" w:lineRule="exact"/>
        <w:rPr>
          <w:rFonts w:ascii="Times New Roman" w:cs="Times New Roman" w:eastAsia="Times New Roman" w:hAnsi="Times New Roman"/>
          <w:sz w:val="18"/>
          <w:szCs w:val="18"/>
          <w:color w:val="auto"/>
        </w:rPr>
      </w:pPr>
    </w:p>
    <w:p>
      <w:pPr>
        <w:ind w:left="700" w:hanging="252"/>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700" w:hanging="252"/>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w:t>
      </w:r>
    </w:p>
    <w:p>
      <w:pPr>
        <w:spacing w:after="0" w:line="117"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8"/>
          <w:szCs w:val="18"/>
          <w:color w:val="auto"/>
        </w:rPr>
        <w:t>and the continuance of any such decree or order for relief or any such other decree or order remains unstayed and in effect for a period of 90 consecutive days;</w:t>
      </w:r>
    </w:p>
    <w:p>
      <w:pPr>
        <w:spacing w:after="0" w:line="54" w:lineRule="exact"/>
        <w:rPr>
          <w:sz w:val="20"/>
          <w:szCs w:val="20"/>
          <w:color w:val="auto"/>
        </w:rPr>
      </w:pPr>
    </w:p>
    <w:p>
      <w:pPr>
        <w:ind w:right="120" w:firstLine="408"/>
        <w:spacing w:after="0" w:line="261" w:lineRule="auto"/>
        <w:tabs>
          <w:tab w:leader="none" w:pos="7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Sections 18(a)(1)(C)(ii) and 61 of the Investment Company Act, or any successor provisions, on the last business day of each of twenty-four consecutive calendar months any class of Securities shall have an asset coverage (as such term is used in the Investment Company Act) of less than 100 per centum, giving effect to any amendments to such provisions of the Investment Company Act or to any exemptive relief granted to the Company by the Commission; or</w:t>
      </w:r>
    </w:p>
    <w:p>
      <w:pPr>
        <w:spacing w:after="0" w:line="71" w:lineRule="exact"/>
        <w:rPr>
          <w:rFonts w:ascii="Times New Roman" w:cs="Times New Roman" w:eastAsia="Times New Roman" w:hAnsi="Times New Roman"/>
          <w:sz w:val="18"/>
          <w:szCs w:val="18"/>
          <w:color w:val="auto"/>
        </w:rPr>
      </w:pPr>
    </w:p>
    <w:p>
      <w:pPr>
        <w:ind w:right="80" w:firstLine="408"/>
        <w:spacing w:after="0" w:line="261" w:lineRule="auto"/>
        <w:tabs>
          <w:tab w:leader="none" w:pos="81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of its Significant Subsidiaries, with respect to any mortgage, agreement or other instrument under which there may be outstanding, or by which there may be secured or evidenced, any indebtedness for money borrowed in excess of</w:t>
      </w: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Securities of any series then Outstanding.</w:t>
      </w:r>
    </w:p>
    <w:p>
      <w:pPr>
        <w:spacing w:after="0" w:line="81"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1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200"/>
          </w:cols>
          <w:pgMar w:left="1340" w:top="270"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then and in every such case (other than an Event of Default specified in Section 5.01(v) or 5.01(vi), the Trustee (if a Responsible Officer has actual knowledge of such Event of Default)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 provided that 100% of the principal of, and accrued and unpaid interest on, the Notes will automatically become due and payable in the case of an Event of Default specified in Section 5.01(v) or 5.01(vi) hereof.</w:t>
      </w:r>
    </w:p>
    <w:p>
      <w:pPr>
        <w:spacing w:after="0" w:line="189" w:lineRule="exact"/>
        <w:rPr>
          <w:sz w:val="20"/>
          <w:szCs w:val="20"/>
          <w:color w:val="auto"/>
        </w:rPr>
      </w:pPr>
    </w:p>
    <w:p>
      <w:pPr>
        <w:ind w:right="280" w:firstLine="449"/>
        <w:spacing w:after="0" w:line="289" w:lineRule="auto"/>
        <w:rPr>
          <w:sz w:val="20"/>
          <w:szCs w:val="20"/>
          <w:color w:val="auto"/>
        </w:rPr>
      </w:pPr>
      <w:r>
        <w:rPr>
          <w:rFonts w:ascii="Times New Roman" w:cs="Times New Roman" w:eastAsia="Times New Roman" w:hAnsi="Times New Roman"/>
          <w:sz w:val="17"/>
          <w:szCs w:val="17"/>
          <w:color w:val="auto"/>
        </w:rPr>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50" w:lineRule="exact"/>
        <w:rPr>
          <w:sz w:val="20"/>
          <w:szCs w:val="20"/>
          <w:color w:val="auto"/>
        </w:rPr>
      </w:pPr>
    </w:p>
    <w:p>
      <w:pPr>
        <w:ind w:left="1020" w:right="20" w:firstLine="408"/>
        <w:spacing w:after="0" w:line="266" w:lineRule="auto"/>
        <w:tabs>
          <w:tab w:leader="none" w:pos="16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67" w:lineRule="exact"/>
        <w:rPr>
          <w:rFonts w:ascii="Times New Roman" w:cs="Times New Roman" w:eastAsia="Times New Roman" w:hAnsi="Times New Roman"/>
          <w:sz w:val="18"/>
          <w:szCs w:val="18"/>
          <w:color w:val="auto"/>
        </w:rPr>
      </w:pPr>
    </w:p>
    <w:p>
      <w:pPr>
        <w:ind w:left="1720" w:hanging="252"/>
        <w:spacing w:after="0"/>
        <w:tabs>
          <w:tab w:leader="none" w:pos="17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installments of interest, if any, on all Outstanding Securities of that series,</w:t>
      </w:r>
    </w:p>
    <w:p>
      <w:pPr>
        <w:spacing w:after="0" w:line="117" w:lineRule="exact"/>
        <w:rPr>
          <w:rFonts w:ascii="Times New Roman" w:cs="Times New Roman" w:eastAsia="Times New Roman" w:hAnsi="Times New Roman"/>
          <w:sz w:val="18"/>
          <w:szCs w:val="18"/>
          <w:color w:val="auto"/>
        </w:rPr>
      </w:pPr>
    </w:p>
    <w:p>
      <w:pPr>
        <w:ind w:left="1460" w:right="600" w:firstLine="8"/>
        <w:spacing w:after="0" w:line="282" w:lineRule="auto"/>
        <w:tabs>
          <w:tab w:leader="none" w:pos="171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all Outstanding Securities of that series that have become due otherwise than by such declaration of acceleration and interest thereon at the rate or rates borne by or provided for in such Securities,</w:t>
      </w:r>
    </w:p>
    <w:p>
      <w:pPr>
        <w:spacing w:after="0" w:line="53" w:lineRule="exact"/>
        <w:rPr>
          <w:rFonts w:ascii="Times New Roman" w:cs="Times New Roman" w:eastAsia="Times New Roman" w:hAnsi="Times New Roman"/>
          <w:sz w:val="18"/>
          <w:szCs w:val="18"/>
          <w:color w:val="auto"/>
        </w:rPr>
      </w:pPr>
    </w:p>
    <w:p>
      <w:pPr>
        <w:ind w:left="1460" w:right="280" w:firstLine="8"/>
        <w:spacing w:after="0" w:line="282" w:lineRule="auto"/>
        <w:tabs>
          <w:tab w:leader="none" w:pos="171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installments of interest at the rate or rates borne by or provided for in such Securities, and</w:t>
      </w:r>
    </w:p>
    <w:p>
      <w:pPr>
        <w:spacing w:after="0" w:line="53" w:lineRule="exact"/>
        <w:rPr>
          <w:rFonts w:ascii="Times New Roman" w:cs="Times New Roman" w:eastAsia="Times New Roman" w:hAnsi="Times New Roman"/>
          <w:sz w:val="18"/>
          <w:szCs w:val="18"/>
          <w:color w:val="auto"/>
        </w:rPr>
      </w:pPr>
    </w:p>
    <w:p>
      <w:pPr>
        <w:ind w:left="1460" w:right="40" w:firstLine="8"/>
        <w:spacing w:after="0" w:line="282" w:lineRule="auto"/>
        <w:tabs>
          <w:tab w:leader="none" w:pos="171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53" w:lineRule="exact"/>
        <w:rPr>
          <w:rFonts w:ascii="Times New Roman" w:cs="Times New Roman" w:eastAsia="Times New Roman" w:hAnsi="Times New Roman"/>
          <w:sz w:val="18"/>
          <w:szCs w:val="18"/>
          <w:color w:val="auto"/>
        </w:rPr>
      </w:pPr>
    </w:p>
    <w:p>
      <w:pPr>
        <w:ind w:left="1020" w:firstLine="408"/>
        <w:spacing w:after="0" w:line="266" w:lineRule="auto"/>
        <w:tabs>
          <w:tab w:leader="none" w:pos="16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(or premium, if any) or interest on Securities of that series that have become due solely by such declaration of acceleration, have been cured or waived as provided in Section 5.13.</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270"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17" w:lineRule="exact"/>
        <w:rPr>
          <w:sz w:val="20"/>
          <w:szCs w:val="20"/>
          <w:color w:val="auto"/>
        </w:rPr>
      </w:pPr>
    </w:p>
    <w:p>
      <w:pPr>
        <w:ind w:left="1020" w:right="460" w:firstLine="408"/>
        <w:spacing w:after="0" w:line="282" w:lineRule="auto"/>
        <w:tabs>
          <w:tab w:leader="none" w:pos="16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any Security of any series when such interest becomes due and payable and such default continues for a period of 30 days, or</w:t>
      </w:r>
    </w:p>
    <w:p>
      <w:pPr>
        <w:spacing w:after="0" w:line="53"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if any) any Security of any series at its Maturity,</w:t>
      </w:r>
    </w:p>
    <w:p>
      <w:pPr>
        <w:spacing w:after="0" w:line="225"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then the Company will, upon demand of the Trustee, pay to the Trustee, for the benefit of the Holders of Securities of such series, the whole amount then due and payable on such Securities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75" w:lineRule="exact"/>
        <w:rPr>
          <w:sz w:val="20"/>
          <w:szCs w:val="20"/>
          <w:color w:val="auto"/>
        </w:rPr>
      </w:pPr>
    </w:p>
    <w:p>
      <w:pPr>
        <w:ind w:left="1020" w:firstLine="408"/>
        <w:spacing w:after="0" w:line="256" w:lineRule="auto"/>
        <w:tabs>
          <w:tab w:leader="none" w:pos="16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(and take such other actions, including voting for the election of a trustee in bankruptcy or similar official and serving on a committee of creditors)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270" w:right="359" w:bottom="1440" w:gutter="0" w:footer="0" w:header="0"/>
        </w:sectPr>
      </w:pPr>
    </w:p>
    <w:bookmarkStart w:id="95" w:name="page96"/>
    <w:bookmarkEnd w:id="95"/>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to collect and receive any moneys or other property payable or deliverable on any such claims and to distribute the same;</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of Securities of such series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 To the extent that the payment of any such compensation, expenses, disbursements and advances of the Trustee, its agents and counsel, and any other amounts due the Trustee under Section 6.06 hereof out of the estate in any such proceeding, shall be unpaid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w:t>
      </w:r>
    </w:p>
    <w:p>
      <w:pPr>
        <w:spacing w:after="0" w:line="192"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Subject to Article Eight and Section 9.02 and unless otherwise provided as contemplated by Section 3.01, 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and after an Event of Default any money or other property distributable in respect of the Company’s obligations under this Indenture shall be applied in the following order, at the date or dates fixed by the Trustee and, in case of the distribution of such money or property on account of principal (or premium, if any) or interest, if any, upon presentation of the Securities and the notation thereon of the payment if only partially paid and upon surrender thereof if fully paid: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To the payment of all amounts due the Trustee and any predecessor Trustee under Section 6.06;</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270" w:right="339" w:bottom="1440" w:gutter="0" w:footer="0" w:header="0"/>
        </w:sectPr>
      </w:pPr>
    </w:p>
    <w:bookmarkStart w:id="96" w:name="page97"/>
    <w:bookmarkEnd w:id="96"/>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To the payment of the amounts then due and unpaid upon any Senior Securities for principal (and premium, if any) and interest, if any, in respect of which or for the benefit of which such money has been collected, ratably, without preference or priority of any kind, according to the aggregate amounts due and payable on such Senior Securities for principal (and premium, if any) and interest, if any, respectively; and</w:t>
      </w:r>
    </w:p>
    <w:p>
      <w:pPr>
        <w:spacing w:after="0" w:line="176" w:lineRule="exact"/>
        <w:rPr>
          <w:sz w:val="20"/>
          <w:szCs w:val="20"/>
          <w:color w:val="auto"/>
        </w:rPr>
      </w:pPr>
    </w:p>
    <w:p>
      <w:pPr>
        <w:ind w:firstLine="449"/>
        <w:spacing w:after="0" w:line="289" w:lineRule="auto"/>
        <w:rPr>
          <w:sz w:val="20"/>
          <w:szCs w:val="20"/>
          <w:color w:val="auto"/>
        </w:rPr>
      </w:pPr>
      <w:r>
        <w:rPr>
          <w:rFonts w:ascii="Times New Roman" w:cs="Times New Roman" w:eastAsia="Times New Roman" w:hAnsi="Times New Roman"/>
          <w:sz w:val="17"/>
          <w:szCs w:val="17"/>
          <w:color w:val="auto"/>
        </w:rPr>
        <w:t>THIRD: To the payment of the amounts then due and unpaid upon any Senior Subordinated Securities for principal (and premium, if any) and interest, if any, in respect of which or for the benefit of which such money has been collected, ratably, without preference or priority of any kind, according to the aggregate amounts due and payable on such Senior Subordinated Securities for principal (and premium, if any) and interest, if any, respectively; and</w:t>
      </w:r>
    </w:p>
    <w:p>
      <w:pPr>
        <w:spacing w:after="0" w:line="158"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FOURTH: To the payment of the amounts then due and unpaid upon any other Securities for principal (and premium, if any) and interest, if any, in respect of which or for the benefit of which such money has been collected, ratably, without preference or priority of any kind, according to the aggregate amounts due and payable on such Securities for principal (and premium, if any) and interest, if any, respectively; and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FIFTH: To the payment of the remainder, if any, to the Company or any other Person or Persons entitled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4" w:lineRule="exact"/>
        <w:rPr>
          <w:sz w:val="20"/>
          <w:szCs w:val="20"/>
          <w:color w:val="auto"/>
        </w:rPr>
      </w:pPr>
    </w:p>
    <w:p>
      <w:pPr>
        <w:ind w:left="1640" w:hanging="212"/>
        <w:spacing w:after="0"/>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98" w:lineRule="exact"/>
        <w:rPr>
          <w:rFonts w:ascii="Times New Roman" w:cs="Times New Roman" w:eastAsia="Times New Roman" w:hAnsi="Times New Roman"/>
          <w:sz w:val="18"/>
          <w:szCs w:val="18"/>
          <w:color w:val="auto"/>
        </w:rPr>
      </w:pPr>
    </w:p>
    <w:p>
      <w:pPr>
        <w:ind w:left="1020" w:right="80" w:firstLine="408"/>
        <w:spacing w:after="0" w:line="282" w:lineRule="auto"/>
        <w:tabs>
          <w:tab w:leader="none" w:pos="169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left="1020" w:right="20" w:firstLine="408"/>
        <w:spacing w:after="0" w:line="282" w:lineRule="auto"/>
        <w:tabs>
          <w:tab w:leader="none" w:pos="17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1020" w:right="300" w:firstLine="408"/>
        <w:spacing w:after="0" w:line="282" w:lineRule="auto"/>
        <w:tabs>
          <w:tab w:leader="none" w:pos="173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53" w:lineRule="exact"/>
        <w:rPr>
          <w:rFonts w:ascii="Times New Roman" w:cs="Times New Roman" w:eastAsia="Times New Roman" w:hAnsi="Times New Roman"/>
          <w:sz w:val="18"/>
          <w:szCs w:val="18"/>
          <w:color w:val="auto"/>
        </w:rPr>
      </w:pPr>
    </w:p>
    <w:p>
      <w:pPr>
        <w:ind w:left="1020" w:right="360" w:firstLine="408"/>
        <w:spacing w:after="0" w:line="282" w:lineRule="auto"/>
        <w:tabs>
          <w:tab w:leader="none" w:pos="168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80"/>
          </w:cols>
          <w:pgMar w:left="320" w:top="270" w:right="399" w:bottom="1440" w:gutter="0" w:footer="0" w:header="0"/>
        </w:sectPr>
      </w:pPr>
    </w:p>
    <w:bookmarkStart w:id="97" w:name="page98"/>
    <w:bookmarkEnd w:id="97"/>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Unconditional Right of Holders to Receive Principal, Premium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premium, if any) and (subject to Sections 3.05 and 3.07) interest, if any, on such Security on the Stated Maturity or Maturities expressed in such Security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the last paragraph of Section 3.06,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as the case may be.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270"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5.12. </w:t>
      </w:r>
      <w:r>
        <w:rPr>
          <w:rFonts w:ascii="Times New Roman" w:cs="Times New Roman" w:eastAsia="Times New Roman" w:hAnsi="Times New Roman"/>
          <w:sz w:val="18"/>
          <w:szCs w:val="18"/>
          <w:u w:val="single" w:color="auto"/>
          <w:color w:val="auto"/>
        </w:rPr>
        <w:t>Control by Holders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Subject to Section 6.02(v),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left="1640" w:hanging="212"/>
        <w:spacing w:after="0"/>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such direction, and</w:t>
      </w:r>
    </w:p>
    <w:p>
      <w:pPr>
        <w:spacing w:after="0" w:line="117" w:lineRule="exact"/>
        <w:rPr>
          <w:rFonts w:ascii="Times New Roman" w:cs="Times New Roman" w:eastAsia="Times New Roman" w:hAnsi="Times New Roman"/>
          <w:sz w:val="18"/>
          <w:szCs w:val="18"/>
          <w:color w:val="auto"/>
        </w:rPr>
      </w:pPr>
    </w:p>
    <w:p>
      <w:pPr>
        <w:ind w:left="1020" w:right="60" w:firstLine="408"/>
        <w:spacing w:after="0" w:line="266" w:lineRule="auto"/>
        <w:tabs>
          <w:tab w:leader="none" w:pos="17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that might involve it in personal liability or be unjustly prejudicial to the Holders of Securities of such series not consenting (it being understood that the Trustee does not have an affirmative duty to ascertain whether or not any such directions are unduly prejudicial to such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9"/>
        <w:spacing w:after="0" w:line="312" w:lineRule="auto"/>
        <w:rPr>
          <w:sz w:val="20"/>
          <w:szCs w:val="20"/>
          <w:color w:val="auto"/>
        </w:rPr>
      </w:pPr>
      <w:r>
        <w:rPr>
          <w:rFonts w:ascii="Times New Roman" w:cs="Times New Roman" w:eastAsia="Times New Roman" w:hAnsi="Times New Roman"/>
          <w:sz w:val="17"/>
          <w:szCs w:val="17"/>
          <w:color w:val="auto"/>
        </w:rPr>
        <w:t>Subject to Section 5.02, the Holders of not less than a majority in principal amount of the Outstanding Securities of any series may on behalf of the Holders of all the Securities of such series waive any past default hereunder with respect to Securities of such series and its consequences, except a default</w:t>
      </w:r>
    </w:p>
    <w:p>
      <w:pPr>
        <w:spacing w:after="0" w:line="32" w:lineRule="exact"/>
        <w:rPr>
          <w:sz w:val="20"/>
          <w:szCs w:val="20"/>
          <w:color w:val="auto"/>
        </w:rPr>
      </w:pPr>
    </w:p>
    <w:p>
      <w:pPr>
        <w:ind w:left="1640" w:hanging="212"/>
        <w:spacing w:after="0"/>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if any) or interest, if any, on any Security of such series, or</w:t>
      </w:r>
    </w:p>
    <w:p>
      <w:pPr>
        <w:spacing w:after="0" w:line="117" w:lineRule="exact"/>
        <w:rPr>
          <w:rFonts w:ascii="Times New Roman" w:cs="Times New Roman" w:eastAsia="Times New Roman" w:hAnsi="Times New Roman"/>
          <w:sz w:val="18"/>
          <w:szCs w:val="18"/>
          <w:color w:val="auto"/>
        </w:rPr>
      </w:pPr>
    </w:p>
    <w:p>
      <w:pPr>
        <w:ind w:left="1020" w:right="280" w:firstLine="408"/>
        <w:spacing w:after="0" w:line="282" w:lineRule="auto"/>
        <w:tabs>
          <w:tab w:leader="none" w:pos="169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Nine cannot be modified or amended without the consent of the Holder of each Outstanding Security of such series affected.</w:t>
      </w:r>
    </w:p>
    <w:p>
      <w:pPr>
        <w:spacing w:after="0" w:line="162" w:lineRule="exact"/>
        <w:rPr>
          <w:sz w:val="20"/>
          <w:szCs w:val="20"/>
          <w:color w:val="auto"/>
        </w:rPr>
      </w:pPr>
    </w:p>
    <w:p>
      <w:pPr>
        <w:jc w:val="both"/>
        <w:ind w:right="220" w:firstLine="449"/>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Waiver of Stay or Extension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270"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5.15.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5.15 does not apply to a suit by the Trustee, a suit by a Holder of a Note pursuant to Section 5.08 hereof, or a suit by Holders of more than 10% in principal amount of the then outstanding Securities.</w:t>
      </w:r>
    </w:p>
    <w:p>
      <w:pPr>
        <w:spacing w:after="0" w:line="39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1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57"/>
        <w:spacing w:after="0" w:line="255" w:lineRule="auto"/>
        <w:tabs>
          <w:tab w:leader="none" w:pos="69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occurrence of any Default hereunder with respect to the Securities of any series, the Trustee shall transmit in the manner and to the extent provided in TIA Section 313(c), notice of such Default hereunder actually known to a Responsible Officer of the Trustee, unless such Default shall have been cured or waived; provided, however,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Trustee in good faith determines that the withholding of such notice is in the interest of the Holders of the Securities of such series; and provided further that in the case of any Default or breach of the character specified in Section 5.01(iv) with respect to the Securities of such series, no such notice to Holders shall be given until at least 60 days after the occurrence thereof.</w:t>
      </w:r>
    </w:p>
    <w:p>
      <w:pPr>
        <w:spacing w:after="0" w:line="188" w:lineRule="exact"/>
        <w:rPr>
          <w:rFonts w:ascii="Times New Roman" w:cs="Times New Roman" w:eastAsia="Times New Roman" w:hAnsi="Times New Roman"/>
          <w:sz w:val="18"/>
          <w:szCs w:val="18"/>
          <w:color w:val="auto"/>
        </w:rPr>
      </w:pPr>
    </w:p>
    <w:p>
      <w:pPr>
        <w:ind w:right="460" w:firstLine="457"/>
        <w:spacing w:after="0" w:line="282" w:lineRule="auto"/>
        <w:tabs>
          <w:tab w:leader="none" w:pos="70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when the occurrence of an Event of Default becomes known to a Responsible Officer of the Trustee and after the curing or waiving of all such Events of Default with respect to a series of Securities that may have occurred:</w:t>
      </w:r>
    </w:p>
    <w:p>
      <w:pPr>
        <w:spacing w:after="0" w:line="53" w:lineRule="exact"/>
        <w:rPr>
          <w:rFonts w:ascii="Times New Roman" w:cs="Times New Roman" w:eastAsia="Times New Roman" w:hAnsi="Times New Roman"/>
          <w:sz w:val="18"/>
          <w:szCs w:val="18"/>
          <w:color w:val="auto"/>
        </w:rPr>
      </w:pPr>
    </w:p>
    <w:p>
      <w:pPr>
        <w:ind w:left="1020" w:right="100" w:firstLine="408"/>
        <w:spacing w:after="0" w:line="261" w:lineRule="auto"/>
        <w:tabs>
          <w:tab w:leader="none" w:pos="164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any series be determined solely by the express provisions of this Indenture, and the Trustee shall not be liable with respect to the Securities except for the performance of such duties and obligations as are specifically set forth in this Indenture, and no implied covenants or obligations shall be read into this Indenture against the Trustee; and</w:t>
      </w:r>
    </w:p>
    <w:p>
      <w:pPr>
        <w:spacing w:after="0" w:line="71" w:lineRule="exact"/>
        <w:rPr>
          <w:rFonts w:ascii="Times New Roman" w:cs="Times New Roman" w:eastAsia="Times New Roman" w:hAnsi="Times New Roman"/>
          <w:sz w:val="18"/>
          <w:szCs w:val="18"/>
          <w:color w:val="auto"/>
        </w:rPr>
      </w:pPr>
    </w:p>
    <w:p>
      <w:pPr>
        <w:ind w:left="1020" w:right="20" w:firstLine="408"/>
        <w:spacing w:after="0" w:line="277" w:lineRule="auto"/>
        <w:tabs>
          <w:tab w:leader="none" w:pos="1694"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any mathematical calculations or other facts stated therein).</w:t>
      </w:r>
    </w:p>
    <w:p>
      <w:pPr>
        <w:spacing w:after="0" w:line="167" w:lineRule="exact"/>
        <w:rPr>
          <w:rFonts w:ascii="Times New Roman" w:cs="Times New Roman" w:eastAsia="Times New Roman" w:hAnsi="Times New Roman"/>
          <w:sz w:val="17"/>
          <w:szCs w:val="17"/>
          <w:color w:val="auto"/>
        </w:rPr>
      </w:pPr>
    </w:p>
    <w:p>
      <w:pPr>
        <w:ind w:firstLine="457"/>
        <w:spacing w:after="0" w:line="261" w:lineRule="auto"/>
        <w:tabs>
          <w:tab w:leader="none" w:pos="69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with respect to the Securities of any series of which a Responsible Officer of the Trustee has actual notice, the Trustee shall exercise such of the rights and powers vested in it by this Indenture with respect to the Securities of such series, and use the same degree of care and skill in their exercise, as a prudent person would exercise or use under the circumstances in the conduct of such person’s own affairs.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270" w:right="359" w:bottom="1440" w:gutter="0" w:footer="0" w:header="0"/>
        </w:sectPr>
      </w:pPr>
    </w:p>
    <w:bookmarkStart w:id="100" w:name="page101"/>
    <w:bookmarkEnd w:id="100"/>
    <w:p>
      <w:pPr>
        <w:ind w:firstLine="457"/>
        <w:spacing w:after="0" w:line="272" w:lineRule="auto"/>
        <w:tabs>
          <w:tab w:leader="none" w:pos="704"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not be relieved from liabilities for its own negligent action, its own negligent failure to act, or its own willful misconduct, except that: (i) this paragraph does not limit the effect of paragraph (b) of this Section 6.01; (ii) the Trustee shall not be liable for any error of judgment made in good faith by a Responsible Officer or Responsible Officers, unless it shall be proved that the Trustee was negligent in ascertaining the pertinent facts; and</w:t>
      </w:r>
    </w:p>
    <w:p>
      <w:pPr>
        <w:spacing w:after="0" w:line="1" w:lineRule="exact"/>
        <w:rPr>
          <w:rFonts w:ascii="Times New Roman" w:cs="Times New Roman" w:eastAsia="Times New Roman" w:hAnsi="Times New Roman"/>
          <w:sz w:val="17"/>
          <w:szCs w:val="17"/>
          <w:color w:val="auto"/>
        </w:rPr>
      </w:pPr>
    </w:p>
    <w:p>
      <w:pPr>
        <w:ind w:right="20" w:firstLine="8"/>
        <w:spacing w:after="0" w:line="255" w:lineRule="auto"/>
        <w:tabs>
          <w:tab w:leader="none" w:pos="3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the direction of the holders of not less than a majority in principal amount of the Securities Outstanding relating to the time, method, and place of conducting any proceeding for any remedy available to the Trustee, or exercising any trust or power conferred upon the Trustee, with respect to the Securities of any series under this Indenture.</w:t>
      </w:r>
    </w:p>
    <w:p>
      <w:pPr>
        <w:spacing w:after="0" w:line="185" w:lineRule="exact"/>
        <w:rPr>
          <w:rFonts w:ascii="Times New Roman" w:cs="Times New Roman" w:eastAsia="Times New Roman" w:hAnsi="Times New Roman"/>
          <w:sz w:val="18"/>
          <w:szCs w:val="18"/>
          <w:color w:val="auto"/>
        </w:rPr>
      </w:pPr>
    </w:p>
    <w:p>
      <w:pPr>
        <w:ind w:right="100" w:firstLine="457"/>
        <w:spacing w:after="0" w:line="282" w:lineRule="auto"/>
        <w:tabs>
          <w:tab w:leader="none" w:pos="69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paragraphs (a), (b), (c) and (d) of this Section 6.01.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provisions of TIA Section 315(a) through 315(d):</w:t>
      </w:r>
    </w:p>
    <w:p>
      <w:pPr>
        <w:spacing w:after="0" w:line="117" w:lineRule="exact"/>
        <w:rPr>
          <w:sz w:val="20"/>
          <w:szCs w:val="20"/>
          <w:color w:val="auto"/>
        </w:rPr>
      </w:pPr>
    </w:p>
    <w:p>
      <w:pPr>
        <w:ind w:left="1640" w:hanging="212"/>
        <w:spacing w:after="0"/>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w:t>
      </w:r>
    </w:p>
    <w:p>
      <w:pPr>
        <w:spacing w:after="0" w:line="27" w:lineRule="exact"/>
        <w:rPr>
          <w:rFonts w:ascii="Times New Roman" w:cs="Times New Roman" w:eastAsia="Times New Roman" w:hAnsi="Times New Roman"/>
          <w:sz w:val="18"/>
          <w:szCs w:val="18"/>
          <w:color w:val="auto"/>
        </w:rPr>
      </w:pPr>
    </w:p>
    <w:p>
      <w:pPr>
        <w:ind w:left="102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opinion, report, notice, request, direction, consent, order, bond, debenture, note, coupon or other paper or document (whether in its original or facsimile form) believed by it to be genuine and to have been signed or presented by the proper party or parties.</w:t>
      </w:r>
    </w:p>
    <w:p>
      <w:pPr>
        <w:spacing w:after="0" w:line="73" w:lineRule="exact"/>
        <w:rPr>
          <w:rFonts w:ascii="Times New Roman" w:cs="Times New Roman" w:eastAsia="Times New Roman" w:hAnsi="Times New Roman"/>
          <w:sz w:val="18"/>
          <w:szCs w:val="18"/>
          <w:color w:val="auto"/>
        </w:rPr>
      </w:pPr>
    </w:p>
    <w:p>
      <w:pPr>
        <w:ind w:left="1020" w:right="140" w:firstLine="408"/>
        <w:spacing w:after="0" w:line="289" w:lineRule="auto"/>
        <w:tabs>
          <w:tab w:leader="none" w:pos="169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request or direction of the Company mentioned herein shall be sufficiently evidenced by a Company Request or Company Order (other than delivery of any Security to the Trustee for authentication and delivery pursuant to Section 3.03 which shall be sufficiently evidenced as provided therein) and any resolution of the Board of Directors may be sufficiently evidenced by a Board Resolution.</w:t>
      </w:r>
    </w:p>
    <w:p>
      <w:pPr>
        <w:spacing w:after="0" w:line="49" w:lineRule="exact"/>
        <w:rPr>
          <w:rFonts w:ascii="Times New Roman" w:cs="Times New Roman" w:eastAsia="Times New Roman" w:hAnsi="Times New Roman"/>
          <w:sz w:val="17"/>
          <w:szCs w:val="17"/>
          <w:color w:val="auto"/>
        </w:rPr>
      </w:pPr>
    </w:p>
    <w:p>
      <w:pPr>
        <w:jc w:val="both"/>
        <w:ind w:left="1020" w:right="100" w:firstLine="408"/>
        <w:spacing w:after="0" w:line="261" w:lineRule="auto"/>
        <w:tabs>
          <w:tab w:leader="none" w:pos="17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and rely upon a Board Resolution, an Opinion of Counsel and/or an Officers’ Certificate and the Trustee shall not be liable for any action it takes or omits to take in good faith in reliance thereon.</w:t>
      </w:r>
    </w:p>
    <w:p>
      <w:pPr>
        <w:spacing w:after="0" w:line="71" w:lineRule="exact"/>
        <w:rPr>
          <w:rFonts w:ascii="Times New Roman" w:cs="Times New Roman" w:eastAsia="Times New Roman" w:hAnsi="Times New Roman"/>
          <w:sz w:val="18"/>
          <w:szCs w:val="18"/>
          <w:color w:val="auto"/>
        </w:rPr>
      </w:pPr>
    </w:p>
    <w:p>
      <w:pPr>
        <w:ind w:left="1020" w:right="20" w:firstLine="408"/>
        <w:spacing w:after="0" w:line="261" w:lineRule="auto"/>
        <w:tabs>
          <w:tab w:leader="none" w:pos="173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concerning all matters hereunder, and may in all cases pay such reasonable compensation to any attorney, agent, receiver or employee retained or employed by it in connection herewith and the advice of such counsel or any Opinion of Counsel shall be full and complete authorization and protection in respect of any action taken, suffered or omitted by it hereunder in good faith and in reliance thereon.</w:t>
      </w:r>
    </w:p>
    <w:p>
      <w:pPr>
        <w:spacing w:after="0" w:line="71" w:lineRule="exact"/>
        <w:rPr>
          <w:rFonts w:ascii="Times New Roman" w:cs="Times New Roman" w:eastAsia="Times New Roman" w:hAnsi="Times New Roman"/>
          <w:sz w:val="18"/>
          <w:szCs w:val="18"/>
          <w:color w:val="auto"/>
        </w:rPr>
      </w:pPr>
    </w:p>
    <w:p>
      <w:pPr>
        <w:ind w:left="1020" w:right="120" w:firstLine="408"/>
        <w:spacing w:after="0" w:line="261" w:lineRule="auto"/>
        <w:tabs>
          <w:tab w:leader="none" w:pos="16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take any action or exercise any of the rights or powers vested in it by this Indenture at the request or direction of any of the Holders of Securities of any series pursuant to this Indenture, unless such Holders shall have offered to the Trustee security or indemnity satisfactory to the Trustee against the costs, expenses and liabilities (including the reasonable fees and expenses of its agents and counsel) which might be incurred by it in compliance with such request or direction.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270" w:right="359" w:bottom="1440" w:gutter="0" w:footer="0" w:header="0"/>
        </w:sectPr>
      </w:pPr>
    </w:p>
    <w:bookmarkStart w:id="101" w:name="page102"/>
    <w:bookmarkEnd w:id="101"/>
    <w:p>
      <w:pPr>
        <w:ind w:left="1020" w:right="140" w:firstLine="408"/>
        <w:spacing w:after="0" w:line="256" w:lineRule="auto"/>
        <w:tabs>
          <w:tab w:leader="none" w:pos="17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 and shall incur no liability or additional liability of any kind by reason of such inquiry or investigation.</w:t>
      </w:r>
    </w:p>
    <w:p>
      <w:pPr>
        <w:spacing w:after="0" w:line="79" w:lineRule="exact"/>
        <w:rPr>
          <w:rFonts w:ascii="Times New Roman" w:cs="Times New Roman" w:eastAsia="Times New Roman" w:hAnsi="Times New Roman"/>
          <w:sz w:val="18"/>
          <w:szCs w:val="18"/>
          <w:color w:val="auto"/>
        </w:rPr>
      </w:pPr>
    </w:p>
    <w:p>
      <w:pPr>
        <w:ind w:left="1020" w:right="180" w:firstLine="408"/>
        <w:spacing w:after="0" w:line="266" w:lineRule="auto"/>
        <w:tabs>
          <w:tab w:leader="none" w:pos="178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67" w:lineRule="exact"/>
        <w:rPr>
          <w:rFonts w:ascii="Times New Roman" w:cs="Times New Roman" w:eastAsia="Times New Roman" w:hAnsi="Times New Roman"/>
          <w:sz w:val="18"/>
          <w:szCs w:val="18"/>
          <w:color w:val="auto"/>
        </w:rPr>
      </w:pPr>
    </w:p>
    <w:p>
      <w:pPr>
        <w:ind w:left="1020" w:right="60" w:firstLine="408"/>
        <w:spacing w:after="0" w:line="261" w:lineRule="auto"/>
        <w:tabs>
          <w:tab w:leader="none" w:pos="18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by the Company or by the Holders of at least 25% of the aggregate principal amount of the Securities of any series then outstanding is received by the Trustee at the Corporate Trust Office of the Trustee, and such notice references the Securities and this Indenture.</w:t>
      </w:r>
    </w:p>
    <w:p>
      <w:pPr>
        <w:spacing w:after="0" w:line="71" w:lineRule="exact"/>
        <w:rPr>
          <w:rFonts w:ascii="Times New Roman" w:cs="Times New Roman" w:eastAsia="Times New Roman" w:hAnsi="Times New Roman"/>
          <w:sz w:val="18"/>
          <w:szCs w:val="18"/>
          <w:color w:val="auto"/>
        </w:rPr>
      </w:pPr>
    </w:p>
    <w:p>
      <w:pPr>
        <w:ind w:left="1020" w:right="240" w:firstLine="408"/>
        <w:spacing w:after="0" w:line="266" w:lineRule="auto"/>
        <w:tabs>
          <w:tab w:leader="none" w:pos="17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compensated, reimbursed and indemnified, are extended to, and shall be enforceable by, the Trustee in each of its capacities hereunder and each Agent.</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117" w:lineRule="exact"/>
        <w:rPr>
          <w:rFonts w:ascii="Times New Roman" w:cs="Times New Roman" w:eastAsia="Times New Roman" w:hAnsi="Times New Roman"/>
          <w:sz w:val="18"/>
          <w:szCs w:val="18"/>
          <w:color w:val="auto"/>
        </w:rPr>
      </w:pPr>
    </w:p>
    <w:p>
      <w:pPr>
        <w:ind w:left="1020" w:right="160" w:firstLine="408"/>
        <w:spacing w:after="0" w:line="282" w:lineRule="auto"/>
        <w:tabs>
          <w:tab w:leader="none" w:pos="17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color w:val="auto"/>
        </w:rPr>
      </w:pPr>
    </w:p>
    <w:p>
      <w:pPr>
        <w:ind w:left="1020" w:right="120" w:firstLine="408"/>
        <w:spacing w:after="0" w:line="261" w:lineRule="auto"/>
        <w:tabs>
          <w:tab w:leader="none" w:pos="178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71" w:lineRule="exact"/>
        <w:rPr>
          <w:rFonts w:ascii="Times New Roman" w:cs="Times New Roman" w:eastAsia="Times New Roman" w:hAnsi="Times New Roman"/>
          <w:sz w:val="18"/>
          <w:szCs w:val="18"/>
          <w:color w:val="auto"/>
        </w:rPr>
      </w:pPr>
    </w:p>
    <w:p>
      <w:pPr>
        <w:ind w:left="1020" w:firstLine="408"/>
        <w:spacing w:after="0" w:line="266" w:lineRule="auto"/>
        <w:tabs>
          <w:tab w:leader="none" w:pos="18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left="1020" w:right="80" w:firstLine="408"/>
        <w:spacing w:after="0" w:line="255" w:lineRule="auto"/>
        <w:tabs>
          <w:tab w:leader="none" w:pos="18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or liable for any failure or delay in the performance of its obligations under this Indenture arising out of or caused, directly or indirectly, by circumstances beyond its control, including acts of God; earthquakes; fire; flood; terrorism; wars and other military disturbances; sabotage; epidemics; pandemics; recognized public health emergencies; quarantine restrictions; riots; interruptions; loss or malfunctions of utilities, computer (hardware or software) or communication services; hacking; cyber-attacks or other use or infiltration of the Trustee’s technological infrastructure exceeding authorized access; accidents; labor disputes; acts of civil or military authority and governmental action or other unavailability of the Federal Reserve Bank wire or facsimile or other wire or communication facility.</w:t>
      </w:r>
    </w:p>
    <w:p>
      <w:pPr>
        <w:spacing w:after="0" w:line="80" w:lineRule="exact"/>
        <w:rPr>
          <w:rFonts w:ascii="Times New Roman" w:cs="Times New Roman" w:eastAsia="Times New Roman" w:hAnsi="Times New Roman"/>
          <w:sz w:val="18"/>
          <w:szCs w:val="18"/>
          <w:color w:val="auto"/>
        </w:rPr>
      </w:pPr>
    </w:p>
    <w:p>
      <w:pPr>
        <w:ind w:left="1020" w:right="40" w:firstLine="408"/>
        <w:spacing w:after="0" w:line="266" w:lineRule="auto"/>
        <w:tabs>
          <w:tab w:leader="none" w:pos="177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67"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or duties 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 Responsible for Recitals or Issuance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9"/>
        <w:spacing w:after="0" w:line="254" w:lineRule="auto"/>
        <w:rPr>
          <w:sz w:val="20"/>
          <w:szCs w:val="20"/>
          <w:color w:val="auto"/>
        </w:rPr>
      </w:pPr>
      <w:r>
        <w:rPr>
          <w:rFonts w:ascii="Times New Roman" w:cs="Times New Roman" w:eastAsia="Times New Roman" w:hAnsi="Times New Roman"/>
          <w:sz w:val="18"/>
          <w:szCs w:val="18"/>
          <w:color w:val="auto"/>
        </w:rPr>
        <w:t>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and shall not be responsible for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 or for funds received and disbursed in accordance with Indenture. The Trustee shall not be bound to ascertain or inquire as to the performance, observance, or breach of any covenants, conditions, representations, warranties or agreements on the part of the Company but the Trustee may require full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270" w:right="339" w:bottom="1440" w:gutter="0" w:footer="0" w:header="0"/>
        </w:sectPr>
      </w:pPr>
    </w:p>
    <w:bookmarkStart w:id="102" w:name="page103"/>
    <w:bookmarkEnd w:id="10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and advice as to the performance of the aforementioned covenants. Under no circumstances shall the Trustee be liable in its individual capacity for the obligations evidenced by the Securities. The Trustee shall have no obligation to pursue any action that is not in accordance with applicable law. The Trustee makes no representation as to and shall not be responsible for any statement or recital herein or any statement in any document in connection with the sale of any of the Securities. The Trustee shall not be responsible for and makes no representation as to any act or omission of any rating agency or any rating with respect to the Securities. The Trustee shall have no obligation to independently determine or verify if any event has occurred or notify the Holders of any event dependent upon the rating of the Securities, or if the rating on the Securities has been changed, suspended or withdrawn by any rating agency.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The Trustee, any Paying Agent, Security Registrar, Authenticating Agent or any other agent of the Company, in its individual or any other capacity, may become the owner or pledgee of Securities and, subject to TIA Sections 310(b) and 311, may otherwise deal with the Company with the same rights it would have if it were not Trustee, Paying Agent, Security Registrar, Authenticating Agent or such other agent.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00"/>
          </w:cols>
          <w:pgMar w:left="320" w:top="270"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Compensation and Reimbursement and Indemnification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agrees:</w:t>
      </w:r>
    </w:p>
    <w:p>
      <w:pPr>
        <w:spacing w:after="0" w:line="117" w:lineRule="exact"/>
        <w:rPr>
          <w:sz w:val="20"/>
          <w:szCs w:val="20"/>
          <w:color w:val="auto"/>
        </w:rPr>
      </w:pPr>
    </w:p>
    <w:p>
      <w:pPr>
        <w:ind w:left="1020" w:right="160" w:firstLine="408"/>
        <w:spacing w:after="0" w:line="266" w:lineRule="auto"/>
        <w:tabs>
          <w:tab w:leader="none" w:pos="1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and any predecessor Trustee from time to time such compensation for all services rendered by it hereunder as has been agreed upon from time to time in writing (which compensation shall not be limited by any provision of law in regard to the compensation of a trustee of an express trust).</w:t>
      </w:r>
    </w:p>
    <w:p>
      <w:pPr>
        <w:spacing w:after="0" w:line="67" w:lineRule="exact"/>
        <w:rPr>
          <w:rFonts w:ascii="Times New Roman" w:cs="Times New Roman" w:eastAsia="Times New Roman" w:hAnsi="Times New Roman"/>
          <w:sz w:val="18"/>
          <w:szCs w:val="18"/>
          <w:color w:val="auto"/>
        </w:rPr>
      </w:pPr>
    </w:p>
    <w:p>
      <w:pPr>
        <w:jc w:val="both"/>
        <w:ind w:left="1020" w:right="140" w:firstLine="408"/>
        <w:spacing w:after="0" w:line="261" w:lineRule="auto"/>
        <w:tabs>
          <w:tab w:leader="none" w:pos="16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willful misconduct as finally adjudicated by a court of competent jurisdiction.</w:t>
      </w:r>
    </w:p>
    <w:p>
      <w:pPr>
        <w:spacing w:after="0" w:line="71" w:lineRule="exact"/>
        <w:rPr>
          <w:rFonts w:ascii="Times New Roman" w:cs="Times New Roman" w:eastAsia="Times New Roman" w:hAnsi="Times New Roman"/>
          <w:sz w:val="18"/>
          <w:szCs w:val="18"/>
          <w:color w:val="auto"/>
        </w:rPr>
      </w:pPr>
    </w:p>
    <w:p>
      <w:pPr>
        <w:ind w:left="1020" w:firstLine="408"/>
        <w:spacing w:after="0" w:line="255" w:lineRule="auto"/>
        <w:tabs>
          <w:tab w:leader="none" w:pos="17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each of the Trustee and any predecessor Trustee for, and to hold it harmless against, any loss, liability, claim, damage, fee, cost or expense incurred without negligence or willful misconduct on its own part as finally adjudicated by a court of competent jurisdiction, arising out of or in connection with the acceptance or administration of the trust or trusts hereunder, including the costs and expenses (including the reasonable fees and expenses of its agents and counsel) of defending itself against any claim or liability in connection with the exercise or performance of any of its powers or duties hereunder (whether asserted by the Company, any Holder, or any other Person), including enforcement of this Section 6.06, and including reasonable attorneys’ fees and expenses and court costs incurred in connection with any action, claim or suit brought to enforce the Trustee’s right to compensation, reimbursement or indemnification.</w:t>
      </w:r>
    </w:p>
    <w:p>
      <w:pPr>
        <w:spacing w:after="0" w:line="18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All indemnifications and releases from liability granted hereunder to the Trustee shall extend to its officers, directors, employees, agents, attorneys, custodians, successors and assigns. 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w:t>
      </w:r>
    </w:p>
    <w:p>
      <w:pPr>
        <w:spacing w:after="0" w:line="180"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270" w:right="339" w:bottom="1440" w:gutter="0" w:footer="0" w:header="0"/>
        </w:sectPr>
      </w:pPr>
    </w:p>
    <w:bookmarkStart w:id="104" w:name="page105"/>
    <w:bookmarkEnd w:id="104"/>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of this Section 6.06 shall survive the resignation or removal of the Trustee and the satisfaction, termination or discharge of this Indenture. “Trustee” for the purposes of this Section 6.06 shall include any predecessor Trustee and the Trustee in each of its capacities hereunder and each agent, custodian and other person employed to act hereunder; provided, however, that the negligence or willful misconduct of any Trustee hereunder, as finally adjudicated by a court of competent jurisdiction, shall not affect the rights of any other Trustee 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Trustee Required; 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There shall at all times be a Trustee hereunder that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If the Trustee has or shall acquire a conflicting interest within the meaning of the Trust Indenture Act, the Trustee shall either eliminate such interest, apply to the Commission for permission to continue as trustee or resign, to the extent and in the manner provided by, and subject to the provisions of, the Trust Indenture Act and this Indenture. To the extent permitted by such Act, the Trustee shall not be deemed to have a conflicting interest with respect to Securities of any series under this Indenture or any other indenture of the Company by virtue of being a trustee under this Indenture with respect to any particular series of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457"/>
        <w:spacing w:after="0" w:line="282" w:lineRule="auto"/>
        <w:tabs>
          <w:tab w:leader="none" w:pos="69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61"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w:t>
      </w:r>
    </w:p>
    <w:p>
      <w:pPr>
        <w:spacing w:after="0" w:line="225" w:lineRule="exact"/>
        <w:rPr>
          <w:rFonts w:ascii="Times New Roman" w:cs="Times New Roman" w:eastAsia="Times New Roman" w:hAnsi="Times New Roman"/>
          <w:sz w:val="18"/>
          <w:szCs w:val="18"/>
          <w:color w:val="auto"/>
        </w:rPr>
      </w:pPr>
    </w:p>
    <w:p>
      <w:pPr>
        <w:ind w:firstLine="457"/>
        <w:spacing w:after="0" w:line="282" w:lineRule="auto"/>
        <w:tabs>
          <w:tab w:leader="none" w:pos="69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270" w:right="359" w:bottom="1440" w:gutter="0" w:footer="0" w:header="0"/>
        </w:sectPr>
      </w:pPr>
    </w:p>
    <w:bookmarkStart w:id="105" w:name="page106"/>
    <w:bookmarkEnd w:id="105"/>
    <w:p>
      <w:pPr>
        <w:ind w:left="720" w:hanging="263"/>
        <w:spacing w:after="0"/>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at any time:</w:t>
      </w:r>
    </w:p>
    <w:p>
      <w:pPr>
        <w:spacing w:after="0" w:line="117" w:lineRule="exact"/>
        <w:rPr>
          <w:rFonts w:ascii="Times New Roman" w:cs="Times New Roman" w:eastAsia="Times New Roman" w:hAnsi="Times New Roman"/>
          <w:sz w:val="18"/>
          <w:szCs w:val="18"/>
          <w:color w:val="auto"/>
        </w:rPr>
      </w:pPr>
    </w:p>
    <w:p>
      <w:pPr>
        <w:ind w:left="1020" w:right="200" w:firstLine="408"/>
        <w:spacing w:after="0" w:line="282" w:lineRule="auto"/>
        <w:tabs>
          <w:tab w:leader="none" w:pos="164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53" w:lineRule="exact"/>
        <w:rPr>
          <w:rFonts w:ascii="Times New Roman" w:cs="Times New Roman" w:eastAsia="Times New Roman" w:hAnsi="Times New Roman"/>
          <w:sz w:val="18"/>
          <w:szCs w:val="18"/>
          <w:color w:val="auto"/>
        </w:rPr>
      </w:pPr>
    </w:p>
    <w:p>
      <w:pPr>
        <w:ind w:left="1020" w:right="120" w:firstLine="408"/>
        <w:spacing w:after="0" w:line="282" w:lineRule="auto"/>
        <w:tabs>
          <w:tab w:leader="none" w:pos="169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53" w:lineRule="exact"/>
        <w:rPr>
          <w:rFonts w:ascii="Times New Roman" w:cs="Times New Roman" w:eastAsia="Times New Roman" w:hAnsi="Times New Roman"/>
          <w:sz w:val="18"/>
          <w:szCs w:val="18"/>
          <w:color w:val="auto"/>
        </w:rPr>
      </w:pPr>
    </w:p>
    <w:p>
      <w:pPr>
        <w:ind w:left="1020" w:right="400" w:firstLine="408"/>
        <w:spacing w:after="0" w:line="266" w:lineRule="auto"/>
        <w:tabs>
          <w:tab w:leader="none" w:pos="174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0" w:lineRule="exact"/>
        <w:rPr>
          <w:sz w:val="20"/>
          <w:szCs w:val="20"/>
          <w:color w:val="auto"/>
        </w:rPr>
      </w:pPr>
    </w:p>
    <w:p>
      <w:pPr>
        <w:ind w:right="260" w:firstLine="457"/>
        <w:spacing w:after="0" w:line="266" w:lineRule="auto"/>
        <w:tabs>
          <w:tab w:leader="none" w:pos="69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for the appointment of a successor Trustee.</w:t>
      </w:r>
    </w:p>
    <w:p>
      <w:pPr>
        <w:spacing w:after="0" w:line="175" w:lineRule="exact"/>
        <w:rPr>
          <w:rFonts w:ascii="Times New Roman" w:cs="Times New Roman" w:eastAsia="Times New Roman" w:hAnsi="Times New Roman"/>
          <w:sz w:val="18"/>
          <w:szCs w:val="18"/>
          <w:color w:val="auto"/>
        </w:rPr>
      </w:pPr>
    </w:p>
    <w:p>
      <w:pPr>
        <w:ind w:firstLine="457"/>
        <w:spacing w:after="0" w:line="253" w:lineRule="auto"/>
        <w:tabs>
          <w:tab w:leader="none" w:pos="67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91" w:lineRule="exact"/>
        <w:rPr>
          <w:rFonts w:ascii="Times New Roman" w:cs="Times New Roman" w:eastAsia="Times New Roman" w:hAnsi="Times New Roman"/>
          <w:sz w:val="18"/>
          <w:szCs w:val="18"/>
          <w:color w:val="auto"/>
        </w:rPr>
      </w:pPr>
    </w:p>
    <w:p>
      <w:pPr>
        <w:ind w:right="740" w:firstLine="457"/>
        <w:spacing w:after="0" w:line="276" w:lineRule="auto"/>
        <w:tabs>
          <w:tab w:leader="none" w:pos="70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w:t>
      </w:r>
    </w:p>
    <w:p>
      <w:pPr>
        <w:ind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1.06. Each notice shall include the name of the successor Trustee with respect to the Securities of such series and the address of its Corporate Trust Office.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270"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7"/>
        <w:spacing w:after="0" w:line="255" w:lineRule="auto"/>
        <w:tabs>
          <w:tab w:leader="none" w:pos="69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8" w:lineRule="exact"/>
        <w:rPr>
          <w:rFonts w:ascii="Times New Roman" w:cs="Times New Roman" w:eastAsia="Times New Roman" w:hAnsi="Times New Roman"/>
          <w:sz w:val="18"/>
          <w:szCs w:val="18"/>
          <w:color w:val="auto"/>
        </w:rPr>
      </w:pPr>
    </w:p>
    <w:p>
      <w:pPr>
        <w:ind w:firstLine="457"/>
        <w:spacing w:after="0" w:line="252" w:lineRule="auto"/>
        <w:tabs>
          <w:tab w:leader="none" w:pos="70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that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have the meanings specified in the provisos to the respective definition of those terms in Section 1.01 which contemplate such situation.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270" w:right="339" w:bottom="1440" w:gutter="0" w:footer="0" w:header="0"/>
        </w:sectPr>
      </w:pPr>
    </w:p>
    <w:bookmarkStart w:id="107" w:name="page108"/>
    <w:bookmarkEnd w:id="107"/>
    <w:p>
      <w:pPr>
        <w:jc w:val="both"/>
        <w:ind w:right="100" w:firstLine="457"/>
        <w:spacing w:after="0" w:line="312" w:lineRule="auto"/>
        <w:tabs>
          <w:tab w:leader="none" w:pos="69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request of any such successor Trustee, the Company shall execute any and all instruments reasonably necessary to more fully and certainly vesting in and confirming to such successor Trustee all such rights, powers and trusts referred to in paragraph (a) or (b) of this Section, as the case may be.</w:t>
      </w:r>
    </w:p>
    <w:p>
      <w:pPr>
        <w:spacing w:after="0" w:line="139" w:lineRule="exact"/>
        <w:rPr>
          <w:rFonts w:ascii="Times New Roman" w:cs="Times New Roman" w:eastAsia="Times New Roman" w:hAnsi="Times New Roman"/>
          <w:sz w:val="17"/>
          <w:szCs w:val="17"/>
          <w:color w:val="auto"/>
        </w:rPr>
      </w:pPr>
    </w:p>
    <w:p>
      <w:pPr>
        <w:ind w:right="380" w:firstLine="457"/>
        <w:spacing w:after="0" w:line="282" w:lineRule="auto"/>
        <w:tabs>
          <w:tab w:leader="none" w:pos="70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9"/>
        <w:spacing w:after="0" w:line="253" w:lineRule="auto"/>
        <w:rPr>
          <w:sz w:val="20"/>
          <w:szCs w:val="20"/>
          <w:color w:val="auto"/>
        </w:rPr>
      </w:pPr>
      <w:r>
        <w:rPr>
          <w:rFonts w:ascii="Times New Roman" w:cs="Times New Roman" w:eastAsia="Times New Roman" w:hAnsi="Times New Roman"/>
          <w:sz w:val="18"/>
          <w:szCs w:val="18"/>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At any time when any of the Securities remain Outstanding, the Trustee may appoint an Authenticating Agent or Agents (which may be an Affiliate or Affiliates of the Company) with respect to one or more series of Securities that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$1,500,000 and subject to supervision or examination by Federal or State authorities.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270" w:right="339" w:bottom="1440" w:gutter="0" w:footer="0" w:header="0"/>
        </w:sectPr>
      </w:pPr>
    </w:p>
    <w:bookmarkStart w:id="108" w:name="page109"/>
    <w:bookmarkEnd w:id="108"/>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83"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88"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including reimbursement of its reasonable expenses for its services under this Section.</w:t>
      </w:r>
    </w:p>
    <w:p>
      <w:pPr>
        <w:spacing w:after="0" w:line="162"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760"/>
        <w:spacing w:after="0"/>
        <w:tabs>
          <w:tab w:leader="none" w:pos="8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as Authenticating Agent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270" w:right="339" w:bottom="1440" w:gutter="0" w:footer="0" w:header="0"/>
        </w:sectPr>
      </w:pPr>
    </w:p>
    <w:bookmarkStart w:id="109" w:name="page110"/>
    <w:bookmarkEnd w:id="109"/>
    <w:p>
      <w:pPr>
        <w:ind w:firstLine="44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and conditions of such appointment are reasonably acceptable to the Trustee.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The Trustee is subject to TIA Section 311(a), excluding any creditor relationship listed in TIA Section 311(b). A Trustee who has resigned or been removed shall be subject to TIA Section 311(a) to the extent indicated therein.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Disclosure of Names and Addresses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Every Holder of Securities,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or sending any material pursuant to a request made under TIA Section 312(b).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Preservation of Information; Communications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57"/>
        <w:spacing w:after="0" w:line="266" w:lineRule="auto"/>
        <w:tabs>
          <w:tab w:leader="none" w:pos="69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75" w:lineRule="exact"/>
        <w:rPr>
          <w:rFonts w:ascii="Times New Roman" w:cs="Times New Roman" w:eastAsia="Times New Roman" w:hAnsi="Times New Roman"/>
          <w:sz w:val="18"/>
          <w:szCs w:val="18"/>
          <w:color w:val="auto"/>
        </w:rPr>
      </w:pPr>
    </w:p>
    <w:p>
      <w:pPr>
        <w:ind w:right="660" w:firstLine="457"/>
        <w:spacing w:after="0" w:line="282" w:lineRule="auto"/>
        <w:tabs>
          <w:tab w:leader="none" w:pos="70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270" w:right="359" w:bottom="1440" w:gutter="0" w:footer="0" w:header="0"/>
        </w:sectPr>
      </w:pPr>
    </w:p>
    <w:bookmarkStart w:id="110" w:name="page111"/>
    <w:bookmarkEnd w:id="110"/>
    <w:p>
      <w:pPr>
        <w:ind w:right="280" w:firstLine="457"/>
        <w:spacing w:after="0" w:line="266" w:lineRule="auto"/>
        <w:tabs>
          <w:tab w:leader="none" w:pos="69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Within 60 days after May 15 of each year commencing with the first May 15 after the first issuance of Securities pursuant to this Indenture, the Trustee shall transmit by mail or send to all Holders of Securities as provided in TIA Section 313(c) a brief report dated as of such May 15 which meets the requirements of TIA Section 313(a).</w:t>
      </w:r>
    </w:p>
    <w:p>
      <w:pPr>
        <w:spacing w:after="0" w:line="176"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stock exchange, if any, upon which the Securities are listed, with the Commission and with the Company. The Company will promptly notify the Trustee of the listing of the Securities on any stock exchange. In the event that, on any such reporting date, no events have occurred under the applicable sections of the TIA within the 12 months preceding such reporting date, the Trustee shall be under no duty or obligation to provide such reports.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Reports by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file with the Trustee and the Commission, and transmit to Holders, such information, documents and other reports, and such summaries thereof, as may be required pursuant to the Trust Indenture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information, documents or reports filed electronically with the Commission pursuant to Section 13 or 15(d) of the Exchange Act shall be deemed filed with and delivered to the Trustee and the Holders at the same time as filed with the Commission. The Trustee shall have no obligation whatsoever to determine whether or not such information, documents or reports have been filed pursuant to the EDGAR filing system (or its successor) or postings to any website have occurred.</w:t>
      </w:r>
    </w:p>
    <w:p>
      <w:pPr>
        <w:spacing w:after="0" w:line="183"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Calculation of Original Issue Discount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270" w:right="359" w:bottom="1440" w:gutter="0" w:footer="0" w:header="0"/>
        </w:sectPr>
      </w:pPr>
    </w:p>
    <w:bookmarkStart w:id="111" w:name="page112"/>
    <w:bookmarkEnd w:id="1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EIGHT</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CONSOLIDATION, MERGER, CONVEYANCE OR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Merger, Consolidation or Sale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Controlled Subsidiaries shall not be deemed to be any such sale, transfer, lease, conveyance or disposition) in one transaction or series of related transactions unless:</w:t>
      </w:r>
    </w:p>
    <w:p>
      <w:pPr>
        <w:spacing w:after="0" w:line="72" w:lineRule="exact"/>
        <w:rPr>
          <w:sz w:val="20"/>
          <w:szCs w:val="20"/>
          <w:color w:val="auto"/>
        </w:rPr>
      </w:pPr>
    </w:p>
    <w:p>
      <w:pPr>
        <w:ind w:left="1020" w:right="20" w:firstLine="408"/>
        <w:spacing w:after="0" w:line="266" w:lineRule="auto"/>
        <w:tabs>
          <w:tab w:leader="none" w:pos="16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the surviving Person (the “Surviving Person”) or the Surviving Person (if other than the Company)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67" w:lineRule="exact"/>
        <w:rPr>
          <w:rFonts w:ascii="Times New Roman" w:cs="Times New Roman" w:eastAsia="Times New Roman" w:hAnsi="Times New Roman"/>
          <w:sz w:val="18"/>
          <w:szCs w:val="18"/>
          <w:color w:val="auto"/>
        </w:rPr>
      </w:pPr>
    </w:p>
    <w:p>
      <w:pPr>
        <w:ind w:left="1020" w:right="20" w:firstLine="408"/>
        <w:spacing w:after="0" w:line="261" w:lineRule="auto"/>
        <w:tabs>
          <w:tab w:leader="none" w:pos="169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Securities Outstanding, and the due and punctual performance and observance of all the covenants and conditions of this Indenture to be performed by the Company;</w:t>
      </w:r>
    </w:p>
    <w:p>
      <w:pPr>
        <w:spacing w:after="0" w:line="71" w:lineRule="exact"/>
        <w:rPr>
          <w:rFonts w:ascii="Times New Roman" w:cs="Times New Roman" w:eastAsia="Times New Roman" w:hAnsi="Times New Roman"/>
          <w:sz w:val="18"/>
          <w:szCs w:val="18"/>
          <w:color w:val="auto"/>
        </w:rPr>
      </w:pPr>
    </w:p>
    <w:p>
      <w:pPr>
        <w:ind w:left="1020" w:right="60" w:firstLine="408"/>
        <w:spacing w:after="0" w:line="282" w:lineRule="auto"/>
        <w:tabs>
          <w:tab w:leader="none" w:pos="17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53" w:lineRule="exact"/>
        <w:rPr>
          <w:rFonts w:ascii="Times New Roman" w:cs="Times New Roman" w:eastAsia="Times New Roman" w:hAnsi="Times New Roman"/>
          <w:sz w:val="18"/>
          <w:szCs w:val="18"/>
          <w:color w:val="auto"/>
        </w:rPr>
      </w:pPr>
    </w:p>
    <w:p>
      <w:pPr>
        <w:jc w:val="both"/>
        <w:ind w:left="1020" w:firstLine="408"/>
        <w:spacing w:after="0" w:line="261" w:lineRule="auto"/>
        <w:tabs>
          <w:tab w:leader="none" w:pos="173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or cause to be delivered, to the Trustee, an Officers’ Certificate and an Opinion of Counsel, each stating that such transaction and the supplemental indenture, if any, in respect thereto comply with this Section 8.01, that all conditions precedent in this Indenture relating to such transaction have been complied with and that such supplemental indenture, if any, is valid, binding and enforceable against the successor company.</w:t>
      </w:r>
    </w:p>
    <w:p>
      <w:pPr>
        <w:spacing w:after="0" w:line="180"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Successor Person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9"/>
        <w:spacing w:after="0" w:line="258" w:lineRule="auto"/>
        <w:rPr>
          <w:sz w:val="20"/>
          <w:szCs w:val="20"/>
          <w:color w:val="auto"/>
        </w:rPr>
      </w:pPr>
      <w:r>
        <w:rPr>
          <w:rFonts w:ascii="Times New Roman" w:cs="Times New Roman" w:eastAsia="Times New Roman" w:hAnsi="Times New Roman"/>
          <w:sz w:val="18"/>
          <w:szCs w:val="18"/>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may be dissolved and liquidated.</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80"/>
          </w:cols>
          <w:pgMar w:left="320" w:top="266" w:right="399" w:bottom="1440" w:gutter="0" w:footer="0" w:header="0"/>
        </w:sectPr>
      </w:pPr>
    </w:p>
    <w:bookmarkStart w:id="112" w:name="page113"/>
    <w:bookmarkEnd w:id="1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NINE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Without the consent of any Holders of Securities, the Company, when authorized by or pursuant to a Board Resolution, and the Trustee, at any time and from time to time, may enter into one or more indentures supplemental hereto, in form reasonably satisfactory to the Trustee, for any of the following purposes:</w:t>
      </w:r>
    </w:p>
    <w:p>
      <w:pPr>
        <w:spacing w:after="0" w:line="68" w:lineRule="exact"/>
        <w:rPr>
          <w:sz w:val="20"/>
          <w:szCs w:val="20"/>
          <w:color w:val="auto"/>
        </w:rPr>
      </w:pPr>
    </w:p>
    <w:p>
      <w:pPr>
        <w:ind w:left="1020" w:right="360" w:firstLine="408"/>
        <w:spacing w:after="0" w:line="282" w:lineRule="auto"/>
        <w:tabs>
          <w:tab w:leader="none" w:pos="16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herein and in the Securities contained; or</w:t>
      </w:r>
    </w:p>
    <w:p>
      <w:pPr>
        <w:spacing w:after="0" w:line="53" w:lineRule="exact"/>
        <w:rPr>
          <w:rFonts w:ascii="Times New Roman" w:cs="Times New Roman" w:eastAsia="Times New Roman" w:hAnsi="Times New Roman"/>
          <w:sz w:val="18"/>
          <w:szCs w:val="18"/>
          <w:color w:val="auto"/>
        </w:rPr>
      </w:pPr>
    </w:p>
    <w:p>
      <w:pPr>
        <w:ind w:left="1020" w:right="60" w:firstLine="408"/>
        <w:spacing w:after="0" w:line="266" w:lineRule="auto"/>
        <w:tabs>
          <w:tab w:leader="none" w:pos="169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67" w:lineRule="exact"/>
        <w:rPr>
          <w:rFonts w:ascii="Times New Roman" w:cs="Times New Roman" w:eastAsia="Times New Roman" w:hAnsi="Times New Roman"/>
          <w:sz w:val="18"/>
          <w:szCs w:val="18"/>
          <w:color w:val="auto"/>
        </w:rPr>
      </w:pPr>
    </w:p>
    <w:p>
      <w:pPr>
        <w:ind w:left="1020" w:firstLine="408"/>
        <w:spacing w:after="0" w:line="255" w:lineRule="auto"/>
        <w:tabs>
          <w:tab w:leader="none" w:pos="17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provided, however,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80"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1020" w:right="100" w:firstLine="408"/>
        <w:spacing w:after="0" w:line="266" w:lineRule="auto"/>
        <w:tabs>
          <w:tab w:leader="none" w:pos="168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this Indenture; provided that any such change or elimination shall become effective only when there is no Security Outstanding of any series created prior to the execution of such supplemental indenture that is entitled to the benefit of such provision; or</w:t>
      </w:r>
    </w:p>
    <w:p>
      <w:pPr>
        <w:spacing w:after="0" w:line="6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pursuant to the requirements of Section 8.01, or otherwise; or</w:t>
      </w:r>
    </w:p>
    <w:p>
      <w:pPr>
        <w:spacing w:after="0" w:line="117" w:lineRule="exact"/>
        <w:rPr>
          <w:rFonts w:ascii="Times New Roman" w:cs="Times New Roman" w:eastAsia="Times New Roman" w:hAnsi="Times New Roman"/>
          <w:sz w:val="18"/>
          <w:szCs w:val="18"/>
          <w:color w:val="auto"/>
        </w:rPr>
      </w:pPr>
    </w:p>
    <w:p>
      <w:pPr>
        <w:ind w:left="1020" w:right="60" w:firstLine="408"/>
        <w:spacing w:after="0" w:line="258" w:lineRule="auto"/>
        <w:tabs>
          <w:tab w:leader="none" w:pos="178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as permitted by Sections 2.01 and 3.01, including the provisions and procedures relating to Securities convertible into or exchangeable for any securities of any Person (including the Company),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 or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80"/>
          </w:cols>
          <w:pgMar w:left="320" w:top="266" w:right="399" w:bottom="1440" w:gutter="0" w:footer="0" w:header="0"/>
        </w:sectPr>
      </w:pPr>
    </w:p>
    <w:bookmarkStart w:id="113" w:name="page114"/>
    <w:bookmarkEnd w:id="113"/>
    <w:p>
      <w:pPr>
        <w:ind w:left="1020" w:right="140" w:firstLine="408"/>
        <w:spacing w:after="0" w:line="266" w:lineRule="auto"/>
        <w:tabs>
          <w:tab w:leader="none" w:pos="183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67" w:lineRule="exact"/>
        <w:rPr>
          <w:rFonts w:ascii="Times New Roman" w:cs="Times New Roman" w:eastAsia="Times New Roman" w:hAnsi="Times New Roman"/>
          <w:sz w:val="18"/>
          <w:szCs w:val="18"/>
          <w:color w:val="auto"/>
        </w:rPr>
      </w:pPr>
    </w:p>
    <w:p>
      <w:pPr>
        <w:ind w:left="1020" w:firstLine="408"/>
        <w:spacing w:after="0" w:line="261" w:lineRule="auto"/>
        <w:tabs>
          <w:tab w:leader="none" w:pos="173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herein that may be inconsistent with any other provision herein, or to make any other provisions with respect to matters or questions arising under this Indenture; provided that such action shall not adversely affect the interests of the Holders of Securities of any series in any material respect, in each case as determined in good faith by the Company, as evidenced in an Officers’ Certificate; or</w:t>
      </w:r>
    </w:p>
    <w:p>
      <w:pPr>
        <w:spacing w:after="0" w:line="71" w:lineRule="exact"/>
        <w:rPr>
          <w:rFonts w:ascii="Times New Roman" w:cs="Times New Roman" w:eastAsia="Times New Roman" w:hAnsi="Times New Roman"/>
          <w:sz w:val="18"/>
          <w:szCs w:val="18"/>
          <w:color w:val="auto"/>
        </w:rPr>
      </w:pPr>
    </w:p>
    <w:p>
      <w:pPr>
        <w:jc w:val="both"/>
        <w:ind w:left="1020" w:right="80" w:firstLine="408"/>
        <w:spacing w:after="0" w:line="261" w:lineRule="auto"/>
        <w:tabs>
          <w:tab w:leader="none" w:pos="16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or any other series of Securities in any material respect as determined in good faith by the Company, as evidenced in an Officers’ Certificate; or</w:t>
      </w:r>
    </w:p>
    <w:p>
      <w:pPr>
        <w:spacing w:after="0" w:line="71" w:lineRule="exact"/>
        <w:rPr>
          <w:rFonts w:ascii="Times New Roman" w:cs="Times New Roman" w:eastAsia="Times New Roman" w:hAnsi="Times New Roman"/>
          <w:sz w:val="18"/>
          <w:szCs w:val="18"/>
          <w:color w:val="auto"/>
        </w:rPr>
      </w:pPr>
    </w:p>
    <w:p>
      <w:pPr>
        <w:ind w:left="1020" w:right="120" w:firstLine="408"/>
        <w:spacing w:after="0" w:line="282" w:lineRule="auto"/>
        <w:tabs>
          <w:tab w:leader="none" w:pos="173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guarantors or co-obligors with respect to any series of Securities or to release guarantors from their guarantees of Securities in accordance with the terms of the applicable series of Securities; or</w:t>
      </w:r>
    </w:p>
    <w:p>
      <w:pPr>
        <w:spacing w:after="0" w:line="53" w:lineRule="exact"/>
        <w:rPr>
          <w:rFonts w:ascii="Times New Roman" w:cs="Times New Roman" w:eastAsia="Times New Roman" w:hAnsi="Times New Roman"/>
          <w:sz w:val="18"/>
          <w:szCs w:val="18"/>
          <w:color w:val="auto"/>
        </w:rPr>
      </w:pPr>
    </w:p>
    <w:p>
      <w:pPr>
        <w:ind w:left="1020" w:right="320" w:firstLine="408"/>
        <w:spacing w:after="0" w:line="282" w:lineRule="auto"/>
        <w:tabs>
          <w:tab w:leader="none" w:pos="17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in any series of Securities that does not adversely affect in any material respect the rights of the Holders of such Securities as determined in good faith by the Company, as evidenced in an Officers’ Certificate.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that affects such series of Securities or of modifying in any manner the rights of the Holders of such series of Securities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Security affected thereby:</w:t>
      </w:r>
    </w:p>
    <w:p>
      <w:pPr>
        <w:spacing w:after="0" w:line="79" w:lineRule="exact"/>
        <w:rPr>
          <w:sz w:val="20"/>
          <w:szCs w:val="20"/>
          <w:color w:val="auto"/>
        </w:rPr>
      </w:pPr>
    </w:p>
    <w:p>
      <w:pPr>
        <w:ind w:left="1020" w:firstLine="408"/>
        <w:spacing w:after="0" w:line="256" w:lineRule="auto"/>
        <w:tabs>
          <w:tab w:leader="none" w:pos="164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8.01(i) and permitted by Section 9.01(i)), or reduce the portion of the principal of an Original Issue Discount Security or Indexed Security that would be due and payable upon a declaration of acceleration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270" w:right="339" w:bottom="1440" w:gutter="0" w:footer="0" w:header="0"/>
        </w:sectPr>
      </w:pPr>
    </w:p>
    <w:bookmarkStart w:id="114" w:name="page115"/>
    <w:bookmarkEnd w:id="114"/>
    <w:p>
      <w:pPr>
        <w:ind w:left="10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Maturity thereof pursuant to Section 5.02, or upon the redemption thereof or the amount thereof provable in bankruptcy pursuant to Section 5.04,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 modify the subordination provisions set forth in Article Sixteen in a manner that is adverse to the Holder of any Security, or</w:t>
      </w:r>
    </w:p>
    <w:p>
      <w:pPr>
        <w:spacing w:after="0" w:line="81" w:lineRule="exact"/>
        <w:rPr>
          <w:sz w:val="20"/>
          <w:szCs w:val="20"/>
          <w:color w:val="auto"/>
        </w:rPr>
      </w:pPr>
    </w:p>
    <w:p>
      <w:pPr>
        <w:jc w:val="both"/>
        <w:ind w:left="1020" w:right="120" w:firstLine="408"/>
        <w:spacing w:after="0" w:line="261" w:lineRule="auto"/>
        <w:tabs>
          <w:tab w:leader="none" w:pos="169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w:t>
      </w:r>
    </w:p>
    <w:p>
      <w:pPr>
        <w:spacing w:after="0" w:line="71" w:lineRule="exact"/>
        <w:rPr>
          <w:rFonts w:ascii="Times New Roman" w:cs="Times New Roman" w:eastAsia="Times New Roman" w:hAnsi="Times New Roman"/>
          <w:sz w:val="18"/>
          <w:szCs w:val="18"/>
          <w:color w:val="auto"/>
        </w:rPr>
      </w:pPr>
    </w:p>
    <w:p>
      <w:pPr>
        <w:ind w:left="1020" w:right="180" w:firstLine="408"/>
        <w:spacing w:after="0" w:line="258" w:lineRule="auto"/>
        <w:tabs>
          <w:tab w:leader="none" w:pos="17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Section 5.13 or Section 10.06,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clause shall not be deemed to require the consent of any Holder of a Security with respect to changes in the references to “the Trustee” and concomitant changes in this Section, or the deletion of this proviso, in accordance with the requirements of Sections 6.10(b) and 9.01(viii).</w:t>
      </w:r>
    </w:p>
    <w:p>
      <w:pPr>
        <w:spacing w:after="0" w:line="183"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2"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that is eleven months after such record date, any such consent previously given shall automatically and without further action by any Holder be cancelled and of no further effect.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27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9.03.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9"/>
        <w:spacing w:after="0" w:line="274" w:lineRule="auto"/>
        <w:rPr>
          <w:sz w:val="20"/>
          <w:szCs w:val="20"/>
          <w:color w:val="auto"/>
        </w:rPr>
      </w:pPr>
      <w:r>
        <w:rPr>
          <w:rFonts w:ascii="Times New Roman" w:cs="Times New Roman" w:eastAsia="Times New Roman" w:hAnsi="Times New Roman"/>
          <w:sz w:val="17"/>
          <w:szCs w:val="17"/>
          <w:color w:val="auto"/>
        </w:rPr>
        <w:t>In executing, or accepting the additional trusts created by, any supplemental indenture permitted by this Article or the modification thereby of the trusts created by this Indenture, the Trustee shall receive, and shall be fully protected in relying upon, in addition to the documents required by Section 1.02 of this Indenture, an Officers’ Certificate and an Opinion of Counsel stating that the execution of such supplemental indenture is authorized or permitted by this Indenture, constitutes the legal, valid and binding obligation of the Company, enforceable against it in accordance with its terms and that all conditions precedent to such supplemental indenture have been complied with, subject to customary assumptions and exceptions. The Trustee may, but shall not be obligated to, enter into any such supplemental indenture that affects the Trustee’s own rights, duties or immunities under this Indenture or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449"/>
        <w:spacing w:after="0" w:line="266" w:lineRule="auto"/>
        <w:rPr>
          <w:sz w:val="20"/>
          <w:szCs w:val="20"/>
          <w:color w:val="auto"/>
        </w:rPr>
      </w:pPr>
      <w:r>
        <w:rPr>
          <w:rFonts w:ascii="Times New Roman" w:cs="Times New Roman" w:eastAsia="Times New Roman" w:hAnsi="Times New Roman"/>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Every supplemental indenture executed pursuant to this Article shall conform to the requirements of the Trust Indenture Act as then in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81" w:lineRule="auto"/>
        <w:rPr>
          <w:sz w:val="20"/>
          <w:szCs w:val="20"/>
          <w:color w:val="auto"/>
        </w:rPr>
      </w:pPr>
      <w:r>
        <w:rPr>
          <w:rFonts w:ascii="Times New Roman" w:cs="Times New Roman" w:eastAsia="Times New Roman" w:hAnsi="Times New Roman"/>
          <w:sz w:val="17"/>
          <w:szCs w:val="17"/>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3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Payment of Principal, Premium, if any,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premium, if any) and interest, if any, on the Securities of that series in accordance with the terms of such series of Securities and this Indenture.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27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w:t>
      </w:r>
    </w:p>
    <w:p>
      <w:pPr>
        <w:spacing w:after="0" w:line="180"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Corporate Trust Office, and initially appoints the Trustee at its Corporate Trust Office as Paying Agent, and as its agent to receive all such presentations, surrenders, notices and demands.</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 The Company will notify the Trustee of the name and address of any Exchange Rate Agent retained by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If the Company shall at any time act as its own Paying Agent with respect to any series of any Securities,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(and premium, if any) and interest, if any, on Securities of such series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it will,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will promptly notify the Trustee of its action or failure so to act.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270" w:right="359" w:bottom="1440" w:gutter="0" w:footer="0" w:header="0"/>
        </w:sectPr>
      </w:pPr>
    </w:p>
    <w:bookmarkStart w:id="117" w:name="page118"/>
    <w:bookmarkEnd w:id="117"/>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provided in the Securities of any series, any money deposited with the Trustee or any Paying Agent, or then held by the Company, in trust for the payment of the principal of (or premium, if any) or interest, if any, on any Security of any series and remaining unclaimed for two years after such principal, premium or interest has become due and payable shall be paid to the Company upon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If the Securities of a series provide for the payment of Additional Amounts, the Company will pay to the Holder of any Security of such series such Additional Amounts as may be specified as contemplated by Section 3.01. Whenever in this Indenture there is mentioned, in any context, the payment of the principal of (or premium, if any) or interest, if any, on any Security of any series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8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will furnish the Trustee and the Company’s principal Paying Agent or Paying Agents, if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270" w:right="339" w:bottom="1440" w:gutter="0" w:footer="0" w:header="0"/>
        </w:sectPr>
      </w:pPr>
    </w:p>
    <w:bookmarkStart w:id="118" w:name="page119"/>
    <w:bookmarkEnd w:id="118"/>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the Trustee, with an Officers’ Certificate instructing the Trustee and such Paying Agent or Paying Agents whether such payment of principal, premium or interest on the Securities of that series shall be made to Holders of Securities of that series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and the Company will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until it shall have received a certificate advising otherwise and (ii) to make all payments of principal and interest with respect to the Securities of a series without withholding or deductions until otherwise advised. The Company covenants to indemnify the Trustee and any Paying Agent for, and to hold them harmless against, any loss, liability or expense reasonably incurred without negligence or willful misconduct on their part arising out of or in connection with actions taken or omitted by any of them in reliance on any Officers’ Certificate furnished pursuant to this Section or in reliance on the Company’s not furnishing such an Officers’ Certificate.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Statement as to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will deliver to the Trustee, within 120 days after the end of each fiscal year ending after the date hereof so long as any Security is Outstanding hereunder, an Officers’ Certificate one signer of which shall be either the principal executive officer, the principal financial officer or the principal accounting officer of the Company, that need not comply with Section 1.02 stating to the knowledge of the signers thereof whether the Company is in default in the performance of any of the terms, provisions or conditions of this Indenture. For purposes of this Section 10.05, such default shall be determined without regard to any period of grace or requirement of notice under this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Waiver of Certain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Company may omit in any particular instance to comply with any covenant or condition of the Company set forth herein or added to Article Ten pursuant to Section 3.01(xiv) or Section 3.01(xv)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270"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10.07. </w:t>
      </w:r>
      <w:r>
        <w:rPr>
          <w:rFonts w:ascii="Times New Roman" w:cs="Times New Roman" w:eastAsia="Times New Roman" w:hAnsi="Times New Roman"/>
          <w:sz w:val="18"/>
          <w:szCs w:val="18"/>
          <w:u w:val="single" w:color="auto"/>
          <w:color w:val="auto"/>
        </w:rPr>
        <w:t>Section 18(a)(1)(A) of the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Company hereby agrees that for the period of time during which Securities are Outstanding, the Company will not violate, whether or not it is subject thereto, Section 18(a)(1)(A) as modified by Section 61(a)(1) of the Investment Company Act or any successor provisions thereto of the Investment Company Act, but giving effect, in either case, to any exemptive relief granted to the Company by the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Commission Reports and Reports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If, at any time, the Company is not subject to the reporting requirements of Sections 13 or 15(d) of the Exchange Act to file any periodic reports with the Commission, the Company agrees to furnish to the Holders of any series of Securities and the Trustee for the period of time during which such Securities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w:t>
      </w:r>
    </w:p>
    <w:p>
      <w:pPr>
        <w:spacing w:after="0" w:line="187"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hereunder is for informational purposes only and the Trustee’s receipt of any such reports, information and documents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or certificates or statements delivered to the Trustee pursuant to Section 1.02 of the Base Indenture). The Trustee shall not be obligated to monitor or confirm, on a continuing basis or otherwise, compliance with the covenants or with respect to any reports or other documents filed with the Commission or EDGAR or any website under this Indenture, or participate in any conference calls.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Securities of any series that are redeemable before their Stated Maturity shall be redeemable in accordance with their terms and (except as otherwise specified as contemplated by Section 3.01 for Securities of any series) in accordance with this Article.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00"/>
          </w:cols>
          <w:pgMar w:left="320" w:top="270" w:right="379" w:bottom="1440" w:gutter="0" w:footer="0" w:header="0"/>
        </w:sectPr>
      </w:pPr>
    </w:p>
    <w:bookmarkStart w:id="120" w:name="page121"/>
    <w:bookmarkEnd w:id="12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If less than all of the Securities are to be redeemed at any time, and the Securities are global Securities, the Securities to be redeemed will be selected by the Trustee in accordance with applicable Depositary procedures. If the Securities to be redeemed or repurchased are not global Securities then held by the Depositary, the Trustee shall select the Securities to be redeemed by lot or such other similar method the Trustee deems to be fair and appropriate from the Outstanding Securities of such series issued on such date with the same terms not previously called for redemption, not less than 30 nor more than 60 days prior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method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partial redemption shall reduce the portion of the principal amount of a Security not redeemed to less than the minimum authorized denomination for Securities of such series.</w:t>
      </w:r>
    </w:p>
    <w:p>
      <w:pPr>
        <w:spacing w:after="0" w:line="192"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00"/>
          </w:cols>
          <w:pgMar w:left="320" w:top="270" w:right="379" w:bottom="1440" w:gutter="0" w:footer="0" w:header="0"/>
        </w:sectPr>
      </w:pPr>
    </w:p>
    <w:bookmarkStart w:id="121" w:name="page122"/>
    <w:bookmarkEnd w:id="121"/>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that is mailed or sent to the Holders of Registered Securities in the manner herein provided shall be conclusively presumed to have been duly given, whether or not the Holder receives the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notices of redemption shall identify the Securities to be redeemed and shall state:</w:t>
      </w:r>
    </w:p>
    <w:p>
      <w:pPr>
        <w:spacing w:after="0" w:line="117" w:lineRule="exact"/>
        <w:rPr>
          <w:sz w:val="20"/>
          <w:szCs w:val="20"/>
          <w:color w:val="auto"/>
        </w:rPr>
      </w:pPr>
    </w:p>
    <w:p>
      <w:pPr>
        <w:ind w:left="1640" w:hanging="212"/>
        <w:spacing w:after="0"/>
        <w:tabs>
          <w:tab w:leader="none" w:pos="1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accrued interest, if any, to the Redemption Date payable as provided in Section 11.06,</w:t>
      </w:r>
    </w:p>
    <w:p>
      <w:pPr>
        <w:spacing w:after="0" w:line="117" w:lineRule="exact"/>
        <w:rPr>
          <w:rFonts w:ascii="Times New Roman" w:cs="Times New Roman" w:eastAsia="Times New Roman" w:hAnsi="Times New Roman"/>
          <w:sz w:val="18"/>
          <w:szCs w:val="18"/>
          <w:color w:val="auto"/>
        </w:rPr>
      </w:pPr>
    </w:p>
    <w:p>
      <w:pPr>
        <w:ind w:left="1020" w:right="20" w:firstLine="408"/>
        <w:spacing w:after="0" w:line="282" w:lineRule="auto"/>
        <w:tabs>
          <w:tab w:leader="none" w:pos="17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53" w:lineRule="exact"/>
        <w:rPr>
          <w:rFonts w:ascii="Times New Roman" w:cs="Times New Roman" w:eastAsia="Times New Roman" w:hAnsi="Times New Roman"/>
          <w:sz w:val="18"/>
          <w:szCs w:val="18"/>
          <w:color w:val="auto"/>
        </w:rPr>
      </w:pPr>
    </w:p>
    <w:p>
      <w:pPr>
        <w:ind w:left="1020" w:right="420" w:firstLine="408"/>
        <w:spacing w:after="0" w:line="266" w:lineRule="auto"/>
        <w:tabs>
          <w:tab w:leader="none" w:pos="173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67" w:lineRule="exact"/>
        <w:rPr>
          <w:rFonts w:ascii="Times New Roman" w:cs="Times New Roman" w:eastAsia="Times New Roman" w:hAnsi="Times New Roman"/>
          <w:sz w:val="18"/>
          <w:szCs w:val="18"/>
          <w:color w:val="auto"/>
        </w:rPr>
      </w:pPr>
    </w:p>
    <w:p>
      <w:pPr>
        <w:ind w:left="1020" w:right="260" w:firstLine="408"/>
        <w:spacing w:after="0" w:line="266" w:lineRule="auto"/>
        <w:tabs>
          <w:tab w:leader="none" w:pos="168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67" w:lineRule="exact"/>
        <w:rPr>
          <w:rFonts w:ascii="Times New Roman" w:cs="Times New Roman" w:eastAsia="Times New Roman" w:hAnsi="Times New Roman"/>
          <w:sz w:val="18"/>
          <w:szCs w:val="18"/>
          <w:color w:val="auto"/>
        </w:rPr>
      </w:pPr>
    </w:p>
    <w:p>
      <w:pPr>
        <w:ind w:left="1020" w:right="20" w:firstLine="408"/>
        <w:spacing w:after="0" w:line="282" w:lineRule="auto"/>
        <w:tabs>
          <w:tab w:leader="none" w:pos="173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maturing after the Redemption Date, are to be surrendered for payment of the Redemption Price and accrued interest, if any, and the name of the Paying Agent,</w:t>
      </w:r>
    </w:p>
    <w:p>
      <w:pPr>
        <w:spacing w:after="0" w:line="53"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 and</w:t>
      </w:r>
    </w:p>
    <w:p>
      <w:pPr>
        <w:spacing w:after="0" w:line="117"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020" w:right="520" w:firstLine="408"/>
        <w:spacing w:after="0" w:line="282" w:lineRule="auto"/>
        <w:tabs>
          <w:tab w:leader="none" w:pos="168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such Security, if any, and that no representation is made as to the correctness or accuracy of the CUSIP number, if any, listed in such notice or printed on the Security.</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A notice of redemption published as contemplated by Section 1.06 need not identify particular Registered Securities to be redeemed. Notice of redemption of Securities to be redeemed shall be given by the Company or, at the Company’s request, delivered to the Trustee at least 2 Business Days prior to the date the notice of redemption is to be sent (unless a shorter period shall be satisfactory to the Trustee), an Officers’ Certificate requesting that the Trustee give such notice together with the notice to be given setting forth the information to be stated therein as provided in the preceding paragraph, by the Trustee in the name and at the expense of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270"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On or prior to 10:00 am, New York City time, on the Business Day prior to any Redemption Date, the Company shall deposit with the Trustee or with a Paying Agent (or, if the Company is acting as its own Paying Agent, in accordance with the terms of this</w:t>
      </w:r>
    </w:p>
    <w:p>
      <w:pPr>
        <w:ind w:right="80"/>
        <w:spacing w:after="0" w:line="253" w:lineRule="auto"/>
        <w:rPr>
          <w:sz w:val="20"/>
          <w:szCs w:val="20"/>
          <w:color w:val="auto"/>
        </w:rPr>
      </w:pPr>
      <w:r>
        <w:rPr>
          <w:rFonts w:ascii="Times New Roman" w:cs="Times New Roman" w:eastAsia="Times New Roman" w:hAnsi="Times New Roman"/>
          <w:sz w:val="18"/>
          <w:szCs w:val="18"/>
          <w:color w:val="auto"/>
        </w:rPr>
        <w:t>Indenture,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w:t>
      </w: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8"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Any Registered Security that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00"/>
          </w:cols>
          <w:pgMar w:left="320" w:top="270" w:right="379" w:bottom="1440" w:gutter="0" w:footer="0" w:header="0"/>
        </w:sectPr>
      </w:pPr>
    </w:p>
    <w:bookmarkStart w:id="123" w:name="page124"/>
    <w:bookmarkEnd w:id="1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TWELVE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Securities of a series except as otherwise specified as contemplated by Section 3.01 for Securities of such series.</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mandatory sinking fund payment with respect to the Securities of a series, (i) deliver Outstanding Securities of such series (other than any previously called for redemption) and (ii)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320" w:top="266" w:right="379" w:bottom="1440" w:gutter="0" w:footer="0" w:header="0"/>
        </w:sectPr>
      </w:pPr>
    </w:p>
    <w:bookmarkStart w:id="124" w:name="page125"/>
    <w:bookmarkEnd w:id="12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THIRTEEN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REPAYMENT AT THE OPTION OF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Repayment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Business Day preceding the Repayment Date it will deposit with the Trustee or with a Paying Agent (or, if the Company is acting as its own Paying Agent, segregate and hold in trust as provided in Section 10.03) an amount of money in the Currency in which the Securities of such series are payable (except as otherwise specified pursuant to</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20"/>
          </w:cols>
          <w:pgMar w:left="320" w:top="270" w:right="359" w:bottom="1440" w:gutter="0" w:footer="0" w:header="0"/>
        </w:sectPr>
      </w:pPr>
    </w:p>
    <w:bookmarkStart w:id="125" w:name="page126"/>
    <w:bookmarkEnd w:id="12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 If the Security is in global form, the exercise of such option and payment thereof shall also be made in compliance with the applicable procedures of the Depositary.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When Securities Presented for Repayment Become Due and Payable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 xml:space="preserve">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Upon surrender of any such Security for repayment in accordance with such provisions, the Repayment Price of such Security so to be repaid shall be paid by the Company, together with accrued interest, if any, to the Repayment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8"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Securities Repaid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Upon surrender of any Registered Security that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that is not to be repaid. If a temporary global Security or permanent global Security is so surrendered, such new Security so issued shall be a new temporary global Security or a new permanent global Security, respectively.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270" w:right="339" w:bottom="1440" w:gutter="0" w:footer="0" w:header="0"/>
        </w:sectPr>
      </w:pPr>
    </w:p>
    <w:bookmarkStart w:id="126" w:name="page127"/>
    <w:bookmarkEnd w:id="1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FOURTEEN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Applicability of Article; Company’s Option to Effect Defeasance or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pursuant to Section 3.01 provision is made for either or both of (a) defeasance of the Securities of or within a series under Section 14.02 or</w:t>
      </w:r>
    </w:p>
    <w:p>
      <w:pPr>
        <w:spacing w:after="0" w:line="27" w:lineRule="exact"/>
        <w:rPr>
          <w:sz w:val="20"/>
          <w:szCs w:val="20"/>
          <w:color w:val="auto"/>
        </w:rPr>
      </w:pPr>
    </w:p>
    <w:p>
      <w:pPr>
        <w:ind w:right="340" w:firstLine="8"/>
        <w:spacing w:after="0" w:line="253" w:lineRule="auto"/>
        <w:tabs>
          <w:tab w:leader="none" w:pos="2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the Company may at its option by Board Resolution, at any time, with respect to such Securities, elect to have either Section 14.02 (if applicable) or Section 14.03 (if applicable) be applied to such Outstanding Securities upon compliance with the conditions set forth below in this Article.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Defeasance and Discharge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Upon the Company’s exercise of the above option applicable to this Section with respect to any Securities of or within a series, the Company shall be deemed to have been discharged from its obligations with respect to such Outstanding Securities on and after the date the conditions set forth in</w:t>
      </w:r>
    </w:p>
    <w:p>
      <w:pPr>
        <w:ind w:right="60"/>
        <w:spacing w:after="0" w:line="251" w:lineRule="auto"/>
        <w:rPr>
          <w:sz w:val="20"/>
          <w:szCs w:val="20"/>
          <w:color w:val="auto"/>
        </w:rPr>
      </w:pPr>
      <w:r>
        <w:rPr>
          <w:rFonts w:ascii="Times New Roman" w:cs="Times New Roman" w:eastAsia="Times New Roman" w:hAnsi="Times New Roman"/>
          <w:sz w:val="18"/>
          <w:szCs w:val="18"/>
          <w:color w:val="auto"/>
        </w:rPr>
        <w:t>Section 14.04 are satisfied (hereinafter, “defeasance”). For this purpose, such defeasance means that the Company shall be deemed to have paid and discharged the entire indebtedness represented by such Outstanding Securities, which shall thereafter be deemed to be “Outstanding” only for the purposes of Section 14.05 and the other Sections of this Indenture referred to in clauses (A) and (B) of this Section,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such Outstanding Securities to receive, solely from the trust fund described in Section 14.04 and as more fully set forth in such Section, payments in respect of the principal of (and premium, if any) and interest, if any, on such Securities when such payments are due, (B) the Company’s obligations with respect to such Securities under Sections 3.05, 3.06, 10.02 and 10.03 and with respect to the payment of Additional Amounts, if any, on such Securities as contemplated by Section 10.04,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Following a defeasance, payment of such Securities may not be accelerated because of an Event of Default.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266"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Upon the Company’s exercise of the above option applicable to this Section with respect to any Securities of or within a series, the Company shall be released from its obligations, if specified pursuant to Section 3.01, under any covenant with respect to such</w:t>
      </w:r>
    </w:p>
    <w:p>
      <w:pPr>
        <w:ind w:right="80"/>
        <w:spacing w:after="0" w:line="250" w:lineRule="auto"/>
        <w:rPr>
          <w:sz w:val="20"/>
          <w:szCs w:val="20"/>
          <w:color w:val="auto"/>
        </w:rPr>
      </w:pPr>
      <w:r>
        <w:rPr>
          <w:rFonts w:ascii="Times New Roman" w:cs="Times New Roman" w:eastAsia="Times New Roman" w:hAnsi="Times New Roman"/>
          <w:sz w:val="18"/>
          <w:szCs w:val="18"/>
          <w:color w:val="auto"/>
        </w:rPr>
        <w:t>Outstanding Securities on and after the date the conditions set forth in Section 14.04 are satisfied (hereinafter, “covenant defeasance”), and such Securities shall thereafter be deemed to be not “Outstanding” for the purposes of any direction, waiver, consent or declaration or Act of Holders (and the consequences of any thereof) in connection with such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5.01(iv) or</w:t>
      </w:r>
    </w:p>
    <w:p>
      <w:pPr>
        <w:spacing w:after="0" w:line="3"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5.01(vii) or otherwise, as the case may be, but, except as specified above, the remainder of this Indenture and such Securities shall be unaffected thereby. Following a covenant defeasance, payment of such Securities may not be accelerated because of an Event of Default solely by reference to such Sections specified above in this Section 14.03.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shall be the conditions to application of either Section 14.02 or Section 14.03 to any Outstanding Securities of or within a series:</w:t>
      </w:r>
    </w:p>
    <w:p>
      <w:pPr>
        <w:spacing w:after="0" w:line="117" w:lineRule="exact"/>
        <w:rPr>
          <w:sz w:val="20"/>
          <w:szCs w:val="20"/>
          <w:color w:val="auto"/>
        </w:rPr>
      </w:pPr>
    </w:p>
    <w:p>
      <w:pPr>
        <w:ind w:left="1020" w:right="40" w:firstLine="408"/>
        <w:spacing w:after="0" w:line="255" w:lineRule="auto"/>
        <w:tabs>
          <w:tab w:leader="none" w:pos="164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 an amount (in such Currency in which such Securities are then specified as payable at Stated Maturity), or</w:t>
      </w:r>
    </w:p>
    <w:p>
      <w:pPr>
        <w:spacing w:after="0" w:line="2" w:lineRule="exact"/>
        <w:rPr>
          <w:rFonts w:ascii="Times New Roman" w:cs="Times New Roman" w:eastAsia="Times New Roman" w:hAnsi="Times New Roman"/>
          <w:sz w:val="18"/>
          <w:szCs w:val="18"/>
          <w:color w:val="auto"/>
        </w:rPr>
      </w:pPr>
    </w:p>
    <w:p>
      <w:pPr>
        <w:ind w:left="1020" w:right="80" w:hanging="1"/>
        <w:spacing w:after="0" w:line="251" w:lineRule="auto"/>
        <w:tabs>
          <w:tab w:leader="none" w:pos="130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without reinvestment thereof, not later than one day before the due date of any payment of principal of (and premium, if any) and interest, if any, on such Securities, money in an amount, or (C) a combination thereof in an amount, sufficient, in the opinion of a nationally recognized investment bank, appraisal firm or firm of independent public accountants expressed in a written certification thereof delivered to the Trustee, to pay and discharge, and which shall be applied by the Trustee (or other qualifying trustee) to pay and discharge, (1) the principal of (and premium, if any) and interest, if any, on such Outstanding Securities on the Stated Maturity of such principal or installment of principal or interest and (2) any mandatory sinking fund payments or analogous payments applicable to such Outstanding Securities on the day on which such payments are due and payable in accordance with the terms of this Indenture and of such Securities.</w:t>
      </w:r>
    </w:p>
    <w:p>
      <w:pPr>
        <w:spacing w:after="0" w:line="84" w:lineRule="exact"/>
        <w:rPr>
          <w:rFonts w:ascii="Times New Roman" w:cs="Times New Roman" w:eastAsia="Times New Roman" w:hAnsi="Times New Roman"/>
          <w:sz w:val="18"/>
          <w:szCs w:val="18"/>
          <w:color w:val="auto"/>
        </w:rPr>
      </w:pPr>
    </w:p>
    <w:p>
      <w:pPr>
        <w:ind w:left="1020" w:right="220" w:firstLine="408"/>
        <w:spacing w:after="0" w:line="282" w:lineRule="auto"/>
        <w:tabs>
          <w:tab w:leader="none" w:pos="16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270" w:right="359" w:bottom="1440" w:gutter="0" w:footer="0" w:header="0"/>
        </w:sectPr>
      </w:pPr>
    </w:p>
    <w:bookmarkStart w:id="128" w:name="page129"/>
    <w:bookmarkEnd w:id="128"/>
    <w:p>
      <w:pPr>
        <w:ind w:left="1020" w:right="40" w:firstLine="408"/>
        <w:spacing w:after="0" w:line="266" w:lineRule="auto"/>
        <w:tabs>
          <w:tab w:leader="none" w:pos="174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 or Event of Default with respect to such Securities shall have occurred and be continuing on the date of such deposit or, insofar as Sections 5.01(v) and 5.01(vi) are concerned, at any time during the period ending on the 91st day after the date of such deposit (it being understood that this condition shall not be deemed satisfied until the expiration of such period).</w:t>
      </w:r>
    </w:p>
    <w:p>
      <w:pPr>
        <w:spacing w:after="0" w:line="6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14.02, the Company shall have delivered to the Trustee an Opinion of Counsel stating that</w:t>
      </w:r>
    </w:p>
    <w:p>
      <w:pPr>
        <w:spacing w:after="0" w:line="27" w:lineRule="exact"/>
        <w:rPr>
          <w:rFonts w:ascii="Times New Roman" w:cs="Times New Roman" w:eastAsia="Times New Roman" w:hAnsi="Times New Roman"/>
          <w:sz w:val="18"/>
          <w:szCs w:val="18"/>
          <w:color w:val="auto"/>
        </w:rPr>
      </w:pPr>
    </w:p>
    <w:p>
      <w:pPr>
        <w:ind w:left="1020" w:hanging="1"/>
        <w:spacing w:after="0" w:line="253" w:lineRule="auto"/>
        <w:tabs>
          <w:tab w:leader="none" w:pos="123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78" w:lineRule="exact"/>
        <w:rPr>
          <w:rFonts w:ascii="Times New Roman" w:cs="Times New Roman" w:eastAsia="Times New Roman" w:hAnsi="Times New Roman"/>
          <w:sz w:val="18"/>
          <w:szCs w:val="18"/>
          <w:color w:val="auto"/>
        </w:rPr>
      </w:pPr>
    </w:p>
    <w:p>
      <w:pPr>
        <w:ind w:left="1020" w:firstLine="408"/>
        <w:spacing w:after="0" w:line="261" w:lineRule="auto"/>
        <w:tabs>
          <w:tab w:leader="none" w:pos="168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14.03, the Company shall have delivered to the Trustee an Opinion of Counsel to the effect that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1" w:lineRule="exact"/>
        <w:rPr>
          <w:rFonts w:ascii="Times New Roman" w:cs="Times New Roman" w:eastAsia="Times New Roman" w:hAnsi="Times New Roman"/>
          <w:sz w:val="18"/>
          <w:szCs w:val="18"/>
          <w:color w:val="auto"/>
        </w:rPr>
      </w:pPr>
    </w:p>
    <w:p>
      <w:pPr>
        <w:ind w:left="1020" w:right="140" w:firstLine="408"/>
        <w:spacing w:after="0" w:line="266" w:lineRule="auto"/>
        <w:tabs>
          <w:tab w:leader="none" w:pos="173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either the defeasance under Section 14.02 or the covenant defeasance under Section 14.03 (as the case may be) have been complied with.</w:t>
      </w:r>
    </w:p>
    <w:p>
      <w:pPr>
        <w:spacing w:after="0" w:line="67" w:lineRule="exact"/>
        <w:rPr>
          <w:rFonts w:ascii="Times New Roman" w:cs="Times New Roman" w:eastAsia="Times New Roman" w:hAnsi="Times New Roman"/>
          <w:sz w:val="18"/>
          <w:szCs w:val="18"/>
          <w:color w:val="auto"/>
        </w:rPr>
      </w:pPr>
    </w:p>
    <w:p>
      <w:pPr>
        <w:ind w:left="1020" w:right="40" w:firstLine="408"/>
        <w:spacing w:after="0" w:line="266" w:lineRule="auto"/>
        <w:tabs>
          <w:tab w:leader="none" w:pos="178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u w:val="single" w:color="auto"/>
          <w:color w:val="auto"/>
        </w:rPr>
        <w:t>Deposited Money and Government Obligations to Be Held in Trust; Other 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pursuant to Section 14.04 in respect of any Outstanding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270" w:right="339"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specified with respect to any Security pursuant to Section 3.01, if, after a deposit referred to in Section 14.04(a) has been made,</w:t>
      </w:r>
    </w:p>
    <w:p>
      <w:pPr>
        <w:spacing w:after="0" w:line="27" w:lineRule="exact"/>
        <w:rPr>
          <w:sz w:val="20"/>
          <w:szCs w:val="20"/>
          <w:color w:val="auto"/>
        </w:rPr>
      </w:pPr>
    </w:p>
    <w:p>
      <w:pPr>
        <w:ind w:right="220" w:firstLine="8"/>
        <w:spacing w:after="0" w:line="265" w:lineRule="auto"/>
        <w:tabs>
          <w:tab w:leader="none" w:pos="24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a Security in respect of which such deposit was made is entitled to, and does, elect pursuant to Section 3.12(b) or the terms of such Security to receive payment in a Currency other than that in which the deposit pursuant to Section 14.04(a) has been made in respect of such Security, or</w:t>
      </w:r>
    </w:p>
    <w:p>
      <w:pPr>
        <w:ind w:right="20" w:firstLine="8"/>
        <w:spacing w:after="0" w:line="252" w:lineRule="auto"/>
        <w:tabs>
          <w:tab w:leader="none" w:pos="2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Event occurs as contemplated in Section 3.12(d) or 3.12(e) or by the terms of any Security in respect of which the deposit pursuant to Section 14.04(a) has been made, the indebtedness represented by such Security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188"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investment bank, appraisal firm or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If, after the Company has made a deposit with the Trustee pursuant to Section 14.04, the Trustee is unable to apply any money in accordance with Section 14.05 by reason of any legal proceeding or by reason of any order or judgment of any court or governmental authority enjoining, restraining or otherwise prohibiting such application, then the Company’s obligations under this Indenture and the applicable Securities shall be revived and reinstated as though no deposit had occurred pursuant to Section 14.04 until such time as the Trustee is permitted to apply all such money in accordance with this Article Fourteen; provided, however, that if the Company has made any payment of the principal of or interest on any series of Securities because of the reinstatement of its obligations, the Company shall be subrogated to the rights of the Holders of such Securities to receive any such payment from the money held by the Trustee.</w:t>
      </w:r>
    </w:p>
    <w:p>
      <w:pPr>
        <w:spacing w:after="0" w:line="189" w:lineRule="exact"/>
        <w:rPr>
          <w:sz w:val="20"/>
          <w:szCs w:val="20"/>
          <w:color w:val="auto"/>
        </w:rPr>
      </w:pPr>
    </w:p>
    <w:p>
      <w:pPr>
        <w:jc w:val="center"/>
        <w:ind w:right="40"/>
        <w:spacing w:after="0" w:line="454" w:lineRule="auto"/>
        <w:rPr>
          <w:sz w:val="20"/>
          <w:szCs w:val="20"/>
          <w:color w:val="auto"/>
        </w:rPr>
      </w:pPr>
      <w:r>
        <w:rPr>
          <w:rFonts w:ascii="Times New Roman" w:cs="Times New Roman" w:eastAsia="Times New Roman" w:hAnsi="Times New Roman"/>
          <w:sz w:val="18"/>
          <w:szCs w:val="18"/>
          <w:color w:val="auto"/>
        </w:rPr>
        <w:t>Money deposited with the Trustee in trust pursuant to this Section 14.05 shall not be subject to the subordination provisions of Article Sixteen. 77</w:t>
      </w:r>
    </w:p>
    <w:p>
      <w:pPr>
        <w:sectPr>
          <w:pgSz w:w="11900" w:h="16838" w:orient="portrait"/>
          <w:cols w:equalWidth="0" w:num="1">
            <w:col w:w="11220"/>
          </w:cols>
          <w:pgMar w:left="320" w:top="270" w:right="35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FIFTEEN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HOLDERS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Purposes for Which Meetings May Be Called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Call, Notice and Place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57"/>
        <w:spacing w:after="0" w:line="261" w:lineRule="auto"/>
        <w:tabs>
          <w:tab w:leader="none" w:pos="69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Securities of any series for any purpose specified in Section 15.01, to be held at such time and at such place in the Borough of Manhattan, the City of New York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79" w:lineRule="exact"/>
        <w:rPr>
          <w:rFonts w:ascii="Times New Roman" w:cs="Times New Roman" w:eastAsia="Times New Roman" w:hAnsi="Times New Roman"/>
          <w:sz w:val="18"/>
          <w:szCs w:val="18"/>
          <w:color w:val="auto"/>
        </w:rPr>
      </w:pPr>
    </w:p>
    <w:p>
      <w:pPr>
        <w:ind w:right="20" w:firstLine="457"/>
        <w:spacing w:after="0" w:line="255" w:lineRule="auto"/>
        <w:tabs>
          <w:tab w:leader="none" w:pos="70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or sending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subsection (a) of this Section.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Persons Entitled to Vote at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To be entitled to vote at any meeting of Holders of Securities of any series, a Person shall be (i) a Holder of one or more Outstanding Securities of such series, or (ii)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Quorum;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Persons entitled to vote a majority in principal amount of the Outstanding Securities of a series shall constitute a quorum for a meeting of Holders of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action is to be taken at such meeting with respect to a consent, waiver, request, demand, notice, authorization, direction or other action that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266" w:right="339" w:bottom="1440" w:gutter="0" w:footer="0" w:header="0"/>
        </w:sectPr>
      </w:pPr>
    </w:p>
    <w:bookmarkStart w:id="131" w:name="page132"/>
    <w:bookmarkEnd w:id="13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8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 taken at any meeting of Holders of Securities of any series duly held in accordance with this Section shall be binding on all the Holders of Securities of such series, whether or not present or represented at the meeting.</w:t>
      </w:r>
    </w:p>
    <w:p>
      <w:pPr>
        <w:spacing w:after="0" w:line="162"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2" w:lineRule="exact"/>
        <w:rPr>
          <w:sz w:val="20"/>
          <w:szCs w:val="20"/>
          <w:color w:val="auto"/>
        </w:rPr>
      </w:pPr>
    </w:p>
    <w:p>
      <w:pPr>
        <w:ind w:left="1640" w:hanging="212"/>
        <w:spacing w:after="0"/>
        <w:tabs>
          <w:tab w:leader="none" w:pos="1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117" w:lineRule="exact"/>
        <w:rPr>
          <w:rFonts w:ascii="Times New Roman" w:cs="Times New Roman" w:eastAsia="Times New Roman" w:hAnsi="Times New Roman"/>
          <w:sz w:val="18"/>
          <w:szCs w:val="18"/>
          <w:color w:val="auto"/>
        </w:rPr>
      </w:pPr>
    </w:p>
    <w:p>
      <w:pPr>
        <w:ind w:left="1020" w:right="40" w:firstLine="408"/>
        <w:spacing w:after="0" w:line="266" w:lineRule="auto"/>
        <w:tabs>
          <w:tab w:leader="none" w:pos="169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27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15.05. </w:t>
      </w:r>
      <w:r>
        <w:rPr>
          <w:rFonts w:ascii="Times New Roman" w:cs="Times New Roman" w:eastAsia="Times New Roman" w:hAnsi="Times New Roman"/>
          <w:sz w:val="18"/>
          <w:szCs w:val="18"/>
          <w:u w:val="single" w:color="auto"/>
          <w:color w:val="auto"/>
        </w:rPr>
        <w:t>Determination of Voting Rights; Conduct and Adjournment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457"/>
        <w:spacing w:after="0" w:line="261" w:lineRule="auto"/>
        <w:tabs>
          <w:tab w:leader="none" w:pos="69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Holders of Securities of a series in regard to proof of the holding of Securities of such series and of the</w:t>
      </w: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Such regulations may provide that written instruments appointing proxies, regular on their face, may be presumed valid and genuine without the proof specified in Section 1.04 or other proof.</w:t>
      </w:r>
    </w:p>
    <w:p>
      <w:pPr>
        <w:spacing w:after="0" w:line="186" w:lineRule="exact"/>
        <w:rPr>
          <w:rFonts w:ascii="Times New Roman" w:cs="Times New Roman" w:eastAsia="Times New Roman" w:hAnsi="Times New Roman"/>
          <w:sz w:val="18"/>
          <w:szCs w:val="18"/>
          <w:color w:val="auto"/>
        </w:rPr>
      </w:pPr>
    </w:p>
    <w:p>
      <w:pPr>
        <w:jc w:val="both"/>
        <w:ind w:right="120" w:firstLine="457"/>
        <w:spacing w:after="0" w:line="261" w:lineRule="auto"/>
        <w:tabs>
          <w:tab w:leader="none" w:pos="70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9" w:lineRule="exact"/>
        <w:rPr>
          <w:rFonts w:ascii="Times New Roman" w:cs="Times New Roman" w:eastAsia="Times New Roman" w:hAnsi="Times New Roman"/>
          <w:sz w:val="18"/>
          <w:szCs w:val="18"/>
          <w:color w:val="auto"/>
        </w:rPr>
      </w:pPr>
    </w:p>
    <w:p>
      <w:pPr>
        <w:jc w:val="both"/>
        <w:ind w:firstLine="457"/>
        <w:spacing w:after="0" w:line="261" w:lineRule="auto"/>
        <w:tabs>
          <w:tab w:leader="none" w:pos="69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of Holders, each Holder of a Security of such series or proxy shall be entitled to one vote for each $1,000 principal amount of the Outstanding Securities of such series held or represented by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79" w:lineRule="exact"/>
        <w:rPr>
          <w:rFonts w:ascii="Times New Roman" w:cs="Times New Roman" w:eastAsia="Times New Roman" w:hAnsi="Times New Roman"/>
          <w:sz w:val="18"/>
          <w:szCs w:val="18"/>
          <w:color w:val="auto"/>
        </w:rPr>
      </w:pPr>
    </w:p>
    <w:p>
      <w:pPr>
        <w:ind w:right="260" w:firstLine="457"/>
        <w:spacing w:after="0" w:line="266" w:lineRule="auto"/>
        <w:tabs>
          <w:tab w:leader="none" w:pos="70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Counting Votes and Recording Action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00"/>
          </w:cols>
          <w:pgMar w:left="320" w:top="270" w:right="379" w:bottom="1440" w:gutter="0" w:footer="0" w:header="0"/>
        </w:sectPr>
      </w:pPr>
    </w:p>
    <w:bookmarkStart w:id="133" w:name="page134"/>
    <w:bookmarkEnd w:id="1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SIXTEEN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SUBORDINATION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Agreement to Subordinate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The Company, for itself, its successors and assigns, covenants and agrees, and each Holder of Senior Subordinated Securities by his acceptance thereof, whether upon original issue or upon transfer, assignment or exchange thereof, likewise covenants and agrees, that the payment of the principal of (and premium, if any) and interest, if any, on each and all of the Senior Subordinated Securities is hereby expressly subordinated, to the extent and in the manner hereinafter set forth, in right of payment to the prior payment in full of all Senior Indebtedness.</w:t>
      </w:r>
    </w:p>
    <w:p>
      <w:pPr>
        <w:spacing w:after="0" w:line="180"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The Company, for itself, its successors and assigns, covenants and agrees, and each Holder of Junior Subordinated Securities by his acceptance thereof, likewise covenants and agrees, that the payment of the principal of (and premium, if any) and interest, if any, on each and all of the Junior Subordinated Securities is hereby expressly subordinated, to the extent and in the manner hereinafter set forth, in right of payment to the prior payment in full of all Senior Indebtedness and Senior Subordinated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Distribution on Dissolution, Liquidation and Reorganization; Subrogation of Subordinated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75" w:lineRule="exact"/>
        <w:rPr>
          <w:sz w:val="20"/>
          <w:szCs w:val="20"/>
          <w:color w:val="auto"/>
        </w:rPr>
      </w:pPr>
    </w:p>
    <w:p>
      <w:pPr>
        <w:ind w:left="1020" w:firstLine="408"/>
        <w:spacing w:after="0" w:line="258" w:lineRule="auto"/>
        <w:tabs>
          <w:tab w:leader="none" w:pos="164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Senior Indebtedness shall be entitled to receive payment in full of the principal thereof (and premium, if any) and interest due thereon before the Holders of the Subordinated Securities (except that, anything in this Indenture to the contrary notwithstanding, Holders of Subordinated Securities may receive and retain Permitted Junior Securities); are entitled to receive any payment upon the principal (or premium, if any) or interest, if any, on indebtedness evidenced by the Subordinated Securities (except that, anything in this Indenture to the contrary notwithstanding, Holders of Subordinated Securities may receive and retain Permitted Junior Securities); and</w:t>
      </w:r>
    </w:p>
    <w:p>
      <w:pPr>
        <w:spacing w:after="0" w:line="75" w:lineRule="exact"/>
        <w:rPr>
          <w:rFonts w:ascii="Times New Roman" w:cs="Times New Roman" w:eastAsia="Times New Roman" w:hAnsi="Times New Roman"/>
          <w:sz w:val="18"/>
          <w:szCs w:val="18"/>
          <w:color w:val="auto"/>
        </w:rPr>
      </w:pPr>
    </w:p>
    <w:p>
      <w:pPr>
        <w:ind w:left="1020" w:right="140" w:firstLine="408"/>
        <w:spacing w:after="0" w:line="266" w:lineRule="auto"/>
        <w:tabs>
          <w:tab w:leader="none" w:pos="169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Senior Subordinated Indebtedness shall be entitled to receive payment in full of the principal thereof (and premium, if any) and interest due thereon before the Holders of the Junior Subordinated Securities are entitled to receive any payment upon the principal (or premium, if any) or interest, if any, on indebtedness evidenced by the Junior Subordinated Securities;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320" w:top="266" w:right="359" w:bottom="1440" w:gutter="0" w:footer="0" w:header="0"/>
        </w:sectPr>
      </w:pPr>
    </w:p>
    <w:bookmarkStart w:id="134" w:name="page135"/>
    <w:bookmarkEnd w:id="134"/>
    <w:p>
      <w:pPr>
        <w:ind w:left="1020" w:right="40" w:firstLine="408"/>
        <w:spacing w:after="0" w:line="254" w:lineRule="auto"/>
        <w:tabs>
          <w:tab w:leader="none" w:pos="17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83" w:lineRule="exact"/>
        <w:rPr>
          <w:rFonts w:ascii="Times New Roman" w:cs="Times New Roman" w:eastAsia="Times New Roman" w:hAnsi="Times New Roman"/>
          <w:sz w:val="18"/>
          <w:szCs w:val="18"/>
          <w:color w:val="auto"/>
        </w:rPr>
      </w:pPr>
    </w:p>
    <w:p>
      <w:pPr>
        <w:ind w:left="1020" w:firstLine="408"/>
        <w:spacing w:after="0" w:line="255" w:lineRule="auto"/>
        <w:tabs>
          <w:tab w:leader="none" w:pos="173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notwithstanding the foregoing, any payment or distribution of assets of the Company of any kind or character, whether in cash, property or securities, shall be received by the Trustee or the Holders of the Subordinated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Securities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720" w:hanging="252"/>
        <w:spacing w:after="0"/>
        <w:tabs>
          <w:tab w:leader="none" w:pos="17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in the Company; or</w:t>
      </w:r>
    </w:p>
    <w:p>
      <w:pPr>
        <w:spacing w:after="0" w:line="117" w:lineRule="exact"/>
        <w:rPr>
          <w:rFonts w:ascii="Times New Roman" w:cs="Times New Roman" w:eastAsia="Times New Roman" w:hAnsi="Times New Roman"/>
          <w:sz w:val="18"/>
          <w:szCs w:val="18"/>
          <w:color w:val="auto"/>
        </w:rPr>
      </w:pPr>
    </w:p>
    <w:p>
      <w:pPr>
        <w:jc w:val="both"/>
        <w:ind w:left="1460" w:right="180" w:firstLine="8"/>
        <w:spacing w:after="0" w:line="266" w:lineRule="auto"/>
        <w:tabs>
          <w:tab w:leader="none" w:pos="17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that are subordinated to all Senior Indebtedness and any debt securities issued in exchange for Senior Indebtedness to substantially the same extent as, or to a greater extent than, the Subordinated Securities and the Junior Subordinated Securities are subordinated to Senior Indebtedness under this Indenture.</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Subject to the payment in full of all Senior Indebtedness, the Holders of the Subordinated Securities shall be subrogated to the rights of the holders of Senior Indebtedness to receive payments or distributions of cash, property or securities of the Company applicable to Senior Indebtedness until the principal of (and premium, if any) and interest, if any, on the Subordinated Securities shall be paid in full and no such payments or distributions to the Holders of the Subordinated Securities of cash, property or securities otherwise distributable to the holders of Senior Indebtedness shall, as between the Company, its creditors other than the holders of Senior Indebtedness, and the Holders of the Subordinated Securities be deemed to be a payment by the Company to or on account of the Subordinated Securities. It is understood that the provisions of this Article Sixteen are and are intended solely for the purpose of defining the relative rights of the Holders of the Subordinated Securities, on the one hand, and the holders of the Senior Indebtedness,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270" w:right="339" w:bottom="1440" w:gutter="0" w:footer="0" w:header="0"/>
        </w:sectPr>
      </w:pPr>
    </w:p>
    <w:bookmarkStart w:id="135" w:name="page136"/>
    <w:bookmarkEnd w:id="13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other hand. Nothing contained in this Article Sixteen or elsewhere in this Indenture or in the Subordinated Securities is intended to or shall impair, as between the Company, its creditors other than the holders of Senior Indebtedness, and the Holders of the Subordinated Securities, the obligation of the Company, which is unconditional and absolute, to pay to the Holders of the Subordinated Securities the principal of (and premium, if any) and interest, if any, on the Subordinated Securities as and when the same shall become due and payable in accordance with their terms, or to affect the relative rights of the Holders of the Subordinated Securities and creditors of the Company other than the holders of Senior Indebtedness, nor shall anything herein or in the Subordinated Securities prevent the Trustee or the Holder of any Subordinated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w:t>
      </w:r>
    </w:p>
    <w:p>
      <w:pPr>
        <w:spacing w:after="0" w:line="19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If the Trustee or any Holder of Subordinated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Subordinated Securities.</w:t>
      </w:r>
    </w:p>
    <w:p>
      <w:pPr>
        <w:spacing w:after="0" w:line="176"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With respect to the holders of Senior Indebtedness, the Trustee undertakes to perform or to observe only such of its covenants or obligations as are specifically set forth in this Article and no implied covenants or obligations with respect to holders of Senior Indebtedness shall be read into this Indenture against the Trustee.</w:t>
      </w:r>
    </w:p>
    <w:p>
      <w:pPr>
        <w:spacing w:after="0" w:line="176"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Trustee does not owe any fiduciary duties to the holders of Senior Indebtedness, including any holder of Securities other than Securities issued under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u w:val="single" w:color="auto"/>
          <w:color w:val="auto"/>
        </w:rPr>
        <w:t>No Payment on Subordinated Securities in Event of Default on Senior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No payment by the Company on account of principal (or premium, if any), sinking funds or interest, if any, on the Subordinated Securities shall be made unless full payment of amounts then due for principal (premium, if any), sinking funds and interest on Senior Indebtedness has been made or duly provided for in money or money’s worth.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Payments on Subordinated Securities Permitted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Nothing contained in this Indenture or in any of the Subordinated Securities shall (a) affect the obligation of the Company to make, or prevent the Company from making, at any time except as provided in Sections 16.02 and 16.03, payments of principal of (or premium, if any) or interest, if any, on the Subordinated Securities or (b) prevent the application by the Trustee of any moneys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270" w:right="339" w:bottom="1440" w:gutter="0" w:footer="0" w:header="0"/>
        </w:sectPr>
      </w:pPr>
    </w:p>
    <w:bookmarkStart w:id="136" w:name="page137"/>
    <w:bookmarkEnd w:id="136"/>
    <w:p>
      <w:pPr>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deposited with it hereunder to the payment of or on account of the principal of (or premium, if any) or interest, if any, on the Subordinated Securities, unless the Trustee shall have received at its Corporate Trust Office written notice of any event prohibiting the making of such payment more than three Business Days prior to the date fixed for such payment.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u w:val="single" w:color="auto"/>
          <w:color w:val="auto"/>
        </w:rPr>
        <w:t>Authorization of Holders to Trustee to Effect Subordination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Each Holder of Subordinated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16.06. </w:t>
      </w:r>
      <w:r>
        <w:rPr>
          <w:rFonts w:ascii="Times New Roman" w:cs="Times New Roman" w:eastAsia="Times New Roman" w:hAnsi="Times New Roman"/>
          <w:sz w:val="18"/>
          <w:szCs w:val="18"/>
          <w:u w:val="single" w:color="auto"/>
          <w:color w:val="auto"/>
        </w:rPr>
        <w:t>Notices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reasonably satisfactory to the Trustee of such holding of Senior Indebtedness or of the authority of such trustee;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least three Business Days prior to the date upon which by the terms hereof any such moneys may become payable for any purpose (including, without limitation, the payment of either the principal (or premium, if any) or interest, if any, on any Subordinated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three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270"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16.07. </w:t>
      </w:r>
      <w:r>
        <w:rPr>
          <w:rFonts w:ascii="Times New Roman" w:cs="Times New Roman" w:eastAsia="Times New Roman" w:hAnsi="Times New Roman"/>
          <w:sz w:val="18"/>
          <w:szCs w:val="18"/>
          <w:u w:val="single" w:color="auto"/>
          <w:color w:val="auto"/>
        </w:rPr>
        <w:t>Trustee as Holder of Senior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Trustee in its individual capacity shall be entitled to all the rights set forth in this Article Sixteen in respect of any Senior Indebtedness at any time held by it to the same extent as any other holder of Senior Indebtedness and nothing in this Indenture shall be construed to deprive the Trustee of any of its rights as such holder.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Nothing in this Article Sixteen shall apply to claims of, or payments to, the Trustee under or pursuant to Section 6.06.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16.08. </w:t>
      </w:r>
      <w:r>
        <w:rPr>
          <w:rFonts w:ascii="Times New Roman" w:cs="Times New Roman" w:eastAsia="Times New Roman" w:hAnsi="Times New Roman"/>
          <w:sz w:val="18"/>
          <w:szCs w:val="18"/>
          <w:u w:val="single" w:color="auto"/>
          <w:color w:val="auto"/>
        </w:rPr>
        <w:t>Modifications of Terms of Senior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Subordinated Securities or the Trustee.</w:t>
      </w:r>
    </w:p>
    <w:p>
      <w:pPr>
        <w:spacing w:after="0" w:line="176"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8"/>
          <w:szCs w:val="18"/>
          <w:color w:val="auto"/>
        </w:rPr>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Subordinated Securities relating to the subordination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16.09. </w:t>
      </w:r>
      <w:r>
        <w:rPr>
          <w:rFonts w:ascii="Times New Roman" w:cs="Times New Roman" w:eastAsia="Times New Roman" w:hAnsi="Times New Roman"/>
          <w:sz w:val="18"/>
          <w:szCs w:val="18"/>
          <w:u w:val="single" w:color="auto"/>
          <w:color w:val="auto"/>
        </w:rPr>
        <w:t>Reliance on Judicial Order or Certificate of Liquidating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Subordinated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so executed shall be deemed to be an original, but all such counterparts shall together constitute but one and the same Indenture. The exchange of copies of this Indenture and of signature pages by facsimile, .pdf transmission or electronic mail shall constitute effective execution and delivery of this Indenture for all purposes. Signatures of the parties hereto transmitted by facsimile, .pdf transmission or electronic mail shall be deemed to be their original signatures for all purposes.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270"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Ian T. Simmonds</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Ian T. Simmonds</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U.S. BANK TRUST COMPANY,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NATIONAL ASSOCIATION, as Trustee</w:t>
      </w:r>
    </w:p>
    <w:p>
      <w:pPr>
        <w:spacing w:after="0" w:line="220"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W. Hall</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W. Hall</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27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SUPPLEMENTAL INDENTURE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Trustee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January 16, 2024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SUPPLEMENTAL INDENTURE</w:t>
      </w:r>
    </w:p>
    <w:p>
      <w:pPr>
        <w:spacing w:after="0" w:line="225"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THIS FIRST SUPPLEMENTAL INDENTURE (this “First Supplemental Indenture”), dated as of January 16, 2024, between Sixth Street Specialty Lending, Inc., a Delaware corporation (the “Company”), and U.S. Bank Trust Company, National Association, as trustee (the “Trustee”). All capitalized terms used herein shall have the meaning set forth in the Base Indenture (as defined below) unless otherwise defined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Company and the Trustee executed and delivered an Indenture, dated as of January 16, 2024 (the “Base Indenture” and, as supplemented by this First Supplemental Indenture, collectively, the “Indenture”), to provide for the issuance by the Company from time to time of the Company’s unsecured debentures, notes or other evidences of indebtedness (the “Securities”), to be issued in one or more series as provided in the Indenture.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desires to issue and sell $350,000,000 aggregate principal amount of the Company’s 6.125% Notes due 2029 (the “Notes”).</w:t>
      </w:r>
    </w:p>
    <w:p>
      <w:pPr>
        <w:spacing w:after="0" w:line="22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Sections 9.01(v) and 9.01(vii)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spacing w:after="0" w:line="183"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sectPr>
          <w:pgSz w:w="11900" w:h="16838" w:orient="portrait"/>
          <w:cols w:equalWidth="0" w:num="1">
            <w:col w:w="11240"/>
          </w:cols>
          <w:pgMar w:left="320" w:top="117" w:right="339" w:bottom="1440" w:gutter="0" w:footer="0" w:header="0"/>
        </w:sectPr>
      </w:pPr>
    </w:p>
    <w:bookmarkStart w:id="140" w:name="page141"/>
    <w:bookmarkEnd w:id="140"/>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duly authorized the execution and delivery of this First Supplemental Indenture to provide for the issuance of the Notes and all acts and things necessary to make this First Supplemental Indenture a valid, binding, and legal obligation of the Company and to constitute a valid agreement of the Company, in accordance with its terms, have been done and performed.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Notes by the Holders thereof, it is mutually agreed, for the equal and proportionate benefit of all Holders of the Notes,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TERMS OF THE NOTES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Terms of the Notes</w:t>
      </w:r>
      <w:r>
        <w:rPr>
          <w:rFonts w:ascii="Times New Roman" w:cs="Times New Roman" w:eastAsia="Times New Roman" w:hAnsi="Times New Roman"/>
          <w:sz w:val="18"/>
          <w:szCs w:val="18"/>
          <w:color w:val="auto"/>
        </w:rPr>
        <w:t>. The following terms relating to the Notes are hereby established:</w:t>
      </w:r>
    </w:p>
    <w:p>
      <w:pPr>
        <w:spacing w:after="0" w:line="117" w:lineRule="exact"/>
        <w:rPr>
          <w:sz w:val="20"/>
          <w:szCs w:val="20"/>
          <w:color w:val="auto"/>
        </w:rPr>
      </w:pPr>
    </w:p>
    <w:p>
      <w:pPr>
        <w:ind w:right="340" w:firstLine="1019"/>
        <w:spacing w:after="0" w:line="282" w:lineRule="auto"/>
        <w:tabs>
          <w:tab w:leader="none" w:pos="12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constitute a series of Securities having the title “6.125% Notes due 2029” and shall be designated as Senior Securities under the Indenture. The Notes shall bear a CUSIP number of 83012AAC3 and an ISIN number of US83012AAC36.</w:t>
      </w:r>
    </w:p>
    <w:p>
      <w:pPr>
        <w:spacing w:after="0" w:line="161" w:lineRule="exact"/>
        <w:rPr>
          <w:rFonts w:ascii="Times New Roman" w:cs="Times New Roman" w:eastAsia="Times New Roman" w:hAnsi="Times New Roman"/>
          <w:sz w:val="18"/>
          <w:szCs w:val="18"/>
          <w:color w:val="auto"/>
        </w:rPr>
      </w:pPr>
    </w:p>
    <w:p>
      <w:pPr>
        <w:ind w:right="100" w:firstLine="1019"/>
        <w:spacing w:after="0" w:line="254" w:lineRule="auto"/>
        <w:tabs>
          <w:tab w:leader="none" w:pos="126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$350,000,000.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(i) be issued in a “qualified reopening” for U.S. Federal income tax purposes, with no more than a de minimis amount of original issue discount, or otherwise (ii) be part of the same issue as the Notes for U.S. federal income tax purposes. Any Additional Notes and the existing Notes will constitute a single series under the Indenture and all references to the relevant Notes herein shall include the Additional Notes unless the context otherwise requires.</w:t>
      </w:r>
    </w:p>
    <w:p>
      <w:pPr>
        <w:spacing w:after="0" w:line="188" w:lineRule="exact"/>
        <w:rPr>
          <w:rFonts w:ascii="Times New Roman" w:cs="Times New Roman" w:eastAsia="Times New Roman" w:hAnsi="Times New Roman"/>
          <w:sz w:val="18"/>
          <w:szCs w:val="18"/>
          <w:color w:val="auto"/>
        </w:rPr>
      </w:pPr>
    </w:p>
    <w:p>
      <w:pPr>
        <w:ind w:right="520" w:firstLine="1019"/>
        <w:spacing w:after="0" w:line="282" w:lineRule="auto"/>
        <w:tabs>
          <w:tab w:leader="none" w:pos="12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amount of the Notes shall be payable on March 1, 2029, unless earlier redeemed or repurchased in accordance with the provisions of this First Supplemental Indenture.</w:t>
      </w:r>
    </w:p>
    <w:p>
      <w:pPr>
        <w:spacing w:after="0" w:line="161" w:lineRule="exact"/>
        <w:rPr>
          <w:rFonts w:ascii="Times New Roman" w:cs="Times New Roman" w:eastAsia="Times New Roman" w:hAnsi="Times New Roman"/>
          <w:sz w:val="18"/>
          <w:szCs w:val="18"/>
          <w:color w:val="auto"/>
        </w:rPr>
      </w:pPr>
    </w:p>
    <w:p>
      <w:pPr>
        <w:ind w:firstLine="1019"/>
        <w:spacing w:after="0" w:line="258" w:lineRule="auto"/>
        <w:tabs>
          <w:tab w:leader="none" w:pos="126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the Notes shall bear interest shall be 6.125% per annum (the “Applicable Interest Rate”). The date from which interest shall accrue on the Notes shall be January 16, 2024, or the most recent Interest Payment Date to which interest has been paid or provided for; the Interest Payment Dates for the Notes shall be March 1 and September 1 of each year, commencing September 1, 2024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70" w:right="339" w:bottom="1440" w:gutter="0" w:footer="0" w:header="0"/>
        </w:sectPr>
      </w:pPr>
    </w:p>
    <w:bookmarkStart w:id="141" w:name="page142"/>
    <w:bookmarkEnd w:id="14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will be the period from and including January 16, 2024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5:00 p.m. New York City time (the “close of business”) on the Regular Record Date for such interest, which shall be February 15 and August 15 (whether or not a Business Day), as the case may be, immediately 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provided, however,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pacing w:after="0" w:line="194" w:lineRule="exact"/>
        <w:rPr>
          <w:sz w:val="20"/>
          <w:szCs w:val="20"/>
          <w:color w:val="auto"/>
        </w:rPr>
      </w:pPr>
    </w:p>
    <w:p>
      <w:pPr>
        <w:ind w:right="140" w:firstLine="1019"/>
        <w:spacing w:after="0" w:line="256" w:lineRule="auto"/>
        <w:tabs>
          <w:tab w:leader="none" w:pos="12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shall be initially issuable in global form (each such Note, a “Global Note”). The Global Notes and the Trustee’s certificate of authentication thereon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First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187" w:lineRule="exact"/>
        <w:rPr>
          <w:rFonts w:ascii="Times New Roman" w:cs="Times New Roman" w:eastAsia="Times New Roman" w:hAnsi="Times New Roman"/>
          <w:sz w:val="18"/>
          <w:szCs w:val="18"/>
          <w:color w:val="auto"/>
        </w:rPr>
      </w:pPr>
    </w:p>
    <w:p>
      <w:pPr>
        <w:ind w:left="1240" w:hanging="221"/>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Custodian for such Global Notes shall be the Trustee. The Security Registrar with respect to the Global Notes shall be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06" w:lineRule="exact"/>
        <w:rPr>
          <w:rFonts w:ascii="Times New Roman" w:cs="Times New Roman" w:eastAsia="Times New Roman" w:hAnsi="Times New Roman"/>
          <w:sz w:val="18"/>
          <w:szCs w:val="18"/>
          <w:color w:val="auto"/>
        </w:rPr>
      </w:pPr>
    </w:p>
    <w:p>
      <w:pPr>
        <w:ind w:right="580" w:firstLine="1019"/>
        <w:spacing w:after="0" w:line="282" w:lineRule="auto"/>
        <w:tabs>
          <w:tab w:leader="none" w:pos="126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defeasible pursuant to Section 14.02 or Section 14.03 of the Base Indenture. Covenant defeasance contained in Section 14.03 of the Base Indenture shall apply to the covenants contained in Sections 10.06, 10.07 and 10.08 of the Indenture.</w:t>
      </w:r>
    </w:p>
    <w:p>
      <w:pPr>
        <w:spacing w:after="0" w:line="161" w:lineRule="exact"/>
        <w:rPr>
          <w:rFonts w:ascii="Times New Roman" w:cs="Times New Roman" w:eastAsia="Times New Roman" w:hAnsi="Times New Roman"/>
          <w:sz w:val="18"/>
          <w:szCs w:val="18"/>
          <w:color w:val="auto"/>
        </w:rPr>
      </w:pPr>
    </w:p>
    <w:p>
      <w:pPr>
        <w:ind w:left="1280" w:hanging="261"/>
        <w:spacing w:after="0"/>
        <w:tabs>
          <w:tab w:leader="none" w:pos="12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redeemable pursuant to Section 11.01 of the Base Indenture and as follows:</w:t>
      </w:r>
    </w:p>
    <w:p>
      <w:pPr>
        <w:spacing w:after="0" w:line="117" w:lineRule="exact"/>
        <w:rPr>
          <w:rFonts w:ascii="Times New Roman" w:cs="Times New Roman" w:eastAsia="Times New Roman" w:hAnsi="Times New Roman"/>
          <w:sz w:val="18"/>
          <w:szCs w:val="18"/>
          <w:color w:val="auto"/>
        </w:rPr>
      </w:pPr>
    </w:p>
    <w:p>
      <w:pPr>
        <w:ind w:left="1460" w:right="60" w:firstLine="8"/>
        <w:spacing w:after="0" w:line="266" w:lineRule="auto"/>
        <w:tabs>
          <w:tab w:leader="none" w:pos="167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redeemable, in whole or in part, at any time, or from time to time, at the option of the Company, at a Redemption Price (expressed as a percentage of principal amount and rounded to three decimal places), prior to February 1, 2029 (the “</w:t>
      </w:r>
      <w:r>
        <w:rPr>
          <w:rFonts w:ascii="Times New Roman" w:cs="Times New Roman" w:eastAsia="Times New Roman" w:hAnsi="Times New Roman"/>
          <w:sz w:val="18"/>
          <w:szCs w:val="18"/>
          <w:u w:val="single" w:color="auto"/>
          <w:color w:val="auto"/>
        </w:rPr>
        <w:t>Par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equal to the greater of the following amounts, plus, in each case, accrued and unpaid interest thereon to the Redemption Date: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270" w:right="359" w:bottom="1440" w:gutter="0" w:footer="0" w:header="0"/>
        </w:sectPr>
      </w:pPr>
    </w:p>
    <w:bookmarkStart w:id="142" w:name="page143"/>
    <w:bookmarkEnd w:id="142"/>
    <w:p>
      <w:pPr>
        <w:ind w:left="2020" w:right="500" w:hanging="554"/>
        <w:spacing w:after="0" w:line="261" w:lineRule="auto"/>
        <w:tabs>
          <w:tab w:leader="none" w:pos="2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40 basis points less (2) interest accrued to the date of redemption; and</w:t>
      </w:r>
    </w:p>
    <w:p>
      <w:pPr>
        <w:spacing w:after="0" w:line="85"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redeems any Notes on or after the Par Call Date, the Redemption Price for the Notes will be equal to 100%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the Notes to be redeemed, plus accrued and unpaid interest thereon to the Redemption Date.</w:t>
      </w:r>
    </w:p>
    <w:p>
      <w:pPr>
        <w:spacing w:after="0" w:line="160" w:lineRule="exact"/>
        <w:rPr>
          <w:sz w:val="20"/>
          <w:szCs w:val="20"/>
          <w:color w:val="auto"/>
        </w:rPr>
      </w:pPr>
    </w:p>
    <w:p>
      <w:pPr>
        <w:ind w:right="800" w:firstLine="449"/>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67" w:lineRule="exact"/>
        <w:rPr>
          <w:sz w:val="20"/>
          <w:szCs w:val="20"/>
          <w:color w:val="auto"/>
        </w:rPr>
      </w:pPr>
    </w:p>
    <w:p>
      <w:pPr>
        <w:ind w:left="2020" w:hanging="554"/>
        <w:spacing w:after="0" w:line="252" w:lineRule="auto"/>
        <w:tabs>
          <w:tab w:leader="none" w:pos="2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and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270" w:right="359" w:bottom="1440" w:gutter="0" w:footer="0" w:header="0"/>
        </w:sectPr>
      </w:pPr>
    </w:p>
    <w:bookmarkStart w:id="143" w:name="page144"/>
    <w:bookmarkEnd w:id="143"/>
    <w:p>
      <w:pPr>
        <w:ind w:left="2020" w:right="40" w:hanging="554"/>
        <w:spacing w:after="0" w:line="252" w:lineRule="auto"/>
        <w:tabs>
          <w:tab w:leader="none" w:pos="2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7"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54" w:lineRule="exact"/>
        <w:rPr>
          <w:sz w:val="20"/>
          <w:szCs w:val="20"/>
          <w:color w:val="auto"/>
        </w:rPr>
      </w:pPr>
    </w:p>
    <w:p>
      <w:pPr>
        <w:ind w:left="1460" w:firstLine="8"/>
        <w:spacing w:after="0" w:line="256" w:lineRule="auto"/>
        <w:tabs>
          <w:tab w:leader="none" w:pos="172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redemption shall be mailed or electronically delivered (or otherwise transmitted in accordance with the depositary’s procedures) at least 10 days but not more than 60 days before the Redemption Date to each Holder of Notes to be redeemed,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79" w:lineRule="exact"/>
        <w:rPr>
          <w:rFonts w:ascii="Times New Roman" w:cs="Times New Roman" w:eastAsia="Times New Roman" w:hAnsi="Times New Roman"/>
          <w:sz w:val="18"/>
          <w:szCs w:val="18"/>
          <w:color w:val="auto"/>
        </w:rPr>
      </w:pPr>
    </w:p>
    <w:p>
      <w:pPr>
        <w:ind w:left="1460" w:right="180" w:firstLine="8"/>
        <w:spacing w:after="0" w:line="282" w:lineRule="auto"/>
        <w:tabs>
          <w:tab w:leader="none" w:pos="17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the Company’s option to redeem the Notes will be done in compliance with the Investment Company Act, to the extent applicable.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70" w:right="339" w:bottom="1440" w:gutter="0" w:footer="0" w:header="0"/>
        </w:sectPr>
      </w:pPr>
    </w:p>
    <w:bookmarkStart w:id="144" w:name="page145"/>
    <w:bookmarkEnd w:id="144"/>
    <w:p>
      <w:pPr>
        <w:ind w:left="1460" w:right="20" w:firstLine="8"/>
        <w:spacing w:after="0" w:line="255" w:lineRule="auto"/>
        <w:tabs>
          <w:tab w:leader="none" w:pos="176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elects to redeem only a portion of the Notes, selection of the Notes for redemption shall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80" w:lineRule="exact"/>
        <w:rPr>
          <w:rFonts w:ascii="Times New Roman" w:cs="Times New Roman" w:eastAsia="Times New Roman" w:hAnsi="Times New Roman"/>
          <w:sz w:val="18"/>
          <w:szCs w:val="18"/>
          <w:color w:val="auto"/>
        </w:rPr>
      </w:pPr>
    </w:p>
    <w:p>
      <w:pPr>
        <w:ind w:left="1460" w:right="140" w:firstLine="8"/>
        <w:spacing w:after="0" w:line="282" w:lineRule="auto"/>
        <w:tabs>
          <w:tab w:leader="none" w:pos="171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called for redemption hereunder.</w:t>
      </w:r>
    </w:p>
    <w:p>
      <w:pPr>
        <w:spacing w:after="0" w:line="161" w:lineRule="exact"/>
        <w:rPr>
          <w:rFonts w:ascii="Times New Roman" w:cs="Times New Roman" w:eastAsia="Times New Roman" w:hAnsi="Times New Roman"/>
          <w:sz w:val="18"/>
          <w:szCs w:val="18"/>
          <w:color w:val="auto"/>
        </w:rPr>
      </w:pPr>
    </w:p>
    <w:p>
      <w:pPr>
        <w:ind w:left="1240" w:hanging="221"/>
        <w:spacing w:after="0"/>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not be subject to any sinking fund pursuant to Section 12.01 of the Base Indenture.</w:t>
      </w:r>
    </w:p>
    <w:p>
      <w:pPr>
        <w:spacing w:after="0" w:line="225" w:lineRule="exact"/>
        <w:rPr>
          <w:rFonts w:ascii="Times New Roman" w:cs="Times New Roman" w:eastAsia="Times New Roman" w:hAnsi="Times New Roman"/>
          <w:sz w:val="18"/>
          <w:szCs w:val="18"/>
          <w:color w:val="auto"/>
        </w:rPr>
      </w:pPr>
    </w:p>
    <w:p>
      <w:pPr>
        <w:ind w:left="1240" w:hanging="221"/>
        <w:spacing w:after="0"/>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denominations of $2,000 and integral multiples of $1,000 in excess thereof.</w:t>
      </w:r>
    </w:p>
    <w:p>
      <w:pPr>
        <w:spacing w:after="0" w:line="225" w:lineRule="exact"/>
        <w:rPr>
          <w:rFonts w:ascii="Times New Roman" w:cs="Times New Roman" w:eastAsia="Times New Roman" w:hAnsi="Times New Roman"/>
          <w:sz w:val="18"/>
          <w:szCs w:val="18"/>
          <w:color w:val="auto"/>
        </w:rPr>
      </w:pPr>
    </w:p>
    <w:p>
      <w:pPr>
        <w:ind w:right="180" w:firstLine="1019"/>
        <w:spacing w:after="0" w:line="282" w:lineRule="auto"/>
        <w:tabs>
          <w:tab w:leader="none" w:pos="126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will not have the option to have the Notes repaid prior to the Stated Maturity other than in accordance with Article Thirteen of the Indenture.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 AND OTHER PROVISIONS OF GENERAL APPLICATION</w:t>
      </w:r>
    </w:p>
    <w:p>
      <w:pPr>
        <w:spacing w:after="0" w:line="207" w:lineRule="exact"/>
        <w:rPr>
          <w:sz w:val="20"/>
          <w:szCs w:val="20"/>
          <w:color w:val="auto"/>
        </w:rPr>
      </w:pPr>
    </w:p>
    <w:p>
      <w:pPr>
        <w:jc w:val="both"/>
        <w:ind w:right="560" w:firstLine="449"/>
        <w:spacing w:after="0" w:line="266" w:lineRule="auto"/>
        <w:rPr>
          <w:sz w:val="20"/>
          <w:szCs w:val="20"/>
          <w:color w:val="auto"/>
        </w:rPr>
      </w:pPr>
      <w:r>
        <w:rPr>
          <w:rFonts w:ascii="Times New Roman" w:cs="Times New Roman" w:eastAsia="Times New Roman" w:hAnsi="Times New Roman"/>
          <w:sz w:val="18"/>
          <w:szCs w:val="18"/>
          <w:color w:val="auto"/>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spacing w:after="0" w:line="6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Below Investment Grade Rating Event</w:t>
      </w:r>
      <w:r>
        <w:rPr>
          <w:rFonts w:ascii="Times New Roman" w:cs="Times New Roman" w:eastAsia="Times New Roman" w:hAnsi="Times New Roman"/>
          <w:sz w:val="18"/>
          <w:szCs w:val="18"/>
          <w:color w:val="auto"/>
        </w:rPr>
        <w: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270" w:right="359"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7" w:lineRule="exact"/>
        <w:rPr>
          <w:sz w:val="20"/>
          <w:szCs w:val="20"/>
          <w:color w:val="auto"/>
        </w:rPr>
      </w:pPr>
    </w:p>
    <w:p>
      <w:pPr>
        <w:ind w:right="80" w:firstLine="457"/>
        <w:spacing w:after="0" w:line="258" w:lineRule="auto"/>
        <w:tabs>
          <w:tab w:leader="none" w:pos="70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183" w:lineRule="exact"/>
        <w:rPr>
          <w:rFonts w:ascii="Times New Roman" w:cs="Times New Roman" w:eastAsia="Times New Roman" w:hAnsi="Times New Roman"/>
          <w:sz w:val="18"/>
          <w:szCs w:val="18"/>
          <w:color w:val="auto"/>
        </w:rPr>
      </w:pPr>
    </w:p>
    <w:p>
      <w:pPr>
        <w:ind w:right="60" w:firstLine="457"/>
        <w:spacing w:after="0" w:line="261" w:lineRule="auto"/>
        <w:tabs>
          <w:tab w:leader="none" w:pos="70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179"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Company’s stockholders of any plan or proposal relating to the liquidation or dissolution of the Company.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corporate trust office of the Trustee, at which at any particular time its corporate trust business with respect to this Indenture shall be administered, which office is currently located at U.S. Bank Trust Company, National Association, 100 Wall St STE 600, New York, NY 10005.</w:t>
      </w:r>
    </w:p>
    <w:p>
      <w:pPr>
        <w:spacing w:after="0" w:line="176"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each Note in global form, The Depository Trust Company, until a successor shall have been appointed and becomes such person, and thereafter, Depositary shall mean or include such successor.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pacing w:after="0" w:line="225"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 Service, or any successor thereto.</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270" w:right="379" w:bottom="1440" w:gutter="0" w:footer="0" w:header="0"/>
        </w:sectPr>
      </w:pPr>
    </w:p>
    <w:bookmarkStart w:id="146" w:name="page147"/>
    <w:bookmarkEnd w:id="146"/>
    <w:p>
      <w:pPr>
        <w:jc w:val="both"/>
        <w:ind w:right="360" w:firstLine="44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(i) the Company, (ii) one or more of the Company’s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76" w:lineRule="exact"/>
        <w:rPr>
          <w:sz w:val="20"/>
          <w:szCs w:val="20"/>
          <w:color w:val="auto"/>
        </w:rPr>
      </w:pPr>
    </w:p>
    <w:p>
      <w:pPr>
        <w:ind w:right="220" w:firstLine="44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Rating Agency</w:t>
      </w:r>
      <w:r>
        <w:rPr>
          <w:rFonts w:ascii="Times New Roman" w:cs="Times New Roman" w:eastAsia="Times New Roman" w:hAnsi="Times New Roman"/>
          <w:sz w:val="17"/>
          <w:szCs w:val="17"/>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Moody’s or S&amp;P, or all three, as the case may be.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or any successor thereto.</w:t>
      </w:r>
    </w:p>
    <w:p>
      <w:pPr>
        <w:spacing w:after="0" w:line="225"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TRUSTEE</w:t>
      </w:r>
    </w:p>
    <w:p>
      <w:pPr>
        <w:spacing w:after="0" w:line="20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Section 3.01. Neither the Trustee nor any Paying Agent shall be responsible (or liable) for determining whether any Change of Control or Below Investment Grade Rating Event has occurred and whether any Change of Control offer with respect to the Notes is required.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(or liability) to verify or ensure the accuracy, correctness, adequacy, or completeness of such information.</w:t>
      </w:r>
    </w:p>
    <w:p>
      <w:pPr>
        <w:spacing w:after="0" w:line="19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Section 3.02. 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270" w:right="379" w:bottom="1440" w:gutter="0" w:footer="0" w:header="0"/>
        </w:sectPr>
      </w:pPr>
    </w:p>
    <w:bookmarkStart w:id="147" w:name="page148"/>
    <w:bookmarkEnd w:id="147"/>
    <w:p>
      <w:pPr>
        <w:ind w:left="5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right="580" w:firstLine="449"/>
        <w:spacing w:after="0" w:line="266" w:lineRule="auto"/>
        <w:rPr>
          <w:sz w:val="20"/>
          <w:szCs w:val="20"/>
          <w:color w:val="auto"/>
        </w:rPr>
      </w:pPr>
      <w:r>
        <w:rPr>
          <w:rFonts w:ascii="Times New Roman" w:cs="Times New Roman" w:eastAsia="Times New Roman" w:hAnsi="Times New Roman"/>
          <w:sz w:val="18"/>
          <w:szCs w:val="18"/>
          <w:color w:val="auto"/>
        </w:rPr>
        <w:t>Section 4.01.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with the following:</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Section 18(a)(1)(A) of the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449"/>
        <w:spacing w:after="0" w:line="266" w:lineRule="auto"/>
        <w:rPr>
          <w:sz w:val="20"/>
          <w:szCs w:val="20"/>
          <w:color w:val="auto"/>
        </w:rPr>
      </w:pPr>
      <w:r>
        <w:rPr>
          <w:rFonts w:ascii="Times New Roman" w:cs="Times New Roman" w:eastAsia="Times New Roman" w:hAnsi="Times New Roman"/>
          <w:sz w:val="18"/>
          <w:szCs w:val="18"/>
          <w:color w:val="auto"/>
        </w:rPr>
        <w:t>The Company hereby agrees that for the period of time during which Securities are Outstanding, the Company will not violate, whether or not it is subject thereto, Section 18(a)(1)(A) as modified by Section 61(a) of the Investment Company Act or any successor provisions thereto of the Investment Company Act, but giving effect, in either case, to any exemptive relief granted to the Company by the Commission.”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OFFER TO REPURCHASE UPON A CHANGE OF CONTROL REPURCHASE EVENT</w:t>
      </w:r>
    </w:p>
    <w:p>
      <w:pPr>
        <w:spacing w:after="0" w:line="207"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with the following: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written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Repurchase Event.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270" w:right="339" w:bottom="1440" w:gutter="0" w:footer="0" w:header="0"/>
        </w:sectPr>
      </w:pPr>
    </w:p>
    <w:bookmarkStart w:id="148" w:name="page149"/>
    <w:bookmarkEnd w:id="148"/>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spacing w:after="0" w:line="162"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Investment Company Act, the Company shall, to the extent lawful:</w:t>
      </w:r>
    </w:p>
    <w:p>
      <w:pPr>
        <w:spacing w:after="0" w:line="54" w:lineRule="exact"/>
        <w:rPr>
          <w:sz w:val="20"/>
          <w:szCs w:val="20"/>
          <w:color w:val="auto"/>
        </w:rPr>
      </w:pPr>
    </w:p>
    <w:p>
      <w:pPr>
        <w:ind w:left="720" w:hanging="263"/>
        <w:spacing w:after="0"/>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its offer;</w:t>
      </w:r>
    </w:p>
    <w:p>
      <w:pPr>
        <w:spacing w:after="0" w:line="117"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117" w:lineRule="exact"/>
        <w:rPr>
          <w:rFonts w:ascii="Times New Roman" w:cs="Times New Roman" w:eastAsia="Times New Roman" w:hAnsi="Times New Roman"/>
          <w:sz w:val="18"/>
          <w:szCs w:val="18"/>
          <w:color w:val="auto"/>
        </w:rPr>
      </w:pPr>
    </w:p>
    <w:p>
      <w:pPr>
        <w:ind w:left="460" w:right="200" w:hanging="3"/>
        <w:spacing w:after="0" w:line="282" w:lineRule="auto"/>
        <w:tabs>
          <w:tab w:leader="none" w:pos="7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62"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will be in a minimum principal amount of $2,000 or an integral multiple of $1,000 in excess thereof.</w:t>
      </w:r>
    </w:p>
    <w:p>
      <w:pPr>
        <w:spacing w:after="0" w:line="176"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Section 6.01. This First Supplemental Indenture and the Notes shall be governed by and construed in accordance with the laws of the State of New York, without regard to principles of conflicts of laws that would cause the application of laws of another jurisdiction. This First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270" w:right="359" w:bottom="1440" w:gutter="0" w:footer="0" w:header="0"/>
        </w:sectPr>
      </w:pPr>
    </w:p>
    <w:bookmarkStart w:id="149" w:name="page150"/>
    <w:bookmarkEnd w:id="149"/>
    <w:p>
      <w:pPr>
        <w:ind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6.02. In case any provision in this First Supplemental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200" w:firstLine="449"/>
        <w:spacing w:after="0" w:line="257" w:lineRule="auto"/>
        <w:rPr>
          <w:sz w:val="20"/>
          <w:szCs w:val="20"/>
          <w:color w:val="auto"/>
        </w:rPr>
      </w:pPr>
      <w:r>
        <w:rPr>
          <w:rFonts w:ascii="Times New Roman" w:cs="Times New Roman" w:eastAsia="Times New Roman" w:hAnsi="Times New Roman"/>
          <w:sz w:val="18"/>
          <w:szCs w:val="18"/>
          <w:color w:val="auto"/>
        </w:rPr>
        <w:t>Section 6.03. This First Supplemental Indenture may be executed in any number of counterparts, each of which will be an original, but such counterparts will together constitute but one and the same First Supplemental Indenture. This First Supplemental Indenture shall be valid, binding, and enforceable against a party when executed and delivered by an authorized individual on behalf of the party by means of (i) an original manual signature;</w:t>
      </w:r>
    </w:p>
    <w:p>
      <w:pPr>
        <w:spacing w:after="0" w:line="1" w:lineRule="exact"/>
        <w:rPr>
          <w:sz w:val="20"/>
          <w:szCs w:val="20"/>
          <w:color w:val="auto"/>
        </w:rPr>
      </w:pPr>
    </w:p>
    <w:p>
      <w:pPr>
        <w:ind w:right="120" w:firstLine="8"/>
        <w:spacing w:after="0" w:line="251" w:lineRule="auto"/>
        <w:tabs>
          <w:tab w:leader="none" w:pos="26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Code/UCC (collectively, “Signature Law”),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execution or indorsement of writings when required under the UCC or other Signature Law due to the character or intended character of the writings.</w:t>
      </w:r>
    </w:p>
    <w:p>
      <w:pPr>
        <w:spacing w:after="0" w:line="194"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Section 6.04. The Base Indenture, as supplemented and amended by this First Supplemental Indenture, is in all respects ratified and confirmed, and the Base Indenture and this First Supplemental Indenture shall be read, taken and construed as one and the same instrument with respect to the Notes. All provisions included in this First Supplemental Indenture supersede any conflicting provisions included in the Base Indenture with respect to the Notes, unless not permitted by law. The Trustee accepts the trusts created by the Indenture, as supplemented by this First Supplemental Indenture, and agrees to perform the same upon the terms and conditions of the Indenture, as supplemented by this First Supplemental Indenture. All of the provisions contained in the Base Indenture in respect of the rights, privileges, protections, limitations of liability, indemnities, immunities, powers, and duties of the Trustee shall be applicable in respect of this First Supplemental Indenture as fully and with like force and effect as though fully set forth in full herein.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6.05. The provisions of this First Supplemental Indenture shall become effective as of the date hereof.</w:t>
      </w:r>
    </w:p>
    <w:p>
      <w:pPr>
        <w:spacing w:after="0" w:line="225"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Section 6.06. Notwithstanding anything else to the contrary herein, the terms and provisions of this First Supplemental Indenture shall apply only to the Notes and shall not apply to any other series of Securities under the Indenture and this First Supplemental Indenture shall not and does not otherwise affect, modify, alter, supplement or change the terms and provisions of any other series of Securities under the Indenture, whether now or hereafter issued and Outstanding.</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20" w:top="270" w:right="399" w:bottom="1440" w:gutter="0" w:footer="0" w:header="0"/>
        </w:sectPr>
      </w:pPr>
    </w:p>
    <w:bookmarkStart w:id="150" w:name="page151"/>
    <w:bookmarkEnd w:id="150"/>
    <w:p>
      <w:pPr>
        <w:ind w:firstLine="449"/>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6.07. The recitals contained herein and in the Notes shall be taken as the statements of the Company, and the Trustee assumes no responsibility for their accuracy, completeness or correctness. The Trustee makes no representations as to and shall not be responsible or liable for the validity or sufficiency of this First Supplemental Indenture, the Notes or any Additional Notes, except that the Trustee represents that it is duly authorized to execute and deliver this First Supplemental Indenture, authenticate the Notes and any Additional Notes and perform its obligations hereunder. The Trustee shall not be responsible or liable for the use or application by the Company of the Notes or any Additional Notes or the proceeds thereof.</w:t>
      </w:r>
    </w:p>
    <w:p>
      <w:pPr>
        <w:spacing w:after="0" w:line="168" w:lineRule="exact"/>
        <w:rPr>
          <w:sz w:val="20"/>
          <w:szCs w:val="20"/>
          <w:color w:val="auto"/>
        </w:rPr>
      </w:pPr>
    </w:p>
    <w:p>
      <w:pPr>
        <w:ind w:right="440" w:firstLine="449"/>
        <w:spacing w:after="0" w:line="289" w:lineRule="auto"/>
        <w:rPr>
          <w:sz w:val="20"/>
          <w:szCs w:val="20"/>
          <w:color w:val="auto"/>
        </w:rPr>
      </w:pPr>
      <w:r>
        <w:rPr>
          <w:rFonts w:ascii="Times New Roman" w:cs="Times New Roman" w:eastAsia="Times New Roman" w:hAnsi="Times New Roman"/>
          <w:sz w:val="17"/>
          <w:szCs w:val="17"/>
          <w:color w:val="auto"/>
        </w:rPr>
        <w:t>Section 6.08. EACH OF THE COMPANY AND THE TRUSTEE HEREBY IRREVOCABLY WAIVES, TO THE FULLEST EXTENT PERMITTED BY APPLICABLE LAW, ANY AND ALL RIGHT TO TRIAL BY JURY IN ANY LEGAL PROCEEDING ARISING OUT OF OR RELATING TO THIS FIRST SUPPLEMENTAL INDENTURE, THE SECURITIES OR THE TRANSACTION CONTEMPLATED HEREBY.</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270" w:right="4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First Supplemental Indenture to be duly executed as of the date first above written.</w:t>
      </w:r>
    </w:p>
    <w:p>
      <w:pPr>
        <w:spacing w:after="0" w:line="26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17145</wp:posOffset>
            </wp:positionV>
            <wp:extent cx="26485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 /s/ James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17145</wp:posOffset>
            </wp:positionV>
            <wp:extent cx="26485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James W. Hall</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[Signature Page to First Supplemental Indenture]</w:t>
      </w:r>
    </w:p>
    <w:p>
      <w:pPr>
        <w:sectPr>
          <w:pgSz w:w="11900" w:h="16838" w:orient="portrait"/>
          <w:cols w:equalWidth="0" w:num="1">
            <w:col w:w="10460"/>
          </w:cols>
          <w:pgMar w:left="780" w:top="270" w:right="65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 Form of Global Note</w:t>
      </w:r>
    </w:p>
    <w:p>
      <w:pPr>
        <w:spacing w:after="0" w:line="229"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79" w:lineRule="exact"/>
        <w:rPr>
          <w:sz w:val="20"/>
          <w:szCs w:val="20"/>
          <w:color w:val="auto"/>
        </w:rPr>
      </w:pPr>
    </w:p>
    <w:p>
      <w:pPr>
        <w:ind w:right="20" w:firstLine="449"/>
        <w:spacing w:after="0" w:line="262"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ectPr>
          <w:pgSz w:w="11900" w:h="16838" w:orient="portrait"/>
          <w:cols w:equalWidth="0" w:num="1">
            <w:col w:w="11240"/>
          </w:cols>
          <w:pgMar w:left="320" w:top="266"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Initially $350,000,000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83012AAC3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US83012AAC36</w:t>
      </w:r>
    </w:p>
    <w:p>
      <w:pPr>
        <w:spacing w:after="0" w:line="200" w:lineRule="exact"/>
        <w:rPr>
          <w:sz w:val="20"/>
          <w:szCs w:val="20"/>
          <w:color w:val="auto"/>
        </w:rPr>
      </w:pPr>
    </w:p>
    <w:p>
      <w:pPr>
        <w:sectPr>
          <w:pgSz w:w="11900" w:h="16838" w:orient="portrait"/>
          <w:cols w:equalWidth="0" w:num="2">
            <w:col w:w="7060" w:space="720"/>
            <w:col w:w="3460"/>
          </w:cols>
          <w:pgMar w:left="320" w:top="266" w:right="339" w:bottom="1440" w:gutter="0" w:footer="0" w:header="0"/>
          <w:type w:val="continuous"/>
        </w:sectPr>
      </w:pPr>
    </w:p>
    <w:p>
      <w:pPr>
        <w:spacing w:after="0" w:line="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6.125% Notes due 2029</w:t>
      </w:r>
    </w:p>
    <w:p>
      <w:pPr>
        <w:sectPr>
          <w:pgSz w:w="11900" w:h="16838" w:orient="portrait"/>
          <w:cols w:equalWidth="0" w:num="1">
            <w:col w:w="11240"/>
          </w:cols>
          <w:pgMar w:left="320" w:top="266" w:right="339" w:bottom="1440" w:gutter="0" w:footer="0" w:header="0"/>
          <w:type w:val="continuous"/>
        </w:sectPr>
      </w:pPr>
    </w:p>
    <w:p>
      <w:pPr>
        <w:spacing w:after="0" w:line="22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Sixth Street Specialty Lending, Inc.,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THREE HUNDRED AND FIFTY MILLION DOLLARS (U.S. $350,000,000), or such other principal sum as shall be set forth in the Schedule of Increases or Decreases attached hereto, on March 1, 2029, and to pay interest thereon from January 16, 2024 or from the most recent Interest Payment Date to which interest has been paid or duly provided for, semi-annually on March 1 and September 1 of each year, commencing September 1, 2024, at the rate of 6.125% per annum, until the principal hereof is paid or made available for payment. The interest so payable, and punctually paid or duly provided for, on any Interest Payment Date will, as provided in such Indenture, be paid to the Person in whose name this Security is registered at 5:00 p.m. New York City time (the “close of business”) on the Regular Record Date for such interest, which shall be February 15 and August 15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w:t>
      </w:r>
    </w:p>
    <w:p>
      <w:pPr>
        <w:sectPr>
          <w:pgSz w:w="11900" w:h="16838" w:orient="portrait"/>
          <w:cols w:equalWidth="0" w:num="1">
            <w:col w:w="11240"/>
          </w:cols>
          <w:pgMar w:left="320" w:top="266" w:right="339" w:bottom="1440" w:gutter="0" w:footer="0" w:header="0"/>
          <w:type w:val="continuous"/>
        </w:sectPr>
      </w:pPr>
    </w:p>
    <w:bookmarkStart w:id="153" w:name="page154"/>
    <w:bookmarkEnd w:id="153"/>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Company payment of interest may be made by check mailed to the address of the Person entitled thereto as such address shall appear in the Security Register.</w:t>
      </w:r>
    </w:p>
    <w:p>
      <w:pPr>
        <w:spacing w:after="0" w:line="18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70" w:right="339" w:bottom="1440" w:gutter="0" w:footer="0" w:header="0"/>
        </w:sectPr>
      </w:pPr>
    </w:p>
    <w:bookmarkStart w:id="154" w:name="page155"/>
    <w:bookmarkEnd w:id="1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-7620</wp:posOffset>
            </wp:positionV>
            <wp:extent cx="8001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SIXTH STREET SPECIALTY LENDING, INC.</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17145</wp:posOffset>
            </wp:positionV>
            <wp:extent cx="26485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60"/>
          </w:cols>
          <w:pgMar w:left="340" w:top="270" w:right="1299" w:bottom="1440" w:gutter="0" w:footer="0" w:header="0"/>
        </w:sectPr>
      </w:pPr>
    </w:p>
    <w:bookmarkStart w:id="155" w:name="page156"/>
    <w:bookmarkEnd w:id="1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17145</wp:posOffset>
            </wp:positionV>
            <wp:extent cx="26485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40"/>
          </w:cols>
          <w:pgMar w:left="340" w:top="270" w:right="1419" w:bottom="1440" w:gutter="0" w:footer="0" w:header="0"/>
        </w:sectPr>
      </w:pPr>
    </w:p>
    <w:bookmarkStart w:id="156" w:name="page157"/>
    <w:bookmarkEnd w:id="1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 OF NOTE]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6.125% Notes due 2029</w:t>
      </w:r>
    </w:p>
    <w:p>
      <w:pPr>
        <w:spacing w:after="0" w:line="225"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 Indenture, dated as of January 16, 2024 (herein called the “Base Indenture”, which term shall have the meaning assigned to it in such instrument), between the Company and U.S. Bank Trust Company,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First Supplemental Indenture, relating to the Securities, dated as of January 16, 2024, by and between the Company and the Trustee (herein called the “First Supplemental Indenture”; and together with the Base Indenture, the “Indenture”). In the event of any conflict between the Base Indenture and the First Supplemental Indenture, the First Supplemental Indenture shall govern and control.</w:t>
      </w:r>
    </w:p>
    <w:p>
      <w:pPr>
        <w:spacing w:after="0" w:line="19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This Security is one of the series designated on the face hereof, initially limited in aggregate principal amount to $350,000,000.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Securities must either (i) be issued in a “qualified reopening” for U.S. Federal income tax purposes, with no more than a de minimis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92"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Securities of this series are subject to redemption in whole or in part, at any time, or from time to time, at the option of the Company, at a Redemption Price (expressed as a percentage of principal amount and rounded to three decimal places), prior to the Par Call Date, equal to the greater of the following amounts, plus, in each case, accrued and unpaid interest thereon to the Redemption Date:</w:t>
      </w:r>
    </w:p>
    <w:p>
      <w:pPr>
        <w:spacing w:after="0" w:line="81" w:lineRule="exact"/>
        <w:rPr>
          <w:sz w:val="20"/>
          <w:szCs w:val="20"/>
          <w:color w:val="auto"/>
        </w:rPr>
      </w:pPr>
    </w:p>
    <w:p>
      <w:pPr>
        <w:ind w:left="1000" w:hanging="547"/>
        <w:spacing w:after="0" w:line="266" w:lineRule="auto"/>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40 basis points less (i) interest accrued to the date of redemption;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266" w:right="359"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100% of the principal amount of the Securities to be redeemed;</w:t>
      </w:r>
    </w:p>
    <w:p>
      <w:pPr>
        <w:spacing w:after="0" w:line="22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Company redeems any Securities on or after the Par Call Date, the Redemption Price for the Securities will be equal to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principal amount of the Securities to be redeemed, plus accrued and unpaid interest thereon to the Redemption Date.</w:t>
      </w:r>
    </w:p>
    <w:p>
      <w:pPr>
        <w:spacing w:after="0" w:line="160" w:lineRule="exact"/>
        <w:rPr>
          <w:sz w:val="20"/>
          <w:szCs w:val="20"/>
          <w:color w:val="auto"/>
        </w:rPr>
      </w:pPr>
    </w:p>
    <w:p>
      <w:pPr>
        <w:ind w:right="800" w:firstLine="449"/>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67" w:lineRule="exact"/>
        <w:rPr>
          <w:sz w:val="20"/>
          <w:szCs w:val="20"/>
          <w:color w:val="auto"/>
        </w:rPr>
      </w:pPr>
    </w:p>
    <w:p>
      <w:pPr>
        <w:ind w:left="1000" w:hanging="547"/>
        <w:spacing w:after="0" w:line="252"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and</w:t>
      </w:r>
    </w:p>
    <w:p>
      <w:pPr>
        <w:spacing w:after="0" w:line="102" w:lineRule="exact"/>
        <w:rPr>
          <w:rFonts w:ascii="Times New Roman" w:cs="Times New Roman" w:eastAsia="Times New Roman" w:hAnsi="Times New Roman"/>
          <w:sz w:val="18"/>
          <w:szCs w:val="18"/>
          <w:color w:val="auto"/>
        </w:rPr>
      </w:pPr>
    </w:p>
    <w:p>
      <w:pPr>
        <w:ind w:left="1000" w:right="40" w:hanging="547"/>
        <w:spacing w:after="0" w:line="255"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270" w:right="359" w:bottom="1440" w:gutter="0" w:footer="0" w:header="0"/>
        </w:sectPr>
      </w:pPr>
    </w:p>
    <w:bookmarkStart w:id="158" w:name="page159"/>
    <w:bookmarkEnd w:id="158"/>
    <w:p>
      <w:pPr>
        <w:ind w:left="1000"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7"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62"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Notice of any redemption shall be mailed or electronically delivered (or otherwise transmitted in accordance with the depositary’s procedures) at least 10 days but not more than 60 days before the Redemption Date to each Holder of Securities to be redeemed, at the Holder’s address appearing in the Security Register. All notices of redemption shall contain the information set forth in Section 11.04 of the Base Indenture.</w:t>
      </w:r>
    </w:p>
    <w:p>
      <w:pPr>
        <w:spacing w:after="0" w:line="176" w:lineRule="exact"/>
        <w:rPr>
          <w:sz w:val="20"/>
          <w:szCs w:val="20"/>
          <w:color w:val="auto"/>
        </w:rPr>
      </w:pPr>
    </w:p>
    <w:p>
      <w:pPr>
        <w:ind w:right="740" w:firstLine="449"/>
        <w:spacing w:after="0" w:line="282" w:lineRule="auto"/>
        <w:rPr>
          <w:sz w:val="20"/>
          <w:szCs w:val="20"/>
          <w:color w:val="auto"/>
        </w:rPr>
      </w:pPr>
      <w:r>
        <w:rPr>
          <w:rFonts w:ascii="Times New Roman" w:cs="Times New Roman" w:eastAsia="Times New Roman" w:hAnsi="Times New Roman"/>
          <w:sz w:val="18"/>
          <w:szCs w:val="18"/>
          <w:color w:val="auto"/>
        </w:rPr>
        <w:t>Any exercise of the Company’s option to redeem the Securities will be done in compliance with the Investment Company Act, to the extent applicable.</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If the Company elects to redeem only a portion of the Securities, selection of the Securities for redemption shall be made pro rata, by lot or by such other method as the Trustee deems appropriate and fair with the prior written consent of the Company.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Euroclear or Clearstream (or another depositary), the redemption of the Securities shall be done in accordance with the policies and procedures of the depositary.</w:t>
      </w:r>
    </w:p>
    <w:p>
      <w:pPr>
        <w:spacing w:after="0" w:line="187"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called for redemption.</w:t>
      </w:r>
    </w:p>
    <w:p>
      <w:pPr>
        <w:spacing w:after="0" w:line="162"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Holders will have the right to require the Company to repurchase their Securities upon the occurrence of a Change of Control Repurchase Event as set forth in the Indenture.</w:t>
      </w:r>
    </w:p>
    <w:p>
      <w:pPr>
        <w:spacing w:after="0" w:line="162"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70" w:right="339" w:bottom="1440" w:gutter="0" w:footer="0" w:header="0"/>
        </w:sectPr>
      </w:pPr>
    </w:p>
    <w:bookmarkStart w:id="159" w:name="page160"/>
    <w:bookmarkEnd w:id="159"/>
    <w:p>
      <w:pPr>
        <w:jc w:val="both"/>
        <w:ind w:right="140"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and a responsible officer of the Trustee has received, written notice of, or a responsible officer of the Trustee has actual knowledge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against the costs, expenses (including attorneys’ fees and expenses), court costs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ninety (90)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94"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70" w:right="339" w:bottom="1440" w:gutter="0" w:footer="0" w:header="0"/>
        </w:sectPr>
      </w:pPr>
    </w:p>
    <w:bookmarkStart w:id="160" w:name="page161"/>
    <w:bookmarkEnd w:id="160"/>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To the extent any provision of this Security conflicts with the express provisions of the Indenture, the provisions of the Indenture shall govern and be controlling.</w:t>
      </w:r>
    </w:p>
    <w:p>
      <w:pPr>
        <w:spacing w:after="0" w:line="162"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The Indenture and this Security shall be governed by and construed in accordance with the laws of the State of New York, without regard to principles of conflicts of laws.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270" w:right="359" w:bottom="1440" w:gutter="0" w:footer="0" w:header="0"/>
        </w:sectPr>
      </w:pPr>
    </w:p>
    <w:bookmarkStart w:id="161" w:name="page162"/>
    <w:bookmarkEnd w:id="161"/>
    <w:p>
      <w:pPr>
        <w:ind w:left="48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color w:val="auto"/>
        </w:rPr>
        <w:t>SSIGNMENT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-7620</wp:posOffset>
            </wp:positionV>
            <wp:extent cx="42557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5770"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NSERT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SSIGNEE</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EGAL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866140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-7620</wp:posOffset>
            </wp:positionV>
            <wp:extent cx="51987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987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-7620</wp:posOffset>
            </wp:positionV>
            <wp:extent cx="11709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-7620</wp:posOffset>
            </wp:positionV>
            <wp:extent cx="29133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13380" cy="8255"/>
                    </a:xfrm>
                    <a:prstGeom prst="rect">
                      <a:avLst/>
                    </a:prstGeom>
                    <a:noFill/>
                  </pic:spPr>
                </pic:pic>
              </a:graphicData>
            </a:graphic>
          </wp:anchor>
        </w:drawing>
      </w:r>
    </w:p>
    <w:p>
      <w:pPr>
        <w:spacing w:after="0" w:line="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-7620</wp:posOffset>
            </wp:positionV>
            <wp:extent cx="12852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232" w:lineRule="exact"/>
        <w:rPr>
          <w:sz w:val="20"/>
          <w:szCs w:val="20"/>
          <w:color w:val="auto"/>
        </w:rPr>
      </w:pPr>
    </w:p>
    <w:p>
      <w:pPr>
        <w:ind w:left="5480" w:right="979" w:hanging="5472"/>
        <w:spacing w:after="0" w:line="454" w:lineRule="auto"/>
        <w:tabs>
          <w:tab w:leader="none" w:pos="23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-10-</w:t>
      </w:r>
    </w:p>
    <w:p>
      <w:pPr>
        <w:sectPr>
          <w:pgSz w:w="11900" w:h="16838" w:orient="portrait"/>
          <w:cols w:equalWidth="0" w:num="1">
            <w:col w:w="10139"/>
          </w:cols>
          <w:pgMar w:left="320" w:top="270" w:right="1440" w:bottom="1440" w:gutter="0" w:footer="0" w:header="0"/>
        </w:sectPr>
      </w:pPr>
    </w:p>
    <w:bookmarkStart w:id="162" w:name="page163"/>
    <w:bookmarkEnd w:id="162"/>
    <w:p>
      <w:pPr>
        <w:jc w:val="center"/>
        <w:ind w:right="-3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13.01 of the Indenture, check the box below:</w:t>
      </w:r>
    </w:p>
    <w:p>
      <w:pPr>
        <w:spacing w:after="0" w:line="117" w:lineRule="exact"/>
        <w:rPr>
          <w:sz w:val="20"/>
          <w:szCs w:val="20"/>
          <w:color w:val="auto"/>
        </w:rPr>
      </w:pPr>
    </w:p>
    <w:p>
      <w:pPr>
        <w:ind w:left="5240" w:hanging="214"/>
        <w:spacing w:after="0"/>
        <w:tabs>
          <w:tab w:leader="none" w:pos="5240" w:val="left"/>
        </w:tabs>
        <w:numPr>
          <w:ilvl w:val="0"/>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13.01</w:t>
      </w:r>
    </w:p>
    <w:p>
      <w:pPr>
        <w:spacing w:after="0" w:line="225" w:lineRule="exact"/>
        <w:rPr>
          <w:sz w:val="20"/>
          <w:szCs w:val="20"/>
          <w:color w:val="auto"/>
        </w:rPr>
      </w:pPr>
    </w:p>
    <w:p>
      <w:pPr>
        <w:ind w:firstLine="1011"/>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13.01 of the Indenture, state the amount you elect to have purchased:</w:t>
      </w:r>
    </w:p>
    <w:p>
      <w:pPr>
        <w:spacing w:after="0" w:line="18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-7620</wp:posOffset>
            </wp:positionV>
            <wp:extent cx="11423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4428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-7620</wp:posOffset>
            </wp:positionV>
            <wp:extent cx="26276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276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17145</wp:posOffset>
            </wp:positionV>
            <wp:extent cx="25031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46" w:lineRule="exact"/>
        <w:rPr>
          <w:sz w:val="20"/>
          <w:szCs w:val="20"/>
          <w:color w:val="auto"/>
        </w:rPr>
      </w:pPr>
    </w:p>
    <w:p>
      <w:pPr>
        <w:ind w:left="5480" w:right="2040" w:hanging="5472"/>
        <w:spacing w:after="0" w:line="454" w:lineRule="auto"/>
        <w:tabs>
          <w:tab w:leader="none" w:pos="22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-11-</w:t>
      </w:r>
    </w:p>
    <w:p>
      <w:pPr>
        <w:sectPr>
          <w:pgSz w:w="11900" w:h="16838" w:orient="portrait"/>
          <w:cols w:equalWidth="0" w:num="1">
            <w:col w:w="11200"/>
          </w:cols>
          <w:pgMar w:left="320" w:top="261" w:right="37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60" w:type="dxa"/>
            <w:vAlign w:val="bottom"/>
            <w:gridSpan w:val="8"/>
          </w:tcPr>
          <w:p>
            <w:pPr>
              <w:jc w:val="center"/>
              <w:ind w:right="940"/>
              <w:spacing w:after="0"/>
              <w:rPr>
                <w:sz w:val="20"/>
                <w:szCs w:val="20"/>
                <w:color w:val="auto"/>
              </w:rPr>
            </w:pPr>
            <w:r>
              <w:rPr>
                <w:rFonts w:ascii="Times New Roman" w:cs="Times New Roman" w:eastAsia="Times New Roman" w:hAnsi="Times New Roman"/>
                <w:sz w:val="18"/>
                <w:szCs w:val="18"/>
                <w:color w:val="auto"/>
                <w:w w:val="99"/>
              </w:rPr>
              <w:t>SCHEDULE OF INCREASES AND DECREASES OF GLOBAL NOTE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8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The Initial principal amount of this Global Note is $</w:t>
            </w:r>
          </w:p>
        </w:tc>
        <w:tc>
          <w:tcPr>
            <w:tcW w:w="6420" w:type="dxa"/>
            <w:vAlign w:val="bottom"/>
            <w:gridSpan w:val="6"/>
          </w:tcPr>
          <w:p>
            <w:pPr>
              <w:ind w:left="1820"/>
              <w:spacing w:after="0"/>
              <w:rPr>
                <w:sz w:val="20"/>
                <w:szCs w:val="20"/>
                <w:color w:val="auto"/>
              </w:rPr>
            </w:pPr>
            <w:r>
              <w:rPr>
                <w:rFonts w:ascii="Times New Roman" w:cs="Times New Roman" w:eastAsia="Times New Roman" w:hAnsi="Times New Roman"/>
                <w:sz w:val="18"/>
                <w:szCs w:val="18"/>
                <w:color w:val="auto"/>
              </w:rPr>
              <w:t>. The following increases and decreases to this Global Note</w:t>
            </w:r>
          </w:p>
        </w:tc>
        <w:tc>
          <w:tcPr>
            <w:tcW w:w="0" w:type="dxa"/>
            <w:vAlign w:val="bottom"/>
          </w:tcPr>
          <w:p>
            <w:pPr>
              <w:spacing w:after="0"/>
              <w:rPr>
                <w:sz w:val="1"/>
                <w:szCs w:val="1"/>
                <w:color w:val="auto"/>
              </w:rPr>
            </w:pPr>
          </w:p>
        </w:tc>
      </w:tr>
      <w:tr>
        <w:trPr>
          <w:trHeight w:val="23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have been made:</w:t>
            </w:r>
          </w:p>
        </w:tc>
        <w:tc>
          <w:tcPr>
            <w:tcW w:w="20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Principal Amount at</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Amount of Decrease</w:t>
            </w:r>
          </w:p>
        </w:tc>
        <w:tc>
          <w:tcPr>
            <w:tcW w:w="2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 Increase</w:t>
            </w:r>
          </w:p>
        </w:tc>
        <w:tc>
          <w:tcPr>
            <w:tcW w:w="2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Maturity of this</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60" w:type="dxa"/>
            <w:vAlign w:val="bottom"/>
            <w:gridSpan w:val="3"/>
            <w:vMerge w:val="continue"/>
          </w:tcPr>
          <w:p>
            <w:pPr>
              <w:spacing w:after="0"/>
              <w:rPr>
                <w:sz w:val="12"/>
                <w:szCs w:val="12"/>
                <w:color w:val="auto"/>
              </w:rPr>
            </w:pPr>
          </w:p>
        </w:tc>
        <w:tc>
          <w:tcPr>
            <w:tcW w:w="2900" w:type="dxa"/>
            <w:vAlign w:val="bottom"/>
            <w:gridSpan w:val="3"/>
            <w:vMerge w:val="continue"/>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Global Note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8"/>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Date of Increase</w:t>
            </w:r>
          </w:p>
        </w:tc>
        <w:tc>
          <w:tcPr>
            <w:tcW w:w="26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 Principal Amount</w:t>
            </w:r>
          </w:p>
        </w:tc>
        <w:tc>
          <w:tcPr>
            <w:tcW w:w="2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in Principal Amount</w:t>
            </w:r>
          </w:p>
        </w:tc>
        <w:tc>
          <w:tcPr>
            <w:tcW w:w="2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9"/>
        </w:trPr>
        <w:tc>
          <w:tcPr>
            <w:tcW w:w="2160" w:type="dxa"/>
            <w:vAlign w:val="bottom"/>
            <w:gridSpan w:val="2"/>
            <w:vMerge w:val="continue"/>
          </w:tcPr>
          <w:p>
            <w:pPr>
              <w:spacing w:after="0"/>
              <w:rPr>
                <w:sz w:val="12"/>
                <w:szCs w:val="12"/>
                <w:color w:val="auto"/>
              </w:rPr>
            </w:pPr>
          </w:p>
        </w:tc>
        <w:tc>
          <w:tcPr>
            <w:tcW w:w="26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at Maturity of this</w:t>
            </w:r>
          </w:p>
        </w:tc>
        <w:tc>
          <w:tcPr>
            <w:tcW w:w="2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at Maturity of this</w:t>
            </w:r>
          </w:p>
        </w:tc>
        <w:tc>
          <w:tcPr>
            <w:tcW w:w="2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 DTC</w:t>
            </w:r>
          </w:p>
        </w:tc>
        <w:tc>
          <w:tcPr>
            <w:tcW w:w="0" w:type="dxa"/>
            <w:vAlign w:val="bottom"/>
          </w:tcPr>
          <w:p>
            <w:pPr>
              <w:spacing w:after="0"/>
              <w:rPr>
                <w:sz w:val="1"/>
                <w:szCs w:val="1"/>
                <w:color w:val="auto"/>
              </w:rPr>
            </w:pPr>
          </w:p>
        </w:tc>
      </w:tr>
      <w:tr>
        <w:trPr>
          <w:trHeight w:val="178"/>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 Decrease</w:t>
            </w:r>
          </w:p>
        </w:tc>
        <w:tc>
          <w:tcPr>
            <w:tcW w:w="26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Global Note</w:t>
            </w:r>
          </w:p>
        </w:tc>
        <w:tc>
          <w:tcPr>
            <w:tcW w:w="2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Global Note</w:t>
            </w: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 increase)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365"/>
        </w:trPr>
        <w:tc>
          <w:tcPr>
            <w:tcW w:w="9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Borders>
              <w:top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5.1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3"/>
          </w:tcPr>
          <w:p>
            <w:pPr>
              <w:jc w:val="center"/>
              <w:ind w:right="3370"/>
              <w:spacing w:after="0"/>
              <w:rPr>
                <w:sz w:val="20"/>
                <w:szCs w:val="20"/>
                <w:color w:val="auto"/>
              </w:rPr>
            </w:pPr>
            <w:r>
              <w:rPr>
                <w:rFonts w:ascii="Times New Roman" w:cs="Times New Roman" w:eastAsia="Times New Roman" w:hAnsi="Times New Roman"/>
                <w:sz w:val="18"/>
                <w:szCs w:val="18"/>
                <w:b w:val="1"/>
                <w:bCs w:val="1"/>
                <w:color w:val="auto"/>
              </w:rPr>
              <w:t xml:space="preserve">Simpson Thacher &amp; Bartlett </w:t>
            </w:r>
            <w:r>
              <w:rPr>
                <w:rFonts w:ascii="Times New Roman" w:cs="Times New Roman" w:eastAsia="Times New Roman" w:hAnsi="Times New Roman"/>
                <w:sz w:val="14"/>
                <w:szCs w:val="14"/>
                <w:b w:val="1"/>
                <w:bCs w:val="1"/>
                <w:color w:val="auto"/>
              </w:rPr>
              <w:t>LLP</w:t>
            </w:r>
          </w:p>
        </w:tc>
      </w:tr>
      <w:tr>
        <w:trPr>
          <w:trHeight w:val="306"/>
        </w:trPr>
        <w:tc>
          <w:tcPr>
            <w:tcW w:w="3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0" w:type="dxa"/>
            <w:vAlign w:val="bottom"/>
            <w:gridSpan w:val="2"/>
          </w:tcPr>
          <w:p>
            <w:pPr>
              <w:jc w:val="center"/>
              <w:ind w:right="4350"/>
              <w:spacing w:after="0"/>
              <w:rPr>
                <w:sz w:val="20"/>
                <w:szCs w:val="20"/>
                <w:color w:val="auto"/>
              </w:rPr>
            </w:pPr>
            <w:r>
              <w:rPr>
                <w:rFonts w:ascii="Times New Roman" w:cs="Times New Roman" w:eastAsia="Times New Roman" w:hAnsi="Times New Roman"/>
                <w:sz w:val="18"/>
                <w:szCs w:val="18"/>
                <w:color w:val="auto"/>
                <w:w w:val="98"/>
              </w:rPr>
              <w:t>900 G STREET, NW</w:t>
            </w:r>
          </w:p>
        </w:tc>
      </w:tr>
      <w:tr>
        <w:trPr>
          <w:trHeight w:val="234"/>
        </w:trPr>
        <w:tc>
          <w:tcPr>
            <w:tcW w:w="3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0" w:type="dxa"/>
            <w:vAlign w:val="bottom"/>
            <w:gridSpan w:val="2"/>
          </w:tcPr>
          <w:p>
            <w:pPr>
              <w:jc w:val="center"/>
              <w:ind w:right="4350"/>
              <w:spacing w:after="0"/>
              <w:rPr>
                <w:sz w:val="20"/>
                <w:szCs w:val="20"/>
                <w:color w:val="auto"/>
              </w:rPr>
            </w:pPr>
            <w:r>
              <w:rPr>
                <w:rFonts w:ascii="Times New Roman" w:cs="Times New Roman" w:eastAsia="Times New Roman" w:hAnsi="Times New Roman"/>
                <w:sz w:val="18"/>
                <w:szCs w:val="18"/>
                <w:color w:val="auto"/>
                <w:w w:val="98"/>
              </w:rPr>
              <w:t>WASHINGTON, D.C. 20001</w:t>
            </w:r>
          </w:p>
        </w:tc>
      </w:tr>
      <w:tr>
        <w:trPr>
          <w:trHeight w:val="351"/>
        </w:trPr>
        <w:tc>
          <w:tcPr>
            <w:tcW w:w="3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440" w:type="dxa"/>
            <w:vAlign w:val="bottom"/>
          </w:tcPr>
          <w:p>
            <w:pPr>
              <w:spacing w:after="0"/>
              <w:rPr>
                <w:sz w:val="24"/>
                <w:szCs w:val="24"/>
                <w:color w:val="auto"/>
              </w:rPr>
            </w:pPr>
          </w:p>
        </w:tc>
      </w:tr>
      <w:tr>
        <w:trPr>
          <w:trHeight w:val="407"/>
        </w:trPr>
        <w:tc>
          <w:tcPr>
            <w:tcW w:w="3460" w:type="dxa"/>
            <w:vAlign w:val="bottom"/>
          </w:tcPr>
          <w:p>
            <w:pPr>
              <w:spacing w:after="0"/>
              <w:rPr>
                <w:sz w:val="24"/>
                <w:szCs w:val="24"/>
                <w:color w:val="auto"/>
              </w:rPr>
            </w:pPr>
          </w:p>
        </w:tc>
        <w:tc>
          <w:tcPr>
            <w:tcW w:w="7780" w:type="dxa"/>
            <w:vAlign w:val="bottom"/>
            <w:gridSpan w:val="3"/>
          </w:tcPr>
          <w:p>
            <w:pPr>
              <w:jc w:val="center"/>
              <w:ind w:right="3370"/>
              <w:spacing w:after="0"/>
              <w:rPr>
                <w:sz w:val="20"/>
                <w:szCs w:val="20"/>
                <w:color w:val="auto"/>
              </w:rPr>
            </w:pPr>
            <w:r>
              <w:rPr>
                <w:rFonts w:ascii="Times New Roman" w:cs="Times New Roman" w:eastAsia="Times New Roman" w:hAnsi="Times New Roman"/>
                <w:sz w:val="18"/>
                <w:szCs w:val="18"/>
                <w:color w:val="auto"/>
                <w:w w:val="99"/>
              </w:rPr>
              <w:t>TELEPHONE: +1-202-636-5500</w:t>
            </w:r>
          </w:p>
        </w:tc>
      </w:tr>
      <w:tr>
        <w:trPr>
          <w:trHeight w:val="234"/>
        </w:trPr>
        <w:tc>
          <w:tcPr>
            <w:tcW w:w="3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0" w:type="dxa"/>
            <w:vAlign w:val="bottom"/>
            <w:gridSpan w:val="2"/>
          </w:tcPr>
          <w:p>
            <w:pPr>
              <w:jc w:val="center"/>
              <w:ind w:right="4330"/>
              <w:spacing w:after="0"/>
              <w:rPr>
                <w:sz w:val="20"/>
                <w:szCs w:val="20"/>
                <w:color w:val="auto"/>
              </w:rPr>
            </w:pPr>
            <w:r>
              <w:rPr>
                <w:rFonts w:ascii="Times New Roman" w:cs="Times New Roman" w:eastAsia="Times New Roman" w:hAnsi="Times New Roman"/>
                <w:sz w:val="18"/>
                <w:szCs w:val="18"/>
                <w:color w:val="auto"/>
                <w:w w:val="99"/>
              </w:rPr>
              <w:t>FACSIMILE: +1-202-636-5502</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Direct Dial Number</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+1-202-636-5543</w:t>
            </w:r>
          </w:p>
        </w:tc>
        <w:tc>
          <w:tcPr>
            <w:tcW w:w="9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rajib.chanda@stblaw.com</w:t>
            </w:r>
          </w:p>
        </w:tc>
      </w:tr>
      <w:tr>
        <w:trPr>
          <w:trHeight w:val="446"/>
        </w:trPr>
        <w:tc>
          <w:tcPr>
            <w:tcW w:w="3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16, 2024</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2100 McKinney Avenue</w:t>
            </w:r>
          </w:p>
        </w:tc>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Suite 1500</w:t>
            </w:r>
          </w:p>
        </w:tc>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Dallas, TX 75201</w:t>
            </w:r>
          </w:p>
        </w:tc>
        <w:tc>
          <w:tcPr>
            <w:tcW w:w="9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300" w:firstLine="449"/>
        <w:spacing w:after="0" w:line="261" w:lineRule="auto"/>
        <w:rPr>
          <w:sz w:val="20"/>
          <w:szCs w:val="20"/>
          <w:color w:val="auto"/>
        </w:rPr>
      </w:pPr>
      <w:r>
        <w:rPr>
          <w:rFonts w:ascii="Times New Roman" w:cs="Times New Roman" w:eastAsia="Times New Roman" w:hAnsi="Times New Roman"/>
          <w:sz w:val="18"/>
          <w:szCs w:val="18"/>
          <w:color w:val="auto"/>
        </w:rPr>
        <w:t>We have acted as counsel to Sixth Street Specialty Lending, Inc., a Delaware corporation (the “Company”) in connection with the Registration Statement on Form N-2 (File No. 333-276252) (the “Registration Statement”) filed by the Company with the Securities and Exchange Commission (the “Commission”) under the Securities Act of 1933, as amended, relating to the issuance by the Company of an indeterminate initial offering price of debt securities and other securities.</w:t>
      </w:r>
    </w:p>
    <w:p>
      <w:pPr>
        <w:spacing w:after="0" w:line="18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have examined the Registration Statement, the Underwriting Agreement dated January 8, 2024 (the “Underwriting Agreement”), among the Company, Sixth Street Specialty Lending Advisers, LLC, a Delaware limited liability company (the “Adviser”) and BofA Securities, Inc. as representatives of the several underwriters named therein pursuant to which such underwriters have agreed to purchase up to $350,000,000 aggregate principal amount of 6.125% Notes due 2029 (the “Notes”) issued by the Company, the Indenture, dated as of January</w:t>
      </w:r>
    </w:p>
    <w:p>
      <w:pPr>
        <w:sectPr>
          <w:pgSz w:w="11900" w:h="16838" w:orient="portrait"/>
          <w:cols w:equalWidth="0" w:num="1">
            <w:col w:w="11240"/>
          </w:cols>
          <w:pgMar w:left="320" w:top="117" w:right="339" w:bottom="1440" w:gutter="0" w:footer="0" w:header="0"/>
        </w:sectPr>
      </w:pPr>
    </w:p>
    <w:bookmarkStart w:id="165" w:name="page166"/>
    <w:bookmarkEnd w:id="165"/>
    <w:p>
      <w:pPr>
        <w:spacing w:after="0"/>
        <w:tabs>
          <w:tab w:leader="none" w:pos="5800" w:val="left"/>
          <w:tab w:leader="none" w:pos="99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January 16, 2024</w:t>
      </w:r>
    </w:p>
    <w:p>
      <w:pPr>
        <w:spacing w:after="0" w:line="25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16, 2024 (the “Base Indenture”), between the Company and U.S. Bank National Association, as trustee (the “Trustee”), as supplemented by the first supplemental indenture dated January 16, 2024, (together with the Base Indenture, the “Indenture”), and a duplicate of the global notes representing the Notes whose terms are set forth in the Indenture.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the Adviser and have made such other investigations as we have deemed relevant and necessary in connection with the opinion hereinafter set forth.</w:t>
      </w:r>
    </w:p>
    <w:p>
      <w:pPr>
        <w:spacing w:after="0" w:line="187"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pacing w:after="0" w:line="180"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further that the execution, issuance, delivery and performance by the Company of the Underwriting Agreement, the Indenture and the Notes, do not constitute a breach or default under any agreement or instrument which is binding upon the Company.</w:t>
      </w:r>
    </w:p>
    <w:p>
      <w:pPr>
        <w:spacing w:after="0" w:line="176" w:lineRule="exact"/>
        <w:rPr>
          <w:sz w:val="20"/>
          <w:szCs w:val="20"/>
          <w:color w:val="auto"/>
        </w:rPr>
      </w:pPr>
    </w:p>
    <w:p>
      <w:pPr>
        <w:jc w:val="both"/>
        <w:ind w:right="400" w:firstLine="449"/>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assuming due authentication thereof by the Trustee and upon payment and delivery in accordance with the provisions of the Underwriting Agreement, the Notes will constitute valid and legally binding obligations of the Company enforceable against the Company in accordance with their terms.</w:t>
      </w:r>
    </w:p>
    <w:p>
      <w:pPr>
        <w:sectPr>
          <w:pgSz w:w="11900" w:h="16838" w:orient="portrait"/>
          <w:cols w:equalWidth="0" w:num="1">
            <w:col w:w="11240"/>
          </w:cols>
          <w:pgMar w:left="320" w:top="270" w:right="339" w:bottom="1440" w:gutter="0" w:footer="0" w:header="0"/>
        </w:sectPr>
      </w:pPr>
    </w:p>
    <w:bookmarkStart w:id="166" w:name="page167"/>
    <w:bookmarkEnd w:id="166"/>
    <w:p>
      <w:pPr>
        <w:spacing w:after="0"/>
        <w:tabs>
          <w:tab w:leader="none" w:pos="5800" w:val="left"/>
          <w:tab w:leader="none" w:pos="99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January 16, 2024</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opinion set forth above is subject to (i) the effects of bankruptcy, insolvency, fraudulent conveyance, reorganization, moratorium and other</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similar laws relating to or affecting creditors’ rights generally, (ii) general equitable principles (whether considered in a proceeding in equity or at law), and</w:t>
      </w:r>
    </w:p>
    <w:p>
      <w:pPr>
        <w:spacing w:after="0" w:line="21" w:lineRule="exact"/>
        <w:rPr>
          <w:sz w:val="20"/>
          <w:szCs w:val="20"/>
          <w:color w:val="auto"/>
        </w:rPr>
      </w:pPr>
    </w:p>
    <w:p>
      <w:pPr>
        <w:ind w:left="320" w:hanging="312"/>
        <w:spacing w:after="0"/>
        <w:tabs>
          <w:tab w:leader="none" w:pos="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implied covenant of good faith and fair dealing. In addition, we express no opinion as to the validity, legally binding effect or enforceability of</w:t>
      </w:r>
    </w:p>
    <w:p>
      <w:pPr>
        <w:spacing w:after="0" w:line="9" w:lineRule="exact"/>
        <w:rPr>
          <w:rFonts w:ascii="Times New Roman" w:cs="Times New Roman" w:eastAsia="Times New Roman" w:hAnsi="Times New Roman"/>
          <w:sz w:val="18"/>
          <w:szCs w:val="18"/>
          <w:color w:val="auto"/>
        </w:rPr>
      </w:pPr>
    </w:p>
    <w:p>
      <w:pPr>
        <w:ind w:right="460" w:firstLine="8"/>
        <w:spacing w:after="0" w:line="260" w:lineRule="auto"/>
        <w:tabs>
          <w:tab w:leader="none" w:pos="2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of rights and defenses contained in Section 5.14 of the Base Indenture or (ii) Section 1.09 of the Indenture relating to the separability of provisions of the Base Indenture.</w:t>
      </w:r>
    </w:p>
    <w:p>
      <w:pPr>
        <w:spacing w:after="0" w:line="181" w:lineRule="exact"/>
        <w:rPr>
          <w:sz w:val="20"/>
          <w:szCs w:val="20"/>
          <w:color w:val="auto"/>
        </w:rPr>
      </w:pPr>
    </w:p>
    <w:p>
      <w:pPr>
        <w:ind w:right="60" w:firstLine="449"/>
        <w:spacing w:after="0" w:line="277" w:lineRule="auto"/>
        <w:rPr>
          <w:sz w:val="20"/>
          <w:szCs w:val="20"/>
          <w:color w:val="auto"/>
        </w:rPr>
      </w:pPr>
      <w:r>
        <w:rPr>
          <w:rFonts w:ascii="Times New Roman" w:cs="Times New Roman" w:eastAsia="Times New Roman" w:hAnsi="Times New Roman"/>
          <w:sz w:val="17"/>
          <w:szCs w:val="17"/>
          <w:color w:val="auto"/>
        </w:rPr>
        <w:t>In connection with Section 1.13 of the Indenture whereby the parties submit to the jurisdiction of any New York state or federal court sitting in The City of New York, we note the limitations of 28 U.S.C. Sections 1331 and 1332 on subject matter jurisdiction of the U.S. federal courts. In connection with the provisions of Section 1.13 of the Indenture which relate to forum selection (including, without limitation, any waiver of any objection to venue or any objection that a court is an inconvenient forum), we note that under N.Y.C.P.L.R. Section 510 a New York State court may have discretion to transfer the place of trial, and under 28 U.S.C. Section 1404(a) a United States District Court has discretion to transfer an action from one U.S. federal court to another.</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law of the State of New York and the Delaware General Corporation Law.</w:t>
      </w:r>
    </w:p>
    <w:p>
      <w:pPr>
        <w:sectPr>
          <w:pgSz w:w="11900" w:h="16838" w:orient="portrait"/>
          <w:cols w:equalWidth="0" w:num="1">
            <w:col w:w="11240"/>
          </w:cols>
          <w:pgMar w:left="320" w:top="270" w:right="339" w:bottom="1440" w:gutter="0" w:footer="0" w:header="0"/>
        </w:sectPr>
      </w:pPr>
    </w:p>
    <w:bookmarkStart w:id="167" w:name="page168"/>
    <w:bookmarkEnd w:id="167"/>
    <w:p>
      <w:pPr>
        <w:spacing w:after="0"/>
        <w:tabs>
          <w:tab w:leader="none" w:pos="5800" w:val="left"/>
          <w:tab w:leader="none" w:pos="99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January 16, 2024</w:t>
      </w:r>
    </w:p>
    <w:p>
      <w:pPr>
        <w:spacing w:after="0" w:line="250" w:lineRule="exact"/>
        <w:rPr>
          <w:sz w:val="20"/>
          <w:szCs w:val="20"/>
          <w:color w:val="auto"/>
        </w:rPr>
      </w:pPr>
    </w:p>
    <w:p>
      <w:pPr>
        <w:ind w:right="100" w:firstLine="449"/>
        <w:spacing w:after="0" w:line="284" w:lineRule="auto"/>
        <w:rPr>
          <w:sz w:val="20"/>
          <w:szCs w:val="20"/>
          <w:color w:val="auto"/>
        </w:rPr>
      </w:pPr>
      <w:r>
        <w:rPr>
          <w:rFonts w:ascii="Times New Roman" w:cs="Times New Roman" w:eastAsia="Times New Roman" w:hAnsi="Times New Roman"/>
          <w:sz w:val="18"/>
          <w:szCs w:val="18"/>
          <w:color w:val="auto"/>
        </w:rPr>
        <w:t xml:space="preserve">We hereby consent to the filing of this opinion letter as Exhibit (l) to the Registration Statement and to the use of our name under the caption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 </w:t>
      </w:r>
      <w:r>
        <w:rPr>
          <w:rFonts w:ascii="Times New Roman" w:cs="Times New Roman" w:eastAsia="Times New Roman" w:hAnsi="Times New Roman"/>
          <w:sz w:val="18"/>
          <w:szCs w:val="18"/>
          <w:color w:val="auto"/>
        </w:rPr>
        <w:t>in the prospectus included in the Registration Statement.</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SIMPSON THACHER &amp; BARTLETT LLP</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1."/>
      <w:numFmt w:val="decimal"/>
      <w:start w:val="1"/>
    </w:lvl>
  </w:abstractNum>
  <w:abstractNum w:abstractNumId="2">
    <w:nsid w:val="42963E5A"/>
    <w:multiLevelType w:val="hybridMultilevel"/>
    <w:lvl w:ilvl="0">
      <w:lvlJc w:val="left"/>
      <w:lvlText w:val="%1."/>
      <w:numFmt w:val="decimal"/>
      <w:start w:val="2"/>
    </w:lvl>
  </w:abstractNum>
  <w:abstractNum w:abstractNumId="3">
    <w:nsid w:val="A0382C5"/>
    <w:multiLevelType w:val="hybridMultilevel"/>
    <w:lvl w:ilvl="0">
      <w:lvlJc w:val="left"/>
      <w:lvlText w:val="(%1)"/>
      <w:numFmt w:val="lowerLetter"/>
      <w:start w:val="1"/>
    </w:lvl>
  </w:abstractNum>
  <w:abstractNum w:abstractNumId="4">
    <w:nsid w:val="8F2B15E"/>
    <w:multiLevelType w:val="hybridMultilevel"/>
    <w:lvl w:ilvl="0">
      <w:lvlJc w:val="left"/>
      <w:lvlText w:val="(%1)"/>
      <w:numFmt w:val="lowerLetter"/>
      <w:start w:val="4"/>
    </w:lvl>
  </w:abstractNum>
  <w:abstractNum w:abstractNumId="5">
    <w:nsid w:val="1A32234B"/>
    <w:multiLevelType w:val="hybridMultilevel"/>
    <w:lvl w:ilvl="0">
      <w:lvlJc w:val="left"/>
      <w:lvlText w:val="(%1)"/>
      <w:numFmt w:val="lowerLetter"/>
      <w:start w:val="1"/>
    </w:lvl>
  </w:abstractNum>
  <w:abstractNum w:abstractNumId="6">
    <w:nsid w:val="3B0FD379"/>
    <w:multiLevelType w:val="hybridMultilevel"/>
    <w:lvl w:ilvl="0">
      <w:lvlJc w:val="left"/>
      <w:lvlText w:val="(%1)"/>
      <w:numFmt w:val="lowerLetter"/>
      <w:start w:val="3"/>
    </w:lvl>
  </w:abstractNum>
  <w:abstractNum w:abstractNumId="7">
    <w:nsid w:val="68EB2F63"/>
    <w:multiLevelType w:val="hybridMultilevel"/>
    <w:lvl w:ilvl="0">
      <w:lvlJc w:val="left"/>
      <w:lvlText w:val="(%1)"/>
      <w:numFmt w:val="lowerLetter"/>
      <w:start w:val="6"/>
    </w:lvl>
  </w:abstractNum>
  <w:abstractNum w:abstractNumId="8">
    <w:nsid w:val="4962813B"/>
    <w:multiLevelType w:val="hybridMultilevel"/>
    <w:lvl w:ilvl="0">
      <w:lvlJc w:val="left"/>
      <w:lvlText w:val="(%1)"/>
      <w:numFmt w:val="lowerLetter"/>
      <w:start w:val="8"/>
    </w:lvl>
  </w:abstractNum>
  <w:abstractNum w:abstractNumId="9">
    <w:nsid w:val="60B6DF70"/>
    <w:multiLevelType w:val="hybridMultilevel"/>
    <w:lvl w:ilvl="0">
      <w:lvlJc w:val="left"/>
      <w:lvlText w:val="(%1)"/>
      <w:numFmt w:val="lowerLetter"/>
      <w:start w:val="12"/>
    </w:lvl>
  </w:abstractNum>
  <w:abstractNum w:abstractNumId="10">
    <w:nsid w:val="6A5EE64"/>
    <w:multiLevelType w:val="hybridMultilevel"/>
    <w:lvl w:ilvl="0">
      <w:lvlJc w:val="left"/>
      <w:lvlText w:val="(%1)"/>
      <w:numFmt w:val="lowerLetter"/>
      <w:start w:val="19"/>
    </w:lvl>
  </w:abstractNum>
  <w:abstractNum w:abstractNumId="11">
    <w:nsid w:val="14330624"/>
    <w:multiLevelType w:val="hybridMultilevel"/>
    <w:lvl w:ilvl="0">
      <w:lvlJc w:val="left"/>
      <w:lvlText w:val="(%1)"/>
      <w:numFmt w:val="lowerLetter"/>
      <w:start w:val="22"/>
    </w:lvl>
  </w:abstractNum>
  <w:abstractNum w:abstractNumId="12">
    <w:nsid w:val="7FFFCA11"/>
    <w:multiLevelType w:val="hybridMultilevel"/>
    <w:lvl w:ilvl="0">
      <w:lvlJc w:val="left"/>
      <w:lvlText w:val="(%1)"/>
      <w:numFmt w:val="lowerLetter"/>
      <w:start w:val="26"/>
    </w:lvl>
  </w:abstractNum>
  <w:abstractNum w:abstractNumId="13">
    <w:nsid w:val="1A27709E"/>
    <w:multiLevelType w:val="hybridMultilevel"/>
    <w:lvl w:ilvl="0">
      <w:lvlJc w:val="left"/>
      <w:lvlText w:val="%1"/>
      <w:numFmt w:val="lowerLetter"/>
      <w:start w:val="1"/>
    </w:lvl>
    <w:lvl w:ilvl="1">
      <w:lvlJc w:val="left"/>
      <w:lvlText w:val="(%2)"/>
      <w:numFmt w:val="lowerLetter"/>
      <w:start w:val="27"/>
    </w:lvl>
  </w:abstractNum>
  <w:abstractNum w:abstractNumId="14">
    <w:nsid w:val="71EA1109"/>
    <w:multiLevelType w:val="hybridMultilevel"/>
    <w:lvl w:ilvl="0">
      <w:lvlJc w:val="left"/>
      <w:lvlText w:val="(%1)"/>
      <w:numFmt w:val="lowerLetter"/>
      <w:start w:val="9"/>
    </w:lvl>
    <w:lvl w:ilvl="1">
      <w:lvlJc w:val="left"/>
      <w:lvlText w:val="(%2)"/>
      <w:numFmt w:val="lowerLetter"/>
      <w:start w:val="28"/>
    </w:lvl>
  </w:abstractNum>
  <w:abstractNum w:abstractNumId="15">
    <w:nsid w:val="100F59DC"/>
    <w:multiLevelType w:val="hybridMultilevel"/>
    <w:lvl w:ilvl="0">
      <w:lvlJc w:val="left"/>
      <w:lvlText w:val="%1"/>
      <w:numFmt w:val="lowerLetter"/>
      <w:start w:val="1"/>
    </w:lvl>
    <w:lvl w:ilvl="1">
      <w:lvlJc w:val="left"/>
      <w:lvlText w:val="(%2)"/>
      <w:numFmt w:val="lowerLetter"/>
      <w:start w:val="31"/>
    </w:lvl>
  </w:abstractNum>
  <w:abstractNum w:abstractNumId="16">
    <w:nsid w:val="7FB7E0AA"/>
    <w:multiLevelType w:val="hybridMultilevel"/>
    <w:lvl w:ilvl="0">
      <w:lvlJc w:val="left"/>
      <w:lvlText w:val="(%1)"/>
      <w:numFmt w:val="lowerLetter"/>
      <w:start w:val="35"/>
    </w:lvl>
    <w:lvl w:ilvl="1">
      <w:lvlJc w:val="left"/>
      <w:lvlText w:val="%2"/>
      <w:numFmt w:val="lowerLetter"/>
      <w:start w:val="1"/>
    </w:lvl>
  </w:abstractNum>
  <w:abstractNum w:abstractNumId="17">
    <w:nsid w:val="6EB5BD4"/>
    <w:multiLevelType w:val="hybridMultilevel"/>
    <w:lvl w:ilvl="0">
      <w:lvlJc w:val="left"/>
      <w:lvlText w:val="%1"/>
      <w:numFmt w:val="lowerRoman"/>
      <w:start w:val="1"/>
    </w:lvl>
    <w:lvl w:ilvl="1">
      <w:lvlJc w:val="left"/>
      <w:lvlText w:val="(%2)"/>
      <w:numFmt w:val="lowerLetter"/>
      <w:start w:val="34"/>
    </w:lvl>
  </w:abstractNum>
  <w:abstractNum w:abstractNumId="18">
    <w:nsid w:val="6F6DD9AC"/>
    <w:multiLevelType w:val="hybridMultilevel"/>
    <w:lvl w:ilvl="0">
      <w:lvlJc w:val="left"/>
      <w:lvlText w:val="(%1)"/>
      <w:numFmt w:val="lowerRoman"/>
      <w:start w:val="3"/>
    </w:lvl>
    <w:lvl w:ilvl="1">
      <w:lvlJc w:val="left"/>
      <w:lvlText w:val="%2"/>
      <w:numFmt w:val="lowerLetter"/>
      <w:start w:val="1"/>
    </w:lvl>
  </w:abstractNum>
  <w:abstractNum w:abstractNumId="19">
    <w:nsid w:val="94211F2"/>
    <w:multiLevelType w:val="hybridMultilevel"/>
    <w:lvl w:ilvl="0">
      <w:lvlJc w:val="left"/>
      <w:lvlText w:val="(%1)"/>
      <w:numFmt w:val="lowerLetter"/>
      <w:start w:val="36"/>
    </w:lvl>
  </w:abstractNum>
  <w:abstractNum w:abstractNumId="20">
    <w:nsid w:val="885E1B"/>
    <w:multiLevelType w:val="hybridMultilevel"/>
    <w:lvl w:ilvl="0">
      <w:lvlJc w:val="left"/>
      <w:lvlText w:val="(%1)"/>
      <w:numFmt w:val="lowerLetter"/>
      <w:start w:val="40"/>
    </w:lvl>
  </w:abstractNum>
  <w:abstractNum w:abstractNumId="21">
    <w:nsid w:val="76272110"/>
    <w:multiLevelType w:val="hybridMultilevel"/>
    <w:lvl w:ilvl="0">
      <w:lvlJc w:val="left"/>
      <w:lvlText w:val="(%1)"/>
      <w:numFmt w:val="lowerLetter"/>
      <w:start w:val="1"/>
    </w:lvl>
  </w:abstractNum>
  <w:abstractNum w:abstractNumId="22">
    <w:nsid w:val="4C04A8AF"/>
    <w:multiLevelType w:val="hybridMultilevel"/>
    <w:lvl w:ilvl="0">
      <w:lvlJc w:val="left"/>
      <w:lvlText w:val="(%1)"/>
      <w:numFmt w:val="lowerLetter"/>
      <w:start w:val="3"/>
    </w:lvl>
  </w:abstractNum>
  <w:abstractNum w:abstractNumId="23">
    <w:nsid w:val="1716703B"/>
    <w:multiLevelType w:val="hybridMultilevel"/>
    <w:lvl w:ilvl="0">
      <w:lvlJc w:val="left"/>
      <w:lvlText w:val="(%1)"/>
      <w:numFmt w:val="lowerLetter"/>
      <w:start w:val="8"/>
    </w:lvl>
  </w:abstractNum>
  <w:abstractNum w:abstractNumId="24">
    <w:nsid w:val="14E17E33"/>
    <w:multiLevelType w:val="hybridMultilevel"/>
    <w:lvl w:ilvl="0">
      <w:lvlJc w:val="left"/>
      <w:lvlText w:val="%1"/>
      <w:numFmt w:val="lowerLetter"/>
      <w:start w:val="1"/>
    </w:lvl>
    <w:lvl w:ilvl="1">
      <w:lvlJc w:val="left"/>
      <w:lvlText w:val="(%2)"/>
      <w:numFmt w:val="lowerLetter"/>
      <w:start w:val="12"/>
    </w:lvl>
  </w:abstractNum>
  <w:abstractNum w:abstractNumId="25">
    <w:nsid w:val="3222E7CD"/>
    <w:multiLevelType w:val="hybridMultilevel"/>
    <w:lvl w:ilvl="0">
      <w:lvlJc w:val="left"/>
      <w:lvlText w:val="(%1)"/>
      <w:numFmt w:val="lowerLetter"/>
      <w:start w:val="61"/>
    </w:lvl>
    <w:lvl w:ilvl="1">
      <w:lvlJc w:val="left"/>
      <w:lvlText w:val="(%2)"/>
      <w:numFmt w:val="lowerLetter"/>
      <w:start w:val="15"/>
    </w:lvl>
  </w:abstractNum>
  <w:abstractNum w:abstractNumId="26">
    <w:nsid w:val="74DE0EE3"/>
    <w:multiLevelType w:val="hybridMultilevel"/>
    <w:lvl w:ilvl="0">
      <w:lvlJc w:val="left"/>
      <w:lvlText w:val="(%1)"/>
      <w:numFmt w:val="lowerLetter"/>
      <w:start w:val="16"/>
    </w:lvl>
  </w:abstractNum>
  <w:abstractNum w:abstractNumId="27">
    <w:nsid w:val="68EBC550"/>
    <w:multiLevelType w:val="hybridMultilevel"/>
    <w:lvl w:ilvl="0">
      <w:lvlJc w:val="left"/>
      <w:lvlText w:val="(%1)"/>
      <w:numFmt w:val="lowerLetter"/>
      <w:start w:val="1"/>
    </w:lvl>
  </w:abstractNum>
  <w:abstractNum w:abstractNumId="28">
    <w:nsid w:val="2DF6D648"/>
    <w:multiLevelType w:val="hybridMultilevel"/>
    <w:lvl w:ilvl="0">
      <w:lvlJc w:val="left"/>
      <w:lvlText w:val="(%1)"/>
      <w:numFmt w:val="lowerLetter"/>
      <w:start w:val="3"/>
    </w:lvl>
  </w:abstractNum>
  <w:abstractNum w:abstractNumId="29">
    <w:nsid w:val="46B7D447"/>
    <w:multiLevelType w:val="hybridMultilevel"/>
    <w:lvl w:ilvl="0">
      <w:lvlJc w:val="left"/>
      <w:lvlText w:val="(%1)"/>
      <w:numFmt w:val="lowerLetter"/>
      <w:start w:val="6"/>
    </w:lvl>
  </w:abstractNum>
  <w:abstractNum w:abstractNumId="30">
    <w:nsid w:val="4A2AC315"/>
    <w:multiLevelType w:val="hybridMultilevel"/>
    <w:lvl w:ilvl="0">
      <w:lvlJc w:val="left"/>
      <w:lvlText w:val="(%1)"/>
      <w:numFmt w:val="lowerLetter"/>
      <w:start w:val="9"/>
    </w:lvl>
  </w:abstractNum>
  <w:abstractNum w:abstractNumId="31">
    <w:nsid w:val="39EE015C"/>
    <w:multiLevelType w:val="hybridMultilevel"/>
    <w:lvl w:ilvl="0">
      <w:lvlJc w:val="left"/>
      <w:lvlText w:val="(%1)"/>
      <w:numFmt w:val="lowerLetter"/>
      <w:start w:val="15"/>
    </w:lvl>
  </w:abstractNum>
  <w:abstractNum w:abstractNumId="32">
    <w:nsid w:val="57FC4FBB"/>
    <w:multiLevelType w:val="hybridMultilevel"/>
    <w:lvl w:ilvl="0">
      <w:lvlJc w:val="left"/>
      <w:lvlText w:val="(%1)"/>
      <w:numFmt w:val="lowerLetter"/>
      <w:start w:val="1"/>
    </w:lvl>
  </w:abstractNum>
  <w:abstractNum w:abstractNumId="33">
    <w:nsid w:val="CC1016F"/>
    <w:multiLevelType w:val="hybridMultilevel"/>
    <w:lvl w:ilvl="0">
      <w:lvlJc w:val="left"/>
      <w:lvlText w:val="%1."/>
      <w:numFmt w:val="decimal"/>
      <w:start w:val="7"/>
    </w:lvl>
  </w:abstractNum>
  <w:abstractNum w:abstractNumId="34">
    <w:nsid w:val="43F18422"/>
    <w:multiLevelType w:val="hybridMultilevel"/>
    <w:lvl w:ilvl="0">
      <w:lvlJc w:val="left"/>
      <w:lvlText w:val="(%1)"/>
      <w:numFmt w:val="lowerLetter"/>
      <w:start w:val="1"/>
    </w:lvl>
  </w:abstractNum>
  <w:abstractNum w:abstractNumId="35">
    <w:nsid w:val="60EF0119"/>
    <w:multiLevelType w:val="hybridMultilevel"/>
    <w:lvl w:ilvl="0">
      <w:lvlJc w:val="left"/>
      <w:lvlText w:val="(%1)"/>
      <w:numFmt w:val="lowerLetter"/>
      <w:start w:val="2"/>
    </w:lvl>
  </w:abstractNum>
  <w:abstractNum w:abstractNumId="36">
    <w:nsid w:val="26F324BA"/>
    <w:multiLevelType w:val="hybridMultilevel"/>
    <w:lvl w:ilvl="0">
      <w:lvlJc w:val="left"/>
      <w:lvlText w:val="(%1)"/>
      <w:numFmt w:val="lowerLetter"/>
      <w:start w:val="7"/>
    </w:lvl>
  </w:abstractNum>
  <w:abstractNum w:abstractNumId="37">
    <w:nsid w:val="7F01579B"/>
    <w:multiLevelType w:val="hybridMultilevel"/>
    <w:lvl w:ilvl="0">
      <w:lvlJc w:val="left"/>
      <w:lvlText w:val="(%1)"/>
      <w:numFmt w:val="lowerLetter"/>
      <w:start w:val="13"/>
    </w:lvl>
  </w:abstractNum>
  <w:abstractNum w:abstractNumId="38">
    <w:nsid w:val="49DA307D"/>
    <w:multiLevelType w:val="hybridMultilevel"/>
    <w:lvl w:ilvl="0">
      <w:lvlJc w:val="left"/>
      <w:lvlText w:val="%1."/>
      <w:numFmt w:val="decimal"/>
      <w:start w:val="8"/>
    </w:lvl>
  </w:abstractNum>
  <w:abstractNum w:abstractNumId="39">
    <w:nsid w:val="7055A5F5"/>
    <w:multiLevelType w:val="hybridMultilevel"/>
    <w:lvl w:ilvl="0">
      <w:lvlJc w:val="left"/>
      <w:lvlText w:val="(%1)"/>
      <w:numFmt w:val="lowerLetter"/>
      <w:start w:val="1"/>
    </w:lvl>
  </w:abstractNum>
  <w:abstractNum w:abstractNumId="40">
    <w:nsid w:val="5FB8370B"/>
    <w:multiLevelType w:val="hybridMultilevel"/>
    <w:lvl w:ilvl="0">
      <w:lvlJc w:val="left"/>
      <w:lvlText w:val="(%1)"/>
      <w:numFmt w:val="lowerLetter"/>
      <w:start w:val="3"/>
    </w:lvl>
  </w:abstractNum>
  <w:abstractNum w:abstractNumId="41">
    <w:nsid w:val="50801EE1"/>
    <w:multiLevelType w:val="hybridMultilevel"/>
    <w:lvl w:ilvl="0">
      <w:lvlJc w:val="left"/>
      <w:lvlText w:val="%1"/>
      <w:numFmt w:val="lowerLetter"/>
      <w:start w:val="1"/>
    </w:lvl>
    <w:lvl w:ilvl="1">
      <w:lvlJc w:val="left"/>
      <w:lvlText w:val="(%2)"/>
      <w:numFmt w:val="lowerLetter"/>
      <w:start w:val="4"/>
    </w:lvl>
  </w:abstractNum>
  <w:abstractNum w:abstractNumId="42">
    <w:nsid w:val="488AC1A"/>
    <w:multiLevelType w:val="hybridMultilevel"/>
    <w:lvl w:ilvl="0">
      <w:lvlJc w:val="left"/>
      <w:lvlText w:val="(%1)"/>
      <w:numFmt w:val="lowerLetter"/>
      <w:start w:val="4"/>
    </w:lvl>
    <w:lvl w:ilvl="1">
      <w:lvlJc w:val="left"/>
      <w:lvlText w:val="%2"/>
      <w:numFmt w:val="lowerLetter"/>
      <w:start w:val="1"/>
    </w:lvl>
  </w:abstractNum>
  <w:abstractNum w:abstractNumId="43">
    <w:nsid w:val="5FB8011C"/>
    <w:multiLevelType w:val="hybridMultilevel"/>
    <w:lvl w:ilvl="0">
      <w:lvlJc w:val="left"/>
      <w:lvlText w:val="(%1)"/>
      <w:numFmt w:val="lowerLetter"/>
      <w:start w:val="6"/>
    </w:lvl>
  </w:abstractNum>
  <w:abstractNum w:abstractNumId="44">
    <w:nsid w:val="6AA78F7F"/>
    <w:multiLevelType w:val="hybridMultilevel"/>
    <w:lvl w:ilvl="0">
      <w:lvlJc w:val="left"/>
      <w:lvlText w:val="%1."/>
      <w:numFmt w:val="decimal"/>
      <w:start w:val="9"/>
    </w:lvl>
  </w:abstractNum>
  <w:abstractNum w:abstractNumId="45">
    <w:nsid w:val="7672BD23"/>
    <w:multiLevelType w:val="hybridMultilevel"/>
    <w:lvl w:ilvl="0">
      <w:lvlJc w:val="left"/>
      <w:lvlText w:val="(%1)"/>
      <w:numFmt w:val="lowerLetter"/>
      <w:start w:val="1"/>
    </w:lvl>
  </w:abstractNum>
  <w:abstractNum w:abstractNumId="46">
    <w:nsid w:val="6FC75AF8"/>
    <w:multiLevelType w:val="hybridMultilevel"/>
    <w:lvl w:ilvl="0">
      <w:lvlJc w:val="left"/>
      <w:lvlText w:val="(%1)"/>
      <w:numFmt w:val="lowerLetter"/>
      <w:start w:val="2"/>
    </w:lvl>
  </w:abstractNum>
  <w:abstractNum w:abstractNumId="47">
    <w:nsid w:val="6A5F7029"/>
    <w:multiLevelType w:val="hybridMultilevel"/>
    <w:lvl w:ilvl="0">
      <w:lvlJc w:val="left"/>
      <w:lvlText w:val="%1."/>
      <w:numFmt w:val="decimal"/>
      <w:start w:val="12"/>
    </w:lvl>
  </w:abstractNum>
  <w:abstractNum w:abstractNumId="48">
    <w:nsid w:val="7D5E18F8"/>
    <w:multiLevelType w:val="hybridMultilevel"/>
    <w:lvl w:ilvl="0">
      <w:lvlJc w:val="left"/>
      <w:lvlText w:val="%1"/>
      <w:numFmt w:val="lowerRoman"/>
      <w:start w:val="1"/>
    </w:lvl>
    <w:lvl w:ilvl="1">
      <w:lvlJc w:val="left"/>
      <w:lvlText w:val="(%2)"/>
      <w:numFmt w:val="lowerLetter"/>
      <w:start w:val="1"/>
    </w:lvl>
  </w:abstractNum>
  <w:abstractNum w:abstractNumId="49">
    <w:nsid w:val="5F3534A4"/>
    <w:multiLevelType w:val="hybridMultilevel"/>
    <w:lvl w:ilvl="0">
      <w:lvlJc w:val="left"/>
      <w:lvlText w:val="(%1)"/>
      <w:numFmt w:val="lowerRoman"/>
      <w:start w:val="2"/>
    </w:lvl>
    <w:lvl w:ilvl="1">
      <w:lvlJc w:val="left"/>
      <w:lvlText w:val="%2"/>
      <w:numFmt w:val="lowerLetter"/>
      <w:start w:val="1"/>
    </w:lvl>
  </w:abstractNum>
  <w:abstractNum w:abstractNumId="50">
    <w:nsid w:val="73A1821B"/>
    <w:multiLevelType w:val="hybridMultilevel"/>
    <w:lvl w:ilvl="0">
      <w:lvlJc w:val="left"/>
      <w:lvlText w:val="%1"/>
      <w:numFmt w:val="lowerLetter"/>
      <w:start w:val="1"/>
    </w:lvl>
    <w:lvl w:ilvl="1">
      <w:lvlJc w:val="left"/>
      <w:lvlText w:val="(%2)"/>
      <w:numFmt w:val="lowerLetter"/>
      <w:start w:val="2"/>
    </w:lvl>
  </w:abstractNum>
  <w:abstractNum w:abstractNumId="51">
    <w:nsid w:val="7DE67713"/>
    <w:multiLevelType w:val="hybridMultilevel"/>
    <w:lvl w:ilvl="0">
      <w:lvlJc w:val="left"/>
      <w:lvlText w:val="(%1)"/>
      <w:numFmt w:val="lowerLetter"/>
      <w:start w:val="35"/>
    </w:lvl>
    <w:lvl w:ilvl="1">
      <w:lvlJc w:val="left"/>
      <w:lvlText w:val="%2"/>
      <w:numFmt w:val="lowerLetter"/>
      <w:start w:val="1"/>
    </w:lvl>
  </w:abstractNum>
  <w:abstractNum w:abstractNumId="52">
    <w:nsid w:val="555C55B5"/>
    <w:multiLevelType w:val="hybridMultilevel"/>
    <w:lvl w:ilvl="0">
      <w:lvlJc w:val="left"/>
      <w:lvlText w:val="%1."/>
      <w:numFmt w:val="decimal"/>
      <w:start w:val="13"/>
    </w:lvl>
  </w:abstractNum>
  <w:abstractNum w:abstractNumId="53">
    <w:nsid w:val="3FA62ACA"/>
    <w:multiLevelType w:val="hybridMultilevel"/>
    <w:lvl w:ilvl="0">
      <w:lvlJc w:val="left"/>
      <w:lvlText w:val="%1."/>
      <w:numFmt w:val="decimal"/>
      <w:start w:val="16"/>
    </w:lvl>
  </w:abstractNum>
  <w:abstractNum w:abstractNumId="54">
    <w:nsid w:val="14FCE74E"/>
    <w:multiLevelType w:val="hybridMultilevel"/>
    <w:lvl w:ilvl="0">
      <w:lvlJc w:val="left"/>
      <w:lvlText w:val="(%1)"/>
      <w:numFmt w:val="lowerLetter"/>
      <w:start w:val="1"/>
    </w:lvl>
  </w:abstractNum>
  <w:abstractNum w:abstractNumId="55">
    <w:nsid w:val="6A3DD3E8"/>
    <w:multiLevelType w:val="hybridMultilevel"/>
    <w:lvl w:ilvl="0">
      <w:lvlJc w:val="left"/>
      <w:lvlText w:val="%1."/>
      <w:numFmt w:val="decimal"/>
      <w:start w:val="17"/>
    </w:lvl>
  </w:abstractNum>
  <w:abstractNum w:abstractNumId="56">
    <w:nsid w:val="71C91298"/>
    <w:multiLevelType w:val="hybridMultilevel"/>
    <w:lvl w:ilvl="0">
      <w:lvlJc w:val="left"/>
      <w:lvlText w:val="(%1)"/>
      <w:numFmt w:val="lowerLetter"/>
      <w:start w:val="1"/>
    </w:lvl>
  </w:abstractNum>
  <w:abstractNum w:abstractNumId="57">
    <w:nsid w:val="9DAF632"/>
    <w:multiLevelType w:val="hybridMultilevel"/>
    <w:lvl w:ilvl="0">
      <w:lvlJc w:val="left"/>
      <w:lvlText w:val="(%1)"/>
      <w:numFmt w:val="lowerLetter"/>
      <w:start w:val="3"/>
    </w:lvl>
  </w:abstractNum>
  <w:abstractNum w:abstractNumId="58">
    <w:nsid w:val="53299938"/>
    <w:multiLevelType w:val="hybridMultilevel"/>
    <w:lvl w:ilvl="0">
      <w:lvlJc w:val="left"/>
      <w:lvlText w:val="%1."/>
      <w:numFmt w:val="decimal"/>
      <w:start w:val="1"/>
    </w:lvl>
  </w:abstractNum>
  <w:abstractNum w:abstractNumId="59">
    <w:nsid w:val="1FBFE8E0"/>
    <w:multiLevelType w:val="hybridMultilevel"/>
    <w:lvl w:ilvl="0">
      <w:lvlJc w:val="left"/>
      <w:lvlText w:val="%1."/>
      <w:numFmt w:val="decimal"/>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1)"/>
      <w:numFmt w:val="lowerLetter"/>
      <w:start w:val="1"/>
    </w:lvl>
  </w:abstractNum>
  <w:abstractNum w:abstractNumId="64">
    <w:nsid w:val="2A155DBC"/>
    <w:multiLevelType w:val="hybridMultilevel"/>
    <w:lvl w:ilvl="0">
      <w:lvlJc w:val="left"/>
      <w:lvlText w:val="(%1)"/>
      <w:numFmt w:val="lowerLetter"/>
      <w:start w:val="3"/>
    </w:lvl>
  </w:abstractNum>
  <w:abstractNum w:abstractNumId="65">
    <w:nsid w:val="1D9F6E5F"/>
    <w:multiLevelType w:val="hybridMultilevel"/>
    <w:lvl w:ilvl="0">
      <w:lvlJc w:val="left"/>
      <w:lvlText w:val="(%1)"/>
      <w:numFmt w:val="lowerRoman"/>
      <w:start w:val="2"/>
    </w:lvl>
  </w:abstractNum>
  <w:abstractNum w:abstractNumId="66">
    <w:nsid w:val="97E1B4E"/>
    <w:multiLevelType w:val="hybridMultilevel"/>
    <w:lvl w:ilvl="0">
      <w:lvlJc w:val="left"/>
      <w:lvlText w:val="(%1)"/>
      <w:numFmt w:val="lowerRoman"/>
      <w:start w:val="1"/>
    </w:lvl>
  </w:abstractNum>
  <w:abstractNum w:abstractNumId="67">
    <w:nsid w:val="51088277"/>
    <w:multiLevelType w:val="hybridMultilevel"/>
    <w:lvl w:ilvl="0">
      <w:lvlJc w:val="left"/>
      <w:lvlText w:val="(%1)"/>
      <w:numFmt w:val="lowerLetter"/>
      <w:start w:val="3"/>
    </w:lvl>
  </w:abstractNum>
  <w:abstractNum w:abstractNumId="68">
    <w:nsid w:val="1CA0C5FA"/>
    <w:multiLevelType w:val="hybridMultilevel"/>
    <w:lvl w:ilvl="0">
      <w:lvlJc w:val="left"/>
      <w:lvlText w:val="(%1)"/>
      <w:numFmt w:val="lowerLetter"/>
      <w:start w:val="1"/>
    </w:lvl>
  </w:abstractNum>
  <w:abstractNum w:abstractNumId="69">
    <w:nsid w:val="53584BCB"/>
    <w:multiLevelType w:val="hybridMultilevel"/>
    <w:lvl w:ilvl="0">
      <w:lvlJc w:val="left"/>
      <w:lvlText w:val="(%1)"/>
      <w:numFmt w:val="lowerLetter"/>
      <w:start w:val="2"/>
    </w:lvl>
  </w:abstractNum>
  <w:abstractNum w:abstractNumId="70">
    <w:nsid w:val="415E286C"/>
    <w:multiLevelType w:val="hybridMultilevel"/>
    <w:lvl w:ilvl="0">
      <w:lvlJc w:val="left"/>
      <w:lvlText w:val="(%1)"/>
      <w:numFmt w:val="lowerLetter"/>
      <w:start w:val="5"/>
    </w:lvl>
  </w:abstractNum>
  <w:abstractNum w:abstractNumId="71">
    <w:nsid w:val="7C58FD05"/>
    <w:multiLevelType w:val="hybridMultilevel"/>
    <w:lvl w:ilvl="0">
      <w:lvlJc w:val="left"/>
      <w:lvlText w:val="(%1)"/>
      <w:numFmt w:val="lowerRoman"/>
      <w:start w:val="1"/>
    </w:lvl>
  </w:abstractNum>
  <w:abstractNum w:abstractNumId="72">
    <w:nsid w:val="23D86AAC"/>
    <w:multiLevelType w:val="hybridMultilevel"/>
    <w:lvl w:ilvl="0">
      <w:lvlJc w:val="left"/>
      <w:lvlText w:val="(%1)"/>
      <w:numFmt w:val="lowerLetter"/>
      <w:start w:val="1"/>
    </w:lvl>
  </w:abstractNum>
  <w:abstractNum w:abstractNumId="73">
    <w:nsid w:val="45E6D486"/>
    <w:multiLevelType w:val="hybridMultilevel"/>
    <w:lvl w:ilvl="0">
      <w:lvlJc w:val="left"/>
      <w:lvlText w:val="(%1)"/>
      <w:numFmt w:val="lowerRoman"/>
      <w:start w:val="1"/>
    </w:lvl>
  </w:abstractNum>
  <w:abstractNum w:abstractNumId="74">
    <w:nsid w:val="5C10FE21"/>
    <w:multiLevelType w:val="hybridMultilevel"/>
    <w:lvl w:ilvl="0">
      <w:lvlJc w:val="left"/>
      <w:lvlText w:val="(%1)"/>
      <w:numFmt w:val="lowerRoman"/>
      <w:start w:val="5"/>
    </w:lvl>
  </w:abstractNum>
  <w:abstractNum w:abstractNumId="75">
    <w:nsid w:val="E7FFA2B"/>
    <w:multiLevelType w:val="hybridMultilevel"/>
    <w:lvl w:ilvl="0">
      <w:lvlJc w:val="left"/>
      <w:lvlText w:val="(%1)"/>
      <w:numFmt w:val="lowerRoman"/>
      <w:start w:val="14"/>
    </w:lvl>
  </w:abstractNum>
  <w:abstractNum w:abstractNumId="76">
    <w:nsid w:val="3C5991AA"/>
    <w:multiLevelType w:val="hybridMultilevel"/>
    <w:lvl w:ilvl="0">
      <w:lvlJc w:val="left"/>
      <w:lvlText w:val="(%1)"/>
      <w:numFmt w:val="lowerRoman"/>
      <w:start w:val="22"/>
    </w:lvl>
  </w:abstractNum>
  <w:abstractNum w:abstractNumId="77">
    <w:nsid w:val="4BD8591A"/>
    <w:multiLevelType w:val="hybridMultilevel"/>
    <w:lvl w:ilvl="0">
      <w:lvlJc w:val="left"/>
      <w:lvlText w:val="(%1)"/>
      <w:numFmt w:val="lowerLetter"/>
      <w:start w:val="1"/>
    </w:lvl>
    <w:lvl w:ilvl="1">
      <w:lvlJc w:val="left"/>
      <w:lvlText w:val="(%2)"/>
      <w:numFmt w:val="lowerRoman"/>
      <w:start w:val="1"/>
    </w:lvl>
  </w:abstractNum>
  <w:abstractNum w:abstractNumId="78">
    <w:nsid w:val="78DF6A55"/>
    <w:multiLevelType w:val="hybridMultilevel"/>
    <w:lvl w:ilvl="0">
      <w:lvlJc w:val="left"/>
      <w:lvlText w:val="(%1)"/>
      <w:numFmt w:val="lowerLetter"/>
      <w:start w:val="2"/>
    </w:lvl>
  </w:abstractNum>
  <w:abstractNum w:abstractNumId="79">
    <w:nsid w:val="39B7AAA2"/>
    <w:multiLevelType w:val="hybridMultilevel"/>
    <w:lvl w:ilvl="0">
      <w:lvlJc w:val="left"/>
      <w:lvlText w:val="(%1)"/>
      <w:numFmt w:val="lowerRoman"/>
      <w:start w:val="2"/>
    </w:lvl>
  </w:abstractNum>
  <w:abstractNum w:abstractNumId="80">
    <w:nsid w:val="2B0D8DBE"/>
    <w:multiLevelType w:val="hybridMultilevel"/>
    <w:lvl w:ilvl="0">
      <w:lvlJc w:val="left"/>
      <w:lvlText w:val="(%1)"/>
      <w:numFmt w:val="lowerLetter"/>
      <w:start w:val="1"/>
    </w:lvl>
  </w:abstractNum>
  <w:abstractNum w:abstractNumId="81">
    <w:nsid w:val="6C80EC70"/>
    <w:multiLevelType w:val="hybridMultilevel"/>
    <w:lvl w:ilvl="0">
      <w:lvlJc w:val="left"/>
      <w:lvlText w:val="(%1)"/>
      <w:numFmt w:val="lowerRoman"/>
      <w:start w:val="1"/>
    </w:lvl>
  </w:abstractNum>
  <w:abstractNum w:abstractNumId="82">
    <w:nsid w:val="379E21B5"/>
    <w:multiLevelType w:val="hybridMultilevel"/>
    <w:lvl w:ilvl="0">
      <w:lvlJc w:val="left"/>
      <w:lvlText w:val="%1"/>
      <w:numFmt w:val="lowerLetter"/>
      <w:start w:val="1"/>
    </w:lvl>
    <w:lvl w:ilvl="1">
      <w:lvlJc w:val="left"/>
      <w:lvlText w:val="(%2)"/>
      <w:numFmt w:val="lowerLetter"/>
      <w:start w:val="35"/>
    </w:lvl>
  </w:abstractNum>
  <w:abstractNum w:abstractNumId="83">
    <w:nsid w:val="69E373"/>
    <w:multiLevelType w:val="hybridMultilevel"/>
    <w:lvl w:ilvl="0">
      <w:lvlJc w:val="left"/>
      <w:lvlText w:val="(%1)"/>
      <w:numFmt w:val="lowerLetter"/>
      <w:start w:val="2"/>
    </w:lvl>
    <w:lvl w:ilvl="1">
      <w:lvlJc w:val="left"/>
      <w:lvlText w:val="%2"/>
      <w:numFmt w:val="lowerLetter"/>
      <w:start w:val="1"/>
    </w:lvl>
  </w:abstractNum>
  <w:abstractNum w:abstractNumId="84">
    <w:nsid w:val="2C27173B"/>
    <w:multiLevelType w:val="hybridMultilevel"/>
    <w:lvl w:ilvl="0">
      <w:lvlJc w:val="left"/>
      <w:lvlText w:val="(%1)"/>
      <w:numFmt w:val="lowerLetter"/>
      <w:start w:val="1"/>
    </w:lvl>
  </w:abstractNum>
  <w:abstractNum w:abstractNumId="85">
    <w:nsid w:val="4C9B0904"/>
    <w:multiLevelType w:val="hybridMultilevel"/>
    <w:lvl w:ilvl="0">
      <w:lvlJc w:val="left"/>
      <w:lvlText w:val="(%1)"/>
      <w:numFmt w:val="lowerLetter"/>
      <w:start w:val="4"/>
    </w:lvl>
  </w:abstractNum>
  <w:abstractNum w:abstractNumId="86">
    <w:nsid w:val="6AA7B75C"/>
    <w:multiLevelType w:val="hybridMultilevel"/>
    <w:lvl w:ilvl="0">
      <w:lvlJc w:val="left"/>
      <w:lvlText w:val="%1"/>
      <w:numFmt w:val="lowerLetter"/>
      <w:start w:val="1"/>
    </w:lvl>
    <w:lvl w:ilvl="1">
      <w:lvlJc w:val="left"/>
      <w:lvlText w:val="(%2)"/>
      <w:numFmt w:val="lowerLetter"/>
      <w:start w:val="5"/>
    </w:lvl>
  </w:abstractNum>
  <w:abstractNum w:abstractNumId="87">
    <w:nsid w:val="1DF029D3"/>
    <w:multiLevelType w:val="hybridMultilevel"/>
    <w:lvl w:ilvl="0">
      <w:lvlJc w:val="left"/>
      <w:lvlText w:val="(%1)"/>
      <w:numFmt w:val="lowerLetter"/>
      <w:start w:val="8"/>
    </w:lvl>
    <w:lvl w:ilvl="1">
      <w:lvlJc w:val="left"/>
      <w:lvlText w:val="(%2)"/>
      <w:numFmt w:val="lowerLetter"/>
      <w:start w:val="8"/>
    </w:lvl>
  </w:abstractNum>
  <w:abstractNum w:abstractNumId="88">
    <w:nsid w:val="5675FF36"/>
    <w:multiLevelType w:val="hybridMultilevel"/>
    <w:lvl w:ilvl="0">
      <w:lvlJc w:val="left"/>
      <w:lvlText w:val="%1"/>
      <w:numFmt w:val="lowerLetter"/>
      <w:start w:val="1"/>
    </w:lvl>
    <w:lvl w:ilvl="1">
      <w:lvlJc w:val="left"/>
      <w:lvlText w:val="(%2)"/>
      <w:numFmt w:val="lowerLetter"/>
      <w:start w:val="1"/>
    </w:lvl>
  </w:abstractNum>
  <w:abstractNum w:abstractNumId="89">
    <w:nsid w:val="3DD15094"/>
    <w:multiLevelType w:val="hybridMultilevel"/>
    <w:lvl w:ilvl="0">
      <w:lvlJc w:val="left"/>
      <w:lvlText w:val="(%1)"/>
      <w:numFmt w:val="lowerLetter"/>
      <w:start w:val="35"/>
    </w:lvl>
    <w:lvl w:ilvl="1">
      <w:lvlJc w:val="left"/>
      <w:lvlText w:val="(%2)"/>
      <w:numFmt w:val="lowerLetter"/>
      <w:start w:val="2"/>
    </w:lvl>
  </w:abstractNum>
  <w:abstractNum w:abstractNumId="90">
    <w:nsid w:val="3DB012B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1">
    <w:nsid w:val="2708C9A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92">
    <w:nsid w:val="5B25ACE2"/>
    <w:multiLevelType w:val="hybridMultilevel"/>
    <w:lvl w:ilvl="0">
      <w:lvlJc w:val="left"/>
      <w:lvlText w:val="(%1)"/>
      <w:numFmt w:val="lowerRoman"/>
      <w:start w:val="1"/>
    </w:lvl>
    <w:lvl w:ilvl="1">
      <w:lvlJc w:val="left"/>
      <w:lvlText w:val="(%2)"/>
      <w:numFmt w:val="decimal"/>
      <w:start w:val="1"/>
    </w:lvl>
  </w:abstractNum>
  <w:abstractNum w:abstractNumId="93">
    <w:nsid w:val="175DFCF0"/>
    <w:multiLevelType w:val="hybridMultilevel"/>
    <w:lvl w:ilvl="0">
      <w:lvlJc w:val="left"/>
      <w:lvlText w:val="(%1)"/>
      <w:numFmt w:val="decimal"/>
      <w:start w:val="4"/>
    </w:lvl>
  </w:abstractNum>
  <w:abstractNum w:abstractNumId="94">
    <w:nsid w:val="4F97E3E4"/>
    <w:multiLevelType w:val="hybridMultilevel"/>
    <w:lvl w:ilvl="0">
      <w:lvlJc w:val="left"/>
      <w:lvlText w:val="(%1)"/>
      <w:numFmt w:val="lowerRoman"/>
      <w:start w:val="6"/>
    </w:lvl>
  </w:abstractNum>
  <w:abstractNum w:abstractNumId="95">
    <w:nsid w:val="53B0A9E"/>
    <w:multiLevelType w:val="hybridMultilevel"/>
    <w:lvl w:ilvl="0">
      <w:lvlJc w:val="left"/>
      <w:lvlText w:val="(%1)"/>
      <w:numFmt w:val="decimal"/>
      <w:start w:val="2"/>
    </w:lvl>
  </w:abstractNum>
  <w:abstractNum w:abstractNumId="96">
    <w:nsid w:val="34FD6B4F"/>
    <w:multiLevelType w:val="hybridMultilevel"/>
    <w:lvl w:ilvl="0">
      <w:lvlJc w:val="left"/>
      <w:lvlText w:val="(%1)"/>
      <w:numFmt w:val="lowerRoman"/>
      <w:start w:val="7"/>
    </w:lvl>
  </w:abstractNum>
  <w:abstractNum w:abstractNumId="97">
    <w:nsid w:val="5915FF32"/>
    <w:multiLevelType w:val="hybridMultilevel"/>
    <w:lvl w:ilvl="0">
      <w:lvlJc w:val="left"/>
      <w:lvlText w:val="(%1)"/>
      <w:numFmt w:val="lowerRoman"/>
      <w:start w:val="1"/>
    </w:lvl>
    <w:lvl w:ilvl="1">
      <w:lvlJc w:val="left"/>
      <w:lvlText w:val="(%2)"/>
      <w:numFmt w:val="decimal"/>
      <w:start w:val="1"/>
    </w:lvl>
  </w:abstractNum>
  <w:abstractNum w:abstractNumId="98">
    <w:nsid w:val="56438D15"/>
    <w:multiLevelType w:val="hybridMultilevel"/>
    <w:lvl w:ilvl="0">
      <w:lvlJc w:val="left"/>
      <w:lvlText w:val="(%1)"/>
      <w:numFmt w:val="lowerRoman"/>
      <w:start w:val="1"/>
    </w:lvl>
  </w:abstractNum>
  <w:abstractNum w:abstractNumId="99">
    <w:nsid w:val="519E3149"/>
    <w:multiLevelType w:val="hybridMultilevel"/>
    <w:lvl w:ilvl="0">
      <w:lvlJc w:val="left"/>
      <w:lvlText w:val="(%1)"/>
      <w:numFmt w:val="lowerRoman"/>
      <w:start w:val="1"/>
    </w:lvl>
  </w:abstractNum>
  <w:abstractNum w:abstractNumId="100">
    <w:nsid w:val="2C6E4AFD"/>
    <w:multiLevelType w:val="hybridMultilevel"/>
    <w:lvl w:ilvl="0">
      <w:lvlJc w:val="left"/>
      <w:lvlText w:val="(%1)"/>
      <w:numFmt w:val="lowerRoman"/>
      <w:start w:val="1"/>
    </w:lvl>
  </w:abstractNum>
  <w:abstractNum w:abstractNumId="101">
    <w:nsid w:val="17A1B582"/>
    <w:multiLevelType w:val="hybridMultilevel"/>
    <w:lvl w:ilvl="0">
      <w:lvlJc w:val="left"/>
      <w:lvlText w:val="(%1)"/>
      <w:numFmt w:val="lowerRoman"/>
      <w:start w:val="1"/>
    </w:lvl>
  </w:abstractNum>
  <w:abstractNum w:abstractNumId="102">
    <w:nsid w:val="4DF72E4E"/>
    <w:multiLevelType w:val="hybridMultilevel"/>
    <w:lvl w:ilvl="0">
      <w:lvlJc w:val="left"/>
      <w:lvlText w:val="(%1)"/>
      <w:numFmt w:val="lowerRoman"/>
      <w:start w:val="1"/>
    </w:lvl>
  </w:abstractNum>
  <w:abstractNum w:abstractNumId="103">
    <w:nsid w:val="5046B5A9"/>
    <w:multiLevelType w:val="hybridMultilevel"/>
    <w:lvl w:ilvl="0">
      <w:lvlJc w:val="left"/>
      <w:lvlText w:val="(%1)"/>
      <w:numFmt w:val="lowerLetter"/>
      <w:start w:val="1"/>
    </w:lvl>
    <w:lvl w:ilvl="1">
      <w:lvlJc w:val="left"/>
      <w:lvlText w:val="(%2)"/>
      <w:numFmt w:val="lowerRoman"/>
      <w:start w:val="1"/>
    </w:lvl>
  </w:abstractNum>
  <w:abstractNum w:abstractNumId="104">
    <w:nsid w:val="5D888A08"/>
    <w:multiLevelType w:val="hybridMultilevel"/>
    <w:lvl w:ilvl="0">
      <w:lvlJc w:val="left"/>
      <w:lvlText w:val="%1"/>
      <w:numFmt w:val="lowerLetter"/>
      <w:start w:val="1"/>
    </w:lvl>
    <w:lvl w:ilvl="1">
      <w:lvlJc w:val="left"/>
      <w:lvlText w:val="(%2)"/>
      <w:numFmt w:val="lowerLetter"/>
      <w:start w:val="4"/>
    </w:lvl>
  </w:abstractNum>
  <w:abstractNum w:abstractNumId="105">
    <w:nsid w:val="2A082C70"/>
    <w:multiLevelType w:val="hybridMultilevel"/>
    <w:lvl w:ilvl="0">
      <w:lvlJc w:val="left"/>
      <w:lvlText w:val="(%1)"/>
      <w:numFmt w:val="lowerLetter"/>
      <w:start w:val="61"/>
    </w:lvl>
    <w:lvl w:ilvl="1">
      <w:lvlJc w:val="left"/>
      <w:lvlText w:val="(%2)"/>
      <w:numFmt w:val="lowerLetter"/>
      <w:start w:val="5"/>
    </w:lvl>
  </w:abstractNum>
  <w:abstractNum w:abstractNumId="106">
    <w:nsid w:val="5EC6AFD4"/>
    <w:multiLevelType w:val="hybridMultilevel"/>
    <w:lvl w:ilvl="0">
      <w:lvlJc w:val="left"/>
      <w:lvlText w:val="(%1)"/>
      <w:numFmt w:val="lowerRoman"/>
      <w:start w:val="1"/>
    </w:lvl>
  </w:abstractNum>
  <w:abstractNum w:abstractNumId="107">
    <w:nsid w:val="19E21BB2"/>
    <w:multiLevelType w:val="hybridMultilevel"/>
    <w:lvl w:ilvl="0">
      <w:lvlJc w:val="left"/>
      <w:lvlText w:val="(%1)"/>
      <w:numFmt w:val="lowerRoman"/>
      <w:start w:val="6"/>
    </w:lvl>
  </w:abstractNum>
  <w:abstractNum w:abstractNumId="108">
    <w:nsid w:val="75E0858A"/>
    <w:multiLevelType w:val="hybridMultilevel"/>
    <w:lvl w:ilvl="0">
      <w:lvlJc w:val="left"/>
      <w:lvlText w:val="(%1)"/>
      <w:numFmt w:val="lowerRoman"/>
      <w:start w:val="1"/>
    </w:lvl>
  </w:abstractNum>
  <w:abstractNum w:abstractNumId="109">
    <w:nsid w:val="57A61A29"/>
    <w:multiLevelType w:val="hybridMultilevel"/>
    <w:lvl w:ilvl="0">
      <w:lvlJc w:val="left"/>
      <w:lvlText w:val="(%1)"/>
      <w:numFmt w:val="lowerLetter"/>
      <w:start w:val="1"/>
    </w:lvl>
  </w:abstractNum>
  <w:abstractNum w:abstractNumId="110">
    <w:nsid w:val="5399C654"/>
    <w:multiLevelType w:val="hybridMultilevel"/>
    <w:lvl w:ilvl="0">
      <w:lvlJc w:val="left"/>
      <w:lvlText w:val="(%1)"/>
      <w:numFmt w:val="lowerLetter"/>
      <w:start w:val="4"/>
    </w:lvl>
    <w:lvl w:ilvl="1">
      <w:lvlJc w:val="left"/>
      <w:lvlText w:val="(%2)"/>
      <w:numFmt w:val="lowerRoman"/>
      <w:start w:val="1"/>
    </w:lvl>
  </w:abstractNum>
  <w:abstractNum w:abstractNumId="111">
    <w:nsid w:val="20EE1348"/>
    <w:multiLevelType w:val="hybridMultilevel"/>
    <w:lvl w:ilvl="0">
      <w:lvlJc w:val="left"/>
      <w:lvlText w:val="(%1)"/>
      <w:numFmt w:val="lowerLetter"/>
      <w:start w:val="5"/>
    </w:lvl>
  </w:abstractNum>
  <w:abstractNum w:abstractNumId="112">
    <w:nsid w:val="4427069A"/>
    <w:multiLevelType w:val="hybridMultilevel"/>
    <w:lvl w:ilvl="0">
      <w:lvlJc w:val="left"/>
      <w:lvlText w:val="(%1)"/>
      <w:numFmt w:val="lowerLetter"/>
      <w:start w:val="1"/>
    </w:lvl>
  </w:abstractNum>
  <w:abstractNum w:abstractNumId="113">
    <w:nsid w:val="B37E80A"/>
    <w:multiLevelType w:val="hybridMultilevel"/>
    <w:lvl w:ilvl="0">
      <w:lvlJc w:val="left"/>
      <w:lvlText w:val="(%1)"/>
      <w:numFmt w:val="lowerLetter"/>
      <w:start w:val="3"/>
    </w:lvl>
  </w:abstractNum>
  <w:abstractNum w:abstractNumId="114">
    <w:nsid w:val="2157F6BC"/>
    <w:multiLevelType w:val="hybridMultilevel"/>
    <w:lvl w:ilvl="0">
      <w:lvlJc w:val="left"/>
      <w:lvlText w:val="(%1)"/>
      <w:numFmt w:val="lowerLetter"/>
      <w:start w:val="1"/>
    </w:lvl>
  </w:abstractNum>
  <w:abstractNum w:abstractNumId="115">
    <w:nsid w:val="704E1DD5"/>
    <w:multiLevelType w:val="hybridMultilevel"/>
    <w:lvl w:ilvl="0">
      <w:lvlJc w:val="left"/>
      <w:lvlText w:val="(%1)"/>
      <w:numFmt w:val="lowerLetter"/>
      <w:start w:val="3"/>
    </w:lvl>
  </w:abstractNum>
  <w:abstractNum w:abstractNumId="116">
    <w:nsid w:val="57D2F10E"/>
    <w:multiLevelType w:val="hybridMultilevel"/>
    <w:lvl w:ilvl="0">
      <w:lvlJc w:val="left"/>
      <w:lvlText w:val="(%1)"/>
      <w:numFmt w:val="lowerRoman"/>
      <w:start w:val="1"/>
    </w:lvl>
  </w:abstractNum>
  <w:abstractNum w:abstractNumId="117">
    <w:nsid w:val="BFFAE18"/>
    <w:multiLevelType w:val="hybridMultilevel"/>
    <w:lvl w:ilvl="0">
      <w:lvlJc w:val="left"/>
      <w:lvlText w:val="(%1)"/>
      <w:numFmt w:val="lowerRoman"/>
      <w:start w:val="1"/>
    </w:lvl>
  </w:abstractNum>
  <w:abstractNum w:abstractNumId="118">
    <w:nsid w:val="E3E47A8"/>
    <w:multiLevelType w:val="hybridMultilevel"/>
    <w:lvl w:ilvl="0">
      <w:lvlJc w:val="left"/>
      <w:lvlText w:val="(%1)"/>
      <w:numFmt w:val="lowerRoman"/>
      <w:start w:val="8"/>
    </w:lvl>
  </w:abstractNum>
  <w:abstractNum w:abstractNumId="119">
    <w:nsid w:val="2E48F044"/>
    <w:multiLevelType w:val="hybridMultilevel"/>
    <w:lvl w:ilvl="0">
      <w:lvlJc w:val="left"/>
      <w:lvlText w:val="(%1)"/>
      <w:numFmt w:val="lowerRoman"/>
      <w:start w:val="1"/>
    </w:lvl>
  </w:abstractNum>
  <w:abstractNum w:abstractNumId="120">
    <w:nsid w:val="49D0FEAC"/>
    <w:multiLevelType w:val="hybridMultilevel"/>
    <w:lvl w:ilvl="0">
      <w:lvlJc w:val="left"/>
      <w:lvlText w:val="(%1)"/>
      <w:numFmt w:val="lowerRoman"/>
      <w:start w:val="2"/>
    </w:lvl>
  </w:abstractNum>
  <w:abstractNum w:abstractNumId="121">
    <w:nsid w:val="4BEE5A5B"/>
    <w:multiLevelType w:val="hybridMultilevel"/>
    <w:lvl w:ilvl="0">
      <w:lvlJc w:val="left"/>
      <w:lvlText w:val="(%1)"/>
      <w:numFmt w:val="lowerRoman"/>
      <w:start w:val="1"/>
    </w:lvl>
  </w:abstractNum>
  <w:abstractNum w:abstractNumId="122">
    <w:nsid w:val="5551B9F3"/>
    <w:multiLevelType w:val="hybridMultilevel"/>
    <w:lvl w:ilvl="0">
      <w:lvlJc w:val="left"/>
      <w:lvlText w:val="(%1)"/>
      <w:numFmt w:val="lowerLetter"/>
      <w:start w:val="2"/>
    </w:lvl>
  </w:abstractNum>
  <w:abstractNum w:abstractNumId="123">
    <w:nsid w:val="24F6AB8E"/>
    <w:multiLevelType w:val="hybridMultilevel"/>
    <w:lvl w:ilvl="0">
      <w:lvlJc w:val="left"/>
      <w:lvlText w:val="%1"/>
      <w:numFmt w:val="upperLetter"/>
      <w:start w:val="1"/>
    </w:lvl>
    <w:lvl w:ilvl="1">
      <w:lvlJc w:val="left"/>
      <w:lvlText w:val="(%2)"/>
      <w:numFmt w:val="lowerRoman"/>
      <w:start w:val="1"/>
    </w:lvl>
  </w:abstractNum>
  <w:abstractNum w:abstractNumId="124">
    <w:nsid w:val="634C574C"/>
    <w:multiLevelType w:val="hybridMultilevel"/>
    <w:lvl w:ilvl="0">
      <w:lvlJc w:val="left"/>
      <w:lvlText w:val="(%1)"/>
      <w:numFmt w:val="upperLetter"/>
      <w:start w:val="2"/>
    </w:lvl>
    <w:lvl w:ilvl="1">
      <w:lvlJc w:val="left"/>
      <w:lvlText w:val="(%2)"/>
      <w:numFmt w:val="lowerRoman"/>
      <w:start w:val="2"/>
    </w:lvl>
  </w:abstractNum>
  <w:abstractNum w:abstractNumId="125">
    <w:nsid w:val="24E99DD7"/>
    <w:multiLevelType w:val="hybridMultilevel"/>
    <w:lvl w:ilvl="0">
      <w:lvlJc w:val="left"/>
      <w:lvlText w:val="%1"/>
      <w:numFmt w:val="lowerRoman"/>
      <w:start w:val="1"/>
    </w:lvl>
    <w:lvl w:ilvl="1">
      <w:lvlJc w:val="left"/>
      <w:lvlText w:val="(%2)"/>
      <w:numFmt w:val="lowerRoman"/>
      <w:start w:val="3"/>
    </w:lvl>
  </w:abstractNum>
  <w:abstractNum w:abstractNumId="126">
    <w:nsid w:val="2A31B62D"/>
    <w:multiLevelType w:val="hybridMultilevel"/>
    <w:lvl w:ilvl="0">
      <w:lvlJc w:val="left"/>
      <w:lvlText w:val="(%1)"/>
      <w:numFmt w:val="lowerRoman"/>
      <w:start w:val="1"/>
    </w:lvl>
    <w:lvl w:ilvl="1">
      <w:lvlJc w:val="left"/>
      <w:lvlText w:val="(%2)"/>
      <w:numFmt w:val="lowerRoman"/>
      <w:start w:val="5"/>
    </w:lvl>
  </w:abstractNum>
  <w:abstractNum w:abstractNumId="127">
    <w:nsid w:val="1849C29B"/>
    <w:multiLevelType w:val="hybridMultilevel"/>
    <w:lvl w:ilvl="0">
      <w:lvlJc w:val="left"/>
      <w:lvlText w:val="(%1)"/>
      <w:numFmt w:val="lowerLetter"/>
      <w:start w:val="1"/>
    </w:lvl>
  </w:abstractNum>
  <w:abstractNum w:abstractNumId="128">
    <w:nsid w:val="7DFF9D09"/>
    <w:multiLevelType w:val="hybridMultilevel"/>
    <w:lvl w:ilvl="0">
      <w:lvlJc w:val="left"/>
      <w:lvlText w:val="(%1)"/>
      <w:numFmt w:val="lowerLetter"/>
      <w:start w:val="1"/>
    </w:lvl>
  </w:abstractNum>
  <w:abstractNum w:abstractNumId="129">
    <w:nsid w:val="754342"/>
    <w:multiLevelType w:val="hybridMultilevel"/>
    <w:lvl w:ilvl="0">
      <w:lvlJc w:val="left"/>
      <w:lvlText w:val="(%1)"/>
      <w:numFmt w:val="lowerRoman"/>
      <w:start w:val="1"/>
    </w:lvl>
  </w:abstractNum>
  <w:abstractNum w:abstractNumId="130">
    <w:nsid w:val="69E7F3E5"/>
    <w:multiLevelType w:val="hybridMultilevel"/>
    <w:lvl w:ilvl="0">
      <w:lvlJc w:val="left"/>
      <w:lvlText w:val="(%1)"/>
      <w:numFmt w:val="lowerLetter"/>
      <w:start w:val="1"/>
    </w:lvl>
  </w:abstractNum>
  <w:abstractNum w:abstractNumId="131">
    <w:nsid w:val="2A6DE806"/>
    <w:multiLevelType w:val="hybridMultilevel"/>
    <w:lvl w:ilvl="0">
      <w:lvlJc w:val="left"/>
      <w:lvlText w:val="(%1)"/>
      <w:numFmt w:val="lowerRoman"/>
      <w:start w:val="1"/>
    </w:lvl>
  </w:abstractNum>
  <w:abstractNum w:abstractNumId="132">
    <w:nsid w:val="1816F8C4"/>
    <w:multiLevelType w:val="hybridMultilevel"/>
    <w:lvl w:ilvl="0">
      <w:lvlJc w:val="left"/>
      <w:lvlText w:val="(%1)"/>
      <w:numFmt w:val="lowerRoman"/>
      <w:start w:val="3"/>
    </w:lvl>
  </w:abstractNum>
  <w:abstractNum w:abstractNumId="133">
    <w:nsid w:val="37DF2233"/>
    <w:multiLevelType w:val="hybridMultilevel"/>
    <w:lvl w:ilvl="0">
      <w:lvlJc w:val="left"/>
      <w:lvlText w:val="(%1)"/>
      <w:numFmt w:val="decimal"/>
      <w:start w:val="1"/>
    </w:lvl>
  </w:abstractNum>
  <w:abstractNum w:abstractNumId="134">
    <w:nsid w:val="7AB49DAF"/>
    <w:multiLevelType w:val="hybridMultilevel"/>
    <w:lvl w:ilvl="0">
      <w:lvlJc w:val="left"/>
      <w:lvlText w:val="(%1)"/>
      <w:numFmt w:val="lowerLetter"/>
      <w:start w:val="1"/>
    </w:lvl>
  </w:abstractNum>
  <w:abstractNum w:abstractNumId="135">
    <w:nsid w:val="759F82CD"/>
    <w:multiLevelType w:val="hybridMultilevel"/>
    <w:lvl w:ilvl="0">
      <w:lvlJc w:val="left"/>
      <w:lvlText w:val="(%1)"/>
      <w:numFmt w:val="lowerLetter"/>
      <w:start w:val="5"/>
    </w:lvl>
    <w:lvl w:ilvl="1">
      <w:lvlJc w:val="left"/>
      <w:lvlText w:val="(%2)"/>
      <w:numFmt w:val="lowerLetter"/>
      <w:start w:val="9"/>
    </w:lvl>
  </w:abstractNum>
  <w:abstractNum w:abstractNumId="136">
    <w:nsid w:val="61E74EA3"/>
    <w:multiLevelType w:val="hybridMultilevel"/>
    <w:lvl w:ilvl="0">
      <w:lvlJc w:val="left"/>
      <w:lvlText w:val="(%1)"/>
      <w:numFmt w:val="lowerLetter"/>
      <w:start w:val="1"/>
    </w:lvl>
  </w:abstractNum>
  <w:abstractNum w:abstractNumId="137">
    <w:nsid w:val="597B4D84"/>
    <w:multiLevelType w:val="hybridMultilevel"/>
    <w:lvl w:ilvl="0">
      <w:lvlJc w:val="left"/>
      <w:lvlText w:val="(%1)"/>
      <w:numFmt w:val="lowerLetter"/>
      <w:start w:val="1"/>
    </w:lvl>
  </w:abstractNum>
  <w:abstractNum w:abstractNumId="138">
    <w:nsid w:val="F819E7F"/>
    <w:multiLevelType w:val="hybridMultilevel"/>
    <w:lvl w:ilvl="0">
      <w:lvlJc w:val="left"/>
      <w:lvlText w:val="(%1)"/>
      <w:numFmt w:val="lowerLetter"/>
      <w:start w:val="2"/>
    </w:lvl>
  </w:abstractNum>
  <w:abstractNum w:abstractNumId="139">
    <w:nsid w:val="57C7D42D"/>
    <w:multiLevelType w:val="hybridMultilevel"/>
    <w:lvl w:ilvl="0">
      <w:lvlJc w:val="left"/>
      <w:lvlText w:val="(%1)"/>
      <w:numFmt w:val="lowerRoman"/>
      <w:start w:val="2"/>
    </w:lvl>
  </w:abstractNum>
  <w:abstractNum w:abstractNumId="140">
    <w:nsid w:val="312167AD"/>
    <w:multiLevelType w:val="hybridMultilevel"/>
    <w:lvl w:ilvl="0">
      <w:lvlJc w:val="left"/>
      <w:lvlText w:val="%1"/>
      <w:numFmt w:val="lowerLetter"/>
      <w:start w:val="1"/>
    </w:lvl>
    <w:lvl w:ilvl="1">
      <w:lvlJc w:val="left"/>
      <w:lvlText w:val="(%2)"/>
      <w:numFmt w:val="lowerRoman"/>
      <w:start w:val="4"/>
    </w:lvl>
  </w:abstractNum>
  <w:abstractNum w:abstractNumId="141">
    <w:nsid w:val="631B64D4"/>
    <w:multiLevelType w:val="hybridMultilevel"/>
    <w:lvl w:ilvl="0">
      <w:lvlJc w:val="left"/>
      <w:lvlText w:val="(%1)"/>
      <w:numFmt w:val="lowerLetter"/>
      <w:start w:val="9"/>
    </w:lvl>
    <w:lvl w:ilvl="1">
      <w:lvlJc w:val="left"/>
      <w:lvlText w:val="%2"/>
      <w:numFmt w:val="lowerRoman"/>
      <w:start w:val="1"/>
    </w:lvl>
  </w:abstractNum>
  <w:abstractNum w:abstractNumId="142">
    <w:nsid w:val="78B5E776"/>
    <w:multiLevelType w:val="hybridMultilevel"/>
    <w:lvl w:ilvl="0">
      <w:lvlJc w:val="left"/>
      <w:lvlText w:val="(%1)"/>
      <w:numFmt w:val="decimal"/>
      <w:start w:val="1"/>
    </w:lvl>
  </w:abstractNum>
  <w:abstractNum w:abstractNumId="143">
    <w:nsid w:val="75486E47"/>
    <w:multiLevelType w:val="hybridMultilevel"/>
    <w:lvl w:ilvl="0">
      <w:lvlJc w:val="left"/>
      <w:lvlText w:val="(%1)"/>
      <w:numFmt w:val="decimal"/>
      <w:start w:val="1"/>
    </w:lvl>
  </w:abstractNum>
  <w:abstractNum w:abstractNumId="144">
    <w:nsid w:val="6E534CDE"/>
    <w:multiLevelType w:val="hybridMultilevel"/>
    <w:lvl w:ilvl="0">
      <w:lvlJc w:val="left"/>
      <w:lvlText w:val="(%1)"/>
      <w:numFmt w:val="lowerRoman"/>
      <w:start w:val="2"/>
    </w:lvl>
  </w:abstractNum>
  <w:abstractNum w:abstractNumId="145">
    <w:nsid w:val="1A0DDE32"/>
    <w:multiLevelType w:val="hybridMultilevel"/>
    <w:lvl w:ilvl="0">
      <w:lvlJc w:val="left"/>
      <w:lvlText w:val="(%1)"/>
      <w:numFmt w:val="lowerLetter"/>
      <w:start w:val="1"/>
    </w:lvl>
  </w:abstractNum>
  <w:abstractNum w:abstractNumId="146">
    <w:nsid w:val="65968C1C"/>
    <w:multiLevelType w:val="hybridMultilevel"/>
    <w:lvl w:ilvl="0">
      <w:lvlJc w:val="left"/>
      <w:lvlText w:val="(%1)"/>
      <w:numFmt w:val="lowerLetter"/>
      <w:start w:val="1"/>
    </w:lvl>
  </w:abstractNum>
  <w:abstractNum w:abstractNumId="147">
    <w:nsid w:val="46263DEC"/>
    <w:multiLevelType w:val="hybridMultilevel"/>
    <w:lvl w:ilvl="0">
      <w:lvlJc w:val="left"/>
      <w:lvlText w:val="*"/>
      <w:numFmt w:val="bullet"/>
      <w:start w:val="1"/>
    </w:lvl>
  </w:abstractNum>
  <w:abstractNum w:abstractNumId="148">
    <w:nsid w:val="260D8C4A"/>
    <w:multiLevelType w:val="hybridMultilevel"/>
    <w:lvl w:ilvl="0">
      <w:lvlJc w:val="left"/>
      <w:lvlText w:val="☐"/>
      <w:numFmt w:val="bullet"/>
      <w:start w:val="1"/>
    </w:lvl>
  </w:abstractNum>
  <w:abstractNum w:abstractNumId="149">
    <w:nsid w:val="73D4D3C4"/>
    <w:multiLevelType w:val="hybridMultilevel"/>
    <w:lvl w:ilvl="0">
      <w:lvlJc w:val="left"/>
      <w:lvlText w:val="*"/>
      <w:numFmt w:val="bullet"/>
      <w:start w:val="1"/>
    </w:lvl>
  </w:abstractNum>
  <w:abstractNum w:abstractNumId="150">
    <w:nsid w:val="746F2E30"/>
    <w:multiLevelType w:val="hybridMultilevel"/>
    <w:lvl w:ilvl="0">
      <w:lvlJc w:val="left"/>
      <w:lvlText w:val="(%1)"/>
      <w:numFmt w:val="lowerRoman"/>
      <w:start w:val="3"/>
    </w:lvl>
  </w:abstractNum>
  <w:abstractNum w:abstractNumId="151">
    <w:nsid w:val="6FDE8AF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2024-01-16T15:17:55Z</dcterms:created>
  <dcterms:modified xsi:type="dcterms:W3CDTF">2024-01-16T15:17:55Z</dcterms:modified>
</cp:coreProperties>
</file>