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27-3380000</w:t>
      </w:r>
    </w:p>
    <w:p>
      <w:pPr>
        <w:spacing w:after="0" w:line="12" w:lineRule="exact"/>
        <w:rPr>
          <w:sz w:val="24"/>
          <w:szCs w:val="24"/>
          <w:color w:val="auto"/>
        </w:rPr>
      </w:pPr>
    </w:p>
    <w:p>
      <w:pPr>
        <w:sectPr>
          <w:pgSz w:w="11900" w:h="16838" w:orient="portrait"/>
          <w:cols w:equalWidth="0" w:num="3">
            <w:col w:w="4740" w:space="720"/>
            <w:col w:w="298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301 Commerce Street, Suite 3300</w:t>
      </w:r>
    </w:p>
    <w:p>
      <w:pPr>
        <w:spacing w:after="0" w:line="4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76102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jc w:val="both"/>
        <w:ind w:firstLine="913"/>
        <w:spacing w:after="0" w:line="282" w:lineRule="auto"/>
        <w:rPr>
          <w:sz w:val="20"/>
          <w:szCs w:val="20"/>
          <w:color w:val="auto"/>
        </w:rPr>
      </w:pPr>
      <w:r>
        <w:rPr>
          <w:rFonts w:ascii="Times New Roman" w:cs="Times New Roman" w:eastAsia="Times New Roman" w:hAnsi="Times New Roman"/>
          <w:sz w:val="18"/>
          <w:szCs w:val="18"/>
          <w:color w:val="auto"/>
        </w:rPr>
        <w:t>On August 4, 2014, the registrant issued a press release announcing its financial results for the quarter ended June 30, 2014. The text of the press release is included as Exhibit 99.1 to this Form 8-K.</w:t>
      </w:r>
    </w:p>
    <w:p>
      <w:pPr>
        <w:spacing w:after="0" w:line="162"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On August 4, 2014, the registrant issued a press release, included herewith as Exhibit 99.1, announcing the declaration of a third fiscal quarter 2014 dividend of $0.38 per share, payable on or about October 31, 2014 to stockholders of record as of September 30, 2014.</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as of August 4, 2014</w:t>
      </w:r>
    </w:p>
    <w:p>
      <w:pPr>
        <w:sectPr>
          <w:pgSz w:w="11900" w:h="16838" w:orient="portrait"/>
          <w:cols w:equalWidth="0" w:num="1">
            <w:col w:w="11360"/>
          </w:cols>
          <w:pgMar w:left="240" w:top="266" w:right="29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August 4, 2014</w:t>
      </w:r>
      <w:r>
        <w:rPr>
          <w:sz w:val="20"/>
          <w:szCs w:val="20"/>
          <w:color w:val="auto"/>
        </w:rPr>
        <w:tab/>
      </w:r>
      <w:r>
        <w:rPr>
          <w:rFonts w:ascii="Times New Roman" w:cs="Times New Roman" w:eastAsia="Times New Roman" w:hAnsi="Times New Roman"/>
          <w:sz w:val="18"/>
          <w:szCs w:val="18"/>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Alan Kirshenbaum</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80"/>
          </w:cols>
          <w:pgMar w:left="240" w:top="27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7" w:lineRule="exact"/>
        <w:rPr>
          <w:sz w:val="20"/>
          <w:szCs w:val="20"/>
          <w:color w:val="auto"/>
        </w:rPr>
      </w:pPr>
    </w:p>
    <w:p>
      <w:pPr>
        <w:ind w:right="4660"/>
        <w:spacing w:after="0" w:line="317" w:lineRule="auto"/>
        <w:rPr>
          <w:sz w:val="20"/>
          <w:szCs w:val="20"/>
          <w:color w:val="auto"/>
        </w:rPr>
      </w:pPr>
      <w:r>
        <w:rPr>
          <w:rFonts w:ascii="Times New Roman" w:cs="Times New Roman" w:eastAsia="Times New Roman" w:hAnsi="Times New Roman"/>
          <w:sz w:val="17"/>
          <w:szCs w:val="17"/>
          <w:b w:val="1"/>
          <w:bCs w:val="1"/>
          <w:color w:val="auto"/>
        </w:rPr>
        <w:t>TPG Specialty Lending, Inc. Announces Quarter Ended June 30, 2014 Financial Results Declares Quarterly Dividend of $0.38 per share for the Third Fiscal Quarter of 2014</w:t>
      </w:r>
    </w:p>
    <w:p>
      <w:pPr>
        <w:spacing w:after="0" w:line="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NEW YORK—(BUSINESS WIRE)—August 4, 2014—TPG Specialty Lending, Inc. (NYSE: TSLX) today reported net income of $27.3 million, or $0.51 per share, for the quarter ended June 30, 2014. Net investment income was $29.4 million, or $0.55 per share, for the second quarter. Net asset value per share was $15.70 at June 30, 2014, up $0.19 per share as compared to March 31, 2014. The Company’s Board of Directors declared a second quarter dividend of $0.38 per share payable to stockholders of record as of June 30, 2014 that was paid on July 31, 2014.</w:t>
      </w:r>
    </w:p>
    <w:p>
      <w:pPr>
        <w:spacing w:after="0" w:line="18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its Board of Directors has declared a quarterly dividend of $0.38 per share for its third fiscal quarter of 2014 for stockholders of record as of September 30, 2014, payable on or about October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p>
      <w:pPr>
        <w:jc w:val="center"/>
        <w:ind w:left="5040"/>
        <w:spacing w:after="0" w:line="229"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ind w:left="5040"/>
        <w:spacing w:after="0" w:line="232" w:lineRule="auto"/>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92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7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1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2013</w:t>
            </w:r>
          </w:p>
        </w:tc>
        <w:tc>
          <w:tcPr>
            <w:tcW w:w="200" w:type="dxa"/>
            <w:vAlign w:val="bottom"/>
          </w:tcPr>
          <w:p>
            <w:pPr>
              <w:spacing w:after="0"/>
              <w:rPr>
                <w:sz w:val="16"/>
                <w:szCs w:val="16"/>
                <w:color w:val="auto"/>
              </w:rPr>
            </w:pPr>
          </w:p>
        </w:tc>
      </w:tr>
      <w:tr>
        <w:trPr>
          <w:trHeight w:val="60"/>
        </w:trPr>
        <w:tc>
          <w:tcPr>
            <w:tcW w:w="4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90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$ 1,129,199</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1,195,539</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786,984</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$ 1,178,790</w:t>
            </w: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1,251,464</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931,137</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15.70</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15.51</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shd w:val="clear" w:color="auto" w:fill="CCEEFF"/>
          </w:tcPr>
          <w:p>
            <w:pPr>
              <w:spacing w:after="0"/>
              <w:rPr>
                <w:sz w:val="18"/>
                <w:szCs w:val="18"/>
                <w:color w:val="auto"/>
              </w:rPr>
            </w:pPr>
          </w:p>
        </w:tc>
      </w:tr>
      <w:tr>
        <w:trPr>
          <w:trHeight w:val="32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45,657</w:t>
            </w: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33,481</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20,940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29,433</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21,242</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12,817</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2,139)</w:t>
            </w: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4,106</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27,294</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25,348</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14,208</w:t>
            </w:r>
          </w:p>
        </w:tc>
      </w:tr>
      <w:tr>
        <w:trPr>
          <w:trHeight w:val="32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0.55</w:t>
            </w: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0.51</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Per Share</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0.10</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0.51</w:t>
            </w: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0.61</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0.41</w:t>
            </w:r>
          </w:p>
        </w:tc>
      </w:tr>
      <w:tr>
        <w:trPr>
          <w:trHeight w:val="90"/>
        </w:trPr>
        <w:tc>
          <w:tcPr>
            <w:tcW w:w="4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Other Income Producing</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at Fair Value</w:t>
            </w: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Other Income Producing</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at Amortized Cost</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108"/>
        </w:trPr>
        <w:tc>
          <w:tcPr>
            <w:tcW w:w="4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365"/>
        </w:trPr>
        <w:tc>
          <w:tcPr>
            <w:tcW w:w="466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Conference Call Information:</w:t>
      </w:r>
    </w:p>
    <w:p>
      <w:pPr>
        <w:spacing w:after="0" w:line="11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 xml:space="preserve">The conference call will be broadcast live at 8 a.m. Eastern Standard Time on August 5, 2014 via the Investor Resources section of our website at </w:t>
      </w:r>
      <w:r>
        <w:rPr>
          <w:rFonts w:ascii="Times New Roman" w:cs="Times New Roman" w:eastAsia="Times New Roman" w:hAnsi="Times New Roman"/>
          <w:sz w:val="18"/>
          <w:szCs w:val="18"/>
          <w:u w:val="single" w:color="auto"/>
          <w:color w:val="auto"/>
        </w:rPr>
        <w:t>http://www.tpgspecialtylending.com</w:t>
      </w:r>
      <w:r>
        <w:rPr>
          <w:rFonts w:ascii="Times New Roman" w:cs="Times New Roman" w:eastAsia="Times New Roman" w:hAnsi="Times New Roman"/>
          <w:sz w:val="18"/>
          <w:szCs w:val="18"/>
          <w:color w:val="auto"/>
        </w:rPr>
        <w:t>. Please visit the website to test your connection before the webcast.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(877) 359-9508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74148975</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Replay Information:</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 archived replay will be available from approximately 12:00 p.m. on August 5 through August 19 through a webcast link located on the Investor Resources section of our website, and via the dial-in numbers listed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(855) 859-2056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74148975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2014, originations totaled $157.1 million. This compares to $369.6 million for the three months ended March 31, 2014 and $266.2 million for the three months ended June 30, 2013.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2014, we made new investment commitments of $116.4 million, $114.0 million in four new portfolio companies and</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$2.4 million in two existing portfolio companies. For this period, we had $159.2 million aggregate principal amount in exits and repayments, resulting in a net portfolio decrease of $54.8 million aggregate principal amount.</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2013, we made new investment commitments of $176.1 million, $171.6 million in four new portfolio companies and $4.5 million in one existing portfolio company. For this period, we had $11.4 million aggregate principal amount in exits and repayments, resulting in a net portfolio increase of $169.9 million aggregate principal amount.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2014 and March 31, 2014, we had investments in 31 and 30 portfolio companies, respectively, with an aggregate fair value of $1,129.2 million and $1,195.5 million, respectively.</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June 30, 2014, our portfolio at fair value consisted of 85.9% first-lien debt investments, 12.7% second-lien debt investments, 0.4% mezzanine debt investments, and 1.0 % equity investments. As of March 31, 2014, our portfolio at fair value consisted of 82.4% first-lien debt investments, 17.0% second-lien debt investments, 0.4% mezzanine debt investments, and 0.2% equity investments.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June 30, 2014, 98% of our debt investments bore interest at floating rates, subject to interest rate floors. Our credit facilities also bear interest at floating rates.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and June 30, 2014 and March 31, 2014, respectively, our weighted average total yield of debt and income producing securities at fair value (which includes interest income and amortization of fees and discounts) was 10.3% and 10.2%, respectively, and our weighted average total yield of debt and income producing securities at amortized cost (which includes interest income and amortization of fees and discounts) was 10.5% and 10.4%, respectively.</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2014, 100% of our debt investments by fair value were meeting all covenant and payment requirements, and we had no investments on non-accrual status.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5" w:name="page6"/>
    <w:bookmarkEnd w:id="5"/>
    <w:p>
      <w:pPr>
        <w:ind w:right="2360"/>
        <w:spacing w:after="0" w:line="37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Results of Operations for the Three Months Ended June 30, 2014 compared to the Three Months Ended June 30, 2013 </w:t>
      </w:r>
      <w:r>
        <w:rPr>
          <w:rFonts w:ascii="Times New Roman" w:cs="Times New Roman" w:eastAsia="Times New Roman" w:hAnsi="Times New Roman"/>
          <w:sz w:val="18"/>
          <w:szCs w:val="18"/>
          <w:b w:val="1"/>
          <w:bCs w:val="1"/>
          <w:i w:val="1"/>
          <w:iCs w:val="1"/>
          <w:color w:val="auto"/>
        </w:rPr>
        <w:t>Investment Income</w:t>
      </w: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2014 and 2013, investment income totaled $45.7 million and $20.9 million, respectively. The increase in investment income for the quarter was primarily driven by strong asset growth and accelerated amortization and prepayment fees during the second quarter of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expenses totaled $16.0 million and $8.1 million, respectively, for the three months ended June 30, 2014 and 2013. The increase in net expenses was primarily due to higher average borrowings, higher incentive fees due to higher net investment income, and higher professional fees and other general and administrative expenses associated with servicing a larger investment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April 2014, an additional 1,050,000 shares of common stock were issued pursuant to the exercise of the underwriters’ over-allotment option in connection with the public offering of our common stock. Net of underwriting fees and offering costs, we received total cash proceeds of $15.4 million.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2014, we entered into agreements with various financial institutions pursuant to which each of the institutions agreed to provide commitments through the accordion feature of our Revolving Credit Facility, increasing the aggregate commitments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June 2014, we issued in a private placement $115 million aggregate principal amount convertible senior notes due December 2019. We used the net proceeds of the offering to pay down debt under the Revolving Credit Facility. In connection with the offering of Convertible Senior Notes, we entered into an interest rate swap to continue to align the interest rates of our liabilities with our investment portfolio, which consists of predominately floating rate loans. As a result of the swap, our effective interest rate on the Convertible Senior Notes is three-month LIBOR plus 252.9 basis points.</w:t>
      </w:r>
    </w:p>
    <w:p>
      <w:pPr>
        <w:spacing w:after="0" w:line="180"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As of June 30, 2014, we had $6.5 million in cash and cash equivalents, a decrease of $22.3 million from March 31, 2014. The decrease was primarily attributable to drawing cash to increase the size of two existing investments at the end of the March 31, 2014 period. Those transactions funded in the beginning of the June 30, 2014 quarter.</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June 30, 2014, we had total debt outstanding of $296 million, and $771 million available to draw, subject to borrowing base limitations or other requirements. Our average stated interest rate on debt outstanding was 2.7% for the three months ended June 30, 2014, as compared to 2.8% for the three months ended June 30,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recently received BBB- ratings from Fitch Ratings and is now rated investment grade by both Fitch Ratings and Standard and Poor’s.</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3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Borders>
              <w:top w:val="single" w:sz="8" w:color="auto"/>
            </w:tcBorders>
            <w:gridSpan w:val="3"/>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2014</w:t>
            </w:r>
          </w:p>
        </w:tc>
        <w:tc>
          <w:tcPr>
            <w:tcW w:w="9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2013</w:t>
            </w:r>
          </w:p>
        </w:tc>
        <w:tc>
          <w:tcPr>
            <w:tcW w:w="540" w:type="dxa"/>
            <w:vAlign w:val="bottom"/>
          </w:tcPr>
          <w:p>
            <w:pPr>
              <w:spacing w:after="0"/>
              <w:rPr>
                <w:sz w:val="12"/>
                <w:szCs w:val="12"/>
                <w:color w:val="auto"/>
              </w:rPr>
            </w:pPr>
          </w:p>
        </w:tc>
        <w:tc>
          <w:tcPr>
            <w:tcW w:w="122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2014</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from non-controlled, non-affiliated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44,425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19,861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75,543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8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Total investment income from non-controlled, non-affiliated</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45,270</w:t>
            </w:r>
          </w:p>
        </w:tc>
        <w:tc>
          <w:tcPr>
            <w:tcW w:w="10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20,940</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78,751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from controlled, affiliated 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investment income from controlled, affiliated investments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45,657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20,940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41,742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15,999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fees waived</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15,999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15,815</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Before Income Taxes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29,658</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and Realized Gain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of assets and liabilities in foreign currencies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8"/>
                <w:szCs w:val="18"/>
                <w:color w:val="auto"/>
              </w:rPr>
            </w:pP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net change in unrealized gains (losses)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realized gains (losses)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 Unrealized and Realized Gains (Losses)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52,642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Earnings per common share—basic and diluted </w:t>
            </w:r>
            <w:r>
              <w:rPr>
                <w:rFonts w:ascii="Times New Roman" w:cs="Times New Roman" w:eastAsia="Times New Roman" w:hAnsi="Times New Roman"/>
                <w:sz w:val="15"/>
                <w:szCs w:val="15"/>
                <w:color w:val="auto"/>
              </w:rPr>
              <w:t>(1)</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outstanding—basic and diluted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53,120,358</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34,270,130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47,361,713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33,419,945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0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amounts for the three and six months ended June 30, 2013 have been retroactively adjusted for the stock split which was effected in the form of a stock dividend.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24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$1,065,602 and $997,298, respectively)</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1,084,837</w:t>
            </w:r>
          </w:p>
        </w:tc>
        <w:tc>
          <w:tcPr>
            <w:tcW w:w="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Controlled, affiliated investments (amortized cost of $44,362 and $0, respectively)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44,362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 (amortized cost of $1,109,964 and $997,298, respectively)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1,129,199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7,239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35,103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1,178,790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296,392</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9,399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on foreign currency forward contracts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Payables to affiliate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7,982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53,348,890 and 37,027,022 shares issued,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 and 53,347,891 and 37,026,023 shares outstanding, respectively</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802,341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999 shares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on investments and foreign currency translation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21,255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net realized gains on investments, including foreign currency forward contracts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1,178,790</w:t>
            </w:r>
          </w:p>
        </w:tc>
        <w:tc>
          <w:tcPr>
            <w:tcW w:w="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4"/>
        </w:trPr>
        <w:tc>
          <w:tcPr>
            <w:tcW w:w="842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8" w:name="page9"/>
    <w:bookmarkEnd w:id="8"/>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investment activity for the three months ended June 30, 2014 and 2013 is presented below (information presented herein is at par value unless otherwise indicated).</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66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32"/>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52"/>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originations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First-lien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Second-lien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Mezzanine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First-lien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Second-lien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Mezzanine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new investment commitments in new portfolio companies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 new portfolio</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5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 commitments in new</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portfolio companies (in years)</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floating rates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fixed rates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 investment commitments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LIBOR of new floating rate</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 sold or paid down</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TPG Specialty Lending, Inc.</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TPG Specialty Lending, Inc.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 is externally managed by TSL Advisers, LLC (the “Adviser”), an SEC-registered investment adviser with offices throughout the United States. The Adviser sources and manages TSL’s portfolio through a dedicated team of investment professionals with significant expertise in middle market lending. TSL leverages the deep investment, sector, and operating resources of TPG Special Situations Partners (“TSSP”), the dedicated special situations and credit platform of TPG, with over $10 billion of assets under management as of June 30, 2014, and the broader TPG platform, a leading global private investment firm with over $59 billion of assets under management. For more information, visit our website at www.tpgspecialtylending.com.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our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those described from time to time in our filings with the Securities and Exchange Commission. We assume no obligation to update any such forward-looking statements. TPG Specialty Lending, Inc. undertakes no duty to update any forward-looking statements made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415-486-5939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IRTSL@tpg.com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Owen Blicksilver PR,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Hurson, 845-507-0571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jennifer@blicksilverpr.com</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820"/>
      </w:cols>
      <w:pgMar w:left="240" w:top="27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2019-12-07T23:45:42Z</dcterms:created>
  <dcterms:modified xsi:type="dcterms:W3CDTF">2019-12-07T23:45:42Z</dcterms:modified>
</cp:coreProperties>
</file>