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October 25,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October 25, 2019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3.875% Notes due 2024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25, 2019</w:t>
      </w:r>
    </w:p>
    <w:p>
      <w:pPr>
        <w:spacing w:after="0" w:line="211" w:lineRule="exact"/>
        <w:rPr>
          <w:sz w:val="24"/>
          <w:szCs w:val="24"/>
          <w:color w:val="auto"/>
        </w:rPr>
      </w:pPr>
    </w:p>
    <w:p>
      <w:pPr>
        <w:ind w:firstLine="456"/>
        <w:spacing w:after="0" w:line="297" w:lineRule="auto"/>
        <w:rPr>
          <w:sz w:val="20"/>
          <w:szCs w:val="20"/>
          <w:color w:val="auto"/>
        </w:rPr>
      </w:pPr>
      <w:r>
        <w:rPr>
          <w:rFonts w:ascii="Arial" w:cs="Arial" w:eastAsia="Arial" w:hAnsi="Arial"/>
          <w:sz w:val="16"/>
          <w:szCs w:val="16"/>
          <w:color w:val="auto"/>
        </w:rPr>
        <w:t>The following sets forth the final terms of the 3.875% Notes due 2024 and should only be read together with the preliminary prospectus supplement dated October 25, 2019,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Issuer:</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TPG Specialty Lending, Inc. (“TSLX”)</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Security:</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3.875% Notes due 2024</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Ratings (Moody’s/S&amp;P/Fitch)*:</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Baa3 / BBB- / BBB- (Stable / Stable / Stable)</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Aggregate Principal Amount Offered:</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$300,000,000</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Maturity Date:</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November 1, 2024, unless earlier repurchased or redeemed</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Trade Date:</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October 25, 2019</w:t>
            </w:r>
          </w:p>
        </w:tc>
      </w:tr>
      <w:tr>
        <w:trPr>
          <w:trHeight w:val="310"/>
        </w:trPr>
        <w:tc>
          <w:tcPr>
            <w:tcW w:w="3140" w:type="dxa"/>
            <w:vAlign w:val="bottom"/>
          </w:tcPr>
          <w:p>
            <w:pPr>
              <w:spacing w:after="0"/>
              <w:rPr>
                <w:sz w:val="20"/>
                <w:szCs w:val="20"/>
                <w:color w:val="auto"/>
              </w:rPr>
            </w:pPr>
            <w:r>
              <w:rPr>
                <w:rFonts w:ascii="Arial" w:cs="Arial" w:eastAsia="Arial" w:hAnsi="Arial"/>
                <w:sz w:val="18"/>
                <w:szCs w:val="18"/>
                <w:color w:val="auto"/>
              </w:rPr>
              <w:t>Price to Public (Issue Price):</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w w:val="93"/>
              </w:rPr>
              <w:t>The Notes will be issued at a price of 99.032% of their principal amount, plus accrued interest, if any, from</w:t>
            </w:r>
          </w:p>
        </w:tc>
      </w:tr>
      <w:tr>
        <w:trPr>
          <w:trHeight w:val="230"/>
        </w:trPr>
        <w:tc>
          <w:tcPr>
            <w:tcW w:w="3140" w:type="dxa"/>
            <w:vAlign w:val="bottom"/>
          </w:tcPr>
          <w:p>
            <w:pPr>
              <w:spacing w:after="0"/>
              <w:rPr>
                <w:sz w:val="20"/>
                <w:szCs w:val="20"/>
                <w:color w:val="auto"/>
              </w:rPr>
            </w:pP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November 1, 2019</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Coupon (Interest Rate):</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3.875%</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Yield to Maturity:</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4.091%</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+245 basis points</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1.500% due September 30, 2024</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99-10 3/4 / 1.641%</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November 1 and May 1, commencing May 1, 2020</w:t>
            </w:r>
          </w:p>
        </w:tc>
      </w:tr>
      <w:tr>
        <w:trPr>
          <w:trHeight w:val="310"/>
        </w:trPr>
        <w:tc>
          <w:tcPr>
            <w:tcW w:w="3140" w:type="dxa"/>
            <w:vAlign w:val="bottom"/>
          </w:tcPr>
          <w:p>
            <w:pPr>
              <w:spacing w:after="0"/>
              <w:rPr>
                <w:sz w:val="20"/>
                <w:szCs w:val="20"/>
                <w:color w:val="auto"/>
              </w:rPr>
            </w:pPr>
            <w:r>
              <w:rPr>
                <w:rFonts w:ascii="Arial" w:cs="Arial" w:eastAsia="Arial" w:hAnsi="Arial"/>
                <w:sz w:val="18"/>
                <w:szCs w:val="18"/>
                <w:color w:val="auto"/>
              </w:rPr>
              <w:t>Make-Whole Redemption:</w:t>
            </w: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w w:val="98"/>
              </w:rPr>
              <w:t>Equal to the greater of the following amounts, plus, in each case, accrued and unpaid interest to the</w:t>
            </w:r>
          </w:p>
        </w:tc>
      </w:tr>
      <w:tr>
        <w:trPr>
          <w:trHeight w:val="230"/>
        </w:trPr>
        <w:tc>
          <w:tcPr>
            <w:tcW w:w="3140" w:type="dxa"/>
            <w:vAlign w:val="bottom"/>
          </w:tcPr>
          <w:p>
            <w:pPr>
              <w:spacing w:after="0"/>
              <w:rPr>
                <w:sz w:val="20"/>
                <w:szCs w:val="20"/>
                <w:color w:val="auto"/>
              </w:rPr>
            </w:pP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redemption date:</w:t>
            </w:r>
          </w:p>
        </w:tc>
      </w:tr>
      <w:tr>
        <w:trPr>
          <w:trHeight w:val="338"/>
        </w:trPr>
        <w:tc>
          <w:tcPr>
            <w:tcW w:w="314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rPr>
              <w:t>100% of the principal amount of the Notes to be redeemed, or</w:t>
            </w:r>
          </w:p>
        </w:tc>
      </w:tr>
      <w:tr>
        <w:trPr>
          <w:trHeight w:val="323"/>
        </w:trPr>
        <w:tc>
          <w:tcPr>
            <w:tcW w:w="314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7640" w:type="dxa"/>
            <w:vAlign w:val="bottom"/>
          </w:tcPr>
          <w:p>
            <w:pPr>
              <w:ind w:left="140"/>
              <w:spacing w:after="0"/>
              <w:rPr>
                <w:sz w:val="20"/>
                <w:szCs w:val="20"/>
                <w:color w:val="auto"/>
              </w:rPr>
            </w:pPr>
            <w:r>
              <w:rPr>
                <w:rFonts w:ascii="Arial" w:cs="Arial" w:eastAsia="Arial" w:hAnsi="Arial"/>
                <w:sz w:val="18"/>
                <w:szCs w:val="18"/>
                <w:color w:val="auto"/>
                <w:w w:val="91"/>
              </w:rPr>
              <w:t>the sum of the present values of the remaining scheduled payments of principal and interest (exclusive</w:t>
            </w:r>
          </w:p>
        </w:tc>
      </w:tr>
      <w:tr>
        <w:trPr>
          <w:trHeight w:val="216"/>
        </w:trPr>
        <w:tc>
          <w:tcPr>
            <w:tcW w:w="3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w w:val="89"/>
              </w:rPr>
              <w:t>of accrued and unpaid interest to the date of redemption) on the Notes to be redeemed, discounted to the</w:t>
            </w:r>
          </w:p>
        </w:tc>
      </w:tr>
      <w:tr>
        <w:trPr>
          <w:trHeight w:val="230"/>
        </w:trPr>
        <w:tc>
          <w:tcPr>
            <w:tcW w:w="3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w w:val="99"/>
              </w:rPr>
              <w:t>redemption date on a semi-annual basis (assuming a 360-day year consisting of twelve 30-day</w:t>
            </w:r>
          </w:p>
        </w:tc>
      </w:tr>
    </w:tbl>
    <w:p>
      <w:pPr>
        <w:sectPr>
          <w:pgSz w:w="11900" w:h="16838" w:orient="portrait"/>
          <w:cols w:equalWidth="0" w:num="1">
            <w:col w:w="11420"/>
          </w:cols>
          <w:pgMar w:left="240" w:top="233" w:right="239" w:bottom="1440" w:gutter="0" w:footer="0" w:header="0"/>
        </w:sectPr>
      </w:pPr>
    </w:p>
    <w:bookmarkStart w:id="1" w:name="page2"/>
    <w:bookmarkEnd w:id="1"/>
    <w:p>
      <w:pPr>
        <w:ind w:left="390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months) using the applicable Treasury Rate plus 40 basis points;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TSLX redeems any Notes on or after October 1, 2024 (the date falling one month prior to the maturity date of the Notes), the redemption price for the Notes will be equal to 100% of the principal amount of the Notes to be redeemed, plus accrued and unpaid interest, if any, to, but excluding, the date of redemption.</w:t>
      </w:r>
    </w:p>
    <w:p>
      <w:pPr>
        <w:sectPr>
          <w:pgSz w:w="11900" w:h="16838" w:orient="portrait"/>
          <w:cols w:equalWidth="0" w:num="1">
            <w:col w:w="11400"/>
          </w:cols>
          <w:pgMar w:left="240" w:top="274" w:right="25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Holders have the right to require TSLX to repurchase the Notes at 100% of their principal amount plus accrued and unpaid interest, if any, in the event of a change of control repurchase event.</w:t>
      </w:r>
    </w:p>
    <w:p>
      <w:pPr>
        <w:spacing w:after="0" w:line="38"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2019 (T+5)</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87265K AF9</w:t>
      </w:r>
    </w:p>
    <w:p>
      <w:pPr>
        <w:spacing w:after="0" w:line="129"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US87265KAF93</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16"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1084580</wp:posOffset>
            </wp:positionV>
            <wp:extent cx="797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197"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TPG Specialty Lending, Inc. expects that delivery of the Notes will be made to investors on or about November 1, 2019,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will be required by virtue of the fact that the Notes initially settle in T+5, to specify an alternate settlement arrangement at the time of any such trade to prevent a failed settlement. Purchasers of the Notes who wish to trade the Notes on the date hereof should consult their advisors.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TSLX before investing. The Preliminary Prospectus, which has been filed with the Securities and Exchange Commission, contains this and other information about TSLX and should be read carefully before investing.</w:t>
      </w:r>
    </w:p>
    <w:p>
      <w:pPr>
        <w:sectPr>
          <w:pgSz w:w="11900" w:h="16838" w:orient="portrait"/>
          <w:cols w:equalWidth="0" w:num="1">
            <w:col w:w="11400"/>
          </w:cols>
          <w:pgMar w:left="240" w:top="274" w:right="259" w:bottom="1440" w:gutter="0" w:footer="0" w:header="0"/>
          <w:type w:val="continuous"/>
        </w:sectPr>
      </w:pPr>
    </w:p>
    <w:bookmarkStart w:id="2" w:name="page3"/>
    <w:bookmarkEnd w:id="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TSLX and are not soliciting an offer to buy such securities in any state or jurisdiction where such offer and sale is not permitted.</w:t>
      </w:r>
    </w:p>
    <w:p>
      <w:pPr>
        <w:spacing w:after="0" w:line="1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BofA Securities, Inc. at 1-800-294-1322.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2019-12-04T22:24:04Z</dcterms:created>
  <dcterms:modified xsi:type="dcterms:W3CDTF">2019-12-04T22:24:04Z</dcterms:modified>
</cp:coreProperties>
</file>