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SIXTH STREET SPECIALTY LENDING (TSLX)</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83012A109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12/31/2021</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3,703,55 0.000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3,703,55 0.000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3,703,55 0.000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5.066%</w:t>
      </w:r>
    </w:p>
    <w:p>
      <w:pPr>
        <w:sectPr>
          <w:pgSz w:w="11900" w:h="16866"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(1) Includes 0.000 shares of common stock reserved for issuance upon exercise of stock options which are exercisable as of</w:t>
      </w:r>
    </w:p>
    <w:p>
      <w:pPr>
        <w:spacing w:after="0" w:line="219" w:lineRule="auto"/>
        <w:rPr>
          <w:sz w:val="20"/>
          <w:szCs w:val="20"/>
          <w:color w:val="auto"/>
        </w:rPr>
      </w:pPr>
      <w:r>
        <w:rPr>
          <w:rFonts w:ascii="Arial" w:cs="Arial" w:eastAsia="Arial" w:hAnsi="Arial"/>
          <w:sz w:val="22"/>
          <w:szCs w:val="22"/>
          <w:color w:val="auto"/>
        </w:rPr>
        <w:t>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SIXTH STREET SPECIALTY LENDING</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2100 McKinney Avenue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Suite 1500</w:t>
      </w:r>
    </w:p>
    <w:p>
      <w:pPr>
        <w:ind w:left="1080"/>
        <w:spacing w:after="0" w:line="182" w:lineRule="auto"/>
        <w:rPr>
          <w:sz w:val="20"/>
          <w:szCs w:val="20"/>
          <w:color w:val="auto"/>
        </w:rPr>
      </w:pPr>
      <w:r>
        <w:rPr>
          <w:rFonts w:ascii="Arial" w:cs="Arial" w:eastAsia="Arial" w:hAnsi="Arial"/>
          <w:sz w:val="22"/>
          <w:szCs w:val="22"/>
          <w:color w:val="auto"/>
        </w:rPr>
        <w:t>Dallas , TX TX 75201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83012A109.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2960" w:firstLine="540"/>
        <w:spacing w:after="0" w:line="339" w:lineRule="auto"/>
        <w:rPr>
          <w:sz w:val="20"/>
          <w:szCs w:val="20"/>
          <w:color w:val="auto"/>
        </w:rPr>
      </w:pPr>
      <w:r>
        <w:rPr>
          <w:rFonts w:ascii="Arial" w:cs="Arial" w:eastAsia="Arial" w:hAnsi="Arial"/>
          <w:sz w:val="22"/>
          <w:szCs w:val="22"/>
          <w:color w:val="auto"/>
        </w:rPr>
        <w:t>STRS owns 3,703,55 0.000 shares of SIXTH STREET SPECIALTY LENDING (b) Percent of Class:</w:t>
      </w:r>
    </w:p>
    <w:p>
      <w:pPr>
        <w:spacing w:after="0" w:line="1" w:lineRule="exact"/>
        <w:rPr>
          <w:sz w:val="20"/>
          <w:szCs w:val="20"/>
          <w:color w:val="auto"/>
        </w:rPr>
      </w:pPr>
    </w:p>
    <w:p>
      <w:pPr>
        <w:ind w:left="1080" w:right="1300"/>
        <w:spacing w:after="0" w:line="234" w:lineRule="auto"/>
        <w:rPr>
          <w:sz w:val="20"/>
          <w:szCs w:val="20"/>
          <w:color w:val="auto"/>
        </w:rPr>
      </w:pPr>
      <w:r>
        <w:rPr>
          <w:rFonts w:ascii="Arial" w:cs="Arial" w:eastAsia="Arial" w:hAnsi="Arial"/>
          <w:sz w:val="22"/>
          <w:szCs w:val="22"/>
          <w:color w:val="auto"/>
        </w:rPr>
        <w:t>STRS believes that there are presently 73,103,66 8.000 outstanding shares of SIXTH STREET SPECIALTY LENDING; therefore, STRS' ownership of 3,703,55 0.000 shares of SIXTH STREET SPECIALTY LENDING stock is 5.066%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3,703,55 0.000</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3,703,55 0.000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3,703,55 0.000 shares of SIXTH STREET</w:t>
      </w:r>
    </w:p>
    <w:p>
      <w:pPr>
        <w:ind w:left="1080"/>
        <w:spacing w:after="0" w:line="186" w:lineRule="auto"/>
        <w:rPr>
          <w:sz w:val="20"/>
          <w:szCs w:val="20"/>
          <w:color w:val="auto"/>
        </w:rPr>
      </w:pPr>
      <w:r>
        <w:rPr>
          <w:rFonts w:ascii="Arial" w:cs="Arial" w:eastAsia="Arial" w:hAnsi="Arial"/>
          <w:sz w:val="22"/>
          <w:szCs w:val="22"/>
          <w:color w:val="auto"/>
        </w:rPr>
        <w:t>SPECIALTY LENDING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If this statements is being filed to report the fact that as of the date hereof the reporting person has ceased to be the</w:t>
      </w:r>
    </w:p>
    <w:p>
      <w:pPr>
        <w:ind w:left="540"/>
        <w:spacing w:after="0" w:line="219" w:lineRule="auto"/>
        <w:rPr>
          <w:sz w:val="20"/>
          <w:szCs w:val="20"/>
          <w:color w:val="auto"/>
        </w:rPr>
      </w:pPr>
      <w:r>
        <w:rPr>
          <w:rFonts w:ascii="Arial" w:cs="Arial" w:eastAsia="Arial" w:hAnsi="Arial"/>
          <w:sz w:val="22"/>
          <w:szCs w:val="22"/>
          <w:color w:val="auto"/>
        </w:rPr>
        <w:t>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1/13/2022</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Matthew Worley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/s/Matthew Worley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Matthew Worley</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614-227-4006</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2022-01-13T13:59:25Z</dcterms:created>
  <dcterms:modified xsi:type="dcterms:W3CDTF">2022-01-13T13:59:25Z</dcterms:modified>
</cp:coreProperties>
</file>