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333-269222</w:t>
      </w:r>
    </w:p>
    <w:p>
      <w:pPr>
        <w:spacing w:after="0" w:line="139" w:lineRule="exact"/>
        <w:rPr>
          <w:sz w:val="24"/>
          <w:szCs w:val="24"/>
          <w:color w:val="auto"/>
        </w:rPr>
      </w:pPr>
    </w:p>
    <w:p>
      <w:pPr>
        <w:ind w:left="120" w:right="14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FF4338"/>
        </w:rPr>
        <w:t>Preliminary Prospectus Supplement dated August 7, 2023</w:t>
      </w:r>
    </w:p>
    <w:p>
      <w:pPr>
        <w:spacing w:after="0" w:line="20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January 13, 2023)</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178435</wp:posOffset>
            </wp:positionV>
            <wp:extent cx="140589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 Notes due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243205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p>
      <w:pPr>
        <w:spacing w:after="0" w:line="200" w:lineRule="exact"/>
        <w:rPr>
          <w:sz w:val="24"/>
          <w:szCs w:val="24"/>
          <w:color w:val="auto"/>
        </w:rPr>
      </w:pPr>
    </w:p>
    <w:p>
      <w:pPr>
        <w:spacing w:after="0" w:line="399" w:lineRule="exact"/>
        <w:rPr>
          <w:sz w:val="24"/>
          <w:szCs w:val="24"/>
          <w:color w:val="auto"/>
        </w:rPr>
      </w:pPr>
    </w:p>
    <w:p>
      <w:pPr>
        <w:ind w:left="120" w:firstLine="440"/>
        <w:spacing w:after="0" w:line="258" w:lineRule="auto"/>
        <w:rPr>
          <w:sz w:val="20"/>
          <w:szCs w:val="20"/>
          <w:color w:val="auto"/>
        </w:rPr>
      </w:pPr>
      <w:r>
        <w:rPr>
          <w:rFonts w:ascii="Arial" w:cs="Arial" w:eastAsia="Arial" w:hAnsi="Arial"/>
          <w:sz w:val="18"/>
          <w:szCs w:val="18"/>
          <w:color w:val="auto"/>
        </w:rPr>
        <w:t>We are offering $ in aggregate principal amount of % notes due , which we refer to as the Notes. The Notes will mature on , We will pay interest on the Notes on and of each year, beginning on , 2024. We may redeem the Notes in whole or in part at any time 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9" w:lineRule="exact"/>
        <w:rPr>
          <w:sz w:val="24"/>
          <w:szCs w:val="24"/>
          <w:color w:val="auto"/>
        </w:rPr>
      </w:pPr>
    </w:p>
    <w:p>
      <w:pPr>
        <w:sectPr>
          <w:pgSz w:w="11900" w:h="16838" w:orient="portrait"/>
          <w:cols w:equalWidth="0" w:num="2">
            <w:col w:w="10820" w:space="80"/>
            <w:col w:w="240"/>
          </w:cols>
          <w:pgMar w:left="320" w:top="230" w:right="439" w:bottom="0" w:gutter="0" w:footer="0" w:header="0"/>
          <w:type w:val="continuous"/>
        </w:sectPr>
      </w:pPr>
    </w:p>
    <w:p>
      <w:pPr>
        <w:ind w:left="120" w:right="40"/>
        <w:spacing w:after="0" w:line="302" w:lineRule="auto"/>
        <w:rPr>
          <w:sz w:val="20"/>
          <w:szCs w:val="20"/>
          <w:color w:val="auto"/>
        </w:rPr>
      </w:pPr>
      <w:r>
        <w:rPr>
          <w:rFonts w:ascii="Arial" w:cs="Arial" w:eastAsia="Arial" w:hAnsi="Arial"/>
          <w:sz w:val="16"/>
          <w:szCs w:val="16"/>
          <w:color w:val="auto"/>
        </w:rPr>
        <w:t>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155" w:lineRule="exact"/>
        <w:rPr>
          <w:sz w:val="24"/>
          <w:szCs w:val="24"/>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 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88" w:lineRule="exact"/>
        <w:rPr>
          <w:sz w:val="24"/>
          <w:szCs w:val="24"/>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As of June 30, 2023, our investment portfolio consisted of investments in 130 portfolio companies (including 44 structured credit investments, which include each series of collateralized loan obligation as a separate portfolio company investment) with an aggregate fair value of $3,089.0 million. We intend to continue to pursue an investment strategy focused primarily on direct origination of loans to middle-market companies domiciled in the United States.</w:t>
      </w:r>
    </w:p>
    <w:p>
      <w:pPr>
        <w:spacing w:after="0" w:line="187" w:lineRule="exact"/>
        <w:rPr>
          <w:sz w:val="24"/>
          <w:szCs w:val="24"/>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$65 billion in assets under management as of June 30, 2023.</w:t>
      </w:r>
    </w:p>
    <w:p>
      <w:pPr>
        <w:spacing w:after="0" w:line="184" w:lineRule="exact"/>
        <w:rPr>
          <w:sz w:val="24"/>
          <w:szCs w:val="24"/>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92" w:lineRule="exact"/>
        <w:rPr>
          <w:sz w:val="24"/>
          <w:szCs w:val="24"/>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Substantially all of our debt investments have variable interest rates that reset periodically based on interest rate benchmarks such as the London Interbank Offered Rate, the Euro Interbank Offered Rate, the Canadian Dollar Offered Rate, the Secured Overnight Financing Rate, the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120" w:right="20" w:firstLine="440"/>
        <w:spacing w:after="0" w:line="239" w:lineRule="auto"/>
        <w:rPr>
          <w:sz w:val="20"/>
          <w:szCs w:val="20"/>
          <w:color w:val="auto"/>
        </w:rPr>
      </w:pPr>
      <w:r>
        <w:rPr>
          <w:rFonts w:ascii="Arial" w:cs="Arial" w:eastAsia="Arial" w:hAnsi="Arial"/>
          <w:sz w:val="22"/>
          <w:szCs w:val="22"/>
          <w:b w:val="1"/>
          <w:bCs w:val="1"/>
          <w:color w:val="auto"/>
        </w:rPr>
        <w:t>Investing in the Notes involves risks, including the risk of leverage, that are described in the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section beginning on page S-8 of this prospectus supplement and page 22 of the accompanying prospectus and the matters discussed in the documents incorporated or deemed to be incorporated by reference in this prospectus supplement and the accompanying prospectus.</w:t>
      </w:r>
    </w:p>
    <w:p>
      <w:pPr>
        <w:spacing w:after="0" w:line="193" w:lineRule="exact"/>
        <w:rPr>
          <w:sz w:val="24"/>
          <w:szCs w:val="24"/>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41st Floor, New York, NY 10106, Attention: TSLX Investor Relations, by emailing us at IRTSLX@sixthstreet.com or visiting our website at</w:t>
      </w:r>
    </w:p>
    <w:p>
      <w:pPr>
        <w:sectPr>
          <w:pgSz w:w="11900" w:h="16838" w:orient="portrait"/>
          <w:cols w:equalWidth="0" w:num="1">
            <w:col w:w="11140"/>
          </w:cols>
          <w:pgMar w:left="320" w:top="230" w:right="439" w:bottom="0" w:gutter="0" w:footer="0" w:header="0"/>
          <w:type w:val="continuous"/>
        </w:sectPr>
      </w:pPr>
    </w:p>
    <w:bookmarkStart w:id="1" w:name="page2"/>
    <w:bookmarkEnd w:id="1"/>
    <w:p>
      <w:pPr>
        <w:ind w:left="4" w:right="840"/>
        <w:spacing w:after="0" w:line="308" w:lineRule="auto"/>
        <w:rPr>
          <w:sz w:val="20"/>
          <w:szCs w:val="20"/>
          <w:color w:val="auto"/>
        </w:rPr>
      </w:pPr>
      <w:r>
        <w:rPr>
          <w:rFonts w:ascii="Arial" w:cs="Arial" w:eastAsia="Arial" w:hAnsi="Arial"/>
          <w:sz w:val="17"/>
          <w:szCs w:val="17"/>
          <w:color w:val="auto"/>
        </w:rPr>
        <w:t>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127635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1324"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0"/>
              </w:rPr>
              <w:t>Per Note</w:t>
            </w:r>
          </w:p>
        </w:tc>
        <w:tc>
          <w:tcPr>
            <w:tcW w:w="840" w:type="dxa"/>
            <w:vAlign w:val="bottom"/>
          </w:tcPr>
          <w:p>
            <w:pPr>
              <w:spacing w:after="0"/>
              <w:rPr>
                <w:sz w:val="14"/>
                <w:szCs w:val="14"/>
                <w:color w:val="auto"/>
              </w:rPr>
            </w:pP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09"/>
        </w:trPr>
        <w:tc>
          <w:tcPr>
            <w:tcW w:w="634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Public offering price</w:t>
            </w:r>
            <w:r>
              <w:rPr>
                <w:rFonts w:ascii="Arial" w:cs="Arial" w:eastAsia="Arial" w:hAnsi="Arial"/>
                <w:sz w:val="24"/>
                <w:szCs w:val="24"/>
                <w:color w:val="auto"/>
                <w:vertAlign w:val="superscript"/>
              </w:rPr>
              <w:t>(1)</w:t>
            </w: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87"/>
              </w:rPr>
              <w:t>%</w:t>
            </w:r>
          </w:p>
        </w:tc>
        <w:tc>
          <w:tcPr>
            <w:tcW w:w="60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Underwriting discount (sales load)</w:t>
            </w:r>
          </w:p>
        </w:tc>
        <w:tc>
          <w:tcPr>
            <w:tcW w:w="840" w:type="dxa"/>
            <w:vAlign w:val="bottom"/>
          </w:tcPr>
          <w:p>
            <w:pPr>
              <w:jc w:val="right"/>
              <w:ind w:right="590"/>
              <w:spacing w:after="0"/>
              <w:rPr>
                <w:sz w:val="20"/>
                <w:szCs w:val="20"/>
                <w:color w:val="auto"/>
              </w:rPr>
            </w:pPr>
            <w:r>
              <w:rPr>
                <w:rFonts w:ascii="Arial" w:cs="Arial" w:eastAsia="Arial" w:hAnsi="Arial"/>
                <w:sz w:val="18"/>
                <w:szCs w:val="18"/>
                <w:color w:val="auto"/>
                <w:w w:val="87"/>
              </w:rPr>
              <w:t>%</w:t>
            </w:r>
          </w:p>
        </w:tc>
        <w:tc>
          <w:tcPr>
            <w:tcW w:w="600" w:type="dxa"/>
            <w:vAlign w:val="bottom"/>
          </w:tcPr>
          <w:p>
            <w:pPr>
              <w:jc w:val="right"/>
              <w:ind w:right="415"/>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8"/>
                <w:szCs w:val="18"/>
                <w:color w:val="auto"/>
              </w:rPr>
            </w:pPr>
          </w:p>
        </w:tc>
      </w:tr>
      <w:tr>
        <w:trPr>
          <w:trHeight w:val="216"/>
        </w:trPr>
        <w:tc>
          <w:tcPr>
            <w:tcW w:w="6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Proceeds to us, before expenses</w:t>
            </w:r>
            <w:r>
              <w:rPr>
                <w:rFonts w:ascii="Arial" w:cs="Arial" w:eastAsia="Arial" w:hAnsi="Arial"/>
                <w:sz w:val="25"/>
                <w:szCs w:val="25"/>
                <w:color w:val="auto"/>
                <w:vertAlign w:val="superscript"/>
              </w:rPr>
              <w:t>(2)</w:t>
            </w:r>
          </w:p>
        </w:tc>
        <w:tc>
          <w:tcPr>
            <w:tcW w:w="84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87"/>
              </w:rPr>
              <w:t>%</w:t>
            </w:r>
          </w:p>
        </w:tc>
        <w:tc>
          <w:tcPr>
            <w:tcW w:w="6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44" w:hanging="444"/>
        <w:spacing w:after="0"/>
        <w:tabs>
          <w:tab w:leader="none" w:pos="44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public offering price set forth above does not include accrued interest, if any. Interest on the Notes must be paid by the purchaser if the Notes</w:t>
      </w:r>
    </w:p>
    <w:p>
      <w:pPr>
        <w:spacing w:after="0" w:line="46" w:lineRule="exact"/>
        <w:rPr>
          <w:sz w:val="20"/>
          <w:szCs w:val="20"/>
          <w:color w:val="auto"/>
        </w:rPr>
      </w:pPr>
    </w:p>
    <w:p>
      <w:pPr>
        <w:ind w:left="444"/>
        <w:spacing w:after="0"/>
        <w:tabs>
          <w:tab w:leader="none" w:pos="2084" w:val="left"/>
        </w:tabs>
        <w:rPr>
          <w:sz w:val="20"/>
          <w:szCs w:val="20"/>
          <w:color w:val="auto"/>
        </w:rPr>
      </w:pPr>
      <w:r>
        <w:rPr>
          <w:rFonts w:ascii="Arial" w:cs="Arial" w:eastAsia="Arial" w:hAnsi="Arial"/>
          <w:sz w:val="18"/>
          <w:szCs w:val="18"/>
          <w:color w:val="auto"/>
        </w:rPr>
        <w:t>are delivered after</w:t>
      </w:r>
      <w:r>
        <w:rPr>
          <w:sz w:val="20"/>
          <w:szCs w:val="20"/>
          <w:color w:val="auto"/>
        </w:rPr>
        <w:tab/>
      </w:r>
      <w:r>
        <w:rPr>
          <w:rFonts w:ascii="Arial" w:cs="Arial" w:eastAsia="Arial" w:hAnsi="Arial"/>
          <w:sz w:val="16"/>
          <w:szCs w:val="16"/>
          <w:color w:val="auto"/>
        </w:rPr>
        <w:t>, 2023.</w:t>
      </w:r>
    </w:p>
    <w:p>
      <w:pPr>
        <w:spacing w:after="0" w:line="9" w:lineRule="exact"/>
        <w:rPr>
          <w:sz w:val="20"/>
          <w:szCs w:val="20"/>
          <w:color w:val="auto"/>
        </w:rPr>
      </w:pPr>
    </w:p>
    <w:p>
      <w:pPr>
        <w:ind w:left="4"/>
        <w:spacing w:after="0"/>
        <w:tabs>
          <w:tab w:leader="none" w:pos="424" w:val="left"/>
          <w:tab w:leader="none" w:pos="6484" w:val="left"/>
        </w:tabs>
        <w:rPr>
          <w:sz w:val="20"/>
          <w:szCs w:val="20"/>
          <w:color w:val="auto"/>
        </w:rPr>
      </w:pPr>
      <w:r>
        <w:rPr>
          <w:rFonts w:ascii="Arial" w:cs="Arial" w:eastAsia="Arial" w:hAnsi="Arial"/>
          <w:sz w:val="17"/>
          <w:szCs w:val="17"/>
          <w:color w:val="auto"/>
        </w:rPr>
        <w:t>(2)</w:t>
        <w:tab/>
        <w:t>Before deducting expenses payable by us related to this offering, estimated at $</w:t>
      </w:r>
      <w:r>
        <w:rPr>
          <w:sz w:val="20"/>
          <w:szCs w:val="20"/>
          <w:color w:val="auto"/>
        </w:rPr>
        <w:tab/>
      </w:r>
      <w:r>
        <w:rPr>
          <w:rFonts w:ascii="Arial" w:cs="Arial" w:eastAsia="Arial" w:hAnsi="Arial"/>
          <w:sz w:val="13"/>
          <w:szCs w:val="13"/>
          <w:color w:val="auto"/>
        </w:rPr>
        <w:t>.</w:t>
      </w:r>
    </w:p>
    <w:p>
      <w:pPr>
        <w:spacing w:after="0" w:line="218" w:lineRule="exact"/>
        <w:rPr>
          <w:sz w:val="20"/>
          <w:szCs w:val="20"/>
          <w:color w:val="auto"/>
        </w:rPr>
      </w:pPr>
    </w:p>
    <w:p>
      <w:pPr>
        <w:ind w:left="4" w:right="700" w:firstLine="440"/>
        <w:spacing w:after="0" w:line="282" w:lineRule="auto"/>
        <w:rPr>
          <w:sz w:val="20"/>
          <w:szCs w:val="20"/>
          <w:color w:val="auto"/>
        </w:rPr>
      </w:pPr>
      <w:r>
        <w:rPr>
          <w:rFonts w:ascii="Arial" w:cs="Arial" w:eastAsia="Arial" w:hAnsi="Arial"/>
          <w:sz w:val="18"/>
          <w:szCs w:val="18"/>
          <w:b w:val="1"/>
          <w:bCs w:val="1"/>
          <w:color w:val="auto"/>
        </w:rPr>
        <w:t>THE NOTES ARE NOT DEPOSITS OR OTHER OBLIGATIONS OF A BANK AND ARE NOT INSURED BY THE FEDERAL DEPOSIT INSURANCE CORPORATION OR ANY OTHER GOVERNMENT AGENCY.</w:t>
      </w:r>
    </w:p>
    <w:p>
      <w:pPr>
        <w:spacing w:after="0" w:line="162" w:lineRule="exact"/>
        <w:rPr>
          <w:sz w:val="20"/>
          <w:szCs w:val="20"/>
          <w:color w:val="auto"/>
        </w:rPr>
      </w:pPr>
    </w:p>
    <w:p>
      <w:pPr>
        <w:ind w:left="4" w:right="860"/>
        <w:spacing w:after="0" w:line="386" w:lineRule="auto"/>
        <w:rPr>
          <w:sz w:val="20"/>
          <w:szCs w:val="20"/>
          <w:color w:val="auto"/>
        </w:rPr>
      </w:pPr>
      <w:r>
        <w:rPr>
          <w:rFonts w:ascii="Arial" w:cs="Arial" w:eastAsia="Arial" w:hAnsi="Arial"/>
          <w:sz w:val="15"/>
          <w:szCs w:val="15"/>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8720" w:type="dxa"/>
            <w:vAlign w:val="bottom"/>
            <w:gridSpan w:val="4"/>
          </w:tcPr>
          <w:p>
            <w:pPr>
              <w:jc w:val="right"/>
              <w:ind w:right="90"/>
              <w:spacing w:after="0"/>
              <w:rPr>
                <w:sz w:val="20"/>
                <w:szCs w:val="20"/>
                <w:color w:val="auto"/>
              </w:rPr>
            </w:pPr>
            <w:r>
              <w:rPr>
                <w:rFonts w:ascii="Arial" w:cs="Arial" w:eastAsia="Arial" w:hAnsi="Arial"/>
                <w:sz w:val="18"/>
                <w:szCs w:val="18"/>
                <w:color w:val="auto"/>
                <w:w w:val="97"/>
              </w:rPr>
              <w:t>Delivery of the Notes in book-entry form only through The Depository Trust Company will be made on or about</w:t>
            </w:r>
          </w:p>
        </w:tc>
        <w:tc>
          <w:tcPr>
            <w:tcW w:w="2300" w:type="dxa"/>
            <w:vAlign w:val="bottom"/>
          </w:tcPr>
          <w:p>
            <w:pPr>
              <w:jc w:val="right"/>
              <w:ind w:right="1526"/>
              <w:spacing w:after="0"/>
              <w:rPr>
                <w:sz w:val="20"/>
                <w:szCs w:val="20"/>
                <w:color w:val="auto"/>
              </w:rPr>
            </w:pPr>
            <w:r>
              <w:rPr>
                <w:rFonts w:ascii="Arial" w:cs="Arial" w:eastAsia="Arial" w:hAnsi="Arial"/>
                <w:sz w:val="18"/>
                <w:szCs w:val="18"/>
                <w:color w:val="auto"/>
              </w:rPr>
              <w:t>, 2023.</w:t>
            </w:r>
          </w:p>
        </w:tc>
      </w:tr>
      <w:tr>
        <w:trPr>
          <w:trHeight w:val="256"/>
        </w:trPr>
        <w:tc>
          <w:tcPr>
            <w:tcW w:w="2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2320" w:type="dxa"/>
            <w:vAlign w:val="bottom"/>
            <w:tcBorders>
              <w:bottom w:val="single" w:sz="8" w:color="auto"/>
            </w:tcBorders>
          </w:tcPr>
          <w:p>
            <w:pPr>
              <w:spacing w:after="0"/>
              <w:rPr>
                <w:sz w:val="22"/>
                <w:szCs w:val="22"/>
                <w:color w:val="auto"/>
              </w:rPr>
            </w:pPr>
          </w:p>
        </w:tc>
        <w:tc>
          <w:tcPr>
            <w:tcW w:w="20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466"/>
        </w:trPr>
        <w:tc>
          <w:tcPr>
            <w:tcW w:w="2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i w:val="1"/>
                <w:iCs w:val="1"/>
                <w:color w:val="auto"/>
                <w:w w:val="88"/>
              </w:rPr>
              <w:t>Joint Book-Running Managers</w:t>
            </w:r>
          </w:p>
        </w:tc>
        <w:tc>
          <w:tcPr>
            <w:tcW w:w="20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477"/>
        </w:trPr>
        <w:tc>
          <w:tcPr>
            <w:tcW w:w="2400" w:type="dxa"/>
            <w:vAlign w:val="bottom"/>
          </w:tcPr>
          <w:p>
            <w:pPr>
              <w:spacing w:after="0"/>
              <w:rPr>
                <w:sz w:val="20"/>
                <w:szCs w:val="20"/>
                <w:color w:val="auto"/>
              </w:rPr>
            </w:pPr>
            <w:r>
              <w:rPr>
                <w:rFonts w:ascii="Arial" w:cs="Arial" w:eastAsia="Arial" w:hAnsi="Arial"/>
                <w:sz w:val="20"/>
                <w:szCs w:val="20"/>
                <w:b w:val="1"/>
                <w:bCs w:val="1"/>
                <w:color w:val="auto"/>
              </w:rPr>
              <w:t>BofA Securities</w:t>
            </w:r>
          </w:p>
        </w:tc>
        <w:tc>
          <w:tcPr>
            <w:tcW w:w="1940" w:type="dxa"/>
            <w:vAlign w:val="bottom"/>
          </w:tcPr>
          <w:p>
            <w:pPr>
              <w:spacing w:after="0"/>
              <w:rPr>
                <w:sz w:val="24"/>
                <w:szCs w:val="24"/>
                <w:color w:val="auto"/>
              </w:rPr>
            </w:pPr>
          </w:p>
        </w:tc>
        <w:tc>
          <w:tcPr>
            <w:tcW w:w="2320" w:type="dxa"/>
            <w:vAlign w:val="bottom"/>
          </w:tcPr>
          <w:p>
            <w:pPr>
              <w:jc w:val="right"/>
              <w:ind w:right="826"/>
              <w:spacing w:after="0"/>
              <w:rPr>
                <w:sz w:val="20"/>
                <w:szCs w:val="20"/>
                <w:color w:val="auto"/>
              </w:rPr>
            </w:pPr>
            <w:r>
              <w:rPr>
                <w:rFonts w:ascii="Arial" w:cs="Arial" w:eastAsia="Arial" w:hAnsi="Arial"/>
                <w:sz w:val="20"/>
                <w:szCs w:val="20"/>
                <w:b w:val="1"/>
                <w:bCs w:val="1"/>
                <w:color w:val="auto"/>
              </w:rPr>
              <w:t>J.P. Morgan</w:t>
            </w:r>
          </w:p>
        </w:tc>
        <w:tc>
          <w:tcPr>
            <w:tcW w:w="206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Arial" w:cs="Arial" w:eastAsia="Arial" w:hAnsi="Arial"/>
                <w:sz w:val="20"/>
                <w:szCs w:val="20"/>
                <w:b w:val="1"/>
                <w:bCs w:val="1"/>
                <w:color w:val="auto"/>
              </w:rPr>
              <w:t>SMBC Nikko</w:t>
            </w:r>
          </w:p>
        </w:tc>
      </w:tr>
      <w:tr>
        <w:trPr>
          <w:trHeight w:val="428"/>
        </w:trPr>
        <w:tc>
          <w:tcPr>
            <w:tcW w:w="2400" w:type="dxa"/>
            <w:vAlign w:val="bottom"/>
          </w:tcPr>
          <w:p>
            <w:pPr>
              <w:spacing w:after="0"/>
              <w:rPr>
                <w:sz w:val="24"/>
                <w:szCs w:val="24"/>
                <w:color w:val="auto"/>
              </w:rPr>
            </w:pPr>
          </w:p>
        </w:tc>
        <w:tc>
          <w:tcPr>
            <w:tcW w:w="4260" w:type="dxa"/>
            <w:vAlign w:val="bottom"/>
            <w:gridSpan w:val="2"/>
          </w:tcPr>
          <w:p>
            <w:pPr>
              <w:jc w:val="right"/>
              <w:spacing w:after="0"/>
              <w:rPr>
                <w:sz w:val="20"/>
                <w:szCs w:val="20"/>
                <w:color w:val="auto"/>
              </w:rPr>
            </w:pPr>
            <w:r>
              <w:rPr>
                <w:rFonts w:ascii="Arial" w:cs="Arial" w:eastAsia="Arial" w:hAnsi="Arial"/>
                <w:sz w:val="18"/>
                <w:szCs w:val="18"/>
                <w:b w:val="1"/>
                <w:bCs w:val="1"/>
                <w:color w:val="auto"/>
              </w:rPr>
              <w:t>The date of this prospectus supplement is</w:t>
            </w:r>
          </w:p>
        </w:tc>
        <w:tc>
          <w:tcPr>
            <w:tcW w:w="2060" w:type="dxa"/>
            <w:vAlign w:val="bottom"/>
          </w:tcPr>
          <w:p>
            <w:pPr>
              <w:jc w:val="right"/>
              <w:ind w:right="1110"/>
              <w:spacing w:after="0"/>
              <w:rPr>
                <w:sz w:val="20"/>
                <w:szCs w:val="20"/>
                <w:color w:val="auto"/>
              </w:rPr>
            </w:pPr>
            <w:r>
              <w:rPr>
                <w:rFonts w:ascii="Arial" w:cs="Arial" w:eastAsia="Arial" w:hAnsi="Arial"/>
                <w:sz w:val="18"/>
                <w:szCs w:val="18"/>
                <w:b w:val="1"/>
                <w:bCs w:val="1"/>
                <w:color w:val="auto"/>
              </w:rPr>
              <w:t>, 2023.</w:t>
            </w:r>
          </w:p>
        </w:tc>
        <w:tc>
          <w:tcPr>
            <w:tcW w:w="2300" w:type="dxa"/>
            <w:vAlign w:val="bottom"/>
          </w:tcPr>
          <w:p>
            <w:pPr>
              <w:spacing w:after="0"/>
              <w:rPr>
                <w:sz w:val="24"/>
                <w:szCs w:val="24"/>
                <w:color w:val="auto"/>
              </w:rPr>
            </w:pPr>
          </w:p>
        </w:tc>
      </w:tr>
    </w:tbl>
    <w:p>
      <w:pPr>
        <w:sectPr>
          <w:pgSz w:w="11900" w:h="16838" w:orient="portrait"/>
          <w:cols w:equalWidth="0" w:num="1">
            <w:col w:w="11024"/>
          </w:cols>
          <w:pgMar w:left="436" w:top="125"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7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Prospectus Supplement</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80" w:type="dxa"/>
            <w:vAlign w:val="bottom"/>
            <w:gridSpan w:val="30"/>
            <w:vMerge w:val="restart"/>
          </w:tcPr>
          <w:p>
            <w:pPr>
              <w:spacing w:after="0"/>
              <w:rPr>
                <w:sz w:val="20"/>
                <w:szCs w:val="20"/>
                <w:color w:val="auto"/>
              </w:rPr>
            </w:pPr>
            <w:r>
              <w:rPr>
                <w:rFonts w:ascii="Arial" w:cs="Arial" w:eastAsia="Arial" w:hAnsi="Arial"/>
                <w:sz w:val="18"/>
                <w:szCs w:val="18"/>
                <w:color w:val="0000EE"/>
              </w:rPr>
              <w:t>SPECIAL NOTE REGARDING FORWARD-LOOKING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580" w:type="dxa"/>
            <w:vAlign w:val="bottom"/>
            <w:gridSpan w:val="30"/>
            <w:vMerge w:val="continue"/>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THE COMPANY</w:t>
            </w:r>
          </w:p>
        </w:tc>
        <w:tc>
          <w:tcPr>
            <w:tcW w:w="4020" w:type="dxa"/>
            <w:vAlign w:val="bottom"/>
            <w:tcBorders>
              <w:top w:val="single" w:sz="8" w:color="0000EE"/>
            </w:tcBorders>
            <w:gridSpan w:val="23"/>
          </w:tcPr>
          <w:p>
            <w:pPr>
              <w:spacing w:after="0"/>
              <w:rPr>
                <w:sz w:val="17"/>
                <w:szCs w:val="17"/>
                <w:color w:val="auto"/>
              </w:rPr>
            </w:pPr>
          </w:p>
        </w:tc>
        <w:tc>
          <w:tcPr>
            <w:tcW w:w="52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3"/>
              </w:rPr>
              <w:t>SPECIFIC TERMS OF THE NOTES AND THE OFFERING</w:t>
            </w:r>
          </w:p>
        </w:tc>
        <w:tc>
          <w:tcPr>
            <w:tcW w:w="614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RISK FACTORS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USE OF PROCEEDS</w:t>
            </w:r>
          </w:p>
        </w:tc>
        <w:tc>
          <w:tcPr>
            <w:tcW w:w="9000" w:type="dxa"/>
            <w:vAlign w:val="bottom"/>
            <w:gridSpan w:val="2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S-12</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3"/>
              </w:rPr>
              <w:t>SENIOR SECURITIES</w:t>
            </w:r>
          </w:p>
        </w:tc>
        <w:tc>
          <w:tcPr>
            <w:tcW w:w="8860" w:type="dxa"/>
            <w:vAlign w:val="bottom"/>
            <w:gridSpan w:val="2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8"/>
              </w:rPr>
              <w:t>CAPITALIZATION</w:t>
            </w:r>
          </w:p>
        </w:tc>
        <w:tc>
          <w:tcPr>
            <w:tcW w:w="9120" w:type="dxa"/>
            <w:vAlign w:val="bottom"/>
            <w:gridSpan w:val="2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DESCRIPTION OF NOTES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MATERIAL U.S. FEDERAL INCOME TAX CONSIDERATIONS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S-27</w:t>
            </w:r>
          </w:p>
        </w:tc>
        <w:tc>
          <w:tcPr>
            <w:tcW w:w="0" w:type="dxa"/>
            <w:vAlign w:val="bottom"/>
          </w:tcPr>
          <w:p>
            <w:pPr>
              <w:spacing w:after="0"/>
              <w:rPr>
                <w:sz w:val="1"/>
                <w:szCs w:val="1"/>
                <w:color w:val="auto"/>
              </w:rPr>
            </w:pPr>
          </w:p>
        </w:tc>
      </w:tr>
      <w:tr>
        <w:trPr>
          <w:trHeight w:val="196"/>
        </w:trPr>
        <w:tc>
          <w:tcPr>
            <w:tcW w:w="484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UNDERWRITING</w:t>
            </w:r>
          </w:p>
        </w:tc>
        <w:tc>
          <w:tcPr>
            <w:tcW w:w="57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S-29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LEGAL MATTERS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S-33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INFORMATION INCORPORATED BY REFERENCE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4"/>
              </w:rPr>
              <w:t>S-34</w:t>
            </w:r>
          </w:p>
        </w:tc>
        <w:tc>
          <w:tcPr>
            <w:tcW w:w="0" w:type="dxa"/>
            <w:vAlign w:val="bottom"/>
          </w:tcPr>
          <w:p>
            <w:pPr>
              <w:spacing w:after="0"/>
              <w:rPr>
                <w:sz w:val="1"/>
                <w:szCs w:val="1"/>
                <w:color w:val="auto"/>
              </w:rPr>
            </w:pPr>
          </w:p>
        </w:tc>
      </w:tr>
      <w:tr>
        <w:trPr>
          <w:trHeight w:val="669"/>
        </w:trPr>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40" w:type="dxa"/>
            <w:vAlign w:val="bottom"/>
            <w:gridSpan w:val="3"/>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40" w:type="dxa"/>
            <w:vAlign w:val="bottom"/>
            <w:gridSpan w:val="6"/>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2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ABOUT THIS PROSPECTUS</w:t>
            </w:r>
          </w:p>
        </w:tc>
        <w:tc>
          <w:tcPr>
            <w:tcW w:w="8360" w:type="dxa"/>
            <w:vAlign w:val="bottom"/>
            <w:gridSpan w:val="1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7"/>
              </w:rPr>
              <w:t>SUMMARY</w:t>
            </w:r>
          </w:p>
        </w:tc>
        <w:tc>
          <w:tcPr>
            <w:tcW w:w="9660" w:type="dxa"/>
            <w:vAlign w:val="bottom"/>
            <w:gridSpan w:val="2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THE OFFERING</w:t>
            </w:r>
          </w:p>
        </w:tc>
        <w:tc>
          <w:tcPr>
            <w:tcW w:w="9300" w:type="dxa"/>
            <w:vAlign w:val="bottom"/>
            <w:gridSpan w:val="2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FEES AND EXPENSES</w:t>
            </w:r>
          </w:p>
        </w:tc>
        <w:tc>
          <w:tcPr>
            <w:tcW w:w="8800" w:type="dxa"/>
            <w:vAlign w:val="bottom"/>
            <w:gridSpan w:val="1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RISK FACTORS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SPECIAL NOTE REGARDING FORWARD-LOOKING STATEMENTS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0"/>
              </w:rPr>
              <w:t>USE OF PROCEEDS</w:t>
            </w:r>
          </w:p>
        </w:tc>
        <w:tc>
          <w:tcPr>
            <w:tcW w:w="3740" w:type="dxa"/>
            <w:vAlign w:val="bottom"/>
            <w:tcBorders>
              <w:top w:val="single" w:sz="8" w:color="0000EE"/>
            </w:tcBorders>
            <w:gridSpan w:val="19"/>
          </w:tcPr>
          <w:p>
            <w:pPr>
              <w:spacing w:after="0"/>
              <w:rPr>
                <w:sz w:val="17"/>
                <w:szCs w:val="17"/>
                <w:color w:val="auto"/>
              </w:rPr>
            </w:pPr>
          </w:p>
        </w:tc>
        <w:tc>
          <w:tcPr>
            <w:tcW w:w="52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PRICE RANGE OF COMMON STOCK AND DISTRIBUTIONS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3"/>
              </w:rPr>
              <w:t>SENIOR SECURITIES</w:t>
            </w:r>
          </w:p>
        </w:tc>
        <w:tc>
          <w:tcPr>
            <w:tcW w:w="3060" w:type="dxa"/>
            <w:vAlign w:val="bottom"/>
            <w:tcBorders>
              <w:top w:val="single" w:sz="8" w:color="0000EE"/>
            </w:tcBorders>
            <w:gridSpan w:val="16"/>
          </w:tcPr>
          <w:p>
            <w:pPr>
              <w:spacing w:after="0"/>
              <w:rPr>
                <w:sz w:val="17"/>
                <w:szCs w:val="17"/>
                <w:color w:val="auto"/>
              </w:rPr>
            </w:pPr>
          </w:p>
        </w:tc>
        <w:tc>
          <w:tcPr>
            <w:tcW w:w="58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PORTFOLIO COMPANIES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DETERMINATION OF NET ASSET VALUE</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5"/>
              </w:rPr>
              <w:t>SALES OF COMMON STOCK BELOW NET ASSET VALUE</w:t>
            </w:r>
          </w:p>
        </w:tc>
        <w:tc>
          <w:tcPr>
            <w:tcW w:w="59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8"/>
              </w:rPr>
              <w:t>DIVIDEND REINVESTMENT PLAN</w:t>
            </w:r>
          </w:p>
        </w:tc>
        <w:tc>
          <w:tcPr>
            <w:tcW w:w="776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MATERIAL U.S. FEDERAL INCOME TAX CONSIDERATIONS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94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3"/>
              </w:rPr>
              <w:t>DESCRIPTION OF OUR SECURITIES</w:t>
            </w:r>
          </w:p>
        </w:tc>
        <w:tc>
          <w:tcPr>
            <w:tcW w:w="1900" w:type="dxa"/>
            <w:vAlign w:val="bottom"/>
            <w:tcBorders>
              <w:top w:val="single" w:sz="8" w:color="0000EE"/>
            </w:tcBorders>
            <w:gridSpan w:val="10"/>
          </w:tcPr>
          <w:p>
            <w:pPr>
              <w:spacing w:after="0"/>
              <w:rPr>
                <w:sz w:val="17"/>
                <w:szCs w:val="17"/>
                <w:color w:val="auto"/>
              </w:rPr>
            </w:pPr>
          </w:p>
        </w:tc>
        <w:tc>
          <w:tcPr>
            <w:tcW w:w="57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DESCRIPTION OF OUR CAPITAL STOCK</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DESCRIPTION OF OUR PREFERRED STOCK</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DESCRIPTION OF OUR SUBSCRIPTION RIGHTS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4"/>
              </w:rPr>
              <w:t>DESCRIPTION OF OUR WARRANTS</w:t>
            </w:r>
          </w:p>
        </w:tc>
        <w:tc>
          <w:tcPr>
            <w:tcW w:w="980" w:type="dxa"/>
            <w:vAlign w:val="bottom"/>
            <w:tcBorders>
              <w:top w:val="single" w:sz="8" w:color="0000EE"/>
            </w:tcBorders>
            <w:gridSpan w:val="5"/>
          </w:tcPr>
          <w:p>
            <w:pPr>
              <w:spacing w:after="0"/>
              <w:rPr>
                <w:sz w:val="17"/>
                <w:szCs w:val="17"/>
                <w:color w:val="auto"/>
              </w:rPr>
            </w:pPr>
          </w:p>
        </w:tc>
        <w:tc>
          <w:tcPr>
            <w:tcW w:w="670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DESCRIPTION OF OUR DEBT SECURITIES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tcBorders>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6"/>
              </w:rPr>
              <w:t>CUSTODIAN, TRANSFER AND DIVIDEND PAYING AGENT AND REGISTRAR</w:t>
            </w:r>
          </w:p>
        </w:tc>
        <w:tc>
          <w:tcPr>
            <w:tcW w:w="4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5"/>
              </w:rPr>
              <w:t>BROKERAGE ALLOCATION AND OTHER PRACTICES</w:t>
            </w:r>
          </w:p>
        </w:tc>
        <w:tc>
          <w:tcPr>
            <w:tcW w:w="62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PLAN OF DISTRIBUTION</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LEGAL MATTERS</w:t>
            </w:r>
          </w:p>
        </w:tc>
        <w:tc>
          <w:tcPr>
            <w:tcW w:w="854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EXPERTS</w:t>
            </w:r>
          </w:p>
        </w:tc>
        <w:tc>
          <w:tcPr>
            <w:tcW w:w="9140" w:type="dxa"/>
            <w:vAlign w:val="bottom"/>
            <w:gridSpan w:val="2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500" w:type="dxa"/>
            <w:vAlign w:val="bottom"/>
            <w:gridSpan w:val="13"/>
          </w:tcPr>
          <w:p>
            <w:pPr>
              <w:spacing w:after="0" w:line="20" w:lineRule="exact"/>
              <w:rPr>
                <w:sz w:val="1"/>
                <w:szCs w:val="1"/>
                <w:color w:val="auto"/>
              </w:rPr>
            </w:pPr>
          </w:p>
        </w:tc>
        <w:tc>
          <w:tcPr>
            <w:tcW w:w="832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30"/>
          </w:tcPr>
          <w:p>
            <w:pPr>
              <w:spacing w:after="0" w:line="196" w:lineRule="exact"/>
              <w:rPr>
                <w:sz w:val="20"/>
                <w:szCs w:val="20"/>
                <w:color w:val="auto"/>
              </w:rPr>
            </w:pPr>
            <w:r>
              <w:rPr>
                <w:rFonts w:ascii="Arial" w:cs="Arial" w:eastAsia="Arial" w:hAnsi="Arial"/>
                <w:sz w:val="18"/>
                <w:szCs w:val="18"/>
                <w:color w:val="0000EE"/>
              </w:rPr>
              <w:t>AVAILABLE INFORMATION</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260" w:type="dxa"/>
            <w:vAlign w:val="bottom"/>
            <w:gridSpan w:val="14"/>
            <w:shd w:val="clear" w:color="auto" w:fill="0000EE"/>
          </w:tcPr>
          <w:p>
            <w:pPr>
              <w:spacing w:after="0" w:line="20" w:lineRule="exact"/>
              <w:rPr>
                <w:sz w:val="1"/>
                <w:szCs w:val="1"/>
                <w:color w:val="auto"/>
              </w:rPr>
            </w:pPr>
          </w:p>
        </w:tc>
        <w:tc>
          <w:tcPr>
            <w:tcW w:w="8320" w:type="dxa"/>
            <w:vAlign w:val="bottom"/>
            <w:gridSpan w:val="1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4"/>
              </w:rPr>
              <w:t>INFORMATION INCORPORATED BY REFERENCE</w:t>
            </w:r>
          </w:p>
        </w:tc>
        <w:tc>
          <w:tcPr>
            <w:tcW w:w="65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00"/>
          </w:cols>
          <w:pgMar w:left="320" w:top="675"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95"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9" w:lineRule="exact"/>
        <w:rPr>
          <w:sz w:val="20"/>
          <w:szCs w:val="20"/>
          <w:color w:val="auto"/>
        </w:rPr>
      </w:pPr>
    </w:p>
    <w:p>
      <w:pPr>
        <w:ind w:left="1100" w:right="300" w:hanging="433"/>
        <w:spacing w:after="0" w:line="342" w:lineRule="auto"/>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29" w:lineRule="exact"/>
        <w:rPr>
          <w:rFonts w:ascii="Arial" w:cs="Arial" w:eastAsia="Arial" w:hAnsi="Arial"/>
          <w:sz w:val="16"/>
          <w:szCs w:val="16"/>
          <w:color w:val="auto"/>
        </w:rPr>
      </w:pPr>
    </w:p>
    <w:p>
      <w:pPr>
        <w:jc w:val="both"/>
        <w:ind w:left="1100" w:right="120" w:hanging="433"/>
        <w:spacing w:after="0" w:line="263"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9"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w:t>
      </w:r>
    </w:p>
    <w:p>
      <w:pPr>
        <w:spacing w:after="0" w:line="130" w:lineRule="exact"/>
        <w:rPr>
          <w:rFonts w:ascii="Arial" w:cs="Arial" w:eastAsia="Arial" w:hAnsi="Arial"/>
          <w:sz w:val="18"/>
          <w:szCs w:val="18"/>
          <w:color w:val="auto"/>
        </w:rPr>
      </w:pPr>
    </w:p>
    <w:p>
      <w:pPr>
        <w:ind w:left="1100" w:right="340" w:hanging="433"/>
        <w:spacing w:after="0" w:line="277"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inflation could negatively impact our business, including our ability to access the debt markets on favorable terms, or could negatively impact our portfolio companies; and</w:t>
      </w:r>
    </w:p>
    <w:p>
      <w:pPr>
        <w:spacing w:after="0" w:line="75" w:lineRule="exact"/>
        <w:rPr>
          <w:rFonts w:ascii="Arial" w:cs="Arial" w:eastAsia="Arial" w:hAnsi="Arial"/>
          <w:sz w:val="18"/>
          <w:szCs w:val="18"/>
          <w:color w:val="auto"/>
        </w:rPr>
      </w:pPr>
    </w:p>
    <w:p>
      <w:pPr>
        <w:ind w:left="1100" w:hanging="433"/>
        <w:spacing w:after="0" w:line="255"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 supplement, the accompanying prospectus and in Part I, Item 1A of our Annual Report on Form 10-K for the year ended December 31, 2022 (the “2022 Annual Report”), Part I, Item 1A of our Quarterly Report on Form 10-Q for the quarter ended March 31, 2023 (the “1Q 2023 Quarterly Report”), Part I, Item 1A of our Quarterly Report on Form 10-Q for the quarter ended June 30, 2023 (the “2Q 2023 Quarterly Report”), any subsequent Quarterly Reports on Form 10-Q or Current Reports on Form 8-K we file after the date of this prospectus supplement, and those discussed in other documents we file with the SEC.</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2022 Annual Report and in Part I, Item 1A of our 1Q 2023 Quarterly Report and our 2Q 2023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67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745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77450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300" w:right="160" w:firstLine="426"/>
        <w:spacing w:after="0" w:line="293" w:lineRule="auto"/>
        <w:rPr>
          <w:sz w:val="20"/>
          <w:szCs w:val="20"/>
          <w:color w:val="auto"/>
        </w:rPr>
      </w:pPr>
      <w:r>
        <w:rPr>
          <w:rFonts w:ascii="Arial" w:cs="Arial" w:eastAsia="Arial" w:hAnsi="Arial"/>
          <w:sz w:val="16"/>
          <w:szCs w:val="16"/>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1260" w:right="200" w:hanging="433"/>
        <w:spacing w:after="0" w:line="277"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75" w:lineRule="exact"/>
        <w:rPr>
          <w:rFonts w:ascii="Arial" w:cs="Arial" w:eastAsia="Arial" w:hAnsi="Arial"/>
          <w:sz w:val="18"/>
          <w:szCs w:val="18"/>
          <w:color w:val="auto"/>
        </w:rPr>
      </w:pPr>
    </w:p>
    <w:p>
      <w:pPr>
        <w:ind w:left="1260" w:right="20" w:hanging="433"/>
        <w:spacing w:after="0" w:line="263"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89"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“Adviser” refers to Sixth Street Specialty Lending Advisers, LLC, a Delaware limited liability company; and</w:t>
      </w:r>
    </w:p>
    <w:p>
      <w:pPr>
        <w:spacing w:after="0" w:line="130" w:lineRule="exact"/>
        <w:rPr>
          <w:rFonts w:ascii="Arial" w:cs="Arial" w:eastAsia="Arial" w:hAnsi="Arial"/>
          <w:sz w:val="18"/>
          <w:szCs w:val="18"/>
          <w:color w:val="auto"/>
        </w:rPr>
      </w:pPr>
    </w:p>
    <w:p>
      <w:pPr>
        <w:ind w:left="1260" w:hanging="433"/>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“Sixth Street” refers to Sixth Street Partners, LLC together with its affiliates.</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6"/>
          <w:szCs w:val="16"/>
          <w:i w:val="1"/>
          <w:iCs w:val="1"/>
          <w:color w:val="auto"/>
        </w:rPr>
        <w:t>We have elected to be regulated as a business development company, or BDC, under the Investment Company Act of 1940, as amended, or the</w:t>
      </w:r>
    </w:p>
    <w:p>
      <w:pPr>
        <w:spacing w:after="0" w:line="46" w:lineRule="exact"/>
        <w:rPr>
          <w:sz w:val="20"/>
          <w:szCs w:val="20"/>
          <w:color w:val="auto"/>
        </w:rPr>
      </w:pPr>
    </w:p>
    <w:p>
      <w:pPr>
        <w:ind w:left="300" w:right="340"/>
        <w:spacing w:after="0" w:line="260" w:lineRule="auto"/>
        <w:rPr>
          <w:sz w:val="20"/>
          <w:szCs w:val="20"/>
          <w:color w:val="auto"/>
        </w:rPr>
      </w:pPr>
      <w:r>
        <w:rPr>
          <w:rFonts w:ascii="Arial" w:cs="Arial" w:eastAsia="Arial" w:hAnsi="Arial"/>
          <w:sz w:val="18"/>
          <w:szCs w:val="18"/>
          <w:i w:val="1"/>
          <w:iCs w:val="1"/>
          <w:color w:val="auto"/>
        </w:rPr>
        <w:t>1940 Act. In addition, for U.S. federal income tax purposes we have elected to be treated as a regulated investment company, or RIC, under the Internal Revenue Code of 1986, as amended, or the Code.</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Sixth Street Specialty Lending</w:t>
      </w:r>
    </w:p>
    <w:p>
      <w:pPr>
        <w:spacing w:after="0" w:line="121"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June 30, 2023, we have originated more than $27.6 billion aggregate principal amount of investments and retained approximately</w:t>
      </w:r>
    </w:p>
    <w:p>
      <w:pPr>
        <w:ind w:left="300" w:right="180"/>
        <w:spacing w:after="0" w:line="302" w:lineRule="auto"/>
        <w:rPr>
          <w:sz w:val="20"/>
          <w:szCs w:val="20"/>
          <w:color w:val="auto"/>
        </w:rPr>
      </w:pPr>
      <w:r>
        <w:rPr>
          <w:rFonts w:ascii="Arial" w:cs="Arial" w:eastAsia="Arial" w:hAnsi="Arial"/>
          <w:sz w:val="16"/>
          <w:szCs w:val="16"/>
          <w:color w:val="auto"/>
        </w:rPr>
        <w:t>$9.6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equity securities and other instruments.</w:t>
      </w:r>
    </w:p>
    <w:p>
      <w:pPr>
        <w:spacing w:after="0" w:line="155"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June 30, 2023, our core portfolio companies, which excludes certain investments that fall outside of our typical borrower profile and represent 91.3% of our total investments based on fair value, had weighted average annual revenue of $205.3 million and weighted average annual EBITDA of $67.3 million.</w:t>
      </w:r>
    </w:p>
    <w:p>
      <w:pPr>
        <w:spacing w:after="0" w:line="188" w:lineRule="exact"/>
        <w:rPr>
          <w:sz w:val="20"/>
          <w:szCs w:val="20"/>
          <w:color w:val="auto"/>
        </w:rPr>
      </w:pPr>
    </w:p>
    <w:p>
      <w:pPr>
        <w:ind w:left="300" w:right="420" w:firstLine="42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6" w:lineRule="exact"/>
        <w:rPr>
          <w:sz w:val="20"/>
          <w:szCs w:val="20"/>
          <w:color w:val="auto"/>
        </w:rPr>
      </w:pPr>
    </w:p>
    <w:p>
      <w:pPr>
        <w:ind w:left="300" w:right="160" w:firstLine="426"/>
        <w:spacing w:after="0" w:line="342" w:lineRule="auto"/>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w:t>
      </w:r>
    </w:p>
    <w:p>
      <w:pPr>
        <w:spacing w:after="0" w:line="170" w:lineRule="exact"/>
        <w:rPr>
          <w:sz w:val="20"/>
          <w:szCs w:val="20"/>
          <w:color w:val="auto"/>
        </w:rPr>
      </w:pPr>
    </w:p>
    <w:p>
      <w:pPr>
        <w:ind w:left="300" w:right="20" w:firstLine="426"/>
        <w:spacing w:after="0" w:line="275" w:lineRule="auto"/>
        <w:rPr>
          <w:sz w:val="20"/>
          <w:szCs w:val="20"/>
          <w:color w:val="auto"/>
        </w:rPr>
      </w:pPr>
      <w:r>
        <w:rPr>
          <w:rFonts w:ascii="Arial" w:cs="Arial" w:eastAsia="Arial" w:hAnsi="Arial"/>
          <w:sz w:val="17"/>
          <w:szCs w:val="17"/>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320" w:top="675"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779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7779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As of June 30, 2023, our portfolio based on fair value consisted of 90.6% first-lien debt investments, 1.3% second-lien debt investments, 1.3% mezzanine debt investments, 5.0% equity and other investments and 1.8% structured credit investments. As of June 30, 2023, 99.2% of our debt investments based on fair value bore interest at floating rates, with 100.0% of these subject to interest rate floors, which we believe helps act as a portfolio-wide hedge against inflation.</w:t>
      </w:r>
    </w:p>
    <w:p>
      <w:pPr>
        <w:spacing w:after="0" w:line="187" w:lineRule="exact"/>
        <w:rPr>
          <w:sz w:val="20"/>
          <w:szCs w:val="20"/>
          <w:color w:val="auto"/>
        </w:rPr>
      </w:pPr>
    </w:p>
    <w:p>
      <w:pPr>
        <w:ind w:left="300" w:right="20" w:firstLine="426"/>
        <w:spacing w:after="0" w:line="279" w:lineRule="auto"/>
        <w:rPr>
          <w:sz w:val="20"/>
          <w:szCs w:val="20"/>
          <w:color w:val="auto"/>
        </w:rPr>
      </w:pPr>
      <w:r>
        <w:rPr>
          <w:rFonts w:ascii="Arial" w:cs="Arial" w:eastAsia="Arial" w:hAnsi="Arial"/>
          <w:sz w:val="17"/>
          <w:szCs w:val="17"/>
          <w:color w:val="auto"/>
        </w:rPr>
        <w:t>As of June 30, 2023, we had investments in 130 portfolio companies (including 44 structured credit investments, which include each series of collateralized loan obligation as a separate portfolio company investment) with an aggregate fair value of $3,089.0 million. For the three months ended June 30, 2023, the principal amount of new investments funded was $240.0 million in six new portfolio companies and four existing portfolio companies. For this period, we had $114.1 million aggregate principal amount in exits and repayments.</w:t>
      </w:r>
    </w:p>
    <w:p>
      <w:pPr>
        <w:spacing w:after="0" w:line="17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As of June 30, 2023, the largest single investment based on fair value represented 2.5% of our total investment portfolio. As of June 30, 2023,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credit investments, the average investment in our remaining portfolio companies was approximately $35.3 million as of June 30, 2023. As of June 30, 2023, the largest industry represented 15.7% of our total portfolio based on fair value.</w:t>
      </w:r>
    </w:p>
    <w:p>
      <w:pPr>
        <w:spacing w:after="0" w:line="161" w:lineRule="exact"/>
        <w:rPr>
          <w:sz w:val="20"/>
          <w:szCs w:val="20"/>
          <w:color w:val="auto"/>
        </w:rPr>
      </w:pPr>
    </w:p>
    <w:p>
      <w:pPr>
        <w:ind w:left="300" w:right="80" w:firstLine="426"/>
        <w:spacing w:after="0" w:line="255" w:lineRule="auto"/>
        <w:rPr>
          <w:sz w:val="20"/>
          <w:szCs w:val="20"/>
          <w:color w:val="auto"/>
        </w:rPr>
      </w:pPr>
      <w:r>
        <w:rPr>
          <w:rFonts w:ascii="Arial" w:cs="Arial" w:eastAsia="Arial" w:hAnsi="Arial"/>
          <w:sz w:val="18"/>
          <w:szCs w:val="18"/>
          <w:color w:val="auto"/>
        </w:rPr>
        <w:t>Since we began investing in 2011 through June 30, 2023, weighted by capital invested, our exited investments have generated an average realized gross internal rate of return to us of 17.5% (based on total capital invested of $6.8 billion and total proceeds from these exited investments of $8.5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2Q 2023 Quarterly Report, which is incorporated herein by reference.</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Sixth Street Specialty Lending, Inc. is a Delaware corporation formed on July 21, 2010. Sixth Street Specialty Lending Advisers, LLC is our external manager.</w:t>
      </w:r>
    </w:p>
    <w:p>
      <w:pPr>
        <w:spacing w:after="0" w:line="170"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2022 Annual Report, which is incorporated herein by reference, for more information on these requirements.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300" w:right="620" w:firstLine="42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88" w:lineRule="exact"/>
        <w:rPr>
          <w:sz w:val="20"/>
          <w:szCs w:val="20"/>
          <w:color w:val="auto"/>
        </w:rPr>
      </w:pPr>
    </w:p>
    <w:p>
      <w:pPr>
        <w:ind w:left="300" w:right="80" w:firstLine="426"/>
        <w:spacing w:after="0" w:line="287" w:lineRule="auto"/>
        <w:rPr>
          <w:sz w:val="20"/>
          <w:szCs w:val="20"/>
          <w:color w:val="auto"/>
        </w:rPr>
      </w:pPr>
      <w:r>
        <w:rPr>
          <w:rFonts w:ascii="Arial" w:cs="Arial" w:eastAsia="Arial" w:hAnsi="Arial"/>
          <w:sz w:val="16"/>
          <w:szCs w:val="16"/>
          <w:color w:val="auto"/>
        </w:rPr>
        <w:t>Sixth Street is a global investment business with over $65 billion of assets under management as of June 30, 2023.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520 investment and operating professionals. As of June 30, 2023, forty-nine (49) of these personnel are dedicated to our business, including thirty-seven (37) investment professionals.</w:t>
      </w: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675" w:right="6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567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2567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right="760" w:firstLine="426"/>
        <w:spacing w:after="0" w:line="277" w:lineRule="auto"/>
        <w:rPr>
          <w:sz w:val="20"/>
          <w:szCs w:val="20"/>
          <w:color w:val="auto"/>
        </w:rPr>
      </w:pPr>
      <w:r>
        <w:rPr>
          <w:rFonts w:ascii="Arial" w:cs="Arial" w:eastAsia="Arial" w:hAnsi="Arial"/>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60"/>
          </w:cols>
          <w:pgMar w:left="320" w:top="675" w:right="6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9849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98494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300" w:right="20" w:firstLine="426"/>
        <w:spacing w:after="0" w:line="293" w:lineRule="auto"/>
        <w:rPr>
          <w:sz w:val="20"/>
          <w:szCs w:val="20"/>
          <w:color w:val="auto"/>
        </w:rPr>
      </w:pPr>
      <w:r>
        <w:rPr>
          <w:rFonts w:ascii="Arial" w:cs="Arial" w:eastAsia="Arial" w:hAnsi="Arial"/>
          <w:sz w:val="16"/>
          <w:szCs w:val="16"/>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ectPr>
          <w:pgSz w:w="11900" w:h="16838" w:orient="portrait"/>
          <w:cols w:equalWidth="0" w:num="1">
            <w:col w:w="10920"/>
          </w:cols>
          <w:pgMar w:left="320" w:top="675" w:right="659" w:bottom="1440" w:gutter="0" w:footer="0" w:header="0"/>
        </w:sectPr>
      </w:pPr>
    </w:p>
    <w:p>
      <w:pPr>
        <w:spacing w:after="0" w:line="19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Sixth Street Specialty Lending, Inc., a Delaware corporation</w:t>
      </w:r>
    </w:p>
    <w:p>
      <w:pPr>
        <w:spacing w:after="0" w:line="200" w:lineRule="exact"/>
        <w:rPr>
          <w:sz w:val="20"/>
          <w:szCs w:val="20"/>
          <w:color w:val="auto"/>
        </w:rPr>
      </w:pPr>
    </w:p>
    <w:p>
      <w:pPr>
        <w:sectPr>
          <w:pgSz w:w="11900" w:h="16838" w:orient="portrait"/>
          <w:cols w:equalWidth="0" w:num="2">
            <w:col w:w="5220" w:space="720"/>
            <w:col w:w="4980"/>
          </w:cols>
          <w:pgMar w:left="320" w:top="675" w:right="65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Notes due</w:t>
      </w:r>
    </w:p>
    <w:p>
      <w:pPr>
        <w:spacing w:after="0" w:line="200" w:lineRule="exact"/>
        <w:rPr>
          <w:sz w:val="20"/>
          <w:szCs w:val="20"/>
          <w:color w:val="auto"/>
        </w:rPr>
      </w:pPr>
    </w:p>
    <w:p>
      <w:pPr>
        <w:sectPr>
          <w:pgSz w:w="11900" w:h="16838" w:orient="portrait"/>
          <w:cols w:equalWidth="0" w:num="2">
            <w:col w:w="5500" w:space="720"/>
            <w:col w:w="4700"/>
          </w:cols>
          <w:pgMar w:left="320" w:top="675" w:right="65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Total Aggregate Principal Amount Being Offered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220" w:space="720"/>
            <w:col w:w="4980"/>
          </w:cols>
          <w:pgMar w:left="320" w:top="675" w:right="659" w:bottom="144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Initial Public Offering Price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of the aggregate principal amount of Notes</w:t>
      </w:r>
    </w:p>
    <w:p>
      <w:pPr>
        <w:spacing w:after="0" w:line="211" w:lineRule="exact"/>
        <w:rPr>
          <w:sz w:val="20"/>
          <w:szCs w:val="20"/>
          <w:color w:val="auto"/>
        </w:rPr>
      </w:pPr>
    </w:p>
    <w:p>
      <w:pPr>
        <w:sectPr>
          <w:pgSz w:w="11900" w:h="16838" w:orient="portrait"/>
          <w:cols w:equalWidth="0" w:num="2">
            <w:col w:w="5500" w:space="720"/>
            <w:col w:w="4700"/>
          </w:cols>
          <w:pgMar w:left="320" w:top="675" w:right="659" w:bottom="144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Interest Rate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4560"/>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ectPr>
          <w:pgSz w:w="11900" w:h="16838" w:orient="portrait"/>
          <w:cols w:equalWidth="0" w:num="2">
            <w:col w:w="5500" w:space="720"/>
            <w:col w:w="4700"/>
          </w:cols>
          <w:pgMar w:left="320" w:top="675" w:right="659" w:bottom="1440" w:gutter="0" w:footer="0" w:header="0"/>
          <w:type w:val="continuous"/>
        </w:sectPr>
      </w:pPr>
    </w:p>
    <w:p>
      <w:pPr>
        <w:spacing w:after="0" w:line="6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4560"/>
        <w:spacing w:after="0"/>
        <w:rPr>
          <w:sz w:val="20"/>
          <w:szCs w:val="20"/>
          <w:color w:val="auto"/>
        </w:rPr>
      </w:pPr>
      <w:r>
        <w:rPr>
          <w:rFonts w:ascii="Arial" w:cs="Arial" w:eastAsia="Arial" w:hAnsi="Arial"/>
          <w:sz w:val="15"/>
          <w:szCs w:val="15"/>
          <w:color w:val="auto"/>
        </w:rPr>
        <w:t>%</w:t>
      </w:r>
    </w:p>
    <w:p>
      <w:pPr>
        <w:spacing w:after="0" w:line="222" w:lineRule="exact"/>
        <w:rPr>
          <w:sz w:val="20"/>
          <w:szCs w:val="20"/>
          <w:color w:val="auto"/>
        </w:rPr>
      </w:pPr>
    </w:p>
    <w:p>
      <w:pPr>
        <w:sectPr>
          <w:pgSz w:w="11900" w:h="16838" w:orient="portrait"/>
          <w:cols w:equalWidth="0" w:num="2">
            <w:col w:w="5500" w:space="720"/>
            <w:col w:w="4700"/>
          </w:cols>
          <w:pgMar w:left="320" w:top="675" w:right="659" w:bottom="1440" w:gutter="0" w:footer="0" w:header="0"/>
          <w:type w:val="continuous"/>
        </w:sectPr>
      </w:pPr>
    </w:p>
    <w:p>
      <w:pPr>
        <w:spacing w:after="0" w:line="3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 2023</w:t>
      </w:r>
    </w:p>
    <w:p>
      <w:pPr>
        <w:spacing w:after="0" w:line="200" w:lineRule="exact"/>
        <w:rPr>
          <w:sz w:val="20"/>
          <w:szCs w:val="20"/>
          <w:color w:val="auto"/>
        </w:rPr>
      </w:pPr>
    </w:p>
    <w:p>
      <w:pPr>
        <w:sectPr>
          <w:pgSz w:w="11900" w:h="16838" w:orient="portrait"/>
          <w:cols w:equalWidth="0" w:num="2">
            <w:col w:w="5500" w:space="720"/>
            <w:col w:w="4700"/>
          </w:cols>
          <w:pgMar w:left="320" w:top="675" w:right="659" w:bottom="1440" w:gutter="0" w:footer="0" w:header="0"/>
          <w:type w:val="continuous"/>
        </w:sectPr>
      </w:pPr>
    </w:p>
    <w:p>
      <w:pPr>
        <w:spacing w:after="0" w:line="6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 2023</w:t>
      </w:r>
    </w:p>
    <w:p>
      <w:pPr>
        <w:spacing w:after="0" w:line="200" w:lineRule="exact"/>
        <w:rPr>
          <w:sz w:val="20"/>
          <w:szCs w:val="20"/>
          <w:color w:val="auto"/>
        </w:rPr>
      </w:pPr>
    </w:p>
    <w:p>
      <w:pPr>
        <w:sectPr>
          <w:pgSz w:w="11900" w:h="16838" w:orient="portrait"/>
          <w:cols w:equalWidth="0" w:num="2">
            <w:col w:w="5500" w:space="720"/>
            <w:col w:w="4700"/>
          </w:cols>
          <w:pgMar w:left="320" w:top="675" w:right="659" w:bottom="1440" w:gutter="0" w:footer="0" w:header="0"/>
          <w:type w:val="continuous"/>
        </w:sectPr>
      </w:pPr>
    </w:p>
    <w:p>
      <w:pPr>
        <w:spacing w:after="0" w:line="6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Maturity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4660"/>
        <w:spacing w:after="0"/>
        <w:rPr>
          <w:sz w:val="20"/>
          <w:szCs w:val="20"/>
          <w:color w:val="auto"/>
        </w:rPr>
      </w:pPr>
      <w:r>
        <w:rPr>
          <w:rFonts w:ascii="Arial" w:cs="Arial" w:eastAsia="Arial" w:hAnsi="Arial"/>
          <w:sz w:val="13"/>
          <w:szCs w:val="13"/>
          <w:color w:val="auto"/>
        </w:rPr>
        <w:t>,</w:t>
      </w:r>
    </w:p>
    <w:p>
      <w:pPr>
        <w:spacing w:after="0" w:line="234" w:lineRule="exact"/>
        <w:rPr>
          <w:sz w:val="20"/>
          <w:szCs w:val="20"/>
          <w:color w:val="auto"/>
        </w:rPr>
      </w:pPr>
    </w:p>
    <w:p>
      <w:pPr>
        <w:sectPr>
          <w:pgSz w:w="11900" w:h="16838" w:orient="portrait"/>
          <w:cols w:equalWidth="0" w:num="2">
            <w:col w:w="5500" w:space="720"/>
            <w:col w:w="4700"/>
          </w:cols>
          <w:pgMar w:left="320" w:top="675" w:right="65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commencing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 2024</w:t>
      </w:r>
    </w:p>
    <w:p>
      <w:pPr>
        <w:spacing w:after="0" w:line="200" w:lineRule="exact"/>
        <w:rPr>
          <w:sz w:val="20"/>
          <w:szCs w:val="20"/>
          <w:color w:val="auto"/>
        </w:rPr>
      </w:pPr>
    </w:p>
    <w:p>
      <w:pPr>
        <w:sectPr>
          <w:pgSz w:w="11900" w:h="16838" w:orient="portrait"/>
          <w:cols w:equalWidth="0" w:num="4">
            <w:col w:w="5500" w:space="720"/>
            <w:col w:w="260" w:space="400"/>
            <w:col w:w="1020" w:space="400"/>
            <w:col w:w="2620"/>
          </w:cols>
          <w:pgMar w:left="320" w:top="675" w:right="659" w:bottom="1440" w:gutter="0" w:footer="0" w:header="0"/>
          <w:type w:val="continuous"/>
        </w:sectPr>
      </w:pPr>
    </w:p>
    <w:p>
      <w:pPr>
        <w:spacing w:after="0" w:line="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Ranking of Notes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 our direct, general unsecured obligations and will</w:t>
      </w:r>
    </w:p>
    <w:p>
      <w:pPr>
        <w:spacing w:after="0" w:line="46" w:lineRule="exact"/>
        <w:rPr>
          <w:sz w:val="20"/>
          <w:szCs w:val="20"/>
          <w:color w:val="auto"/>
        </w:rPr>
      </w:pPr>
    </w:p>
    <w:p>
      <w:pPr>
        <w:sectPr>
          <w:pgSz w:w="11900" w:h="16838" w:orient="portrait"/>
          <w:cols w:equalWidth="0" w:num="2">
            <w:col w:w="5220" w:space="720"/>
            <w:col w:w="4980"/>
          </w:cols>
          <w:pgMar w:left="320" w:top="675" w:right="659" w:bottom="1440" w:gutter="0" w:footer="0" w:header="0"/>
          <w:type w:val="continuous"/>
        </w:sectPr>
      </w:pPr>
    </w:p>
    <w:p>
      <w:pPr>
        <w:ind w:left="5940"/>
        <w:spacing w:after="0"/>
        <w:rPr>
          <w:sz w:val="20"/>
          <w:szCs w:val="20"/>
          <w:color w:val="auto"/>
        </w:rPr>
      </w:pPr>
      <w:r>
        <w:rPr>
          <w:rFonts w:ascii="Arial" w:cs="Arial" w:eastAsia="Arial" w:hAnsi="Arial"/>
          <w:sz w:val="18"/>
          <w:szCs w:val="18"/>
          <w:color w:val="auto"/>
        </w:rPr>
        <w:t>rank:</w:t>
      </w:r>
    </w:p>
    <w:p>
      <w:pPr>
        <w:spacing w:after="0" w:line="21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•  Senior in right of payment to all of our future indebtedness</w:t>
      </w:r>
    </w:p>
    <w:p>
      <w:pPr>
        <w:spacing w:after="0" w:line="46"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or other obligations that are expressly subordinated, or</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junior, in right of payment to the Notes;</w:t>
      </w:r>
    </w:p>
    <w:p>
      <w:pPr>
        <w:spacing w:after="0" w:line="10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•  Pari passu, or equal, in right of payment with all of our</w:t>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existing and future indebtedness or other obligations that</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are not so subordinated, or junior, including, without</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limitation, as of June 30, 2023, approximately</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$347.5 million aggregate principal amount of outstanding</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indebtedness under our unsecured notes due November</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2024, which we refer to as the 2024 Notes,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approximately $300.0 million aggregate principal amount</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5"/>
          <w:szCs w:val="15"/>
          <w:color w:val="auto"/>
        </w:rPr>
        <w:t>of outstanding indebtedness under our unsecured notes due</w:t>
      </w:r>
    </w:p>
    <w:p>
      <w:pPr>
        <w:spacing w:after="0" w:line="44"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August 2026, which we refer to as the 2026 Notes;</w:t>
      </w:r>
    </w:p>
    <w:p>
      <w:pPr>
        <w:spacing w:after="0" w:line="10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•  Effectively subordinated, or junior, to any of our secured</w:t>
      </w:r>
    </w:p>
    <w:p>
      <w:pPr>
        <w:spacing w:after="0" w:line="35"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indebtedness or other obligations (including unsecured</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indebtedness that we later secure) to the extent of the value</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of the assets securing such indebtedness, including,</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without limitation, approximately $1,050.8 million</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aggregate principal amount of outstanding indebtedness as</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of June 30, 2023 under our Senior Secured Revolving</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Credit Agreement, dated August 23, 2012, as amended,</w:t>
      </w:r>
    </w:p>
    <w:p>
      <w:pPr>
        <w:spacing w:after="0" w:line="21"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which we refer to as the Revolving Credit Facility; and</w:t>
      </w:r>
    </w:p>
    <w:p>
      <w:pPr>
        <w:spacing w:after="0" w:line="114"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•  Structurally subordinated, or junior, to all existing and</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future indebtedness and other obligations (including trade</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payables) incurred by our subsidiaries, financing vehicles</w:t>
      </w:r>
    </w:p>
    <w:p>
      <w:pPr>
        <w:spacing w:after="0" w:line="32"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or similar facilities.</w:t>
      </w:r>
    </w:p>
    <w:p>
      <w:pPr>
        <w:sectPr>
          <w:pgSz w:w="11900" w:h="16838" w:orient="portrait"/>
          <w:cols w:equalWidth="0" w:num="1">
            <w:col w:w="10920"/>
          </w:cols>
          <w:pgMar w:left="320" w:top="675" w:right="659" w:bottom="1440" w:gutter="0" w:footer="0" w:header="0"/>
          <w:type w:val="continuous"/>
        </w:sectPr>
      </w:pPr>
    </w:p>
    <w:bookmarkStart w:id="8" w:name="page9"/>
    <w:bookmarkEnd w:id="8"/>
    <w:p>
      <w:pPr>
        <w:ind w:left="4820"/>
        <w:spacing w:after="0" w:line="253" w:lineRule="auto"/>
        <w:rPr>
          <w:sz w:val="20"/>
          <w:szCs w:val="20"/>
          <w:color w:val="auto"/>
        </w:rPr>
      </w:pPr>
      <w:r>
        <w:rPr>
          <w:rFonts w:ascii="Arial" w:cs="Arial" w:eastAsia="Arial" w:hAnsi="Arial"/>
          <w:sz w:val="18"/>
          <w:szCs w:val="18"/>
          <w:color w:val="auto"/>
        </w:rPr>
        <w:t>As of June 30, 2023, our total consolidated indebtedness was approximately $1,698.3 million aggregate principal amount outstanding, of which approximately $1,050.8 million was secured indebtedness at the TSLX level and none of which was indebtedness of our subsidiaries. After giving effect to the issuance of the Note, and assuming the net proceeds therefrom are used to repay outstanding borrowings under the Revolving Credit Facility, our total consolidated indebtedness would have been approximately $ million aggregate principal amount outstanding as of June 30, 2023. See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-1376045</wp:posOffset>
            </wp:positionV>
            <wp:extent cx="6995160" cy="1482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482725"/>
                    </a:xfrm>
                    <a:prstGeom prst="rect">
                      <a:avLst/>
                    </a:prstGeom>
                    <a:noFill/>
                  </pic:spPr>
                </pic:pic>
              </a:graphicData>
            </a:graphic>
          </wp:anchor>
        </w:drawing>
      </w:r>
    </w:p>
    <w:p>
      <w:pPr>
        <w:spacing w:after="0" w:line="28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9820"/>
          </w:cols>
          <w:pgMar w:left="1440" w:top="125" w:right="6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502"/>
        </w:trPr>
        <w:tc>
          <w:tcPr>
            <w:tcW w:w="50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Denominations</w:t>
            </w:r>
          </w:p>
        </w:tc>
        <w:tc>
          <w:tcPr>
            <w:tcW w:w="5980" w:type="dxa"/>
            <w:vAlign w:val="bottom"/>
            <w:tcBorders>
              <w:top w:val="single" w:sz="8" w:color="auto"/>
              <w:right w:val="single" w:sz="8" w:color="auto"/>
            </w:tcBorders>
            <w:gridSpan w:val="2"/>
          </w:tcPr>
          <w:p>
            <w:pPr>
              <w:ind w:left="780"/>
              <w:spacing w:after="0"/>
              <w:rPr>
                <w:sz w:val="20"/>
                <w:szCs w:val="20"/>
                <w:color w:val="auto"/>
              </w:rPr>
            </w:pPr>
            <w:r>
              <w:rPr>
                <w:rFonts w:ascii="Arial" w:cs="Arial" w:eastAsia="Arial" w:hAnsi="Arial"/>
                <w:sz w:val="18"/>
                <w:szCs w:val="18"/>
                <w:color w:val="auto"/>
              </w:rPr>
              <w:t>We will issue the Notes in denominations of $2,000 and integral</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multiples of $1,000 in excess thereof.</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5"/>
              </w:rPr>
              <w:t>We may redeem some or all of the Notes, in whole or in part, at any</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time, or from time to time, at a redemption price, prior to Par Call</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5"/>
              </w:rPr>
              <w:t>Date, equal to the greater of (1) (a) the sum of the present values of</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6"/>
              </w:rPr>
              <w:t>the remaining scheduled payments of principal and interest thereon</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5"/>
              </w:rPr>
              <w:t>discounted to the redemption date (assuming the Notes matured on</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4"/>
              </w:rPr>
              <w:t>the Par Call Date) on a semi-annual basis (assuming a 360-day year</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consisting of twelve 30-day months) at the Treasury Rate</w:t>
            </w:r>
          </w:p>
        </w:tc>
      </w:tr>
      <w:tr>
        <w:trPr>
          <w:trHeight w:val="216"/>
        </w:trPr>
        <w:tc>
          <w:tcPr>
            <w:tcW w:w="5040" w:type="dxa"/>
            <w:vAlign w:val="bottom"/>
            <w:tcBorders>
              <w:left w:val="single" w:sz="8" w:color="auto"/>
            </w:tcBorders>
          </w:tcPr>
          <w:p>
            <w:pPr>
              <w:spacing w:after="0"/>
              <w:rPr>
                <w:sz w:val="18"/>
                <w:szCs w:val="18"/>
                <w:color w:val="auto"/>
              </w:rPr>
            </w:pPr>
          </w:p>
        </w:tc>
        <w:tc>
          <w:tcPr>
            <w:tcW w:w="1340" w:type="dxa"/>
            <w:vAlign w:val="bottom"/>
          </w:tcPr>
          <w:p>
            <w:pPr>
              <w:ind w:left="780"/>
              <w:spacing w:after="0"/>
              <w:rPr>
                <w:sz w:val="20"/>
                <w:szCs w:val="20"/>
                <w:color w:val="auto"/>
              </w:rPr>
            </w:pPr>
            <w:r>
              <w:rPr>
                <w:rFonts w:ascii="Arial" w:cs="Arial" w:eastAsia="Arial" w:hAnsi="Arial"/>
                <w:sz w:val="18"/>
                <w:szCs w:val="18"/>
                <w:color w:val="auto"/>
              </w:rPr>
              <w:t>plus</w:t>
            </w:r>
          </w:p>
        </w:tc>
        <w:tc>
          <w:tcPr>
            <w:tcW w:w="46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basis points less (b) interest accrued to the date of</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5"/>
              </w:rPr>
              <w:t>redemption, and (2) 100% of the principal amount of the Notes to be</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2"/>
              </w:rPr>
              <w:t>redeemed, plus, in either case, accrued and unpaid interest thereon to</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3"/>
              </w:rPr>
              <w:t xml:space="preserve">the redemption date;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however, that if we redeem any Notes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6"/>
              </w:rPr>
              <w:t>on or after the Par Call Date, the redemption price for the Notes will</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be equal to 100% of the principal amount of the Notes to be</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2"/>
              </w:rPr>
              <w:t>redeemed plus accrued and unpaid interest thereon to the redemption</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5"/>
              </w:rPr>
              <w:t>date. Any exercise of our option to redeem the Notes will be done in</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compliance with the 1940 Act.</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5"/>
              </w:rPr>
              <w:t>The Notes will not be subject to any sinking fund. A sinking fund is a</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5"/>
              </w:rPr>
              <w:t>reserve fund accumulated over a period of time for the retirement of</w:t>
            </w:r>
          </w:p>
        </w:tc>
      </w:tr>
      <w:tr>
        <w:trPr>
          <w:trHeight w:val="230"/>
        </w:trPr>
        <w:tc>
          <w:tcPr>
            <w:tcW w:w="5040" w:type="dxa"/>
            <w:vAlign w:val="bottom"/>
            <w:tcBorders>
              <w:left w:val="single" w:sz="8" w:color="auto"/>
            </w:tcBorders>
          </w:tcPr>
          <w:p>
            <w:pPr>
              <w:spacing w:after="0"/>
              <w:rPr>
                <w:sz w:val="20"/>
                <w:szCs w:val="20"/>
                <w:color w:val="auto"/>
              </w:rPr>
            </w:pPr>
          </w:p>
        </w:tc>
        <w:tc>
          <w:tcPr>
            <w:tcW w:w="1340" w:type="dxa"/>
            <w:vAlign w:val="bottom"/>
          </w:tcPr>
          <w:p>
            <w:pPr>
              <w:ind w:left="780"/>
              <w:spacing w:after="0"/>
              <w:rPr>
                <w:sz w:val="20"/>
                <w:szCs w:val="20"/>
                <w:color w:val="auto"/>
              </w:rPr>
            </w:pPr>
            <w:r>
              <w:rPr>
                <w:rFonts w:ascii="Arial" w:cs="Arial" w:eastAsia="Arial" w:hAnsi="Arial"/>
                <w:sz w:val="18"/>
                <w:szCs w:val="18"/>
                <w:color w:val="auto"/>
              </w:rPr>
              <w:t>debt.</w:t>
            </w:r>
          </w:p>
        </w:tc>
        <w:tc>
          <w:tcPr>
            <w:tcW w:w="4640" w:type="dxa"/>
            <w:vAlign w:val="bottom"/>
            <w:tcBorders>
              <w:right w:val="single" w:sz="8" w:color="auto"/>
            </w:tcBorders>
          </w:tcPr>
          <w:p>
            <w:pPr>
              <w:spacing w:after="0"/>
              <w:rPr>
                <w:sz w:val="20"/>
                <w:szCs w:val="20"/>
                <w:color w:val="auto"/>
              </w:rPr>
            </w:pP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Offer to Purchase upon a Change of Control Repurchase Event</w:t>
            </w: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8"/>
              </w:rPr>
              <w:t>If a Change of Control Repurchase Event occurs prior to maturity,</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unless we have exercised our right to redeem the Notes in full,</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4"/>
              </w:rPr>
              <w:t>holders will have the right, at their option, to require us to repurchase</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3"/>
              </w:rPr>
              <w:t>for cash some or all of the Notes at a repurchase price equal to 100%</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3"/>
              </w:rPr>
              <w:t>of the principal amount of the Notes being repurchased, plus accrued</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and unpaid interest to, but not including, the repurchase date.</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Legal Defeasance</w:t>
            </w: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5"/>
              </w:rPr>
              <w:t>The Notes are subject to legal defeasance by us, which means that,</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subject to the satisfaction of certain conditions, including, but not</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8"/>
              </w:rPr>
              <w:t>limited to, (i) depositing in trust for the benefit of the holders of the</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Notes a combination of money and U.S. government or U.S.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3"/>
              </w:rPr>
              <w:t>government agency notes or bonds that will generate enough cash to</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2"/>
              </w:rPr>
              <w:t>make interest, principal and any other payments on the Notes on their</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various due dates and (ii) delivering to the Trustee an opinion of</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counsel as described herein under “Description of Notes—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Satisfaction and Discharge; Defeasance,” we can legally release</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ourselves from all payment and other obligations on the Notes.</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Covenant Defeasance</w:t>
            </w: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6"/>
              </w:rPr>
              <w:t>The Notes are subject to covenant defeasance by us, which means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8"/>
              </w:rPr>
              <w:t>that, subject to the satisfaction of certain conditions, including, but</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8"/>
              </w:rPr>
              <w:t>not limited to, (i) depositing in trust for the benefit of the holders of</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the Notes a combination of money and U.S. government or U.S.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3"/>
              </w:rPr>
              <w:t>government agency notes or bonds that will generate enough cash to</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2"/>
              </w:rPr>
              <w:t>make interest, principal and any other payments on the Notes on their</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various due dates and (ii) delivering to the Trustee an opinion of</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counsel as described herein under “Description of Notes—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7"/>
              </w:rPr>
              <w:t>Satisfaction and Discharge; Defeasance,” we will be released from</w:t>
            </w:r>
          </w:p>
        </w:tc>
      </w:tr>
      <w:tr>
        <w:trPr>
          <w:trHeight w:val="230"/>
        </w:trPr>
        <w:tc>
          <w:tcPr>
            <w:tcW w:w="5040" w:type="dxa"/>
            <w:vAlign w:val="bottom"/>
            <w:tcBorders>
              <w:left w:val="single" w:sz="8" w:color="auto"/>
            </w:tcBorders>
          </w:tcPr>
          <w:p>
            <w:pPr>
              <w:spacing w:after="0"/>
              <w:rPr>
                <w:sz w:val="20"/>
                <w:szCs w:val="20"/>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some of the restrictive covenants in the indenture.</w:t>
            </w:r>
          </w:p>
        </w:tc>
      </w:tr>
      <w:tr>
        <w:trPr>
          <w:trHeight w:val="418"/>
        </w:trPr>
        <w:tc>
          <w:tcPr>
            <w:tcW w:w="50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Form of Notes</w:t>
            </w: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The Notes will be represented by global securities that will be</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deposited and registered in the name of The Depository Trust</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4"/>
              </w:rPr>
              <w:t>Company, or DTC, or its nominee. This means that, except in limited</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circumstances, you will not receive certificates for the Notes.</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8"/>
              </w:rPr>
              <w:t>Beneficial interests in the Notes will be represented through book-</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7"/>
              </w:rPr>
              <w:t>entry accounts of financial institutions acting on behalf of beneficial</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owners as direct and indirect participants in DTC. Investors may</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6"/>
              </w:rPr>
              <w:t>elect to hold interests in the Notes through either DTC, if they are a</w:t>
            </w:r>
          </w:p>
        </w:tc>
      </w:tr>
      <w:tr>
        <w:trPr>
          <w:trHeight w:val="216"/>
        </w:trPr>
        <w:tc>
          <w:tcPr>
            <w:tcW w:w="5040" w:type="dxa"/>
            <w:vAlign w:val="bottom"/>
            <w:tcBorders>
              <w:left w:val="single" w:sz="8" w:color="auto"/>
            </w:tcBorders>
          </w:tcPr>
          <w:p>
            <w:pPr>
              <w:spacing w:after="0"/>
              <w:rPr>
                <w:sz w:val="18"/>
                <w:szCs w:val="18"/>
                <w:color w:val="auto"/>
              </w:rPr>
            </w:pPr>
          </w:p>
        </w:tc>
        <w:tc>
          <w:tcPr>
            <w:tcW w:w="598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w w:val="94"/>
              </w:rPr>
              <w:t>participant, or indirectly through organizations that are participants in</w:t>
            </w:r>
          </w:p>
        </w:tc>
      </w:tr>
      <w:tr>
        <w:trPr>
          <w:trHeight w:val="230"/>
        </w:trPr>
        <w:tc>
          <w:tcPr>
            <w:tcW w:w="5040" w:type="dxa"/>
            <w:vAlign w:val="bottom"/>
            <w:tcBorders>
              <w:left w:val="single" w:sz="8" w:color="auto"/>
            </w:tcBorders>
          </w:tcPr>
          <w:p>
            <w:pPr>
              <w:spacing w:after="0"/>
              <w:rPr>
                <w:sz w:val="20"/>
                <w:szCs w:val="20"/>
                <w:color w:val="auto"/>
              </w:rPr>
            </w:pPr>
          </w:p>
        </w:tc>
        <w:tc>
          <w:tcPr>
            <w:tcW w:w="1340" w:type="dxa"/>
            <w:vAlign w:val="bottom"/>
          </w:tcPr>
          <w:p>
            <w:pPr>
              <w:ind w:left="780"/>
              <w:spacing w:after="0"/>
              <w:rPr>
                <w:sz w:val="20"/>
                <w:szCs w:val="20"/>
                <w:color w:val="auto"/>
              </w:rPr>
            </w:pPr>
            <w:r>
              <w:rPr>
                <w:rFonts w:ascii="Arial" w:cs="Arial" w:eastAsia="Arial" w:hAnsi="Arial"/>
                <w:sz w:val="18"/>
                <w:szCs w:val="18"/>
                <w:color w:val="auto"/>
              </w:rPr>
              <w:t>DTC.</w:t>
            </w:r>
          </w:p>
        </w:tc>
        <w:tc>
          <w:tcPr>
            <w:tcW w:w="4640" w:type="dxa"/>
            <w:vAlign w:val="bottom"/>
            <w:tcBorders>
              <w:right w:val="single" w:sz="8" w:color="auto"/>
            </w:tcBorders>
          </w:tcPr>
          <w:p>
            <w:pPr>
              <w:spacing w:after="0"/>
              <w:rPr>
                <w:sz w:val="20"/>
                <w:szCs w:val="20"/>
                <w:color w:val="auto"/>
              </w:rPr>
            </w:pPr>
          </w:p>
        </w:tc>
      </w:tr>
      <w:tr>
        <w:trPr>
          <w:trHeight w:val="159"/>
        </w:trPr>
        <w:tc>
          <w:tcPr>
            <w:tcW w:w="5040" w:type="dxa"/>
            <w:vAlign w:val="bottom"/>
            <w:tcBorders>
              <w:left w:val="single" w:sz="8" w:color="auto"/>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4640" w:type="dxa"/>
            <w:vAlign w:val="bottom"/>
            <w:tcBorders>
              <w:bottom w:val="single" w:sz="8" w:color="auto"/>
              <w:right w:val="single" w:sz="8" w:color="auto"/>
            </w:tcBorders>
          </w:tcPr>
          <w:p>
            <w:pPr>
              <w:spacing w:after="0"/>
              <w:rPr>
                <w:sz w:val="13"/>
                <w:szCs w:val="13"/>
                <w:color w:val="auto"/>
              </w:rPr>
            </w:pPr>
          </w:p>
        </w:tc>
      </w:tr>
      <w:tr>
        <w:trPr>
          <w:trHeight w:val="361"/>
        </w:trPr>
        <w:tc>
          <w:tcPr>
            <w:tcW w:w="5040" w:type="dxa"/>
            <w:vAlign w:val="bottom"/>
          </w:tcPr>
          <w:p>
            <w:pPr>
              <w:spacing w:after="0"/>
              <w:rPr>
                <w:sz w:val="24"/>
                <w:szCs w:val="24"/>
                <w:color w:val="auto"/>
              </w:rPr>
            </w:pPr>
          </w:p>
        </w:tc>
        <w:tc>
          <w:tcPr>
            <w:tcW w:w="1340" w:type="dxa"/>
            <w:vAlign w:val="bottom"/>
          </w:tcPr>
          <w:p>
            <w:pPr>
              <w:ind w:left="340"/>
              <w:spacing w:after="0"/>
              <w:rPr>
                <w:sz w:val="20"/>
                <w:szCs w:val="20"/>
                <w:color w:val="auto"/>
              </w:rPr>
            </w:pPr>
            <w:r>
              <w:rPr>
                <w:rFonts w:ascii="Arial" w:cs="Arial" w:eastAsia="Arial" w:hAnsi="Arial"/>
                <w:sz w:val="18"/>
                <w:szCs w:val="18"/>
                <w:color w:val="auto"/>
              </w:rPr>
              <w:t>S-6</w:t>
            </w:r>
          </w:p>
        </w:tc>
        <w:tc>
          <w:tcPr>
            <w:tcW w:w="4640" w:type="dxa"/>
            <w:vAlign w:val="bottom"/>
          </w:tcPr>
          <w:p>
            <w:pPr>
              <w:spacing w:after="0"/>
              <w:rPr>
                <w:sz w:val="24"/>
                <w:szCs w:val="24"/>
                <w:color w:val="auto"/>
              </w:rPr>
            </w:pPr>
          </w:p>
        </w:tc>
      </w:tr>
    </w:tbl>
    <w:p>
      <w:pPr>
        <w:sectPr>
          <w:pgSz w:w="11900" w:h="16838" w:orient="portrait"/>
          <w:cols w:equalWidth="0" w:num="1">
            <w:col w:w="11140"/>
          </w:cols>
          <w:pgMar w:left="320" w:top="675" w:right="439" w:bottom="622"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43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Trustee, Paying Agent and Registrar</w:t>
            </w:r>
          </w:p>
        </w:tc>
        <w:tc>
          <w:tcPr>
            <w:tcW w:w="6640" w:type="dxa"/>
            <w:vAlign w:val="bottom"/>
            <w:tcBorders>
              <w:top w:val="single" w:sz="8" w:color="auto"/>
              <w:right w:val="single" w:sz="8" w:color="auto"/>
            </w:tcBorders>
          </w:tcPr>
          <w:p>
            <w:pPr>
              <w:ind w:left="1440"/>
              <w:spacing w:after="0"/>
              <w:rPr>
                <w:sz w:val="20"/>
                <w:szCs w:val="20"/>
                <w:color w:val="auto"/>
              </w:rPr>
            </w:pPr>
            <w:r>
              <w:rPr>
                <w:rFonts w:ascii="Arial" w:cs="Arial" w:eastAsia="Arial" w:hAnsi="Arial"/>
                <w:sz w:val="18"/>
                <w:szCs w:val="18"/>
                <w:color w:val="auto"/>
                <w:w w:val="96"/>
              </w:rPr>
              <w:t>Computershare Trust Company, N.A., as successor to Wells Fargo</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Bank, National Association</w:t>
            </w:r>
          </w:p>
        </w:tc>
      </w:tr>
      <w:tr>
        <w:trPr>
          <w:trHeight w:val="418"/>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Events of Default</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6"/>
              </w:rPr>
              <w:t>If an event of default (as described under “Description of Notes”) on</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2"/>
              </w:rPr>
              <w:t>the Notes occurs, the principal amount of the Notes, plus accrued and</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unpaid interest, may be declared immediately due and payable,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subject to conditions set forth in the indenture. These amounts</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3"/>
              </w:rPr>
              <w:t>automatically become due and payable in the case of certain types of</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bankruptcy or insolvency events involving us.</w:t>
            </w:r>
          </w:p>
        </w:tc>
      </w:tr>
      <w:tr>
        <w:trPr>
          <w:trHeight w:val="418"/>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Other Covenants</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In addition to the covenants described in the accompanying</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prospectus, the following covenants shall apply to the Notes:</w:t>
            </w:r>
          </w:p>
        </w:tc>
      </w:tr>
      <w:tr>
        <w:trPr>
          <w:trHeight w:val="323"/>
        </w:trPr>
        <w:tc>
          <w:tcPr>
            <w:tcW w:w="4380" w:type="dxa"/>
            <w:vAlign w:val="bottom"/>
            <w:tcBorders>
              <w:left w:val="single" w:sz="8" w:color="auto"/>
            </w:tcBorders>
          </w:tcPr>
          <w:p>
            <w:pPr>
              <w:spacing w:after="0"/>
              <w:rPr>
                <w:sz w:val="24"/>
                <w:szCs w:val="24"/>
                <w:color w:val="auto"/>
              </w:rPr>
            </w:pPr>
          </w:p>
        </w:tc>
        <w:tc>
          <w:tcPr>
            <w:tcW w:w="664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4"/>
              </w:rPr>
              <w:t>•  We agree that for the period of time during which the Notes</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6"/>
              </w:rPr>
              <w:t>are outstanding, we will not violate, whether or not we are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subject thereto, Section 18(a)(1)(A) as modified by</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5"/>
              </w:rPr>
              <w:t>Section 61(a) of the 1940 Act or any successor provisions,</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but giving effect, in either case, to any exemptive relief</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granted to us by the SEC.</w:t>
            </w:r>
          </w:p>
        </w:tc>
      </w:tr>
      <w:tr>
        <w:trPr>
          <w:trHeight w:val="323"/>
        </w:trPr>
        <w:tc>
          <w:tcPr>
            <w:tcW w:w="4380" w:type="dxa"/>
            <w:vAlign w:val="bottom"/>
            <w:tcBorders>
              <w:left w:val="single" w:sz="8" w:color="auto"/>
            </w:tcBorders>
          </w:tcPr>
          <w:p>
            <w:pPr>
              <w:spacing w:after="0"/>
              <w:rPr>
                <w:sz w:val="24"/>
                <w:szCs w:val="24"/>
                <w:color w:val="auto"/>
              </w:rPr>
            </w:pPr>
          </w:p>
        </w:tc>
        <w:tc>
          <w:tcPr>
            <w:tcW w:w="664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•  If, at any time, we are not subject to the reporting</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6"/>
              </w:rPr>
              <w:t>requirements of Sections 13 or 15(d) of the Exchange Act</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to file any periodic reports with the SEC, we agree to</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furnish to holders of the Notes and the Trustee, for the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6"/>
              </w:rPr>
              <w:t>period of time during which the Notes are outstanding, our</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4"/>
              </w:rPr>
              <w:t>audited annual consolidated financial statements, within 90</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days of our fiscal year end, and unaudited interim</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consolidated financial statements, within 45 days of our</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7"/>
              </w:rPr>
              <w:t>fiscal quarter end (other than our fourth fiscal quarter). All</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w w:val="98"/>
              </w:rPr>
              <w:t>such financial statements will be prepared, in all material</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respects, in accordance with applicable United States</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2160"/>
              <w:spacing w:after="0"/>
              <w:rPr>
                <w:sz w:val="20"/>
                <w:szCs w:val="20"/>
                <w:color w:val="auto"/>
              </w:rPr>
            </w:pPr>
            <w:r>
              <w:rPr>
                <w:rFonts w:ascii="Arial" w:cs="Arial" w:eastAsia="Arial" w:hAnsi="Arial"/>
                <w:sz w:val="18"/>
                <w:szCs w:val="18"/>
                <w:color w:val="auto"/>
              </w:rPr>
              <w:t>generally accepted accounting principles, or GAAP.</w:t>
            </w:r>
          </w:p>
        </w:tc>
      </w:tr>
      <w:tr>
        <w:trPr>
          <w:trHeight w:val="431"/>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No Established Trading Market</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6"/>
              </w:rPr>
              <w:t>The Notes are a new issue of securities with no established trading</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8"/>
              </w:rPr>
              <w:t>market. The Notes will not be listed on any securities exchange or</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5"/>
              </w:rPr>
              <w:t>quoted on any automated dealer quotation system. Although certain</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of the underwriters have informed us that they currently intend to</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make a market in the Notes, as permitted by applicable laws and</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4"/>
              </w:rPr>
              <w:t>regulations, they are not obligated to do so and may discontinue any</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such market making activities at any time without notice. See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“Underwriting.” Accordingly, we cannot assure you that a liquid</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market for the Notes will develop or be maintained.</w:t>
            </w:r>
          </w:p>
        </w:tc>
      </w:tr>
      <w:tr>
        <w:trPr>
          <w:trHeight w:val="418"/>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Global Clearance and Settlement Procedures</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Interests in the Notes will trade in DTC’s Same Day Funds</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Settlement System, and any permitted secondary market trading</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activity in such Notes will, therefore, be required by DTC to be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9"/>
              </w:rPr>
              <w:t>settled in immediately available funds. None of the Company, the</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w w:val="99"/>
              </w:rPr>
              <w:t>Trustee or the paying agent will have any responsibility or liability</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for the performance by DTC or its participants or indirect</w:t>
            </w:r>
          </w:p>
        </w:tc>
      </w:tr>
      <w:tr>
        <w:trPr>
          <w:trHeight w:val="216"/>
        </w:trPr>
        <w:tc>
          <w:tcPr>
            <w:tcW w:w="4380" w:type="dxa"/>
            <w:vAlign w:val="bottom"/>
            <w:tcBorders>
              <w:left w:val="single" w:sz="8" w:color="auto"/>
            </w:tcBorders>
          </w:tcPr>
          <w:p>
            <w:pPr>
              <w:spacing w:after="0"/>
              <w:rPr>
                <w:sz w:val="18"/>
                <w:szCs w:val="18"/>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participants of their respective obligations under the rules and</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procedures governing their operations.</w:t>
            </w:r>
          </w:p>
        </w:tc>
      </w:tr>
      <w:tr>
        <w:trPr>
          <w:trHeight w:val="418"/>
        </w:trPr>
        <w:tc>
          <w:tcPr>
            <w:tcW w:w="4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The Notes and the indenture are governed by and construed in</w:t>
            </w:r>
          </w:p>
        </w:tc>
      </w:tr>
      <w:tr>
        <w:trPr>
          <w:trHeight w:val="230"/>
        </w:trPr>
        <w:tc>
          <w:tcPr>
            <w:tcW w:w="4380" w:type="dxa"/>
            <w:vAlign w:val="bottom"/>
            <w:tcBorders>
              <w:left w:val="single" w:sz="8" w:color="auto"/>
            </w:tcBorders>
          </w:tcPr>
          <w:p>
            <w:pPr>
              <w:spacing w:after="0"/>
              <w:rPr>
                <w:sz w:val="20"/>
                <w:szCs w:val="20"/>
                <w:color w:val="auto"/>
              </w:rPr>
            </w:pPr>
          </w:p>
        </w:tc>
        <w:tc>
          <w:tcPr>
            <w:tcW w:w="664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accordance with the laws of the State of New York.</w:t>
            </w:r>
          </w:p>
        </w:tc>
      </w:tr>
      <w:tr>
        <w:trPr>
          <w:trHeight w:val="159"/>
        </w:trPr>
        <w:tc>
          <w:tcPr>
            <w:tcW w:w="4380" w:type="dxa"/>
            <w:vAlign w:val="bottom"/>
            <w:tcBorders>
              <w:left w:val="single" w:sz="8" w:color="auto"/>
              <w:bottom w:val="single" w:sz="8" w:color="auto"/>
            </w:tcBorders>
          </w:tcPr>
          <w:p>
            <w:pPr>
              <w:spacing w:after="0"/>
              <w:rPr>
                <w:sz w:val="13"/>
                <w:szCs w:val="13"/>
                <w:color w:val="auto"/>
              </w:rPr>
            </w:pPr>
          </w:p>
        </w:tc>
        <w:tc>
          <w:tcPr>
            <w:tcW w:w="6640" w:type="dxa"/>
            <w:vAlign w:val="bottom"/>
            <w:tcBorders>
              <w:bottom w:val="single" w:sz="8" w:color="auto"/>
              <w:right w:val="single" w:sz="8" w:color="auto"/>
            </w:tcBorders>
          </w:tcPr>
          <w:p>
            <w:pPr>
              <w:spacing w:after="0"/>
              <w:rPr>
                <w:sz w:val="13"/>
                <w:szCs w:val="13"/>
                <w:color w:val="auto"/>
              </w:rPr>
            </w:pPr>
          </w:p>
        </w:tc>
      </w:tr>
      <w:tr>
        <w:trPr>
          <w:trHeight w:val="361"/>
        </w:trPr>
        <w:tc>
          <w:tcPr>
            <w:tcW w:w="4380" w:type="dxa"/>
            <w:vAlign w:val="bottom"/>
          </w:tcPr>
          <w:p>
            <w:pPr>
              <w:spacing w:after="0"/>
              <w:rPr>
                <w:sz w:val="24"/>
                <w:szCs w:val="24"/>
                <w:color w:val="auto"/>
              </w:rPr>
            </w:pPr>
          </w:p>
        </w:tc>
        <w:tc>
          <w:tcPr>
            <w:tcW w:w="6640" w:type="dxa"/>
            <w:vAlign w:val="bottom"/>
          </w:tcPr>
          <w:p>
            <w:pPr>
              <w:ind w:left="1000"/>
              <w:spacing w:after="0"/>
              <w:rPr>
                <w:sz w:val="20"/>
                <w:szCs w:val="20"/>
                <w:color w:val="auto"/>
              </w:rPr>
            </w:pPr>
            <w:r>
              <w:rPr>
                <w:rFonts w:ascii="Arial" w:cs="Arial" w:eastAsia="Arial" w:hAnsi="Arial"/>
                <w:sz w:val="18"/>
                <w:szCs w:val="18"/>
                <w:color w:val="auto"/>
              </w:rPr>
              <w:t>S-7</w:t>
            </w:r>
          </w:p>
        </w:tc>
      </w:tr>
    </w:tbl>
    <w:p>
      <w:pPr>
        <w:sectPr>
          <w:pgSz w:w="11900" w:h="16838" w:orient="portrait"/>
          <w:cols w:equalWidth="0" w:num="1">
            <w:col w:w="11140"/>
          </w:cols>
          <w:pgMar w:left="320" w:top="675"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i w:val="1"/>
          <w:iCs w:val="1"/>
          <w:color w:val="auto"/>
        </w:rPr>
        <w:t>Investing in our securities involves a number of significant risks. You should carefully consider the risks set out below and the risk factors incorporated by reference in Part I, Item 1A, “Risk Factors,” in our 2022 Annual Report, Part I, Item IA, “Risk Factors,” in our Q1 2023 Quarterly Report and our Q2 2023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2022 Annual Report, our Q1 2023 Quarterly Report, Q2 2023 Quarterly Report and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Notes are unsecured and therefore are effectively subordinated to any secured indebtedness we have currently incurred or may incur in the future.</w:t>
      </w:r>
    </w:p>
    <w:p>
      <w:pPr>
        <w:spacing w:after="0" w:line="62"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June 30, 2023, we had approximately $1,050.8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Notes are structurally subordinated to the indebtedness and other liabilities of our subsidiaries.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293"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6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June 30, 2023 our total consolidated indebtedness was approximately $1,698.3 million aggregate principal amount outstanding, of which approximately $1,050.8 million was secured indebtedness at the TSLX level and none of which was indebtedness of our subsidiaries, and approximately $647.5 million aggregate principal amount was unsecured indebtedness.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100" w:hanging="433"/>
        <w:spacing w:after="0"/>
        <w:tabs>
          <w:tab w:leader="none" w:pos="110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making it more difficult for us to meet our payment and other obligations under the Notes and our other outstanding indebtedness;</w:t>
      </w:r>
    </w:p>
    <w:p>
      <w:pPr>
        <w:spacing w:after="0" w:line="142" w:lineRule="exact"/>
        <w:rPr>
          <w:rFonts w:ascii="Arial" w:cs="Arial" w:eastAsia="Arial" w:hAnsi="Arial"/>
          <w:sz w:val="17"/>
          <w:szCs w:val="17"/>
          <w:color w:val="auto"/>
        </w:rPr>
      </w:pPr>
    </w:p>
    <w:p>
      <w:pPr>
        <w:ind w:left="1100" w:right="34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675"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and</w:t>
      </w:r>
    </w:p>
    <w:p>
      <w:pPr>
        <w:spacing w:after="0" w:line="130"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84"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7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 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indenture governing the Notes contains limited protection for holders of the Notes.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92" w:lineRule="exact"/>
        <w:rPr>
          <w:sz w:val="20"/>
          <w:szCs w:val="20"/>
          <w:color w:val="auto"/>
        </w:rPr>
      </w:pPr>
    </w:p>
    <w:p>
      <w:pPr>
        <w:ind w:left="1100" w:right="320" w:hanging="433"/>
        <w:spacing w:after="0" w:line="287" w:lineRule="auto"/>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spacing w:after="0" w:line="2" w:lineRule="exact"/>
        <w:rPr>
          <w:rFonts w:ascii="Arial" w:cs="Arial" w:eastAsia="Arial" w:hAnsi="Arial"/>
          <w:sz w:val="16"/>
          <w:szCs w:val="16"/>
          <w:color w:val="auto"/>
        </w:rPr>
      </w:pPr>
    </w:p>
    <w:p>
      <w:pPr>
        <w:ind w:left="1100" w:right="20"/>
        <w:spacing w:after="0" w:line="252" w:lineRule="auto"/>
        <w:rPr>
          <w:rFonts w:ascii="Arial" w:cs="Arial" w:eastAsia="Arial" w:hAnsi="Arial"/>
          <w:sz w:val="16"/>
          <w:szCs w:val="16"/>
          <w:color w:val="auto"/>
        </w:rPr>
      </w:pPr>
      <w:r>
        <w:rPr>
          <w:rFonts w:ascii="Arial" w:cs="Arial" w:eastAsia="Arial" w:hAnsi="Arial"/>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9" w:lineRule="exact"/>
        <w:rPr>
          <w:rFonts w:ascii="Arial" w:cs="Arial" w:eastAsia="Arial" w:hAnsi="Arial"/>
          <w:sz w:val="16"/>
          <w:szCs w:val="16"/>
          <w:color w:val="auto"/>
        </w:rPr>
      </w:pPr>
    </w:p>
    <w:p>
      <w:pPr>
        <w:ind w:left="1100" w:right="340" w:hanging="43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675"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your return on the Notes.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Revolving Credit Facility or under the 2024 Notes or 2026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9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are unable to repay debt, lenders having secured obligations, including the lenders under our Revolving Credit Facility, could proceed against the collateral securing the debt. Because our Revolving Credit Facility, 2024 Notes and 2026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 Repurchase Event.</w:t>
      </w:r>
    </w:p>
    <w:p>
      <w:pPr>
        <w:spacing w:after="0" w:line="11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2024 Notes and 2026 Notes each contain a provision that would require us to offer to purchase the respective 2024 Notes or 2026 Notes upon the occurrence of a fundamental change.</w:t>
      </w:r>
    </w:p>
    <w:p>
      <w:pPr>
        <w:spacing w:after="0" w:line="196"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675" w:right="459" w:bottom="1118"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assure that an active trading market will be maintained for the Notes.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675" w:right="4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center"/>
              <w:spacing w:after="0"/>
              <w:rPr>
                <w:sz w:val="20"/>
                <w:szCs w:val="20"/>
                <w:color w:val="auto"/>
              </w:rPr>
            </w:pPr>
            <w:r>
              <w:rPr>
                <w:rFonts w:ascii="Arial" w:cs="Arial" w:eastAsia="Arial" w:hAnsi="Arial"/>
                <w:sz w:val="18"/>
                <w:szCs w:val="18"/>
                <w:b w:val="1"/>
                <w:bCs w:val="1"/>
                <w:color w:val="0000EE"/>
                <w:w w:val="89"/>
              </w:rPr>
              <w:t>Table of Contents</w:t>
            </w:r>
          </w:p>
        </w:tc>
        <w:tc>
          <w:tcPr>
            <w:tcW w:w="424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533"/>
        </w:trPr>
        <w:tc>
          <w:tcPr>
            <w:tcW w:w="1360" w:type="dxa"/>
            <w:vAlign w:val="bottom"/>
          </w:tcPr>
          <w:p>
            <w:pPr>
              <w:spacing w:after="0"/>
              <w:rPr>
                <w:sz w:val="24"/>
                <w:szCs w:val="24"/>
                <w:color w:val="auto"/>
              </w:rPr>
            </w:pPr>
          </w:p>
        </w:tc>
        <w:tc>
          <w:tcPr>
            <w:tcW w:w="9260" w:type="dxa"/>
            <w:vAlign w:val="bottom"/>
            <w:gridSpan w:val="2"/>
          </w:tcPr>
          <w:p>
            <w:pPr>
              <w:ind w:left="3440"/>
              <w:spacing w:after="0"/>
              <w:rPr>
                <w:sz w:val="20"/>
                <w:szCs w:val="20"/>
                <w:color w:val="auto"/>
              </w:rPr>
            </w:pPr>
            <w:r>
              <w:rPr>
                <w:rFonts w:ascii="Arial" w:cs="Arial" w:eastAsia="Arial" w:hAnsi="Arial"/>
                <w:sz w:val="18"/>
                <w:szCs w:val="18"/>
                <w:b w:val="1"/>
                <w:bCs w:val="1"/>
                <w:color w:val="auto"/>
              </w:rPr>
              <w:t>USE OF PROCEEDS</w:t>
            </w:r>
          </w:p>
        </w:tc>
      </w:tr>
      <w:tr>
        <w:trPr>
          <w:trHeight w:val="418"/>
        </w:trPr>
        <w:tc>
          <w:tcPr>
            <w:tcW w:w="5600" w:type="dxa"/>
            <w:vAlign w:val="bottom"/>
            <w:gridSpan w:val="2"/>
          </w:tcPr>
          <w:p>
            <w:pPr>
              <w:ind w:left="560"/>
              <w:spacing w:after="0"/>
              <w:rPr>
                <w:sz w:val="20"/>
                <w:szCs w:val="20"/>
                <w:color w:val="auto"/>
              </w:rPr>
            </w:pPr>
            <w:r>
              <w:rPr>
                <w:rFonts w:ascii="Arial" w:cs="Arial" w:eastAsia="Arial" w:hAnsi="Arial"/>
                <w:sz w:val="18"/>
                <w:szCs w:val="18"/>
                <w:color w:val="auto"/>
                <w:w w:val="93"/>
              </w:rPr>
              <w:t>We estimate that the net proceeds we will receive from the sale of $</w:t>
            </w:r>
          </w:p>
        </w:tc>
        <w:tc>
          <w:tcPr>
            <w:tcW w:w="5020" w:type="dxa"/>
            <w:vAlign w:val="bottom"/>
          </w:tcPr>
          <w:p>
            <w:pPr>
              <w:ind w:left="180"/>
              <w:spacing w:after="0"/>
              <w:rPr>
                <w:sz w:val="20"/>
                <w:szCs w:val="20"/>
                <w:color w:val="auto"/>
              </w:rPr>
            </w:pPr>
            <w:r>
              <w:rPr>
                <w:rFonts w:ascii="Arial" w:cs="Arial" w:eastAsia="Arial" w:hAnsi="Arial"/>
                <w:sz w:val="18"/>
                <w:szCs w:val="18"/>
                <w:color w:val="auto"/>
                <w:w w:val="93"/>
              </w:rPr>
              <w:t>million aggregate principal amount of Notes in this offering will be</w:t>
            </w: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w w:val="92"/>
              </w:rPr>
              <w:t>approximately $</w:t>
            </w:r>
          </w:p>
        </w:tc>
        <w:tc>
          <w:tcPr>
            <w:tcW w:w="9260" w:type="dxa"/>
            <w:vAlign w:val="bottom"/>
            <w:gridSpan w:val="2"/>
          </w:tcPr>
          <w:p>
            <w:pPr>
              <w:ind w:left="480"/>
              <w:spacing w:after="0"/>
              <w:rPr>
                <w:sz w:val="20"/>
                <w:szCs w:val="20"/>
                <w:color w:val="auto"/>
              </w:rPr>
            </w:pPr>
            <w:r>
              <w:rPr>
                <w:rFonts w:ascii="Arial" w:cs="Arial" w:eastAsia="Arial" w:hAnsi="Arial"/>
                <w:sz w:val="18"/>
                <w:szCs w:val="18"/>
                <w:color w:val="auto"/>
                <w:w w:val="94"/>
              </w:rPr>
              <w:t>million, after deducting the underwriting discounts and commissions and estimated offering expenses payable by us.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120" w:firstLine="440"/>
        <w:spacing w:after="0" w:line="284" w:lineRule="auto"/>
        <w:rPr>
          <w:sz w:val="20"/>
          <w:szCs w:val="20"/>
          <w:color w:val="auto"/>
        </w:rPr>
      </w:pPr>
      <w:r>
        <w:rPr>
          <w:rFonts w:ascii="Arial" w:cs="Arial" w:eastAsia="Arial" w:hAnsi="Arial"/>
          <w:sz w:val="16"/>
          <w:szCs w:val="16"/>
          <w:color w:val="auto"/>
        </w:rPr>
        <w:t>We intend to use 100% of the net proceeds of this offering to pay down a portion of the outstanding indebtedness on the Revolving Credit Facility on or about the date of the closing of this offering. As of June 30, 2023, aggregate commitments under the facility were $1.710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June 12, 2028 with respect to $1.465 billion of commitments, January 31, 2025 for $25.0 million of commitments, February 4, 2026 for $50.0 million of commitments and April 23, 2027 with respect to $170.0 million of commitments. As of June 30, 2023, amounts drawn under the facility bear interest at either the applicable reference rate plus an applicable credit spread adjustment, plus a margin of either 1.75% or 1.875%, or the base rate plus a margin of either</w:t>
      </w:r>
    </w:p>
    <w:p>
      <w:pPr>
        <w:spacing w:after="0" w:line="2"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0.75% or 0.875%. See “Management’s Discussion and Analysis of Financial Condition and Results of Operations—Financial Condition, Liquidity and Capital Resources—Revolving Credit Facility” in Part II, Item 2 of our 2Q 2023 Quarterly Report.</w:t>
      </w:r>
    </w:p>
    <w:p>
      <w:pPr>
        <w:spacing w:after="0" w:line="18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662"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and as of June 30, 2023. The report of our independent registered public accounting firm, KPMG LLP, on the senior securities table as of December 31, 2022 is attached as an exhibit to the registration statement of which this prospectus supplement and the accompanying prospectus are a part. This information about our senior securities should be read in conjunction with our consolidated financial statements and related notes thereto and “Management’s Discussion and Analysis of Financial Condition and Results of Operations” included in our 2022 Annual Report, our Q1 2023 Quarterly Report and our Q2 2023 Quarterly Report.</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Total Amount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0"/>
              <w:spacing w:after="0" w:line="149" w:lineRule="exact"/>
              <w:rPr>
                <w:sz w:val="20"/>
                <w:szCs w:val="20"/>
                <w:color w:val="auto"/>
              </w:rPr>
            </w:pPr>
            <w:r>
              <w:rPr>
                <w:rFonts w:ascii="Arial" w:cs="Arial" w:eastAsia="Arial" w:hAnsi="Arial"/>
                <w:sz w:val="14"/>
                <w:szCs w:val="14"/>
                <w:b w:val="1"/>
                <w:bCs w:val="1"/>
                <w:color w:val="auto"/>
                <w:w w:val="94"/>
              </w:rPr>
              <w:t>Treasury</w:t>
            </w:r>
          </w:p>
        </w:tc>
        <w:tc>
          <w:tcPr>
            <w:tcW w:w="14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88"/>
              </w:rPr>
              <w:t>Asset Coverage</w:t>
            </w:r>
          </w:p>
        </w:tc>
        <w:tc>
          <w:tcPr>
            <w:tcW w:w="5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7"/>
              </w:rPr>
              <w:t>Average Market</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Securities(1)</w:t>
            </w:r>
          </w:p>
        </w:tc>
        <w:tc>
          <w:tcPr>
            <w:tcW w:w="14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6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b w:val="1"/>
                <w:bCs w:val="1"/>
                <w:color w:val="auto"/>
                <w:w w:val="95"/>
              </w:rPr>
              <w:t>Per Unit(2)</w:t>
            </w:r>
          </w:p>
        </w:tc>
        <w:tc>
          <w:tcPr>
            <w:tcW w:w="50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Per Unit(3)</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Value Per Unit(4)</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Revolving Credit Facilities</w:t>
            </w:r>
          </w:p>
        </w:tc>
        <w:tc>
          <w:tcPr>
            <w:tcW w:w="6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2023 (as of June 30, 2023 Unaudited)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1,050.8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1,860.9</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316.4</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2019</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495.7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2,004.1</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2015</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2013</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2023 (as of June 30, 2023 Unaudited)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2015</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Convertible Senior Notes due 2022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 (as of June 30, 2023 Unaudited)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142.5</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2,045.4</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2018</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 (as of June 30, 2023 Unaudited)</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2022</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1,885.7</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2020</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2,045.4</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2018</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2023 (as of June 30, 2023 Unaudited)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347.0</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1,860.9</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346.4</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2019</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297.2</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2,004.1</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2026 Notes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December 31, 2023 (as of June 30, 2023 Unaudited)</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298.7</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1,860.9</w:t>
            </w:r>
          </w:p>
        </w:tc>
        <w:tc>
          <w:tcPr>
            <w:tcW w:w="5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December 31, 2021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298.1</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2,053.6</w:t>
            </w:r>
          </w:p>
        </w:tc>
        <w:tc>
          <w:tcPr>
            <w:tcW w:w="500" w:type="dxa"/>
            <w:vAlign w:val="bottom"/>
          </w:tcPr>
          <w:p>
            <w:pPr>
              <w:spacing w:after="0"/>
              <w:rPr>
                <w:sz w:val="20"/>
                <w:szCs w:val="20"/>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50"/>
        </w:trPr>
        <w:tc>
          <w:tcPr>
            <w:tcW w:w="4320" w:type="dxa"/>
            <w:vAlign w:val="bottom"/>
          </w:tcPr>
          <w:p>
            <w:pPr>
              <w:spacing w:after="0"/>
              <w:rPr>
                <w:sz w:val="24"/>
                <w:szCs w:val="24"/>
                <w:color w:val="auto"/>
              </w:rPr>
            </w:pPr>
          </w:p>
        </w:tc>
        <w:tc>
          <w:tcPr>
            <w:tcW w:w="1520" w:type="dxa"/>
            <w:vAlign w:val="bottom"/>
            <w:gridSpan w:val="3"/>
          </w:tcPr>
          <w:p>
            <w:pPr>
              <w:jc w:val="right"/>
              <w:ind w:right="510"/>
              <w:spacing w:after="0"/>
              <w:rPr>
                <w:sz w:val="20"/>
                <w:szCs w:val="20"/>
                <w:color w:val="auto"/>
              </w:rPr>
            </w:pPr>
            <w:r>
              <w:rPr>
                <w:rFonts w:ascii="Arial" w:cs="Arial" w:eastAsia="Arial" w:hAnsi="Arial"/>
                <w:sz w:val="18"/>
                <w:szCs w:val="18"/>
                <w:color w:val="auto"/>
              </w:rPr>
              <w:t>S-13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675" w:right="479" w:bottom="1027"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260" w:hanging="444"/>
        <w:spacing w:after="0" w:line="258"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560" w:right="320" w:hanging="444"/>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560" w:hanging="444"/>
        <w:spacing w:after="0" w:line="265" w:lineRule="auto"/>
        <w:tabs>
          <w:tab w:leader="none" w:pos="5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60" w:hanging="444"/>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00"/>
          </w:cols>
          <w:pgMar w:left="320" w:top="675"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our consolidated capitalization at June 30, 2023. You should read this table together with “Use of Proceeds” described in this prospectus supplement and our most recent balance sheet included in our 2023 2Q Quarterly Report incorporated by reference in this prospectus supplement.</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As of June 30, 2023 (unaudited)</w:t>
            </w:r>
          </w:p>
        </w:tc>
      </w:tr>
      <w:tr>
        <w:trPr>
          <w:trHeight w:val="209"/>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(Amounts in thousands, except share and per share amounts)</w:t>
            </w: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25,855</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Debt</w:t>
            </w:r>
            <w:r>
              <w:rPr>
                <w:rFonts w:ascii="Arial" w:cs="Arial" w:eastAsia="Arial" w:hAnsi="Arial"/>
                <w:sz w:val="25"/>
                <w:szCs w:val="25"/>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1,050,784</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2024 Notes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347,500</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2026 Notes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1,698,284</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$0.01 par value; 100,000,000 shares authorized; no</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w w:val="99"/>
              </w:rPr>
              <w:t>Common stock, $0.01 par value; 400,000,000 shares authorized;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87,905,481 shares issued and 87,241,231 shares outstanding</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0"/>
                <w:szCs w:val="20"/>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1,395,409</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Treasury stock at cost, 664,250 shares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(10,459)</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earnings</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74,700</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1,460,529</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9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3,184,668</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5460" w:right="3560" w:hanging="5344"/>
        <w:spacing w:after="0" w:line="449" w:lineRule="auto"/>
        <w:tabs>
          <w:tab w:leader="none" w:pos="56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above table reflects the principal amount of indebtedness outstanding as of June 30, 2023. S-15</w:t>
      </w:r>
    </w:p>
    <w:p>
      <w:pPr>
        <w:sectPr>
          <w:pgSz w:w="11900" w:h="16838" w:orient="portrait"/>
          <w:cols w:equalWidth="0" w:num="1">
            <w:col w:w="10920"/>
          </w:cols>
          <w:pgMar w:left="320" w:top="675" w:right="6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52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1460" w:type="dxa"/>
            <w:vAlign w:val="bottom"/>
          </w:tcPr>
          <w:p>
            <w:pPr>
              <w:spacing w:after="0"/>
              <w:rPr>
                <w:sz w:val="17"/>
                <w:szCs w:val="17"/>
                <w:color w:val="auto"/>
              </w:rPr>
            </w:pPr>
          </w:p>
        </w:tc>
        <w:tc>
          <w:tcPr>
            <w:tcW w:w="49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160" w:type="dxa"/>
            <w:vAlign w:val="bottom"/>
          </w:tcPr>
          <w:p>
            <w:pPr>
              <w:spacing w:after="0"/>
              <w:rPr>
                <w:sz w:val="24"/>
                <w:szCs w:val="24"/>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DESCRIPTION OF NOTES</w:t>
            </w:r>
          </w:p>
        </w:tc>
      </w:tr>
      <w:tr>
        <w:trPr>
          <w:trHeight w:val="432"/>
        </w:trPr>
        <w:tc>
          <w:tcPr>
            <w:tcW w:w="4520" w:type="dxa"/>
            <w:vAlign w:val="bottom"/>
            <w:gridSpan w:val="2"/>
          </w:tcPr>
          <w:p>
            <w:pPr>
              <w:ind w:left="560"/>
              <w:spacing w:after="0"/>
              <w:rPr>
                <w:sz w:val="20"/>
                <w:szCs w:val="20"/>
                <w:color w:val="auto"/>
              </w:rPr>
            </w:pPr>
            <w:r>
              <w:rPr>
                <w:rFonts w:ascii="Arial" w:cs="Arial" w:eastAsia="Arial" w:hAnsi="Arial"/>
                <w:sz w:val="18"/>
                <w:szCs w:val="18"/>
                <w:color w:val="auto"/>
                <w:w w:val="92"/>
              </w:rPr>
              <w:t>The following description of the particular terms of the</w:t>
            </w:r>
          </w:p>
        </w:tc>
        <w:tc>
          <w:tcPr>
            <w:tcW w:w="1460" w:type="dxa"/>
            <w:vAlign w:val="bottom"/>
          </w:tcPr>
          <w:p>
            <w:pPr>
              <w:ind w:left="360"/>
              <w:spacing w:after="0"/>
              <w:rPr>
                <w:sz w:val="20"/>
                <w:szCs w:val="20"/>
                <w:color w:val="auto"/>
              </w:rPr>
            </w:pPr>
            <w:r>
              <w:rPr>
                <w:rFonts w:ascii="Arial" w:cs="Arial" w:eastAsia="Arial" w:hAnsi="Arial"/>
                <w:sz w:val="18"/>
                <w:szCs w:val="18"/>
                <w:color w:val="auto"/>
              </w:rPr>
              <w:t>% Notes due</w:t>
            </w:r>
          </w:p>
        </w:tc>
        <w:tc>
          <w:tcPr>
            <w:tcW w:w="4940" w:type="dxa"/>
            <w:vAlign w:val="bottom"/>
          </w:tcPr>
          <w:p>
            <w:pPr>
              <w:ind w:left="180"/>
              <w:spacing w:after="0"/>
              <w:rPr>
                <w:sz w:val="20"/>
                <w:szCs w:val="20"/>
                <w:color w:val="auto"/>
              </w:rPr>
            </w:pPr>
            <w:r>
              <w:rPr>
                <w:rFonts w:ascii="Arial" w:cs="Arial" w:eastAsia="Arial" w:hAnsi="Arial"/>
                <w:sz w:val="18"/>
                <w:szCs w:val="18"/>
                <w:color w:val="auto"/>
                <w:w w:val="89"/>
              </w:rPr>
              <w:t>supplements and, to the extent inconsistent therewith, replaces the</w:t>
            </w:r>
          </w:p>
        </w:tc>
      </w:tr>
    </w:tbl>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description of the general terms and provisions of the debt securities set forth in the accompanying prospectus.</w:t>
      </w:r>
    </w:p>
    <w:p>
      <w:pPr>
        <w:spacing w:after="0" w:line="21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will issue the Notes under a base indenture dated as of January 22, 2018, between us and Computershare Trust Company, N.A., as successor to Wells Fargo Bank, National Association, as trustee (the “trustee”), as supplemented by a separate supplemental indenture, dated as of the settlement date for the Notes (the “fourth supplemental indenture”). As used in this section, all references to the indenture mean the base indenture as supplemented by the fourth supplemental indenture. The terms of the Notes include those expressly set forth in the indenture and those made part of the indenture by reference to the Trust Indenture Act of 1939, as amended, or the TIA.</w:t>
      </w:r>
    </w:p>
    <w:p>
      <w:pPr>
        <w:spacing w:after="0" w:line="176"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100" w:hanging="433"/>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our direct, general unsecured, senior obligations;</w:t>
      </w:r>
    </w:p>
    <w:p>
      <w:pPr>
        <w:sectPr>
          <w:pgSz w:w="11900" w:h="16838" w:orient="portrait"/>
          <w:cols w:equalWidth="0" w:num="1">
            <w:col w:w="11120"/>
          </w:cols>
          <w:pgMar w:left="320" w:top="662"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will be issued in an aggregate principal amount of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31" w:lineRule="exact"/>
        <w:rPr>
          <w:sz w:val="20"/>
          <w:szCs w:val="20"/>
          <w:color w:val="auto"/>
        </w:rPr>
      </w:pPr>
    </w:p>
    <w:p>
      <w:pPr>
        <w:sectPr>
          <w:pgSz w:w="11900" w:h="16838" w:orient="portrait"/>
          <w:cols w:equalWidth="0" w:num="3">
            <w:col w:w="720" w:space="380"/>
            <w:col w:w="3740" w:space="360"/>
            <w:col w:w="5920"/>
          </w:cols>
          <w:pgMar w:left="320" w:top="662" w:right="4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will mature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unless earlier redeemed or repurchased, as discussed below;</w:t>
      </w:r>
    </w:p>
    <w:p>
      <w:pPr>
        <w:spacing w:after="0" w:line="164" w:lineRule="exact"/>
        <w:rPr>
          <w:sz w:val="20"/>
          <w:szCs w:val="20"/>
          <w:color w:val="auto"/>
        </w:rPr>
      </w:pPr>
    </w:p>
    <w:p>
      <w:pPr>
        <w:sectPr>
          <w:pgSz w:w="11900" w:h="16838" w:orient="portrait"/>
          <w:cols w:equalWidth="0" w:num="4">
            <w:col w:w="720" w:space="380"/>
            <w:col w:w="1060" w:space="360"/>
            <w:col w:w="40" w:space="360"/>
            <w:col w:w="8200"/>
          </w:cols>
          <w:pgMar w:left="320" w:top="662" w:right="4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will bear cash interest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 2023 at an annual rate 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 payable semi-annually 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of each year, beginning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t>
      </w:r>
    </w:p>
    <w:p>
      <w:pPr>
        <w:spacing w:after="0" w:line="80" w:lineRule="exact"/>
        <w:rPr>
          <w:sz w:val="20"/>
          <w:szCs w:val="20"/>
          <w:color w:val="auto"/>
        </w:rPr>
      </w:pPr>
    </w:p>
    <w:p>
      <w:pPr>
        <w:sectPr>
          <w:pgSz w:w="11900" w:h="16838" w:orient="portrait"/>
          <w:cols w:equalWidth="0" w:num="7">
            <w:col w:w="720" w:space="380"/>
            <w:col w:w="1980" w:space="360"/>
            <w:col w:w="1860" w:space="360"/>
            <w:col w:w="2060" w:space="360"/>
            <w:col w:w="260" w:space="360"/>
            <w:col w:w="1900" w:space="360"/>
            <w:col w:w="160"/>
          </w:cols>
          <w:pgMar w:left="320" w:top="662" w:right="459" w:bottom="1440" w:gutter="0" w:footer="0" w:header="0"/>
          <w:type w:val="continuous"/>
        </w:sectPr>
      </w:pPr>
    </w:p>
    <w:p>
      <w:pPr>
        <w:ind w:left="1100"/>
        <w:spacing w:after="0"/>
        <w:rPr>
          <w:sz w:val="20"/>
          <w:szCs w:val="20"/>
          <w:color w:val="auto"/>
        </w:rPr>
      </w:pPr>
      <w:r>
        <w:rPr>
          <w:rFonts w:ascii="Arial" w:cs="Arial" w:eastAsia="Arial" w:hAnsi="Arial"/>
          <w:sz w:val="16"/>
          <w:szCs w:val="16"/>
          <w:color w:val="auto"/>
        </w:rPr>
        <w:t>2024;</w:t>
      </w:r>
    </w:p>
    <w:p>
      <w:pPr>
        <w:sectPr>
          <w:pgSz w:w="11900" w:h="16838" w:orient="portrait"/>
          <w:cols w:equalWidth="0" w:num="1">
            <w:col w:w="11120"/>
          </w:cols>
          <w:pgMar w:left="320" w:top="662" w:right="459" w:bottom="1440" w:gutter="0" w:footer="0" w:header="0"/>
          <w:type w:val="continuous"/>
        </w:sectPr>
      </w:pPr>
    </w:p>
    <w:p>
      <w:pPr>
        <w:spacing w:after="0" w:line="139" w:lineRule="exact"/>
        <w:rPr>
          <w:sz w:val="20"/>
          <w:szCs w:val="20"/>
          <w:color w:val="auto"/>
        </w:rPr>
      </w:pPr>
    </w:p>
    <w:p>
      <w:pPr>
        <w:ind w:left="1100" w:hanging="43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1100" w:hanging="433"/>
        <w:spacing w:after="0" w:line="286" w:lineRule="auto"/>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100" w:hanging="433"/>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100" w:right="240" w:hanging="433"/>
        <w:spacing w:after="0" w:line="277" w:lineRule="auto"/>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92"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Notes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either be issued in a “qualified reopening” for U.S. federal income tax purposes, with less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original issue discount, or otherwise be part of the same issue as the Notes for U.S. federal income tax purposes.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662" w:right="4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ectPr>
          <w:pgSz w:w="11900" w:h="16838" w:orient="portrait"/>
          <w:cols w:equalWidth="0" w:num="1">
            <w:col w:w="11120"/>
          </w:cols>
          <w:pgMar w:left="320" w:top="675" w:right="459" w:bottom="1440" w:gutter="0" w:footer="0" w:header="0"/>
        </w:sectPr>
      </w:pP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560"/>
        <w:spacing w:after="0"/>
        <w:tabs>
          <w:tab w:leader="none" w:pos="3740" w:val="left"/>
        </w:tabs>
        <w:rPr>
          <w:sz w:val="20"/>
          <w:szCs w:val="20"/>
          <w:color w:val="auto"/>
        </w:rPr>
      </w:pPr>
      <w:r>
        <w:rPr>
          <w:rFonts w:ascii="Arial" w:cs="Arial" w:eastAsia="Arial" w:hAnsi="Arial"/>
          <w:sz w:val="18"/>
          <w:szCs w:val="18"/>
          <w:color w:val="auto"/>
        </w:rPr>
        <w:t>The Notes bear cash interest at a rate of</w:t>
      </w:r>
      <w:r>
        <w:rPr>
          <w:sz w:val="20"/>
          <w:szCs w:val="20"/>
          <w:color w:val="auto"/>
        </w:rPr>
        <w:tab/>
      </w:r>
      <w:r>
        <w:rPr>
          <w:rFonts w:ascii="Arial" w:cs="Arial" w:eastAsia="Arial" w:hAnsi="Arial"/>
          <w:sz w:val="16"/>
          <w:szCs w:val="16"/>
          <w:color w:val="auto"/>
        </w:rPr>
        <w:t>% per year until maturity. Interest on the Notes will accrue from</w:t>
      </w:r>
    </w:p>
    <w:p>
      <w:pPr>
        <w:spacing w:after="0" w:line="23"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date on which interest has been paid or duly provided for. Interest is payable semiannually in arrears on and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firstLine="198"/>
        <w:spacing w:after="0" w:line="342" w:lineRule="auto"/>
        <w:rPr>
          <w:sz w:val="20"/>
          <w:szCs w:val="20"/>
          <w:color w:val="auto"/>
        </w:rPr>
      </w:pPr>
      <w:r>
        <w:rPr>
          <w:rFonts w:ascii="Arial" w:cs="Arial" w:eastAsia="Arial" w:hAnsi="Arial"/>
          <w:sz w:val="16"/>
          <w:szCs w:val="16"/>
          <w:color w:val="auto"/>
        </w:rPr>
        <w:t>, 2023 or from the most recent of each year, beginning on ,</w:t>
      </w:r>
    </w:p>
    <w:p>
      <w:pPr>
        <w:spacing w:after="0" w:line="339" w:lineRule="exact"/>
        <w:rPr>
          <w:sz w:val="20"/>
          <w:szCs w:val="20"/>
          <w:color w:val="auto"/>
        </w:rPr>
      </w:pPr>
    </w:p>
    <w:p>
      <w:pPr>
        <w:sectPr>
          <w:pgSz w:w="11900" w:h="16838" w:orient="portrait"/>
          <w:cols w:equalWidth="0" w:num="2">
            <w:col w:w="8380" w:space="160"/>
            <w:col w:w="2580"/>
          </w:cols>
          <w:pgMar w:left="320" w:top="675" w:right="45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Interest will be paid to the person in whose name a Note is registered at 5:00 p.m. New York City time (the “close of business”)</w:t>
      </w:r>
    </w:p>
    <w:p>
      <w:pPr>
        <w:spacing w:after="0" w:line="2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on or (whether or not a business day), as the case may be, immediately preceding the relevant interest payment date. Interest on the Notes will be computed on the basis of a 360-day year composed of twelve 30-day months.</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are our direct, general unsecured obligations that rank:</w:t>
      </w:r>
    </w:p>
    <w:p>
      <w:pPr>
        <w:spacing w:after="0" w:line="131" w:lineRule="exact"/>
        <w:rPr>
          <w:sz w:val="20"/>
          <w:szCs w:val="20"/>
          <w:color w:val="auto"/>
        </w:rPr>
      </w:pPr>
    </w:p>
    <w:p>
      <w:pPr>
        <w:ind w:left="1100" w:right="560" w:hanging="43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1100" w:right="160" w:hanging="433"/>
        <w:spacing w:after="0" w:line="259"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pari passu, or equal, in right of payment with all of our existing and future indebtedness or other obligations that are not so subordinated, or junior, including, without limitation, as of June 30, 2023, approximately $347.5 million aggregate principal amount of outstanding indebtedness under our 2024 Notes and approximately $300.0 million aggregate principal amount of outstanding indebtedness under our 2026 Notes;</w:t>
      </w:r>
    </w:p>
    <w:p>
      <w:pPr>
        <w:spacing w:after="0" w:line="92" w:lineRule="exact"/>
        <w:rPr>
          <w:rFonts w:ascii="Arial" w:cs="Arial" w:eastAsia="Arial" w:hAnsi="Arial"/>
          <w:sz w:val="18"/>
          <w:szCs w:val="18"/>
          <w:color w:val="auto"/>
        </w:rPr>
      </w:pPr>
    </w:p>
    <w:p>
      <w:pPr>
        <w:ind w:left="1100" w:right="60" w:hanging="433"/>
        <w:spacing w:after="0" w:line="311" w:lineRule="auto"/>
        <w:tabs>
          <w:tab w:leader="none" w:pos="11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$1,050.8 million aggregate principal amount of outstanding indebtedness as of June 30, 2023 under the Revolving Credit Facility; and</w:t>
      </w:r>
    </w:p>
    <w:p>
      <w:pPr>
        <w:spacing w:after="0" w:line="54" w:lineRule="exact"/>
        <w:rPr>
          <w:rFonts w:ascii="Arial" w:cs="Arial" w:eastAsia="Arial" w:hAnsi="Arial"/>
          <w:sz w:val="16"/>
          <w:szCs w:val="16"/>
          <w:color w:val="auto"/>
        </w:rPr>
      </w:pPr>
    </w:p>
    <w:p>
      <w:pPr>
        <w:ind w:left="1100" w:right="40" w:hanging="433"/>
        <w:spacing w:after="0" w:line="277" w:lineRule="auto"/>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70"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As of June 30, 2023, our total consolidated indebtedness was approximately $1,698.3 million aggregate principal amount outstanding, of which approximately $1,050.8 million was secured indebtedness at the TSLX level and none of which was indebtedness of our subsidiaries. After giving effect to the issuance of the Notes, and assuming the net proceeds therefrom are used to repay outstanding borrowings under the Revolving Credit Facility, our</w:t>
      </w:r>
    </w:p>
    <w:p>
      <w:pPr>
        <w:spacing w:after="0" w:line="2" w:lineRule="exact"/>
        <w:rPr>
          <w:sz w:val="20"/>
          <w:szCs w:val="20"/>
          <w:color w:val="auto"/>
        </w:rPr>
      </w:pPr>
    </w:p>
    <w:p>
      <w:pPr>
        <w:ind w:left="120" w:right="480"/>
        <w:spacing w:after="0" w:line="260" w:lineRule="auto"/>
        <w:rPr>
          <w:sz w:val="20"/>
          <w:szCs w:val="20"/>
          <w:color w:val="auto"/>
        </w:rPr>
      </w:pPr>
      <w:r>
        <w:rPr>
          <w:rFonts w:ascii="Arial" w:cs="Arial" w:eastAsia="Arial" w:hAnsi="Arial"/>
          <w:sz w:val="18"/>
          <w:szCs w:val="18"/>
          <w:color w:val="auto"/>
        </w:rPr>
        <w:t>total consolidated indebtedness would have been approximately $ million aggregate principal amount outstanding as of January 22, 2021. See “Capitalization.”</w:t>
      </w:r>
    </w:p>
    <w:p>
      <w:pPr>
        <w:spacing w:after="0" w:line="18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675" w:right="4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560"/>
        <w:spacing w:after="0"/>
        <w:tabs>
          <w:tab w:leader="none" w:pos="8280" w:val="left"/>
          <w:tab w:leader="none" w:pos="8700" w:val="left"/>
        </w:tabs>
        <w:rPr>
          <w:sz w:val="20"/>
          <w:szCs w:val="20"/>
          <w:color w:val="auto"/>
        </w:rPr>
      </w:pPr>
      <w:r>
        <w:rPr>
          <w:rFonts w:ascii="Arial" w:cs="Arial" w:eastAsia="Arial" w:hAnsi="Arial"/>
          <w:sz w:val="17"/>
          <w:szCs w:val="17"/>
          <w:color w:val="auto"/>
        </w:rPr>
        <w:t>Any exercise of our option to redeem the Notes will be done in compliance with the 1940 Act. Prior 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month[s] prior to their maturity</w:t>
      </w:r>
    </w:p>
    <w:p>
      <w:pPr>
        <w:spacing w:after="0" w:line="23" w:lineRule="exact"/>
        <w:rPr>
          <w:sz w:val="20"/>
          <w:szCs w:val="20"/>
          <w:color w:val="auto"/>
        </w:rPr>
      </w:pPr>
    </w:p>
    <w:p>
      <w:pPr>
        <w:ind w:left="120" w:right="600"/>
        <w:spacing w:after="0" w:line="260" w:lineRule="auto"/>
        <w:rPr>
          <w:sz w:val="20"/>
          <w:szCs w:val="20"/>
          <w:color w:val="auto"/>
        </w:rPr>
      </w:pPr>
      <w:r>
        <w:rPr>
          <w:rFonts w:ascii="Arial" w:cs="Arial" w:eastAsia="Arial" w:hAnsi="Arial"/>
          <w:sz w:val="18"/>
          <w:szCs w:val="18"/>
          <w:color w:val="auto"/>
        </w:rPr>
        <w:t>date) (the “Par Call Date”), we may redeem the Notes at our option, in whole or in part, at any time and from time to time, at a redemption price (expressed as a percentage of principal amount and rounded to three decimal places) equal to the greater of:</w:t>
      </w:r>
    </w:p>
    <w:p>
      <w:pPr>
        <w:spacing w:after="0" w:line="77" w:lineRule="exact"/>
        <w:rPr>
          <w:sz w:val="20"/>
          <w:szCs w:val="20"/>
          <w:color w:val="auto"/>
        </w:rPr>
      </w:pPr>
    </w:p>
    <w:p>
      <w:pPr>
        <w:ind w:left="1100" w:right="180" w:firstLine="7"/>
        <w:spacing w:after="0" w:line="291" w:lineRule="auto"/>
        <w:tabs>
          <w:tab w:leader="none" w:pos="13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the sum of the present values of the remaining scheduled payments of principal and interest thereon discounted to the redemption date (assuming the Notes matured on the Par Call Date) on a semi-annual basis (assuming a 360-day year consisting of twelve 30-day</w:t>
      </w:r>
    </w:p>
    <w:p>
      <w:pPr>
        <w:ind w:left="1100"/>
        <w:spacing w:after="0"/>
        <w:tabs>
          <w:tab w:leader="none" w:pos="3880" w:val="left"/>
        </w:tabs>
        <w:rPr>
          <w:sz w:val="20"/>
          <w:szCs w:val="20"/>
          <w:color w:val="auto"/>
        </w:rPr>
      </w:pPr>
      <w:r>
        <w:rPr>
          <w:rFonts w:ascii="Arial" w:cs="Arial" w:eastAsia="Arial" w:hAnsi="Arial"/>
          <w:sz w:val="18"/>
          <w:szCs w:val="18"/>
          <w:color w:val="auto"/>
        </w:rPr>
        <w:t>months) at the Treasury Rate plus</w:t>
      </w:r>
      <w:r>
        <w:rPr>
          <w:sz w:val="20"/>
          <w:szCs w:val="20"/>
          <w:color w:val="auto"/>
        </w:rPr>
        <w:tab/>
      </w:r>
      <w:r>
        <w:rPr>
          <w:rFonts w:ascii="Arial" w:cs="Arial" w:eastAsia="Arial" w:hAnsi="Arial"/>
          <w:sz w:val="16"/>
          <w:szCs w:val="16"/>
          <w:color w:val="auto"/>
        </w:rPr>
        <w:t>basis points less (b) interest accrued to the date of redemption, and</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 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On or after the Par Call Date, we may redeem the Notes, in whole or in part, at any time and from time to time, at a redemption price equal to 100% of the principal amount of the Notes being redeemed plus accrued and unpaid interest thereon to the redemption date.</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“Treasury Rate” means, with respect to any redemption date, the yield determined by us in accordance with the following two paragraphs.</w:t>
      </w:r>
    </w:p>
    <w:p>
      <w:pPr>
        <w:spacing w:after="0" w:line="23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actions and determinations in determining the redemption price shall be conclusive and binding for all purposes, absent manifest error. The trustee will not be responsible or liable for determining, confirming, or verifying the redemption price.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00"/>
          </w:cols>
          <w:pgMar w:left="320" w:top="675"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Any exercise of our option to redeem the Notes will be done in compliance with the 1940 Act.</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the case of a partial redemption, selection of the Notes for redemption will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w:t>
      </w:r>
    </w:p>
    <w:p>
      <w:pPr>
        <w:spacing w:after="0" w:line="17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Unless we default in payment of the redemption price, on and after the redemption date interest will cease to accrue on the Notes or portions thereof called for redemption.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7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100" w:hanging="5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100" w:right="600" w:hanging="544"/>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100" w:right="540" w:hanging="544"/>
        <w:spacing w:after="0" w:line="277" w:lineRule="auto"/>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2024 Notes and 2026 Notes each contains a provision that would require us to offer to purchase the respective 2024 Notes or 2026 Notes upon the occurrence of a fundamental change. A failure to purchase any tendered 2024 Notes or 2026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Q2 2023 Quarterly Report, which is incorporated by reference herein,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67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6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Notes: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100" w:right="20" w:hanging="544"/>
        <w:spacing w:after="0" w:line="257" w:lineRule="auto"/>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93" w:lineRule="exact"/>
        <w:rPr>
          <w:rFonts w:ascii="Arial" w:cs="Arial" w:eastAsia="Arial" w:hAnsi="Arial"/>
          <w:sz w:val="18"/>
          <w:szCs w:val="18"/>
          <w:color w:val="auto"/>
        </w:rPr>
      </w:pPr>
    </w:p>
    <w:p>
      <w:pPr>
        <w:jc w:val="both"/>
        <w:ind w:left="1100" w:right="120" w:hanging="544"/>
        <w:spacing w:after="0" w:line="279" w:lineRule="auto"/>
        <w:tabs>
          <w:tab w:leader="none" w:pos="11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76" w:lineRule="exact"/>
        <w:rPr>
          <w:rFonts w:ascii="Arial" w:cs="Arial" w:eastAsia="Arial" w:hAnsi="Arial"/>
          <w:sz w:val="17"/>
          <w:szCs w:val="17"/>
          <w:color w:val="auto"/>
        </w:rPr>
      </w:pPr>
    </w:p>
    <w:p>
      <w:pPr>
        <w:ind w:left="1100" w:hanging="5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“Fitch” means Fitch Ratings, Inc., also known as Fitch Ratings, or any successor thereto.</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“Moody’s” means Moody’s Investor Service, or any successor thereto.</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“Permitted Holders” means (i) us, (ii) one or more of our Controlled Subsidiaries and (iii) Sixth Street Specialty Lending Advisers, LLC or any affiliate of Sixth Street Specialty Lending Advisers, LLC that is organized under the laws of a jurisdiction located in the United States of America and in the business of managing or advising clients.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100" w:hanging="5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Fitch, Moody’s and S&amp;P;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00"/>
          </w:cols>
          <w:pgMar w:left="320" w:top="675"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40" w:hanging="544"/>
        <w:spacing w:after="0" w:line="263" w:lineRule="auto"/>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“S&amp;P” means S&amp;P Global Ratings or any successor thereto.</w:t>
      </w:r>
    </w:p>
    <w:p>
      <w:pPr>
        <w:spacing w:after="0" w:line="225"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92" w:lineRule="exact"/>
        <w:rPr>
          <w:sz w:val="20"/>
          <w:szCs w:val="20"/>
          <w:color w:val="auto"/>
        </w:rPr>
      </w:pPr>
    </w:p>
    <w:p>
      <w:pPr>
        <w:ind w:left="1100" w:right="60" w:hanging="433"/>
        <w:spacing w:after="0" w:line="263"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9" w:lineRule="exact"/>
        <w:rPr>
          <w:rFonts w:ascii="Arial" w:cs="Arial" w:eastAsia="Arial" w:hAnsi="Arial"/>
          <w:sz w:val="18"/>
          <w:szCs w:val="18"/>
          <w:color w:val="auto"/>
        </w:rPr>
      </w:pPr>
    </w:p>
    <w:p>
      <w:pPr>
        <w:ind w:left="1100" w:hanging="433"/>
        <w:spacing w:after="0" w:line="259"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92"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ind w:left="1100" w:hanging="433"/>
        <w:spacing w:after="0" w:line="259" w:lineRule="auto"/>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4"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4"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00" w:right="300" w:hanging="433"/>
        <w:spacing w:after="0" w:line="263"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9" w:lineRule="exact"/>
        <w:rPr>
          <w:rFonts w:ascii="Arial" w:cs="Arial" w:eastAsia="Arial" w:hAnsi="Arial"/>
          <w:sz w:val="18"/>
          <w:szCs w:val="18"/>
          <w:color w:val="auto"/>
        </w:rPr>
      </w:pPr>
    </w:p>
    <w:p>
      <w:pPr>
        <w:ind w:left="1100" w:right="60" w:hanging="433"/>
        <w:spacing w:after="0" w:line="25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675" w:right="479" w:bottom="1145"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100" w:hanging="54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when due and payable and the default continues for a period of 30 days;</w:t>
      </w:r>
    </w:p>
    <w:p>
      <w:pPr>
        <w:spacing w:after="0" w:line="130" w:lineRule="exact"/>
        <w:rPr>
          <w:rFonts w:ascii="Arial" w:cs="Arial" w:eastAsia="Arial" w:hAnsi="Arial"/>
          <w:sz w:val="18"/>
          <w:szCs w:val="18"/>
          <w:color w:val="auto"/>
        </w:rPr>
      </w:pPr>
    </w:p>
    <w:p>
      <w:pPr>
        <w:ind w:left="1100" w:right="340" w:hanging="544"/>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100" w:right="40" w:hanging="544"/>
        <w:spacing w:after="0" w:line="263"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100" w:right="320" w:hanging="544"/>
        <w:spacing w:after="0" w:line="291"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100" w:right="40"/>
        <w:spacing w:after="0" w:line="268" w:lineRule="auto"/>
        <w:rPr>
          <w:rFonts w:ascii="Arial" w:cs="Arial" w:eastAsia="Arial" w:hAnsi="Arial"/>
          <w:sz w:val="16"/>
          <w:szCs w:val="16"/>
          <w:color w:val="auto"/>
        </w:rPr>
      </w:pPr>
      <w:r>
        <w:rPr>
          <w:rFonts w:ascii="Arial" w:cs="Arial" w:eastAsia="Arial" w:hAnsi="Arial"/>
          <w:sz w:val="17"/>
          <w:szCs w:val="17"/>
          <w:color w:val="auto"/>
        </w:rPr>
        <w:t>(c) is not consolidated with TSLX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88" w:lineRule="exact"/>
        <w:rPr>
          <w:rFonts w:ascii="Arial" w:cs="Arial" w:eastAsia="Arial" w:hAnsi="Arial"/>
          <w:sz w:val="16"/>
          <w:szCs w:val="16"/>
          <w:color w:val="auto"/>
        </w:rPr>
      </w:pPr>
    </w:p>
    <w:p>
      <w:pPr>
        <w:ind w:left="1100" w:right="80" w:hanging="544"/>
        <w:spacing w:after="0" w:line="311" w:lineRule="auto"/>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4" w:lineRule="exact"/>
        <w:rPr>
          <w:rFonts w:ascii="Arial" w:cs="Arial" w:eastAsia="Arial" w:hAnsi="Arial"/>
          <w:sz w:val="16"/>
          <w:szCs w:val="16"/>
          <w:color w:val="auto"/>
        </w:rPr>
      </w:pPr>
    </w:p>
    <w:p>
      <w:pPr>
        <w:ind w:left="1100" w:right="400" w:hanging="544"/>
        <w:spacing w:after="0" w:line="277" w:lineRule="auto"/>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occur and remain undischarged or unstayed for a period of 90 days.</w:t>
      </w:r>
    </w:p>
    <w:p>
      <w:pPr>
        <w:spacing w:after="0" w:line="170"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7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8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100" w:hanging="544"/>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100" w:right="360" w:hanging="544"/>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100" w:right="100" w:hanging="544"/>
        <w:spacing w:after="0" w:line="277"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675"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right="20" w:hanging="544"/>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100" w:right="140" w:hanging="544"/>
        <w:spacing w:after="0" w:line="277" w:lineRule="auto"/>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7"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67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Computershare Trust Company, N.A., as successor to Wells Fargo Bank, National Association, is the trustee, security registrar and paying agent. Computershare Trust Company, N.A., as successor to Wells Fargo Bank, National Association, in each of its capacities, including without limitation as trustee, security registrar and paying agent, assumes no responsibility (or liability) for the accuracy, correctness, adequacy,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“corporate trust office” means the corporate trust office of the Trustee, at which at any particular time its corporate trust business with respect to the Indenture shall be administered, which office is currently located at Computershare Trust Company, N.A., 1505 Energy Park Drive, St. Paul, MN 55108.</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00" w:right="80" w:hanging="433"/>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100" w:right="200" w:hanging="433"/>
        <w:spacing w:after="0" w:line="263"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(in any of its capacities) nor the underwriters are responsible for those operations or procedures.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675"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2" w:lineRule="exact"/>
        <w:rPr>
          <w:sz w:val="20"/>
          <w:szCs w:val="20"/>
          <w:color w:val="auto"/>
        </w:rPr>
      </w:pPr>
    </w:p>
    <w:p>
      <w:pPr>
        <w:ind w:left="120" w:right="580" w:firstLine="440"/>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4"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67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100" w:right="120" w:hanging="43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100" w:right="80" w:hanging="433"/>
        <w:spacing w:after="0" w:line="277" w:lineRule="auto"/>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60"/>
          </w:cols>
          <w:pgMar w:left="320" w:top="675" w:right="5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discussion is a summary of the material U.S. federal income tax considerations that are likely to be relevant to the purchase, ownership and disposition of the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72" w:lineRule="exact"/>
        <w:rPr>
          <w:sz w:val="20"/>
          <w:szCs w:val="20"/>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trusts;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persons holding Notes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who hold our stock or Notes on behalf of another person as a nominee;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Nonresident alien individuals present in the United States for more than 182 days in a taxable year; 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Holders (as defined below) who have a “functional currency” other than the U.S. dollar.</w:t>
      </w:r>
    </w:p>
    <w:p>
      <w:pPr>
        <w:spacing w:after="0" w:line="22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Finally, this summary does not address other U.S. federal tax consequences (such as estate and gift tax consequences, the Medicare tax on net investment income and the alternative minimum tax, consequences arising under special timing rules prescribed under section 451(b) of the Code) or any state, local or non-U.S. tax consequences.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discussion below is based upon the provisions of the Code,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U.S. federal income tax purposes, an individual who is a citizen or resident of the United States or a domestic corporation or otherwise subject to U.S. federal income tax on a net income basis in respect of the Notes. The term “non-U.S. Holder” means a beneficial owner of a Note that is not a U.S. Holder. 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to U.S. Holders of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Stated interest on the Notes will generally be includible in the income of a U.S. Holder as ordinary income at the time the interest is received or accrued in accordance with the U.S. Holder’s method of accounting for U.S. federal income tax purposes. It is anticipated, and this discussion assumes, that the Notes will be issued with less than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original issue discount (within the meaning of the applicable Treasury regulations). If, however, the Notes are issued for an amount less than the principal amount and the difference is not less than such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a U.S. Holder will be required to include the difference in income as original issue discount in accordance with a “constant-yield method” before the receipt of cash attributable to such income, regardless of the U.S. Holder’s regular method of accounting for U.S. federal income tax purposes. A U.S. Holder is urged to consult its own tax advisor in the event the Notes are issued with original issue discount.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67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Notes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 U.S. Holder will generally recognize taxable gain or loss upon the sale, exchange, retirement or other taxable disposition of a Note equal to the difference between the amount received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to Non-U.S. Holders of Notes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76" w:lineRule="exact"/>
        <w:rPr>
          <w:sz w:val="20"/>
          <w:szCs w:val="20"/>
          <w:color w:val="auto"/>
        </w:rPr>
      </w:pPr>
    </w:p>
    <w:p>
      <w:pPr>
        <w:ind w:left="1100" w:right="24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75" w:lineRule="exact"/>
        <w:rPr>
          <w:rFonts w:ascii="Arial" w:cs="Arial" w:eastAsia="Arial" w:hAnsi="Arial"/>
          <w:sz w:val="18"/>
          <w:szCs w:val="18"/>
          <w:color w:val="auto"/>
        </w:rPr>
      </w:pPr>
    </w:p>
    <w:p>
      <w:pPr>
        <w:ind w:left="1100" w:right="620" w:hanging="433"/>
        <w:spacing w:after="0" w:line="277"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sufficient stock ownership; and</w:t>
      </w:r>
    </w:p>
    <w:p>
      <w:pPr>
        <w:spacing w:after="0" w:line="75" w:lineRule="exact"/>
        <w:rPr>
          <w:rFonts w:ascii="Arial" w:cs="Arial" w:eastAsia="Arial" w:hAnsi="Arial"/>
          <w:sz w:val="18"/>
          <w:szCs w:val="18"/>
          <w:color w:val="auto"/>
        </w:rPr>
      </w:pPr>
    </w:p>
    <w:p>
      <w:pPr>
        <w:ind w:left="1100" w:right="20" w:hanging="433"/>
        <w:spacing w:after="0" w:line="259" w:lineRule="auto"/>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non-U.S. Holder provides its name and address, and certifies, under penalties of perjury, that it is not a U.S. person (which certification may be made on an IRS Form W-8BEN or IRS Form W-8BEN-E (or successor form, in each case)) or the Non-U.S. Holder holds the Notes through certain foreign intermediaries or certain foreign partnerships, and satisfies the certification requirements of applicable Treasury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or Retirement of Notes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 Non-U.S. Holder generally will not be subject to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federal income tax on gain recognized on a sale, exchange or retirement of Notes.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Information returns will be filed with the IRS in connection with payments on the Notes made to, and the proceeds of dispositions of Notes effected by, certain U.S. taxpayers. In addition, certain U.S. taxpayers may be subject to backup withholding tax in respect of such payments if they do not provide their taxpayer identification numbers to the person from whom they receive payments. Non-U.S. taxpayers may be required to comply with applicable certification procedures to establish that they are not U.S. taxpayers in order to avoid the application of such information reporting requirements and backup withholding. Any amounts withheld under the backup withholding rules from a payment to a U.S. or Non-U.S. taxpayer generally would be allowed as a refund or a credit against such Holder’s U.S. federal income tax provided the required information is timely furnished to the IRS.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Under certain circumstances, the Foreign Account Tax Compliance provisions of the United States Hiring Incentives to Restore Employment Act (“FATCA”) will impose a withholding tax of 30% on payments of 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An intergovernmental agreement between the United States and an applicable foreign country, or future Treasury Regulations or other guidance, may modify these requirements. Accordingly, the entity through which the Notes are held will affect the determination of whether such withholding is required.</w:t>
      </w:r>
    </w:p>
    <w:p>
      <w:pPr>
        <w:spacing w:after="0" w:line="178"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 Prospective holders should consult their own tax advisors regarding the potential application of withholding under FATCA to their investment in the Notes.</w:t>
      </w:r>
    </w:p>
    <w:p>
      <w:pPr>
        <w:spacing w:after="0" w:line="27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675"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84" w:lineRule="exact"/>
        <w:rPr>
          <w:sz w:val="20"/>
          <w:szCs w:val="20"/>
          <w:color w:val="auto"/>
        </w:rPr>
      </w:pPr>
    </w:p>
    <w:p>
      <w:pPr>
        <w:ind w:left="1880"/>
        <w:spacing w:after="0"/>
        <w:tabs>
          <w:tab w:leader="none" w:pos="8200" w:val="left"/>
        </w:tabs>
        <w:rPr>
          <w:sz w:val="20"/>
          <w:szCs w:val="20"/>
          <w:color w:val="auto"/>
        </w:rPr>
      </w:pPr>
      <w:r>
        <w:rPr>
          <w:rFonts w:ascii="Arial" w:cs="Arial" w:eastAsia="Arial" w:hAnsi="Arial"/>
          <w:sz w:val="14"/>
          <w:szCs w:val="14"/>
          <w:b w:val="1"/>
          <w:bCs w:val="1"/>
          <w:u w:val="single" w:color="auto"/>
          <w:color w:val="auto"/>
        </w:rPr>
        <w:t>Underwriter</w:t>
      </w:r>
      <w:r>
        <w:rPr>
          <w:sz w:val="20"/>
          <w:szCs w:val="20"/>
          <w:color w:val="auto"/>
        </w:rPr>
        <w:tab/>
      </w:r>
      <w:r>
        <w:rPr>
          <w:rFonts w:ascii="Arial" w:cs="Arial" w:eastAsia="Arial" w:hAnsi="Arial"/>
          <w:sz w:val="14"/>
          <w:szCs w:val="14"/>
          <w:b w:val="1"/>
          <w:bCs w:val="1"/>
          <w:u w:val="single" w:color="auto"/>
          <w:color w:val="auto"/>
        </w:rPr>
        <w:t>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BofA Securities, Inc.</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SMBC Nikko Securities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5715</wp:posOffset>
            </wp:positionV>
            <wp:extent cx="7029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160020</wp:posOffset>
            </wp:positionV>
            <wp:extent cx="7029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we are to pay to the underwriters in connection with this offering.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00" w:type="dxa"/>
            <w:vAlign w:val="bottom"/>
            <w:gridSpan w:val="2"/>
          </w:tcPr>
          <w:p>
            <w:pPr>
              <w:ind w:left="6160"/>
              <w:spacing w:after="0"/>
              <w:rPr>
                <w:sz w:val="20"/>
                <w:szCs w:val="20"/>
                <w:color w:val="auto"/>
              </w:rPr>
            </w:pPr>
            <w:r>
              <w:rPr>
                <w:rFonts w:ascii="Arial" w:cs="Arial" w:eastAsia="Arial" w:hAnsi="Arial"/>
                <w:sz w:val="14"/>
                <w:szCs w:val="14"/>
                <w:b w:val="1"/>
                <w:bCs w:val="1"/>
                <w:color w:val="auto"/>
                <w:w w:val="90"/>
              </w:rPr>
              <w:t>Per Note</w:t>
            </w:r>
          </w:p>
        </w:tc>
        <w:tc>
          <w:tcPr>
            <w:tcW w:w="880" w:type="dxa"/>
            <w:vAlign w:val="bottom"/>
          </w:tcPr>
          <w:p>
            <w:pPr>
              <w:spacing w:after="0"/>
              <w:rPr>
                <w:sz w:val="14"/>
                <w:szCs w:val="14"/>
                <w:color w:val="auto"/>
              </w:rPr>
            </w:pPr>
          </w:p>
        </w:tc>
        <w:tc>
          <w:tcPr>
            <w:tcW w:w="7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auto"/>
            </w:tcBorders>
            <w:shd w:val="clear" w:color="auto" w:fill="CCEEFF"/>
          </w:tcPr>
          <w:p>
            <w:pPr>
              <w:spacing w:after="0"/>
              <w:rPr>
                <w:sz w:val="18"/>
                <w:szCs w:val="18"/>
                <w:color w:val="auto"/>
              </w:rPr>
            </w:pPr>
          </w:p>
        </w:tc>
        <w:tc>
          <w:tcPr>
            <w:tcW w:w="8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Underwriting discount (sales load)</w:t>
            </w:r>
          </w:p>
        </w:tc>
        <w:tc>
          <w:tcPr>
            <w:tcW w:w="880" w:type="dxa"/>
            <w:vAlign w:val="bottom"/>
          </w:tcPr>
          <w:p>
            <w:pPr>
              <w:jc w:val="right"/>
              <w:ind w:right="650"/>
              <w:spacing w:after="0"/>
              <w:rPr>
                <w:sz w:val="20"/>
                <w:szCs w:val="20"/>
                <w:color w:val="auto"/>
              </w:rPr>
            </w:pPr>
            <w:r>
              <w:rPr>
                <w:rFonts w:ascii="Arial" w:cs="Arial" w:eastAsia="Arial" w:hAnsi="Arial"/>
                <w:sz w:val="18"/>
                <w:szCs w:val="18"/>
                <w:color w:val="auto"/>
                <w:w w:val="74"/>
              </w:rPr>
              <w:t>%</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8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The underwriters propose to offer some of the Notes to the public at the public offering price set forth on the cover page of this prospectus supplement, plus accrued interest of $ in the aggregate from , 2023 up to, but not including, the date of delivery, and some of the Notes to certain other Financial Industry Regulatory Authority, or FINRA, members at the public offering price less a concession not in excess of % of the aggregate principal amount of the Notes. The underwriters may allow, and the dealers may reallow, a discount not in excess of % of the aggregate</w:t>
      </w:r>
    </w:p>
    <w:p>
      <w:pPr>
        <w:spacing w:after="0" w:line="1" w:lineRule="exact"/>
        <w:rPr>
          <w:sz w:val="20"/>
          <w:szCs w:val="20"/>
          <w:color w:val="auto"/>
        </w:rPr>
      </w:pPr>
    </w:p>
    <w:p>
      <w:pPr>
        <w:ind w:left="120" w:right="200"/>
        <w:spacing w:after="0" w:line="323" w:lineRule="auto"/>
        <w:rPr>
          <w:sz w:val="20"/>
          <w:szCs w:val="20"/>
          <w:color w:val="auto"/>
        </w:rPr>
      </w:pPr>
      <w:r>
        <w:rPr>
          <w:rFonts w:ascii="Arial" w:cs="Arial" w:eastAsia="Arial" w:hAnsi="Arial"/>
          <w:sz w:val="16"/>
          <w:szCs w:val="16"/>
          <w:color w:val="auto"/>
        </w:rPr>
        <w:t>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38" w:lineRule="exact"/>
        <w:rPr>
          <w:sz w:val="20"/>
          <w:szCs w:val="20"/>
          <w:color w:val="auto"/>
        </w:rPr>
      </w:pPr>
    </w:p>
    <w:p>
      <w:pPr>
        <w:ind w:left="560"/>
        <w:spacing w:after="0"/>
        <w:tabs>
          <w:tab w:leader="none" w:pos="7100" w:val="left"/>
        </w:tabs>
        <w:rPr>
          <w:sz w:val="20"/>
          <w:szCs w:val="20"/>
          <w:color w:val="auto"/>
        </w:rPr>
      </w:pPr>
      <w:r>
        <w:rPr>
          <w:rFonts w:ascii="Arial" w:cs="Arial" w:eastAsia="Arial" w:hAnsi="Arial"/>
          <w:sz w:val="18"/>
          <w:szCs w:val="18"/>
          <w:color w:val="auto"/>
        </w:rPr>
        <w:t>The expenses of the offering, not including the underwriting discount, are estimated at $</w:t>
      </w:r>
      <w:r>
        <w:rPr>
          <w:sz w:val="20"/>
          <w:szCs w:val="20"/>
          <w:color w:val="auto"/>
        </w:rPr>
        <w:tab/>
      </w:r>
      <w:r>
        <w:rPr>
          <w:rFonts w:ascii="Arial" w:cs="Arial" w:eastAsia="Arial" w:hAnsi="Arial"/>
          <w:sz w:val="16"/>
          <w:szCs w:val="16"/>
          <w:color w:val="auto"/>
        </w:rPr>
        <w:t>and are payable by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80"/>
          </w:cols>
          <w:pgMar w:left="320" w:top="675"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Certain funds or accounts managed by affiliates of the Adviser may purchase Notes in the transaction through the underwriters at the public offering price.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675"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 2023, which will be the business day following the date hereof. Under Rule 15c6-1 under the Exchange Act, trades in the secondary market are required to settle in two business days, unless the parties to any such trade expressly agree otherwise. Accordingly, purchasers who wish to trade Notes on the date hereof or the next succeeding two business days will be required by virtue of the fact that the Notes initially settle in T+ , to specify an alternate settlement arrangement at the time of any such trade to prevent a failed settlement. Purchasers of the Notes who wish to trade the Notes on the date hereof or the next succeeding two business days should consult their advisors.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principal business address of BofA Securities, Inc. is One Bryant Park, New York, NY 10036. The principal business address of J.P. Morgan Securities LLC is 383 Madison Avenue, New York, New York 10179. The principal business address of SMBC Nikko Securities America, Inc. is 277 Park Avenue, New York, New York 10172.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16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2017/565 as it forms part of domestic law by virtue of the European Union (Withdrawal) Act 2018 (“EUWA”); or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600/2014 as it forms part of domestic law by virtue of the EUWA; or (iii) not a qualified investor as defined in Regulation (EU) 2017/1129 as it forms part of domestic law by virtue of the EUWA (the “UK Prospectus Regulation”). Consequently no key information document required by Regulation (EU) 1286/2014 as it forms part of domestic law by virtue of the EUWA (the “UK PRIIPs Regulation”) for offering or selling the Notes or otherwise making them available to retail investors in the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67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UK has been prepared and therefore offering or selling the Notes or otherwise making them available to any retail investor in the UK may be unlawful under the UK PRIIPs Regulation. This prospectus supplement has been prepared on the basis that any offer of Notes in the UK will be made pursuant to an exemption under the UK Prospectus Regulation and the FSMA from the requirement to publish a prospectus for offers of Notes. This prospectus supplement is not a prospectus for the purposes of the UK Prospectus Regulation or the FSMA.</w:t>
      </w:r>
    </w:p>
    <w:p>
      <w:pPr>
        <w:spacing w:after="0" w:line="17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Notes have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Securities and Futures Ordinance and any rules made thereunder.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left="120" w:right="240" w:firstLine="440"/>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prospectus supplement has been prepared in reliance on section 3A.3 of National Instrument 33-105 </w:t>
      </w:r>
      <w:r>
        <w:rPr>
          <w:rFonts w:ascii="Arial" w:cs="Arial" w:eastAsia="Arial" w:hAnsi="Arial"/>
          <w:sz w:val="17"/>
          <w:szCs w:val="17"/>
          <w:b w:val="1"/>
          <w:bCs w:val="1"/>
          <w:i w:val="1"/>
          <w:iCs w:val="1"/>
          <w:color w:val="auto"/>
        </w:rPr>
        <w:t>Underwriting Conflicts</w:t>
      </w:r>
      <w:r>
        <w:rPr>
          <w:rFonts w:ascii="Arial" w:cs="Arial" w:eastAsia="Arial" w:hAnsi="Arial"/>
          <w:sz w:val="17"/>
          <w:szCs w:val="17"/>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320" w:top="675"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Arial" w:cs="Arial" w:eastAsia="Arial" w:hAnsi="Arial"/>
          <w:sz w:val="16"/>
          <w:szCs w:val="16"/>
          <w:i w:val="1"/>
          <w:iCs w:val="1"/>
          <w:color w:val="auto"/>
        </w:rPr>
        <w:t xml:space="preserve">Prospectus Exemptions </w:t>
      </w:r>
      <w:r>
        <w:rPr>
          <w:rFonts w:ascii="Arial" w:cs="Arial" w:eastAsia="Arial" w:hAnsi="Arial"/>
          <w:sz w:val="16"/>
          <w:szCs w:val="16"/>
          <w:color w:val="auto"/>
        </w:rPr>
        <w:t>or, in Ontario, as such term is defined in section 73.3(1) of the</w:t>
      </w:r>
      <w:r>
        <w:rPr>
          <w:rFonts w:ascii="Arial" w:cs="Arial" w:eastAsia="Arial" w:hAnsi="Arial"/>
          <w:sz w:val="16"/>
          <w:szCs w:val="16"/>
          <w:i w:val="1"/>
          <w:iCs w:val="1"/>
          <w:color w:val="auto"/>
        </w:rPr>
        <w:t xml:space="preserve"> Securities Act </w:t>
      </w:r>
      <w:r>
        <w:rPr>
          <w:rFonts w:ascii="Arial" w:cs="Arial" w:eastAsia="Arial" w:hAnsi="Arial"/>
          <w:sz w:val="16"/>
          <w:szCs w:val="16"/>
          <w:color w:val="auto"/>
        </w:rPr>
        <w:t>(Ontario); and (iii) a “permitted client”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is defined in section 1.1 of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Arial" w:cs="Arial" w:eastAsia="Arial" w:hAnsi="Arial"/>
          <w:sz w:val="18"/>
          <w:szCs w:val="18"/>
          <w:i w:val="1"/>
          <w:iCs w:val="1"/>
          <w:color w:val="auto"/>
        </w:rPr>
        <w:t>Ontario Prospectus and Registration Exemptions</w:t>
      </w:r>
      <w:r>
        <w:rPr>
          <w:rFonts w:ascii="Arial" w:cs="Arial" w:eastAsia="Arial" w:hAnsi="Arial"/>
          <w:sz w:val="18"/>
          <w:szCs w:val="18"/>
          <w:color w:val="auto"/>
        </w:rPr>
        <w:t xml:space="preserve"> and in Multilateral Instrument 45-107 </w:t>
      </w:r>
      <w:r>
        <w:rPr>
          <w:rFonts w:ascii="Arial" w:cs="Arial" w:eastAsia="Arial" w:hAnsi="Arial"/>
          <w:sz w:val="18"/>
          <w:szCs w:val="18"/>
          <w:i w:val="1"/>
          <w:iCs w:val="1"/>
          <w:color w:val="auto"/>
        </w:rPr>
        <w:t>Listing Representation and Statutory</w:t>
      </w:r>
      <w:r>
        <w:rPr>
          <w:rFonts w:ascii="Arial" w:cs="Arial" w:eastAsia="Arial" w:hAnsi="Arial"/>
          <w:sz w:val="18"/>
          <w:szCs w:val="18"/>
          <w:color w:val="auto"/>
        </w:rPr>
        <w:t xml:space="preserve"> </w:t>
      </w:r>
      <w:r>
        <w:rPr>
          <w:rFonts w:ascii="Arial" w:cs="Arial" w:eastAsia="Arial" w:hAnsi="Arial"/>
          <w:sz w:val="18"/>
          <w:szCs w:val="18"/>
          <w:i w:val="1"/>
          <w:iCs w:val="1"/>
          <w:color w:val="auto"/>
        </w:rPr>
        <w:t>Rights of Action Disclosure Exemptions</w:t>
      </w:r>
      <w:r>
        <w:rPr>
          <w:rFonts w:ascii="Arial" w:cs="Arial" w:eastAsia="Arial" w:hAnsi="Arial"/>
          <w:sz w:val="18"/>
          <w:szCs w:val="18"/>
          <w:color w:val="auto"/>
        </w:rPr>
        <w:t>, as applicable, with a remedy for damages or rescission, or both, in addition to any other rights they may have at</w:t>
      </w:r>
      <w:r>
        <w:rPr>
          <w:rFonts w:ascii="Arial" w:cs="Arial" w:eastAsia="Arial" w:hAnsi="Arial"/>
          <w:sz w:val="18"/>
          <w:szCs w:val="18"/>
          <w:i w:val="1"/>
          <w:iCs w:val="1"/>
          <w:color w:val="auto"/>
        </w:rPr>
        <w:t xml:space="preserve"> </w:t>
      </w:r>
      <w:r>
        <w:rPr>
          <w:rFonts w:ascii="Arial" w:cs="Arial" w:eastAsia="Arial" w:hAnsi="Arial"/>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3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w:t>
      </w:r>
      <w:r>
        <w:rPr>
          <w:rFonts w:ascii="Arial" w:cs="Arial" w:eastAsia="Arial" w:hAnsi="Arial"/>
          <w:sz w:val="17"/>
          <w:szCs w:val="17"/>
          <w:color w:val="auto"/>
        </w:rPr>
        <w:t xml:space="preserve"> </w:t>
      </w:r>
      <w:r>
        <w:rPr>
          <w:rFonts w:ascii="Arial" w:cs="Arial" w:eastAsia="Arial" w:hAnsi="Arial"/>
          <w:sz w:val="17"/>
          <w:szCs w:val="17"/>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Certain legal matters in connection with the offering will be passed upon for us by Cleary Gottlieb Steen &amp; Hamilton LLP, New York, New York. In addition, Proskauer Rose LLP and Morris, Nichols, Arsht &amp; Tunnell LLP will pass on certain legal matters for us. Cleary Gottlieb Steen &amp; Hamilton LLP and Proskauer Rose LLP also represent the Adviser. Certain legal matters in connection with the offering will be passed upon for the underwriters by Ropes &amp; Gray LLP.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20"/>
          </w:cols>
          <w:pgMar w:left="320" w:top="675"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100" w:lineRule="exact"/>
        <w:rPr>
          <w:sz w:val="20"/>
          <w:szCs w:val="20"/>
          <w:color w:val="auto"/>
        </w:rPr>
      </w:pPr>
    </w:p>
    <w:p>
      <w:pPr>
        <w:ind w:left="1100" w:right="520" w:hanging="433"/>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2022, filed with the SEC on February 16, 2023 (the “2022 Annual Report”);</w:t>
      </w:r>
    </w:p>
    <w:p>
      <w:pPr>
        <w:spacing w:after="0" w:line="75" w:lineRule="exact"/>
        <w:rPr>
          <w:rFonts w:ascii="Arial" w:cs="Arial" w:eastAsia="Arial" w:hAnsi="Arial"/>
          <w:sz w:val="18"/>
          <w:szCs w:val="18"/>
          <w:color w:val="auto"/>
        </w:rPr>
      </w:pPr>
    </w:p>
    <w:p>
      <w:pPr>
        <w:ind w:left="1100" w:right="260" w:hanging="433"/>
        <w:spacing w:after="0" w:line="263" w:lineRule="auto"/>
        <w:tabs>
          <w:tab w:leader="none" w:pos="110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Quarterly Report on Form 10-Q for the three months ended March 31, 2023, filed with the SEC on </w:t>
      </w:r>
      <w:hyperlink r:id="rId58">
        <w:r>
          <w:rPr>
            <w:rFonts w:ascii="Arial" w:cs="Arial" w:eastAsia="Arial" w:hAnsi="Arial"/>
            <w:sz w:val="18"/>
            <w:szCs w:val="18"/>
            <w:u w:val="single" w:color="auto"/>
            <w:color w:val="0000EE"/>
          </w:rPr>
          <w:t>May 8,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(the “1Q 2023 </w:t>
      </w:r>
      <w:hyperlink r:id="rId59">
        <w:r>
          <w:rPr>
            <w:rFonts w:ascii="Arial" w:cs="Arial" w:eastAsia="Arial" w:hAnsi="Arial"/>
            <w:sz w:val="18"/>
            <w:szCs w:val="18"/>
            <w:color w:val="auto"/>
          </w:rPr>
          <w:t xml:space="preserve">Quarterly Report”) and our Quarterly Report on Form 10-Q for the three months ended June 30, 2023, filed with the SEC on </w:t>
        </w:r>
        <w:r>
          <w:rPr>
            <w:rFonts w:ascii="Arial" w:cs="Arial" w:eastAsia="Arial" w:hAnsi="Arial"/>
            <w:sz w:val="18"/>
            <w:szCs w:val="18"/>
            <w:u w:val="single" w:color="auto"/>
            <w:color w:val="0000EE"/>
          </w:rPr>
          <w:t>August 3,</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EE"/>
          </w:rPr>
          <w:t>2023</w:t>
        </w:r>
        <w:r>
          <w:rPr>
            <w:rFonts w:ascii="Arial" w:cs="Arial" w:eastAsia="Arial" w:hAnsi="Arial"/>
            <w:sz w:val="18"/>
            <w:szCs w:val="18"/>
            <w:color w:val="0000EE"/>
          </w:rPr>
          <w:t xml:space="preserve"> </w:t>
        </w:r>
        <w:r>
          <w:rPr>
            <w:rFonts w:ascii="Arial" w:cs="Arial" w:eastAsia="Arial" w:hAnsi="Arial"/>
            <w:sz w:val="18"/>
            <w:szCs w:val="18"/>
            <w:color w:val="000000"/>
          </w:rPr>
          <w:t>(the “2Q 2023 Quarterly Report”);</w:t>
        </w:r>
      </w:hyperlink>
    </w:p>
    <w:p>
      <w:pPr>
        <w:spacing w:after="0" w:line="89" w:lineRule="exact"/>
        <w:rPr>
          <w:rFonts w:ascii="Arial" w:cs="Arial" w:eastAsia="Arial" w:hAnsi="Arial"/>
          <w:sz w:val="18"/>
          <w:szCs w:val="18"/>
          <w:color w:val="0000EE"/>
        </w:rPr>
      </w:pPr>
    </w:p>
    <w:p>
      <w:pPr>
        <w:ind w:left="1100" w:right="60" w:hanging="433"/>
        <w:spacing w:after="0" w:line="277" w:lineRule="auto"/>
        <w:tabs>
          <w:tab w:leader="none" w:pos="110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60">
        <w:r>
          <w:rPr>
            <w:rFonts w:ascii="Arial" w:cs="Arial" w:eastAsia="Arial" w:hAnsi="Arial"/>
            <w:sz w:val="18"/>
            <w:szCs w:val="18"/>
            <w:u w:val="single" w:color="auto"/>
            <w:color w:val="0000EE"/>
          </w:rPr>
          <w:t>May 15, 2023</w:t>
        </w:r>
      </w:hyperlink>
      <w:r>
        <w:rPr>
          <w:rFonts w:ascii="Arial" w:cs="Arial" w:eastAsia="Arial" w:hAnsi="Arial"/>
          <w:sz w:val="18"/>
          <w:szCs w:val="18"/>
          <w:color w:val="auto"/>
        </w:rPr>
        <w:t xml:space="preserve">, </w:t>
      </w:r>
      <w:hyperlink r:id="rId61">
        <w:r>
          <w:rPr>
            <w:rFonts w:ascii="Arial" w:cs="Arial" w:eastAsia="Arial" w:hAnsi="Arial"/>
            <w:sz w:val="18"/>
            <w:szCs w:val="18"/>
            <w:u w:val="single" w:color="auto"/>
            <w:color w:val="0000EE"/>
          </w:rPr>
          <w:t>May 25, 2023</w:t>
        </w:r>
      </w:hyperlink>
      <w:r>
        <w:rPr>
          <w:rFonts w:ascii="Arial" w:cs="Arial" w:eastAsia="Arial" w:hAnsi="Arial"/>
          <w:sz w:val="18"/>
          <w:szCs w:val="18"/>
          <w:color w:val="auto"/>
        </w:rPr>
        <w:t xml:space="preserve">, </w:t>
      </w:r>
      <w:hyperlink r:id="rId62">
        <w:r>
          <w:rPr>
            <w:rFonts w:ascii="Arial" w:cs="Arial" w:eastAsia="Arial" w:hAnsi="Arial"/>
            <w:sz w:val="18"/>
            <w:szCs w:val="18"/>
            <w:u w:val="single" w:color="auto"/>
            <w:color w:val="0000EE"/>
          </w:rPr>
          <w:t>June 12, 2023</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June 13, 2023</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July 14,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5">
        <w:r>
          <w:rPr>
            <w:rFonts w:ascii="Arial" w:cs="Arial" w:eastAsia="Arial" w:hAnsi="Arial"/>
            <w:sz w:val="18"/>
            <w:szCs w:val="18"/>
            <w:u w:val="single" w:color="auto"/>
            <w:color w:val="0000EE"/>
          </w:rPr>
          <w:t>July 17, 2023</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100" w:right="80" w:hanging="433"/>
        <w:spacing w:after="0" w:line="263"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2022, filed with the SEC on February 16, 2023 from our </w:t>
      </w:r>
      <w:hyperlink r:id="rId66">
        <w:r>
          <w:rPr>
            <w:rFonts w:ascii="Arial" w:cs="Arial" w:eastAsia="Arial" w:hAnsi="Arial"/>
            <w:sz w:val="18"/>
            <w:szCs w:val="18"/>
            <w:u w:val="single" w:color="auto"/>
            <w:color w:val="0000EE"/>
          </w:rPr>
          <w:t>Definitive Proxy Statement on 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to our 2023 Annual Meeting of Stockholders, filed with the SEC on April 13, 2023.</w:t>
      </w:r>
    </w:p>
    <w:p>
      <w:pPr>
        <w:spacing w:after="0" w:line="184" w:lineRule="exact"/>
        <w:rPr>
          <w:rFonts w:ascii="Arial" w:cs="Arial" w:eastAsia="Arial" w:hAnsi="Arial"/>
          <w:sz w:val="18"/>
          <w:szCs w:val="18"/>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64" w:lineRule="exact"/>
        <w:rPr>
          <w:rFonts w:ascii="Arial" w:cs="Arial" w:eastAsia="Arial" w:hAnsi="Arial"/>
          <w:sz w:val="18"/>
          <w:szCs w:val="18"/>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4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888 7th Avenue, 41st Floor</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Attention: TSLXInvestor Relations</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Email: IRTSLX@sixthstreet.com.</w:t>
      </w:r>
    </w:p>
    <w:p>
      <w:pPr>
        <w:spacing w:after="0" w:line="211" w:lineRule="exact"/>
        <w:rPr>
          <w:rFonts w:ascii="Arial" w:cs="Arial" w:eastAsia="Arial" w:hAnsi="Arial"/>
          <w:sz w:val="18"/>
          <w:szCs w:val="18"/>
          <w:color w:val="auto"/>
        </w:rPr>
      </w:pPr>
    </w:p>
    <w:p>
      <w:pPr>
        <w:ind w:left="120" w:firstLine="440"/>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20"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675"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68580</wp:posOffset>
            </wp:positionV>
            <wp:extent cx="1722755" cy="514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72275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Sixth Street Specialty Lending, Inc.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Subscription Rights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122555</wp:posOffset>
            </wp:positionV>
            <wp:extent cx="14916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54" w:lineRule="exact"/>
        <w:rPr>
          <w:sz w:val="20"/>
          <w:szCs w:val="20"/>
          <w:color w:val="auto"/>
        </w:rPr>
      </w:pPr>
    </w:p>
    <w:p>
      <w:pPr>
        <w:ind w:right="140" w:firstLine="337"/>
        <w:spacing w:after="0" w:line="226" w:lineRule="auto"/>
        <w:rPr>
          <w:sz w:val="20"/>
          <w:szCs w:val="20"/>
          <w:color w:val="auto"/>
        </w:rPr>
      </w:pPr>
      <w:r>
        <w:rPr>
          <w:rFonts w:ascii="Arial" w:cs="Arial" w:eastAsia="Arial" w:hAnsi="Arial"/>
          <w:sz w:val="13"/>
          <w:szCs w:val="13"/>
          <w:color w:val="auto"/>
        </w:rPr>
        <w:t>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w:t>
      </w:r>
    </w:p>
    <w:p>
      <w:pPr>
        <w:spacing w:after="0" w:line="44" w:lineRule="exact"/>
        <w:rPr>
          <w:sz w:val="20"/>
          <w:szCs w:val="20"/>
          <w:color w:val="auto"/>
        </w:rPr>
      </w:pPr>
    </w:p>
    <w:p>
      <w:pPr>
        <w:ind w:right="240" w:firstLine="337"/>
        <w:spacing w:after="0" w:line="236" w:lineRule="auto"/>
        <w:rPr>
          <w:sz w:val="20"/>
          <w:szCs w:val="20"/>
          <w:color w:val="auto"/>
        </w:rPr>
      </w:pPr>
      <w:r>
        <w:rPr>
          <w:rFonts w:ascii="Arial" w:cs="Arial" w:eastAsia="Arial" w:hAnsi="Arial"/>
          <w:sz w:val="13"/>
          <w:szCs w:val="13"/>
          <w:color w:val="auto"/>
        </w:rPr>
        <w:t>As of September 30, 2022 , our investment portfolio consisted of investments in 118 portfolio investments with an aggregate fair value of $2,806.1 million. We intend to continue to pursue an investment strategy focused primarily on direct origination of loans to middle-market companies domiciled in the United States.</w:t>
      </w:r>
    </w:p>
    <w:p>
      <w:pPr>
        <w:spacing w:after="0" w:line="43" w:lineRule="exact"/>
        <w:rPr>
          <w:sz w:val="20"/>
          <w:szCs w:val="20"/>
          <w:color w:val="auto"/>
        </w:rPr>
      </w:pPr>
    </w:p>
    <w:p>
      <w:pPr>
        <w:ind w:right="60" w:firstLine="337"/>
        <w:spacing w:after="0" w:line="230" w:lineRule="auto"/>
        <w:rPr>
          <w:sz w:val="20"/>
          <w:szCs w:val="20"/>
          <w:color w:val="auto"/>
        </w:rPr>
      </w:pPr>
      <w:r>
        <w:rPr>
          <w:rFonts w:ascii="Arial" w:cs="Arial" w:eastAsia="Arial" w:hAnsi="Arial"/>
          <w:sz w:val="13"/>
          <w:szCs w:val="13"/>
          <w:color w:val="auto"/>
        </w:rPr>
        <w:t>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30,2022.</w:t>
      </w:r>
    </w:p>
    <w:p>
      <w:pPr>
        <w:spacing w:after="0" w:line="56" w:lineRule="exact"/>
        <w:rPr>
          <w:sz w:val="20"/>
          <w:szCs w:val="20"/>
          <w:color w:val="auto"/>
        </w:rPr>
      </w:pPr>
    </w:p>
    <w:p>
      <w:pPr>
        <w:ind w:right="140" w:firstLine="337"/>
        <w:spacing w:after="0" w:line="226" w:lineRule="auto"/>
        <w:rPr>
          <w:sz w:val="20"/>
          <w:szCs w:val="20"/>
          <w:color w:val="auto"/>
        </w:rPr>
      </w:pPr>
      <w:r>
        <w:rPr>
          <w:rFonts w:ascii="Arial" w:cs="Arial" w:eastAsia="Arial" w:hAnsi="Arial"/>
          <w:sz w:val="13"/>
          <w:szCs w:val="13"/>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44" w:lineRule="exact"/>
        <w:rPr>
          <w:sz w:val="20"/>
          <w:szCs w:val="20"/>
          <w:color w:val="auto"/>
        </w:rPr>
      </w:pPr>
    </w:p>
    <w:p>
      <w:pPr>
        <w:ind w:right="60" w:firstLine="337"/>
        <w:spacing w:after="0" w:line="230" w:lineRule="auto"/>
        <w:rPr>
          <w:sz w:val="20"/>
          <w:szCs w:val="20"/>
          <w:color w:val="auto"/>
        </w:rPr>
      </w:pPr>
      <w:r>
        <w:rPr>
          <w:rFonts w:ascii="Arial" w:cs="Arial" w:eastAsia="Arial" w:hAnsi="Arial"/>
          <w:sz w:val="13"/>
          <w:szCs w:val="13"/>
          <w:color w:val="auto"/>
        </w:rPr>
        <w:t>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43" w:lineRule="exact"/>
        <w:rPr>
          <w:sz w:val="20"/>
          <w:szCs w:val="20"/>
          <w:color w:val="auto"/>
        </w:rPr>
      </w:pPr>
    </w:p>
    <w:p>
      <w:pPr>
        <w:ind w:right="140" w:firstLine="337"/>
        <w:spacing w:after="0" w:line="328" w:lineRule="auto"/>
        <w:rPr>
          <w:sz w:val="20"/>
          <w:szCs w:val="20"/>
          <w:color w:val="auto"/>
        </w:rPr>
      </w:pPr>
      <w:r>
        <w:rPr>
          <w:rFonts w:ascii="Arial" w:cs="Arial" w:eastAsia="Arial" w:hAnsi="Arial"/>
          <w:sz w:val="10"/>
          <w:szCs w:val="10"/>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15" w:lineRule="exact"/>
        <w:rPr>
          <w:sz w:val="20"/>
          <w:szCs w:val="20"/>
          <w:color w:val="auto"/>
        </w:rPr>
      </w:pPr>
    </w:p>
    <w:p>
      <w:pPr>
        <w:ind w:firstLine="337"/>
        <w:spacing w:after="0" w:line="328" w:lineRule="auto"/>
        <w:rPr>
          <w:sz w:val="20"/>
          <w:szCs w:val="20"/>
          <w:color w:val="auto"/>
        </w:rPr>
      </w:pPr>
      <w:r>
        <w:rPr>
          <w:rFonts w:ascii="Arial" w:cs="Arial" w:eastAsia="Arial" w:hAnsi="Arial"/>
          <w:sz w:val="10"/>
          <w:szCs w:val="10"/>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 w:lineRule="exact"/>
        <w:rPr>
          <w:sz w:val="20"/>
          <w:szCs w:val="20"/>
          <w:color w:val="auto"/>
        </w:rPr>
      </w:pPr>
    </w:p>
    <w:p>
      <w:pPr>
        <w:ind w:right="20" w:firstLine="337"/>
        <w:spacing w:after="0" w:line="247" w:lineRule="auto"/>
        <w:rPr>
          <w:sz w:val="20"/>
          <w:szCs w:val="20"/>
          <w:color w:val="auto"/>
        </w:rPr>
      </w:pPr>
      <w:r>
        <w:rPr>
          <w:rFonts w:ascii="Arial" w:cs="Arial" w:eastAsia="Arial" w:hAnsi="Arial"/>
          <w:sz w:val="12"/>
          <w:szCs w:val="12"/>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39" w:lineRule="exact"/>
        <w:rPr>
          <w:sz w:val="20"/>
          <w:szCs w:val="20"/>
          <w:color w:val="auto"/>
        </w:rPr>
      </w:pPr>
    </w:p>
    <w:p>
      <w:pPr>
        <w:ind w:right="80" w:firstLine="337"/>
        <w:spacing w:after="0" w:line="273" w:lineRule="auto"/>
        <w:rPr>
          <w:sz w:val="20"/>
          <w:szCs w:val="20"/>
          <w:color w:val="auto"/>
        </w:rPr>
      </w:pPr>
      <w:r>
        <w:rPr>
          <w:rFonts w:ascii="Arial" w:cs="Arial" w:eastAsia="Arial" w:hAnsi="Arial"/>
          <w:sz w:val="12"/>
          <w:szCs w:val="12"/>
          <w:color w:val="auto"/>
        </w:rPr>
        <w:t>Our common stock is traded on the New York Stock Exchange, or NYSE, under the symbol “TSLX.” On January 12, 2023, the last reported sales price of our common stock on the NYSE was $18.94 per share. The net asset value per share of our common stock at September 30, 2022 (the last date prior to the date of this prospectus for which we reported net asset value) was $16.36.</w:t>
      </w:r>
    </w:p>
    <w:p>
      <w:pPr>
        <w:spacing w:after="0" w:line="29" w:lineRule="exact"/>
        <w:rPr>
          <w:sz w:val="20"/>
          <w:szCs w:val="20"/>
          <w:color w:val="auto"/>
        </w:rPr>
      </w:pPr>
    </w:p>
    <w:p>
      <w:pPr>
        <w:ind w:right="20" w:firstLine="449"/>
        <w:spacing w:after="0" w:line="235" w:lineRule="auto"/>
        <w:rPr>
          <w:sz w:val="20"/>
          <w:szCs w:val="20"/>
          <w:color w:val="auto"/>
        </w:rPr>
      </w:pPr>
      <w:r>
        <w:rPr>
          <w:rFonts w:ascii="Arial" w:cs="Arial" w:eastAsia="Arial" w:hAnsi="Arial"/>
          <w:sz w:val="14"/>
          <w:szCs w:val="14"/>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Arial" w:cs="Arial" w:eastAsia="Arial" w:hAnsi="Arial"/>
          <w:sz w:val="14"/>
          <w:szCs w:val="14"/>
          <w:b w:val="1"/>
          <w:bCs w:val="1"/>
          <w:u w:val="single" w:color="auto"/>
          <w:color w:val="0000EE"/>
        </w:rPr>
        <w:t>Risk</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0000EE"/>
        </w:rPr>
        <w:t>Factors</w:t>
      </w:r>
      <w:r>
        <w:rPr>
          <w:rFonts w:ascii="Arial" w:cs="Arial" w:eastAsia="Arial" w:hAnsi="Arial"/>
          <w:sz w:val="14"/>
          <w:szCs w:val="14"/>
          <w:b w:val="1"/>
          <w:bCs w:val="1"/>
          <w:color w:val="000000"/>
        </w:rPr>
        <w:t>” beginning on page 22 of this prospectus and in the documents incorporated by reference herein.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This prospectus may not be used to consummate sales of our securities unless accompanied by a prospectus supplement.</w:t>
      </w:r>
    </w:p>
    <w:p>
      <w:pPr>
        <w:spacing w:after="0" w:line="57" w:lineRule="exact"/>
        <w:rPr>
          <w:sz w:val="20"/>
          <w:szCs w:val="20"/>
          <w:color w:val="auto"/>
        </w:rPr>
      </w:pPr>
    </w:p>
    <w:p>
      <w:pPr>
        <w:ind w:right="40" w:firstLine="337"/>
        <w:spacing w:after="0" w:line="300" w:lineRule="auto"/>
        <w:rPr>
          <w:sz w:val="20"/>
          <w:szCs w:val="20"/>
          <w:color w:val="auto"/>
        </w:rPr>
      </w:pPr>
      <w:r>
        <w:rPr>
          <w:rFonts w:ascii="Arial" w:cs="Arial" w:eastAsia="Arial" w:hAnsi="Arial"/>
          <w:sz w:val="10"/>
          <w:szCs w:val="10"/>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w:t>
      </w:r>
    </w:p>
    <w:p>
      <w:pPr>
        <w:spacing w:after="0" w:line="25" w:lineRule="exact"/>
        <w:rPr>
          <w:sz w:val="20"/>
          <w:szCs w:val="20"/>
          <w:color w:val="auto"/>
        </w:rPr>
      </w:pPr>
    </w:p>
    <w:p>
      <w:pPr>
        <w:ind w:right="240" w:firstLine="337"/>
        <w:spacing w:after="0"/>
        <w:rPr>
          <w:sz w:val="20"/>
          <w:szCs w:val="20"/>
          <w:color w:val="auto"/>
        </w:rPr>
      </w:pPr>
      <w:r>
        <w:rPr>
          <w:rFonts w:ascii="Arial" w:cs="Arial" w:eastAsia="Arial" w:hAnsi="Arial"/>
          <w:sz w:val="13"/>
          <w:szCs w:val="13"/>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113030</wp:posOffset>
            </wp:positionV>
            <wp:extent cx="1491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date of this prospectus is January 13, 2023</w:t>
      </w:r>
    </w:p>
    <w:p>
      <w:pPr>
        <w:sectPr>
          <w:pgSz w:w="11900" w:h="16838" w:orient="portrait"/>
          <w:cols w:equalWidth="0" w:num="1">
            <w:col w:w="11220"/>
          </w:cols>
          <w:pgMar w:left="320" w:top="675"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800" w:type="dxa"/>
            <w:vAlign w:val="bottom"/>
            <w:gridSpan w:val="26"/>
          </w:tcPr>
          <w:p>
            <w:pPr>
              <w:spacing w:after="0"/>
              <w:rPr>
                <w:sz w:val="20"/>
                <w:szCs w:val="20"/>
                <w:color w:val="auto"/>
              </w:rPr>
            </w:pPr>
            <w:r>
              <w:rPr>
                <w:rFonts w:ascii="Arial" w:cs="Arial" w:eastAsia="Arial" w:hAnsi="Arial"/>
                <w:sz w:val="18"/>
                <w:szCs w:val="18"/>
                <w:b w:val="1"/>
                <w:bCs w:val="1"/>
                <w:color w:val="0000EE"/>
              </w:rPr>
              <w:t>Table of Contents</w:t>
            </w:r>
          </w:p>
        </w:tc>
        <w:tc>
          <w:tcPr>
            <w:tcW w:w="2400" w:type="dxa"/>
            <w:vAlign w:val="bottom"/>
          </w:tcPr>
          <w:p>
            <w:pPr>
              <w:spacing w:after="0"/>
              <w:rPr>
                <w:sz w:val="17"/>
                <w:szCs w:val="17"/>
                <w:color w:val="auto"/>
              </w:rPr>
            </w:pPr>
          </w:p>
        </w:tc>
      </w:tr>
      <w:tr>
        <w:trPr>
          <w:trHeight w:val="533"/>
        </w:trPr>
        <w:tc>
          <w:tcPr>
            <w:tcW w:w="7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80" w:type="dxa"/>
            <w:vAlign w:val="bottom"/>
            <w:gridSpan w:val="5"/>
          </w:tcPr>
          <w:p>
            <w:pPr>
              <w:ind w:left="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4"/>
                <w:szCs w:val="24"/>
                <w:color w:val="auto"/>
              </w:rPr>
            </w:pPr>
          </w:p>
        </w:tc>
      </w:tr>
      <w:tr>
        <w:trPr>
          <w:trHeight w:val="418"/>
        </w:trPr>
        <w:tc>
          <w:tcPr>
            <w:tcW w:w="22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ABOUT THIS PROSPECTUS</w:t>
            </w:r>
          </w:p>
        </w:tc>
        <w:tc>
          <w:tcPr>
            <w:tcW w:w="6560" w:type="dxa"/>
            <w:vAlign w:val="bottom"/>
            <w:gridSpan w:val="16"/>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SUMMARY</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THE OFFERING</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FEES AND EXPENSES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3"/>
              </w:rPr>
              <w:t>RISK FACTORS</w:t>
            </w:r>
          </w:p>
        </w:tc>
        <w:tc>
          <w:tcPr>
            <w:tcW w:w="500" w:type="dxa"/>
            <w:vAlign w:val="bottom"/>
            <w:tcBorders>
              <w:top w:val="single" w:sz="8" w:color="0000EE"/>
            </w:tcBorders>
            <w:gridSpan w:val="5"/>
          </w:tcPr>
          <w:p>
            <w:pPr>
              <w:spacing w:after="0"/>
              <w:rPr>
                <w:sz w:val="17"/>
                <w:szCs w:val="17"/>
                <w:color w:val="auto"/>
              </w:rPr>
            </w:pPr>
          </w:p>
        </w:tc>
        <w:tc>
          <w:tcPr>
            <w:tcW w:w="702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3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5"/>
              </w:rPr>
              <w:t>SPECIAL NOTE REGARDING FORWARD-LOOKING STATEMENTS</w:t>
            </w:r>
          </w:p>
        </w:tc>
        <w:tc>
          <w:tcPr>
            <w:tcW w:w="346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USE OF PROCEEDS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6"/>
              </w:rPr>
              <w:t>PRICE RANGE OF COMMON STOCK AND DISTRIBUTIONS</w:t>
            </w:r>
          </w:p>
        </w:tc>
        <w:tc>
          <w:tcPr>
            <w:tcW w:w="400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SENIOR SECURITIES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PORTFOLIO COMPANIES</w:t>
            </w:r>
          </w:p>
        </w:tc>
        <w:tc>
          <w:tcPr>
            <w:tcW w:w="6740" w:type="dxa"/>
            <w:vAlign w:val="bottom"/>
            <w:gridSpan w:val="1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36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5"/>
              </w:rPr>
              <w:t>DETERMINATION OF NET ASSET VALUE</w:t>
            </w:r>
          </w:p>
        </w:tc>
        <w:tc>
          <w:tcPr>
            <w:tcW w:w="544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SALES OF COMMON STOCK BELOW NET ASSET VALUE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62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DIVIDEND REINVESTMENT PLAN</w:t>
            </w:r>
          </w:p>
        </w:tc>
        <w:tc>
          <w:tcPr>
            <w:tcW w:w="418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MATERIAL U.S. FEDERAL INCOME TAX CONSIDERATIONS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486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DESCRIPTION OF OUR SECURITIES</w:t>
            </w:r>
          </w:p>
        </w:tc>
        <w:tc>
          <w:tcPr>
            <w:tcW w:w="394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5"/>
              </w:rPr>
              <w:t>DESCRIPTION OF OUR CAPITAL STOCK</w:t>
            </w:r>
          </w:p>
        </w:tc>
        <w:tc>
          <w:tcPr>
            <w:tcW w:w="550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358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3"/>
              </w:rPr>
              <w:t>DESCRIPTION OF OUR PREFERRED STOCK</w:t>
            </w:r>
          </w:p>
        </w:tc>
        <w:tc>
          <w:tcPr>
            <w:tcW w:w="52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390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4"/>
              </w:rPr>
              <w:t>DESCRIPTION OF OUR SUBSCRIPTION RIGHTS</w:t>
            </w:r>
          </w:p>
        </w:tc>
        <w:tc>
          <w:tcPr>
            <w:tcW w:w="490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DESCRIPTION OF OUR WARRANTS</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4"/>
              </w:rPr>
              <w:t>DESCRIPTION OF OUR DEBT SECURITIES</w:t>
            </w:r>
          </w:p>
        </w:tc>
        <w:tc>
          <w:tcPr>
            <w:tcW w:w="534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CUSTODIAN, TRANSFER AND DIVIDEND PAYING AGENT AND REGISTRAR</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62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BROKERAGE ALLOCATION AND OTHER PRACTICES</w:t>
            </w:r>
          </w:p>
        </w:tc>
        <w:tc>
          <w:tcPr>
            <w:tcW w:w="260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206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7"/>
              </w:rPr>
              <w:t>PLAN OF DISTRIBUTION</w:t>
            </w:r>
          </w:p>
        </w:tc>
        <w:tc>
          <w:tcPr>
            <w:tcW w:w="2300" w:type="dxa"/>
            <w:vAlign w:val="bottom"/>
            <w:tcBorders>
              <w:top w:val="single" w:sz="8" w:color="0000EE"/>
            </w:tcBorders>
            <w:gridSpan w:val="11"/>
          </w:tcPr>
          <w:p>
            <w:pPr>
              <w:spacing w:after="0"/>
              <w:rPr>
                <w:sz w:val="17"/>
                <w:szCs w:val="17"/>
                <w:color w:val="auto"/>
              </w:rPr>
            </w:pPr>
          </w:p>
        </w:tc>
        <w:tc>
          <w:tcPr>
            <w:tcW w:w="444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6"/>
              </w:rPr>
              <w:t>LEGAL MATTERS</w:t>
            </w:r>
          </w:p>
        </w:tc>
        <w:tc>
          <w:tcPr>
            <w:tcW w:w="734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78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EXPERTS</w:t>
            </w:r>
          </w:p>
        </w:tc>
        <w:tc>
          <w:tcPr>
            <w:tcW w:w="8020" w:type="dxa"/>
            <w:vAlign w:val="bottom"/>
            <w:gridSpan w:val="2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22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9"/>
              </w:rPr>
              <w:t>AVAILABLE INFORMATION</w:t>
            </w:r>
          </w:p>
        </w:tc>
        <w:tc>
          <w:tcPr>
            <w:tcW w:w="652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8800" w:type="dxa"/>
            <w:vAlign w:val="bottom"/>
            <w:gridSpan w:val="26"/>
          </w:tcPr>
          <w:p>
            <w:pPr>
              <w:spacing w:after="0" w:line="196" w:lineRule="exact"/>
              <w:rPr>
                <w:sz w:val="20"/>
                <w:szCs w:val="20"/>
                <w:color w:val="auto"/>
              </w:rPr>
            </w:pPr>
            <w:r>
              <w:rPr>
                <w:rFonts w:ascii="Arial" w:cs="Arial" w:eastAsia="Arial" w:hAnsi="Arial"/>
                <w:sz w:val="18"/>
                <w:szCs w:val="18"/>
                <w:color w:val="0000EE"/>
              </w:rPr>
              <w:t>INFORMATION INCORPORATED BY REFERENCE</w:t>
            </w: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right="20" w:firstLine="449"/>
        <w:spacing w:after="0" w:line="291"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320" w:top="662"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76"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320" w:top="675" w:right="3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56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36130" cy="57562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80" w:right="20" w:firstLine="435"/>
        <w:spacing w:after="0" w:line="257"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160" w:right="360" w:hanging="427"/>
        <w:spacing w:after="0" w:line="277"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75" w:lineRule="exact"/>
        <w:rPr>
          <w:rFonts w:ascii="Arial" w:cs="Arial" w:eastAsia="Arial" w:hAnsi="Arial"/>
          <w:sz w:val="18"/>
          <w:szCs w:val="18"/>
          <w:color w:val="auto"/>
        </w:rPr>
      </w:pPr>
    </w:p>
    <w:p>
      <w:pPr>
        <w:ind w:left="1160" w:hanging="427"/>
        <w:spacing w:after="0" w:line="263"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Sixth Street Specialty Lending, Inc. refers to TC Lending, LLC, Sixth Street SL SPV, LLC and Sixth Street SL Holding, LLC, each a Delaware limited liability company, and Sixth Street Specialty Lending Sub, LLC, a Cayman Islands limited liability company;</w:t>
      </w:r>
    </w:p>
    <w:p>
      <w:pPr>
        <w:spacing w:after="0" w:line="89" w:lineRule="exact"/>
        <w:rPr>
          <w:rFonts w:ascii="Arial" w:cs="Arial" w:eastAsia="Arial" w:hAnsi="Arial"/>
          <w:sz w:val="18"/>
          <w:szCs w:val="18"/>
          <w:color w:val="auto"/>
        </w:rPr>
      </w:pPr>
    </w:p>
    <w:p>
      <w:pPr>
        <w:ind w:left="1160" w:hanging="42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“Adviser” refers to Sixth Street Specialty Lending Advisers, LLC, a Delaware limited liability company; and</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“Sixth Street” refers to Sixth Street Partners, LLC.</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elected to be regulated as a business development company, or BDC, under the Investment Company Act of 1940, as amended, or the</w:t>
      </w:r>
    </w:p>
    <w:p>
      <w:pPr>
        <w:spacing w:after="0" w:line="46" w:lineRule="exact"/>
        <w:rPr>
          <w:sz w:val="20"/>
          <w:szCs w:val="20"/>
          <w:color w:val="auto"/>
        </w:rPr>
      </w:pPr>
    </w:p>
    <w:p>
      <w:pPr>
        <w:ind w:left="180" w:right="520"/>
        <w:spacing w:after="0" w:line="260" w:lineRule="auto"/>
        <w:rPr>
          <w:sz w:val="20"/>
          <w:szCs w:val="20"/>
          <w:color w:val="auto"/>
        </w:rPr>
      </w:pPr>
      <w:r>
        <w:rPr>
          <w:rFonts w:ascii="Arial" w:cs="Arial" w:eastAsia="Arial" w:hAnsi="Arial"/>
          <w:sz w:val="18"/>
          <w:szCs w:val="18"/>
          <w:color w:val="auto"/>
        </w:rPr>
        <w:t>1940 Act. In addition, for U.S. federal income tax purposes we have elected to be treated as a regulated investment company, or RIC, under the Internal Revenue Code of 1986, as amended, or the Code.</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Sixth Street Specialty Lending</w:t>
      </w:r>
    </w:p>
    <w:p>
      <w:pPr>
        <w:spacing w:after="0" w:line="121" w:lineRule="exact"/>
        <w:rPr>
          <w:sz w:val="20"/>
          <w:szCs w:val="20"/>
          <w:color w:val="auto"/>
        </w:rPr>
      </w:pPr>
    </w:p>
    <w:p>
      <w:pPr>
        <w:ind w:left="180" w:right="40" w:firstLine="435"/>
        <w:spacing w:after="0" w:line="289"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September 30, 2022, we have originated approximately $23.9 billion aggregate principal amount of investments and retained approximately $9.0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2022 our core portfolio companies, which excludes certain investments that fall outside of our typical borrower profile and represent 87.3% of our total investments based on fair value, had weighted average annual revenue of $149.4 million and weighted average annual EBITDA of $43.8 million.</w:t>
      </w:r>
    </w:p>
    <w:p>
      <w:pPr>
        <w:spacing w:after="0" w:line="166" w:lineRule="exact"/>
        <w:rPr>
          <w:sz w:val="20"/>
          <w:szCs w:val="20"/>
          <w:color w:val="auto"/>
        </w:rPr>
      </w:pPr>
    </w:p>
    <w:p>
      <w:pPr>
        <w:ind w:left="180" w:right="580" w:firstLine="435"/>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conducting our investment activities, we believe that we benefit from the significant scale and resources of our Adviser and its affiliates.</w:t>
      </w: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320" w:top="675" w:right="5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2020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180" w:firstLine="435"/>
        <w:spacing w:after="0" w:line="273"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78" w:lineRule="exact"/>
        <w:rPr>
          <w:sz w:val="20"/>
          <w:szCs w:val="20"/>
          <w:color w:val="auto"/>
        </w:rPr>
      </w:pPr>
    </w:p>
    <w:p>
      <w:pPr>
        <w:ind w:left="180" w:right="140" w:firstLine="435"/>
        <w:spacing w:after="0" w:line="259" w:lineRule="auto"/>
        <w:rPr>
          <w:sz w:val="20"/>
          <w:szCs w:val="20"/>
          <w:color w:val="auto"/>
        </w:rPr>
      </w:pPr>
      <w:r>
        <w:rPr>
          <w:rFonts w:ascii="Arial" w:cs="Arial" w:eastAsia="Arial" w:hAnsi="Arial"/>
          <w:sz w:val="18"/>
          <w:szCs w:val="18"/>
          <w:color w:val="auto"/>
        </w:rPr>
        <w:t>As of September 30, 2022, based on fair value our portfolio consisted of 90.4% first-lien debt investments, 1.5% second-lien debt investments, 0.4% mezzanine debt investments, and 7.7% equity and other investments. As of September 30, 2022, 98.9% of our debt investments based on fair value bore interest at floating rates, with 100.0% of these subject to interest rate floors, which we believe helps act as a portfolio-wide hedge against inflation.</w:t>
      </w:r>
    </w:p>
    <w:p>
      <w:pPr>
        <w:spacing w:after="0" w:line="187" w:lineRule="exact"/>
        <w:rPr>
          <w:sz w:val="20"/>
          <w:szCs w:val="20"/>
          <w:color w:val="auto"/>
        </w:rPr>
      </w:pPr>
    </w:p>
    <w:p>
      <w:pPr>
        <w:ind w:left="180" w:right="160" w:firstLine="435"/>
        <w:spacing w:after="0" w:line="286" w:lineRule="auto"/>
        <w:rPr>
          <w:sz w:val="20"/>
          <w:szCs w:val="20"/>
          <w:color w:val="auto"/>
        </w:rPr>
      </w:pPr>
      <w:r>
        <w:rPr>
          <w:rFonts w:ascii="Arial" w:cs="Arial" w:eastAsia="Arial" w:hAnsi="Arial"/>
          <w:sz w:val="17"/>
          <w:szCs w:val="17"/>
          <w:color w:val="auto"/>
        </w:rPr>
        <w:t>As of September 30, 2022, we had investments in 118 portfolio companies with an aggregate fair value of $2,806.1 million. For the three months ended September 30, 2022, the principal amount of new investments funded was $274.4 million in twenty-five new portfolio companies and six existing portfolio companies. For this period, we had $15.8 million aggregate principal amount in exits and repayments.</w:t>
      </w:r>
    </w:p>
    <w:p>
      <w:pPr>
        <w:spacing w:after="0" w:line="165" w:lineRule="exact"/>
        <w:rPr>
          <w:sz w:val="20"/>
          <w:szCs w:val="20"/>
          <w:color w:val="auto"/>
        </w:rPr>
      </w:pPr>
    </w:p>
    <w:p>
      <w:pPr>
        <w:ind w:left="180" w:right="80" w:firstLine="435"/>
        <w:spacing w:after="0" w:line="286" w:lineRule="auto"/>
        <w:rPr>
          <w:sz w:val="20"/>
          <w:szCs w:val="20"/>
          <w:color w:val="auto"/>
        </w:rPr>
      </w:pPr>
      <w:r>
        <w:rPr>
          <w:rFonts w:ascii="Arial" w:cs="Arial" w:eastAsia="Arial" w:hAnsi="Arial"/>
          <w:sz w:val="17"/>
          <w:szCs w:val="17"/>
          <w:color w:val="auto"/>
        </w:rPr>
        <w:t>As of December 31, 2021, we had investments in 72 portfolio companies with an aggregate fair value of $2,521.6 million. For the three months ended September 30, 2021, the principal amount of new investments funded was $65.4 million in one new portfolio company and four existing portfolio companies. For this period, we had $283.7 million aggregate principal amount in exits and repayments.</w:t>
      </w:r>
    </w:p>
    <w:p>
      <w:pPr>
        <w:spacing w:after="0" w:line="165" w:lineRule="exact"/>
        <w:rPr>
          <w:sz w:val="20"/>
          <w:szCs w:val="20"/>
          <w:color w:val="auto"/>
        </w:rPr>
      </w:pPr>
    </w:p>
    <w:p>
      <w:pPr>
        <w:ind w:left="180" w:right="100" w:firstLine="435"/>
        <w:spacing w:after="0" w:line="296" w:lineRule="auto"/>
        <w:rPr>
          <w:sz w:val="20"/>
          <w:szCs w:val="20"/>
          <w:color w:val="auto"/>
        </w:rPr>
      </w:pPr>
      <w:r>
        <w:rPr>
          <w:rFonts w:ascii="Arial" w:cs="Arial" w:eastAsia="Arial" w:hAnsi="Arial"/>
          <w:sz w:val="16"/>
          <w:szCs w:val="16"/>
          <w:color w:val="auto"/>
        </w:rPr>
        <w:t>As of September 30, 2022, the largest single investment based on fair value represented 3.1% of our total investment portfolio. As of September 30, 2022,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$36.7 million as of September 30, 2022. As of September 30, 2022, the largest industry represented 14.0% of our total portfolio based on fair value.</w:t>
      </w:r>
    </w:p>
    <w:p>
      <w:pPr>
        <w:spacing w:after="0" w:line="161" w:lineRule="exact"/>
        <w:rPr>
          <w:sz w:val="20"/>
          <w:szCs w:val="20"/>
          <w:color w:val="auto"/>
        </w:rPr>
      </w:pPr>
    </w:p>
    <w:p>
      <w:pPr>
        <w:ind w:left="180" w:right="100" w:firstLine="435"/>
        <w:spacing w:after="0" w:line="273" w:lineRule="auto"/>
        <w:rPr>
          <w:sz w:val="20"/>
          <w:szCs w:val="20"/>
          <w:color w:val="auto"/>
        </w:rPr>
      </w:pPr>
      <w:r>
        <w:rPr>
          <w:rFonts w:ascii="Arial" w:cs="Arial" w:eastAsia="Arial" w:hAnsi="Arial"/>
          <w:sz w:val="17"/>
          <w:szCs w:val="17"/>
          <w:color w:val="auto"/>
        </w:rPr>
        <w:t>Since we began investing in 2011 through September 30, 2022, weighted by capital invested, our exited investments have generated an average realized gross internal rate of return to us of 17.8% (based on total capital invested of $6.4 billion and total proceeds from these exited investments of $8.0 billion). Ninety-one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2022, which is incorporated by reference in this prospectus.</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180" w:right="300" w:firstLine="435"/>
        <w:spacing w:after="0" w:line="277" w:lineRule="auto"/>
        <w:rPr>
          <w:sz w:val="20"/>
          <w:szCs w:val="20"/>
          <w:color w:val="auto"/>
        </w:rPr>
      </w:pPr>
      <w:r>
        <w:rPr>
          <w:rFonts w:ascii="Arial" w:cs="Arial" w:eastAsia="Arial" w:hAnsi="Arial"/>
          <w:sz w:val="18"/>
          <w:szCs w:val="18"/>
          <w:color w:val="auto"/>
        </w:rPr>
        <w:t>Sixth Street Specialty Lending, Inc. is a Delaware corporation formed on July 21, 2010. Sixth Street Specialty Lending Advisers, LLC is our external manager.</w:t>
      </w:r>
    </w:p>
    <w:p>
      <w:pPr>
        <w:spacing w:after="0" w:line="170" w:lineRule="exact"/>
        <w:rPr>
          <w:sz w:val="20"/>
          <w:szCs w:val="20"/>
          <w:color w:val="auto"/>
        </w:rPr>
      </w:pPr>
    </w:p>
    <w:p>
      <w:pPr>
        <w:ind w:left="180" w:firstLine="435"/>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2021 (the “2021 Annual Report”) for more information on these requirements.</w:t>
      </w: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675" w:right="5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905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180" w:firstLine="435"/>
        <w:spacing w:after="0" w:line="342" w:lineRule="auto"/>
        <w:rPr>
          <w:sz w:val="20"/>
          <w:szCs w:val="20"/>
          <w:color w:val="auto"/>
        </w:rPr>
      </w:pPr>
      <w:r>
        <w:rPr>
          <w:rFonts w:ascii="Arial" w:cs="Arial" w:eastAsia="Arial" w:hAnsi="Arial"/>
          <w:sz w:val="16"/>
          <w:szCs w:val="16"/>
          <w:color w:val="auto"/>
        </w:rPr>
        <w:t>Our Adviser is a Delaware limited liability company. Our Adviser acts as our investment adviser and administrator and is a registered investment adviser with the Securities and Exchange Commission (the “SEC”) under the Investment Advisers Act of 1940, as amended, or the Advisers Act.</w:t>
      </w:r>
    </w:p>
    <w:p>
      <w:pPr>
        <w:spacing w:after="0" w:line="124" w:lineRule="exact"/>
        <w:rPr>
          <w:sz w:val="20"/>
          <w:szCs w:val="20"/>
          <w:color w:val="auto"/>
        </w:rPr>
      </w:pPr>
    </w:p>
    <w:p>
      <w:pPr>
        <w:ind w:left="180" w:right="40" w:firstLine="435"/>
        <w:spacing w:after="0" w:line="257"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8" w:lineRule="exact"/>
        <w:rPr>
          <w:sz w:val="20"/>
          <w:szCs w:val="20"/>
          <w:color w:val="auto"/>
        </w:rPr>
      </w:pPr>
    </w:p>
    <w:p>
      <w:pPr>
        <w:ind w:left="180" w:right="20" w:firstLine="435"/>
        <w:spacing w:after="0" w:line="269" w:lineRule="auto"/>
        <w:rPr>
          <w:sz w:val="20"/>
          <w:szCs w:val="20"/>
          <w:color w:val="auto"/>
        </w:rPr>
      </w:pPr>
      <w:r>
        <w:rPr>
          <w:rFonts w:ascii="Arial" w:cs="Arial" w:eastAsia="Arial" w:hAnsi="Arial"/>
          <w:sz w:val="17"/>
          <w:szCs w:val="17"/>
          <w:color w:val="auto"/>
        </w:rPr>
        <w:t>Sixth Street is a global investment business with approximately $60 billion of assets under management as of September 30, 2022.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460 investment and operating professionals. As of September 30, 2022, forty-one (41) of these personnel are dedicated to our business, including thirty-three (33) investment professionals.</w:t>
      </w:r>
    </w:p>
    <w:p>
      <w:pPr>
        <w:spacing w:after="0" w:line="182" w:lineRule="exact"/>
        <w:rPr>
          <w:sz w:val="20"/>
          <w:szCs w:val="20"/>
          <w:color w:val="auto"/>
        </w:rPr>
      </w:pPr>
    </w:p>
    <w:p>
      <w:pPr>
        <w:ind w:left="180" w:right="20" w:firstLine="435"/>
        <w:spacing w:after="0" w:line="293" w:lineRule="auto"/>
        <w:rPr>
          <w:sz w:val="20"/>
          <w:szCs w:val="20"/>
          <w:color w:val="auto"/>
        </w:rPr>
      </w:pPr>
      <w:r>
        <w:rPr>
          <w:rFonts w:ascii="Arial" w:cs="Arial" w:eastAsia="Arial" w:hAnsi="Arial"/>
          <w:sz w:val="16"/>
          <w:szCs w:val="16"/>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64" w:lineRule="exact"/>
        <w:rPr>
          <w:sz w:val="20"/>
          <w:szCs w:val="20"/>
          <w:color w:val="auto"/>
        </w:rPr>
      </w:pPr>
    </w:p>
    <w:p>
      <w:pPr>
        <w:ind w:left="180" w:right="20" w:firstLine="435"/>
        <w:spacing w:after="0" w:line="275" w:lineRule="auto"/>
        <w:rPr>
          <w:sz w:val="20"/>
          <w:szCs w:val="20"/>
          <w:color w:val="auto"/>
        </w:rPr>
      </w:pPr>
      <w:r>
        <w:rPr>
          <w:rFonts w:ascii="Arial" w:cs="Arial" w:eastAsia="Arial" w:hAnsi="Arial"/>
          <w:sz w:val="17"/>
          <w:szCs w:val="17"/>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About Our Administrator</w:t>
      </w:r>
    </w:p>
    <w:p>
      <w:pPr>
        <w:spacing w:after="0" w:line="121" w:lineRule="exact"/>
        <w:rPr>
          <w:sz w:val="20"/>
          <w:szCs w:val="20"/>
          <w:color w:val="auto"/>
        </w:rPr>
      </w:pPr>
    </w:p>
    <w:p>
      <w:pPr>
        <w:ind w:left="180" w:right="140" w:firstLine="435"/>
        <w:spacing w:after="0" w:line="311" w:lineRule="auto"/>
        <w:rPr>
          <w:sz w:val="20"/>
          <w:szCs w:val="20"/>
          <w:color w:val="auto"/>
        </w:rPr>
      </w:pPr>
      <w:r>
        <w:rPr>
          <w:rFonts w:ascii="Arial" w:cs="Arial" w:eastAsia="Arial" w:hAnsi="Arial"/>
          <w:sz w:val="16"/>
          <w:szCs w:val="16"/>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w:t>
      </w: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675" w:right="5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59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3613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right="80"/>
        <w:spacing w:after="0" w:line="259" w:lineRule="auto"/>
        <w:rPr>
          <w:sz w:val="20"/>
          <w:szCs w:val="20"/>
          <w:color w:val="auto"/>
        </w:rPr>
      </w:pPr>
      <w:r>
        <w:rPr>
          <w:rFonts w:ascii="Arial" w:cs="Arial" w:eastAsia="Arial" w:hAnsi="Arial"/>
          <w:sz w:val="18"/>
          <w:szCs w:val="18"/>
          <w:color w:val="auto"/>
        </w:rPr>
        <w:t>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7" w:lineRule="exact"/>
        <w:rPr>
          <w:sz w:val="20"/>
          <w:szCs w:val="20"/>
          <w:color w:val="auto"/>
        </w:rPr>
      </w:pPr>
    </w:p>
    <w:p>
      <w:pPr>
        <w:jc w:val="both"/>
        <w:ind w:left="180" w:right="160" w:firstLine="435"/>
        <w:spacing w:after="0" w:line="263"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4" w:lineRule="exact"/>
        <w:rPr>
          <w:sz w:val="20"/>
          <w:szCs w:val="20"/>
          <w:color w:val="auto"/>
        </w:rPr>
      </w:pPr>
    </w:p>
    <w:p>
      <w:pPr>
        <w:ind w:left="180" w:right="340" w:firstLine="435"/>
        <w:spacing w:after="0" w:line="263" w:lineRule="auto"/>
        <w:rPr>
          <w:sz w:val="20"/>
          <w:szCs w:val="20"/>
          <w:color w:val="auto"/>
        </w:rPr>
      </w:pPr>
      <w:r>
        <w:rPr>
          <w:rFonts w:ascii="Arial" w:cs="Arial" w:eastAsia="Arial" w:hAnsi="Arial"/>
          <w:sz w:val="18"/>
          <w:szCs w:val="18"/>
          <w:color w:val="auto"/>
        </w:rPr>
        <w:t>In November 2022, the Board renewed the Administration Agreement. Unless earlier terminated as described below, the Administration Agreement will remain in effect until November 2023, and may be extended subject to required approvals. The Administration Agreement may be terminated by either party without penalty on 60 days’ written notice to the other party.</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the section entitled “Administration Agreement” in Note 3 to our consolidated financial statements in our 3Q 2022 Quarterly Report.</w:t>
      </w: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180" w:right="300" w:firstLine="435"/>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46" w:lineRule="exact"/>
        <w:rPr>
          <w:sz w:val="20"/>
          <w:szCs w:val="20"/>
          <w:color w:val="auto"/>
        </w:rPr>
      </w:pPr>
    </w:p>
    <w:p>
      <w:pPr>
        <w:ind w:left="180" w:firstLine="435"/>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1" w:lineRule="exact"/>
        <w:rPr>
          <w:sz w:val="20"/>
          <w:szCs w:val="20"/>
          <w:color w:val="auto"/>
        </w:rPr>
      </w:pPr>
    </w:p>
    <w:p>
      <w:pPr>
        <w:ind w:left="180" w:right="80" w:firstLine="435"/>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over $2.4 trillion as of December 1, 2022,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180" w:right="160" w:firstLine="435"/>
        <w:spacing w:after="0" w:line="257" w:lineRule="auto"/>
        <w:rPr>
          <w:sz w:val="20"/>
          <w:szCs w:val="20"/>
          <w:color w:val="auto"/>
        </w:rPr>
      </w:pPr>
      <w:r>
        <w:rPr>
          <w:rFonts w:ascii="Arial" w:cs="Arial" w:eastAsia="Arial" w:hAnsi="Arial"/>
          <w:sz w:val="18"/>
          <w:szCs w:val="18"/>
          <w:i w:val="1"/>
          <w:iCs w:val="1"/>
          <w:color w:val="auto"/>
        </w:rPr>
        <w:t>Attractive investment dynamics</w:t>
      </w:r>
      <w:r>
        <w:rPr>
          <w:rFonts w:ascii="Arial" w:cs="Arial" w:eastAsia="Arial" w:hAnsi="Arial"/>
          <w:sz w:val="18"/>
          <w:szCs w:val="18"/>
          <w:color w:val="auto"/>
        </w:rPr>
        <w:t>. An imbalance between the supply of, and demand for, middle-market debt capital creates attractive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w:t>
      </w:r>
    </w:p>
    <w:p>
      <w:pPr>
        <w:spacing w:after="0" w:line="2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675" w:right="51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0737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36130" cy="6073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right="160"/>
        <w:spacing w:after="0" w:line="277" w:lineRule="auto"/>
        <w:rPr>
          <w:sz w:val="20"/>
          <w:szCs w:val="20"/>
          <w:color w:val="auto"/>
        </w:rPr>
      </w:pPr>
      <w:r>
        <w:rPr>
          <w:rFonts w:ascii="Arial" w:cs="Arial" w:eastAsia="Arial" w:hAnsi="Arial"/>
          <w:sz w:val="18"/>
          <w:szCs w:val="18"/>
          <w:color w:val="auto"/>
        </w:rPr>
        <w:t>historical middle-market default rates have been lower, and recovery rates have been higher, as compared to the larger market capitalization, broadly distributed market, leading to lower cumulative losses.</w:t>
      </w:r>
    </w:p>
    <w:p>
      <w:pPr>
        <w:spacing w:after="0" w:line="170" w:lineRule="exact"/>
        <w:rPr>
          <w:sz w:val="20"/>
          <w:szCs w:val="20"/>
          <w:color w:val="auto"/>
        </w:rPr>
      </w:pPr>
    </w:p>
    <w:p>
      <w:pPr>
        <w:ind w:left="180" w:right="20" w:firstLine="435"/>
        <w:spacing w:after="0" w:line="275" w:lineRule="auto"/>
        <w:rPr>
          <w:sz w:val="20"/>
          <w:szCs w:val="20"/>
          <w:color w:val="auto"/>
        </w:rPr>
      </w:pPr>
      <w:r>
        <w:rPr>
          <w:rFonts w:ascii="Arial" w:cs="Arial" w:eastAsia="Arial" w:hAnsi="Arial"/>
          <w:sz w:val="17"/>
          <w:szCs w:val="17"/>
          <w:i w:val="1"/>
          <w:iCs w:val="1"/>
          <w:color w:val="auto"/>
        </w:rPr>
        <w:t>Conservative capital structures</w:t>
      </w:r>
      <w:r>
        <w:rPr>
          <w:rFonts w:ascii="Arial" w:cs="Arial" w:eastAsia="Arial" w:hAnsi="Arial"/>
          <w:sz w:val="17"/>
          <w:szCs w:val="17"/>
          <w:color w:val="auto"/>
        </w:rPr>
        <w:t>. Following the credit crisis, which we define broadly as occurring between mid-2007 and mid-2009, borrowers</w:t>
      </w:r>
      <w:r>
        <w:rPr>
          <w:rFonts w:ascii="Arial" w:cs="Arial" w:eastAsia="Arial" w:hAnsi="Arial"/>
          <w:sz w:val="17"/>
          <w:szCs w:val="17"/>
          <w:i w:val="1"/>
          <w:iCs w:val="1"/>
          <w:color w:val="auto"/>
        </w:rPr>
        <w:t xml:space="preserve"> </w:t>
      </w:r>
      <w:r>
        <w:rPr>
          <w:rFonts w:ascii="Arial" w:cs="Arial" w:eastAsia="Arial" w:hAnsi="Arial"/>
          <w:sz w:val="17"/>
          <w:szCs w:val="17"/>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76" w:lineRule="exact"/>
        <w:rPr>
          <w:sz w:val="20"/>
          <w:szCs w:val="20"/>
          <w:color w:val="auto"/>
        </w:rPr>
      </w:pPr>
    </w:p>
    <w:p>
      <w:pPr>
        <w:ind w:left="180" w:right="20" w:firstLine="435"/>
        <w:spacing w:after="0" w:line="279" w:lineRule="auto"/>
        <w:rPr>
          <w:sz w:val="20"/>
          <w:szCs w:val="20"/>
          <w:color w:val="auto"/>
        </w:rPr>
      </w:pPr>
      <w:r>
        <w:rPr>
          <w:rFonts w:ascii="Arial" w:cs="Arial" w:eastAsia="Arial" w:hAnsi="Arial"/>
          <w:sz w:val="17"/>
          <w:szCs w:val="17"/>
          <w:i w:val="1"/>
          <w:iCs w:val="1"/>
          <w:color w:val="auto"/>
        </w:rPr>
        <w:t>Specialized lending requirements</w:t>
      </w:r>
      <w:r>
        <w:rPr>
          <w:rFonts w:ascii="Arial" w:cs="Arial" w:eastAsia="Arial" w:hAnsi="Arial"/>
          <w:sz w:val="17"/>
          <w:szCs w:val="17"/>
          <w:color w:val="auto"/>
        </w:rPr>
        <w:t>. Lending to middle-market companies requires specialized due diligence and underwriting capabilities, as well</w:t>
      </w:r>
      <w:r>
        <w:rPr>
          <w:rFonts w:ascii="Arial" w:cs="Arial" w:eastAsia="Arial" w:hAnsi="Arial"/>
          <w:sz w:val="17"/>
          <w:szCs w:val="17"/>
          <w:i w:val="1"/>
          <w:iCs w:val="1"/>
          <w:color w:val="auto"/>
        </w:rPr>
        <w:t xml:space="preserve"> </w:t>
      </w:r>
      <w:r>
        <w:rPr>
          <w:rFonts w:ascii="Arial" w:cs="Arial" w:eastAsia="Arial" w:hAnsi="Arial"/>
          <w:sz w:val="17"/>
          <w:szCs w:val="17"/>
          <w:color w:val="auto"/>
        </w:rPr>
        <w:t>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w:t>
      </w:r>
    </w:p>
    <w:p>
      <w:pPr>
        <w:spacing w:after="0" w:line="171" w:lineRule="exact"/>
        <w:rPr>
          <w:sz w:val="20"/>
          <w:szCs w:val="20"/>
          <w:color w:val="auto"/>
        </w:rPr>
      </w:pPr>
    </w:p>
    <w:p>
      <w:pPr>
        <w:ind w:left="180" w:firstLine="435"/>
        <w:spacing w:after="0" w:line="311"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w:t>
      </w:r>
      <w:r>
        <w:rPr>
          <w:rFonts w:ascii="Arial" w:cs="Arial" w:eastAsia="Arial" w:hAnsi="Arial"/>
          <w:sz w:val="16"/>
          <w:szCs w:val="16"/>
          <w:i w:val="1"/>
          <w:iCs w:val="1"/>
          <w:color w:val="auto"/>
        </w:rPr>
        <w:t xml:space="preserve"> </w:t>
      </w:r>
      <w:r>
        <w:rPr>
          <w:rFonts w:ascii="Arial" w:cs="Arial" w:eastAsia="Arial" w:hAnsi="Arial"/>
          <w:sz w:val="16"/>
          <w:szCs w:val="16"/>
          <w:color w:val="auto"/>
        </w:rPr>
        <w:t>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180" w:right="100" w:firstLine="435"/>
        <w:spacing w:after="0" w:line="275" w:lineRule="auto"/>
        <w:rPr>
          <w:sz w:val="20"/>
          <w:szCs w:val="20"/>
          <w:color w:val="auto"/>
        </w:rPr>
      </w:pPr>
      <w:r>
        <w:rPr>
          <w:rFonts w:ascii="Arial" w:cs="Arial" w:eastAsia="Arial" w:hAnsi="Arial"/>
          <w:sz w:val="17"/>
          <w:szCs w:val="17"/>
          <w:i w:val="1"/>
          <w:iCs w:val="1"/>
          <w:color w:val="auto"/>
        </w:rPr>
        <w:t>Leading platform and access to proprietary deal flow</w:t>
      </w:r>
      <w:r>
        <w:rPr>
          <w:rFonts w:ascii="Arial" w:cs="Arial" w:eastAsia="Arial" w:hAnsi="Arial"/>
          <w:sz w:val="17"/>
          <w:szCs w:val="17"/>
          <w:color w:val="auto"/>
        </w:rPr>
        <w:t>. The substantial majority of our investments are not intermediated and are originated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assistance of investment banks or other traditional Wall Street sources. Our Adviser has a dedicated team of 33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360 years of collective experience as commercial dealmakers.</w:t>
      </w:r>
    </w:p>
    <w:p>
      <w:pPr>
        <w:spacing w:after="0" w:line="176" w:lineRule="exact"/>
        <w:rPr>
          <w:sz w:val="20"/>
          <w:szCs w:val="20"/>
          <w:color w:val="auto"/>
        </w:rPr>
      </w:pPr>
    </w:p>
    <w:p>
      <w:pPr>
        <w:ind w:left="180" w:right="140" w:firstLine="435"/>
        <w:spacing w:after="0" w:line="257"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8" w:lineRule="exact"/>
        <w:rPr>
          <w:sz w:val="20"/>
          <w:szCs w:val="20"/>
          <w:color w:val="auto"/>
        </w:rPr>
      </w:pPr>
    </w:p>
    <w:p>
      <w:pPr>
        <w:ind w:left="180" w:right="40" w:firstLine="435"/>
        <w:spacing w:after="0" w:line="263" w:lineRule="auto"/>
        <w:rPr>
          <w:sz w:val="20"/>
          <w:szCs w:val="20"/>
          <w:color w:val="auto"/>
        </w:rPr>
      </w:pPr>
      <w:r>
        <w:rPr>
          <w:rFonts w:ascii="Arial" w:cs="Arial" w:eastAsia="Arial" w:hAnsi="Arial"/>
          <w:sz w:val="18"/>
          <w:szCs w:val="18"/>
          <w:color w:val="auto"/>
        </w:rPr>
        <w:t>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84" w:lineRule="exact"/>
        <w:rPr>
          <w:sz w:val="20"/>
          <w:szCs w:val="20"/>
          <w:color w:val="auto"/>
        </w:rPr>
      </w:pPr>
    </w:p>
    <w:p>
      <w:pPr>
        <w:ind w:left="180" w:right="60" w:firstLine="435"/>
        <w:spacing w:after="0" w:line="259" w:lineRule="auto"/>
        <w:rPr>
          <w:sz w:val="20"/>
          <w:szCs w:val="20"/>
          <w:color w:val="auto"/>
        </w:rPr>
      </w:pPr>
      <w:r>
        <w:rPr>
          <w:rFonts w:ascii="Arial" w:cs="Arial" w:eastAsia="Arial" w:hAnsi="Arial"/>
          <w:sz w:val="18"/>
          <w:szCs w:val="18"/>
          <w:i w:val="1"/>
          <w:iCs w:val="1"/>
          <w:color w:val="auto"/>
        </w:rPr>
        <w:t>Disciplined investment and underwriting process</w:t>
      </w:r>
      <w:r>
        <w:rPr>
          <w:rFonts w:ascii="Arial" w:cs="Arial" w:eastAsia="Arial" w:hAnsi="Arial"/>
          <w:sz w:val="18"/>
          <w:szCs w:val="18"/>
          <w:color w:val="auto"/>
        </w:rPr>
        <w:t>. Through our Adviser, we seek to achieve the highest risk-adjusted returns available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92" w:lineRule="exact"/>
        <w:rPr>
          <w:sz w:val="20"/>
          <w:szCs w:val="20"/>
          <w:color w:val="auto"/>
        </w:rPr>
      </w:pPr>
    </w:p>
    <w:p>
      <w:pPr>
        <w:ind w:left="1160" w:right="520" w:hanging="427"/>
        <w:spacing w:after="0" w:line="277"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Sixth Street allow us to determine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market opportunities and identify relative value.</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675" w:right="5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910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613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hanging="427"/>
        <w:spacing w:after="0" w:line="25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Risk pricing</w:t>
      </w:r>
      <w:r>
        <w:rPr>
          <w:rFonts w:ascii="Arial" w:cs="Arial" w:eastAsia="Arial" w:hAnsi="Arial"/>
          <w:sz w:val="18"/>
          <w:szCs w:val="18"/>
          <w:color w:val="auto"/>
        </w:rPr>
        <w:t>. The risk profile of our portfolio evolves across credit cycles as credit tightens and loosens. During periods when risk</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160" w:right="100" w:hanging="427"/>
        <w:spacing w:after="0" w:line="277"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 four-tiered investment framework:</w:t>
      </w:r>
    </w:p>
    <w:p>
      <w:pPr>
        <w:spacing w:after="0" w:line="75" w:lineRule="exact"/>
        <w:rPr>
          <w:rFonts w:ascii="Arial" w:cs="Arial" w:eastAsia="Arial" w:hAnsi="Arial"/>
          <w:sz w:val="18"/>
          <w:szCs w:val="18"/>
          <w:color w:val="auto"/>
        </w:rPr>
      </w:pPr>
    </w:p>
    <w:p>
      <w:pPr>
        <w:ind w:left="1600" w:right="100" w:hanging="324"/>
        <w:spacing w:after="0" w:line="296" w:lineRule="auto"/>
        <w:tabs>
          <w:tab w:leader="none" w:pos="1600"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Business and sector selection</w:t>
      </w:r>
      <w:r>
        <w:rPr>
          <w:rFonts w:ascii="Arial" w:cs="Arial" w:eastAsia="Arial" w:hAnsi="Arial"/>
          <w:sz w:val="16"/>
          <w:szCs w:val="16"/>
          <w:color w:val="auto"/>
        </w:rPr>
        <w:t>. We focus on companies with enterprise value between $50 million and $1 billion. When reviewing</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66" w:lineRule="exact"/>
        <w:rPr>
          <w:rFonts w:ascii="Arial" w:cs="Arial" w:eastAsia="Arial" w:hAnsi="Arial"/>
          <w:sz w:val="16"/>
          <w:szCs w:val="16"/>
          <w:color w:val="auto"/>
        </w:rPr>
      </w:pPr>
    </w:p>
    <w:p>
      <w:pPr>
        <w:ind w:left="1600" w:hanging="324"/>
        <w:spacing w:after="0" w:line="255" w:lineRule="auto"/>
        <w:tabs>
          <w:tab w:leader="none" w:pos="160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Investment structuring</w:t>
      </w:r>
      <w:r>
        <w:rPr>
          <w:rFonts w:ascii="Arial" w:cs="Arial" w:eastAsia="Arial" w:hAnsi="Arial"/>
          <w:sz w:val="18"/>
          <w:szCs w:val="18"/>
          <w:color w:val="auto"/>
        </w:rPr>
        <w:t>. We focus on investing at the top of the capital structure and protecting that position. We carefully diligence</w:t>
      </w:r>
      <w:r>
        <w:rPr>
          <w:rFonts w:ascii="Arial" w:cs="Arial" w:eastAsia="Arial" w:hAnsi="Arial"/>
          <w:sz w:val="18"/>
          <w:szCs w:val="18"/>
          <w:i w:val="1"/>
          <w:iCs w:val="1"/>
          <w:color w:val="auto"/>
        </w:rPr>
        <w:t xml:space="preserve"> </w:t>
      </w:r>
      <w:r>
        <w:rPr>
          <w:rFonts w:ascii="Arial" w:cs="Arial" w:eastAsia="Arial" w:hAnsi="Arial"/>
          <w:sz w:val="18"/>
          <w:szCs w:val="18"/>
          <w:color w:val="auto"/>
        </w:rPr>
        <w:t>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97" w:lineRule="exact"/>
        <w:rPr>
          <w:rFonts w:ascii="Arial" w:cs="Arial" w:eastAsia="Arial" w:hAnsi="Arial"/>
          <w:sz w:val="18"/>
          <w:szCs w:val="18"/>
          <w:color w:val="auto"/>
        </w:rPr>
      </w:pPr>
    </w:p>
    <w:p>
      <w:pPr>
        <w:ind w:left="1600" w:right="300" w:hanging="324"/>
        <w:spacing w:after="0" w:line="259" w:lineRule="auto"/>
        <w:tabs>
          <w:tab w:leader="none" w:pos="160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92" w:lineRule="exact"/>
        <w:rPr>
          <w:rFonts w:ascii="Arial" w:cs="Arial" w:eastAsia="Arial" w:hAnsi="Arial"/>
          <w:sz w:val="18"/>
          <w:szCs w:val="18"/>
          <w:color w:val="auto"/>
        </w:rPr>
      </w:pPr>
    </w:p>
    <w:p>
      <w:pPr>
        <w:ind w:left="1600" w:right="140" w:hanging="324"/>
        <w:spacing w:after="0" w:line="263" w:lineRule="auto"/>
        <w:tabs>
          <w:tab w:leader="none" w:pos="1600"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 to</w:t>
      </w:r>
      <w:r>
        <w:rPr>
          <w:rFonts w:ascii="Arial" w:cs="Arial" w:eastAsia="Arial" w:hAnsi="Arial"/>
          <w:sz w:val="18"/>
          <w:szCs w:val="18"/>
          <w:i w:val="1"/>
          <w:iCs w:val="1"/>
          <w:color w:val="auto"/>
        </w:rPr>
        <w:t xml:space="preserve"> </w:t>
      </w:r>
      <w:r>
        <w:rPr>
          <w:rFonts w:ascii="Arial" w:cs="Arial" w:eastAsia="Arial" w:hAnsi="Arial"/>
          <w:sz w:val="18"/>
          <w:szCs w:val="18"/>
          <w:color w:val="auto"/>
        </w:rPr>
        <w:t>protect future payment income. In addition, most of our investments are floating rate in nature, which we believe helps act as a portfolio-wide hedge against inflation.</w:t>
      </w:r>
    </w:p>
    <w:p>
      <w:pPr>
        <w:spacing w:after="0" w:line="89" w:lineRule="exact"/>
        <w:rPr>
          <w:rFonts w:ascii="Arial" w:cs="Arial" w:eastAsia="Arial" w:hAnsi="Arial"/>
          <w:sz w:val="18"/>
          <w:szCs w:val="18"/>
          <w:color w:val="auto"/>
        </w:rPr>
      </w:pPr>
    </w:p>
    <w:p>
      <w:pPr>
        <w:jc w:val="both"/>
        <w:ind w:left="1160" w:right="160" w:hanging="427"/>
        <w:spacing w:after="0" w:line="263"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tailor investments rather than focusing only on driving investment volume.</w:t>
      </w:r>
    </w:p>
    <w:p>
      <w:pPr>
        <w:spacing w:after="0" w:line="225" w:lineRule="exact"/>
        <w:rPr>
          <w:sz w:val="20"/>
          <w:szCs w:val="20"/>
          <w:color w:val="auto"/>
        </w:rPr>
      </w:pPr>
    </w:p>
    <w:p>
      <w:pPr>
        <w:ind w:left="180" w:right="60" w:firstLine="435"/>
        <w:spacing w:after="0" w:line="254" w:lineRule="auto"/>
        <w:rPr>
          <w:sz w:val="20"/>
          <w:szCs w:val="20"/>
          <w:color w:val="auto"/>
        </w:rPr>
      </w:pPr>
      <w:r>
        <w:rPr>
          <w:rFonts w:ascii="Arial" w:cs="Arial" w:eastAsia="Arial" w:hAnsi="Arial"/>
          <w:sz w:val="18"/>
          <w:szCs w:val="18"/>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8"/>
          <w:szCs w:val="18"/>
          <w:color w:val="auto"/>
        </w:rPr>
        <w:t>Since we began investing in July 2011, we have originated more than $23.9 billion aggregate principal amount of investments.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2022, we had a portfolio of investments in 118 portfolio investments with an aggregate fair value of $2,806.1 million that we believe exhibits strong credit quality and broad industry composition. As of September 30, 2022, 98.9% of our debt investments based on fair value bore interest at floating rates, with 100.0% of these subject to interest rate floors, and 90.4% of the fair value of our portfolio was invested in first-lien debt investments. We believe this portfolio will allow us to generate meaningful investment income, and consequently dividend income, for our stockholders.</w:t>
      </w:r>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675" w:right="5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222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6130" cy="54222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right="40" w:firstLine="435"/>
        <w:spacing w:after="0" w:line="269" w:lineRule="auto"/>
        <w:rPr>
          <w:sz w:val="20"/>
          <w:szCs w:val="20"/>
          <w:color w:val="auto"/>
        </w:rPr>
      </w:pPr>
      <w:r>
        <w:rPr>
          <w:rFonts w:ascii="Arial" w:cs="Arial" w:eastAsia="Arial" w:hAnsi="Arial"/>
          <w:sz w:val="17"/>
          <w:szCs w:val="17"/>
          <w:i w:val="1"/>
          <w:iCs w:val="1"/>
          <w:color w:val="auto"/>
        </w:rPr>
        <w:t>Experienced management team</w:t>
      </w:r>
      <w:r>
        <w:rPr>
          <w:rFonts w:ascii="Arial" w:cs="Arial" w:eastAsia="Arial" w:hAnsi="Arial"/>
          <w:sz w:val="17"/>
          <w:szCs w:val="17"/>
          <w:color w:val="auto"/>
        </w:rPr>
        <w:t>. The Adviser has a highly experienced management team consisting of seven Sixth Street Partners and eight</w:t>
      </w:r>
      <w:r>
        <w:rPr>
          <w:rFonts w:ascii="Arial" w:cs="Arial" w:eastAsia="Arial" w:hAnsi="Arial"/>
          <w:sz w:val="17"/>
          <w:szCs w:val="17"/>
          <w:i w:val="1"/>
          <w:iCs w:val="1"/>
          <w:color w:val="auto"/>
        </w:rPr>
        <w:t xml:space="preserve"> </w:t>
      </w:r>
      <w:r>
        <w:rPr>
          <w:rFonts w:ascii="Arial" w:cs="Arial" w:eastAsia="Arial" w:hAnsi="Arial"/>
          <w:sz w:val="17"/>
          <w:szCs w:val="17"/>
          <w:color w:val="auto"/>
        </w:rPr>
        <w:t>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ind w:left="180" w:right="40" w:firstLine="435"/>
        <w:spacing w:after="0" w:line="263"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for our investment professionals is based on our returns, as opposed to transaction volume, which we believe fosters a focus on credit quality when originating investments.</w:t>
      </w:r>
    </w:p>
    <w:p>
      <w:pPr>
        <w:spacing w:after="0" w:line="28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180" w:right="60" w:firstLine="435"/>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160" w:right="60" w:hanging="427"/>
        <w:spacing w:after="0" w:line="273" w:lineRule="auto"/>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Leverage</w:t>
      </w:r>
      <w:r>
        <w:rPr>
          <w:rFonts w:ascii="Arial" w:cs="Arial" w:eastAsia="Arial" w:hAnsi="Arial"/>
          <w:sz w:val="17"/>
          <w:szCs w:val="17"/>
          <w:color w:val="auto"/>
        </w:rPr>
        <w:t>. Regulations under the 1940 Act limit our ability to use borrowing, also known as leverage, in significant respects.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2021 Annual Report.</w:t>
      </w:r>
    </w:p>
    <w:p>
      <w:pPr>
        <w:spacing w:after="0" w:line="83" w:lineRule="exact"/>
        <w:rPr>
          <w:rFonts w:ascii="Arial" w:cs="Arial" w:eastAsia="Arial" w:hAnsi="Arial"/>
          <w:sz w:val="17"/>
          <w:szCs w:val="17"/>
          <w:color w:val="auto"/>
        </w:rPr>
      </w:pPr>
    </w:p>
    <w:p>
      <w:pPr>
        <w:ind w:left="1160" w:right="120" w:hanging="427"/>
        <w:spacing w:after="0" w:line="286" w:lineRule="auto"/>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Investment Allocation</w:t>
      </w:r>
      <w:r>
        <w:rPr>
          <w:rFonts w:ascii="Arial" w:cs="Arial" w:eastAsia="Arial" w:hAnsi="Arial"/>
          <w:sz w:val="17"/>
          <w:szCs w:val="17"/>
          <w:color w:val="auto"/>
        </w:rPr>
        <w:t>. As a BDC, we are required to invest at least 70% of our total assets in qualifying assets, which generally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“eligible portfolio companies,” cash, cash equivalents, U.S. government securities and high-quality debt instruments maturing in one year or less from the time of investment. “Eligible portfolio companies” are defined in the 1940 Act as:</w:t>
      </w:r>
    </w:p>
    <w:p>
      <w:pPr>
        <w:spacing w:after="0" w:line="70" w:lineRule="exact"/>
        <w:rPr>
          <w:rFonts w:ascii="Arial" w:cs="Arial" w:eastAsia="Arial" w:hAnsi="Arial"/>
          <w:sz w:val="17"/>
          <w:szCs w:val="17"/>
          <w:color w:val="auto"/>
        </w:rPr>
      </w:pPr>
    </w:p>
    <w:p>
      <w:pPr>
        <w:ind w:left="1600" w:hanging="324"/>
        <w:spacing w:after="0"/>
        <w:tabs>
          <w:tab w:leader="none" w:pos="1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00" w:hanging="324"/>
        <w:spacing w:after="0" w:line="263" w:lineRule="auto"/>
        <w:tabs>
          <w:tab w:leader="none" w:pos="1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9" w:lineRule="exact"/>
        <w:rPr>
          <w:rFonts w:ascii="Arial" w:cs="Arial" w:eastAsia="Arial" w:hAnsi="Arial"/>
          <w:sz w:val="18"/>
          <w:szCs w:val="18"/>
          <w:color w:val="auto"/>
        </w:rPr>
      </w:pPr>
    </w:p>
    <w:p>
      <w:pPr>
        <w:ind w:left="1600" w:hanging="324"/>
        <w:spacing w:after="0"/>
        <w:tabs>
          <w:tab w:leader="none" w:pos="16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675" w:right="5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622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36130" cy="56622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Public domestic operating companies whose securities are quoted on the over-the-counter bulletin board and through OTC Markets Group, Inc.</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are not listed on a national securities exchange and, as a result, are eligible portfolio companies.</w:t>
      </w:r>
    </w:p>
    <w:p>
      <w:pPr>
        <w:spacing w:after="0" w:line="116" w:lineRule="exact"/>
        <w:rPr>
          <w:sz w:val="20"/>
          <w:szCs w:val="20"/>
          <w:color w:val="auto"/>
        </w:rPr>
      </w:pPr>
    </w:p>
    <w:p>
      <w:pPr>
        <w:ind w:left="1160" w:right="260" w:hanging="427"/>
        <w:spacing w:after="0" w:line="263" w:lineRule="auto"/>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our earnings subject to corporate-level U.S. federal income taxation, we must satisfy certain source of income, asset diversification and distribution requirements.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180" w:right="80" w:firstLine="435"/>
        <w:spacing w:after="0" w:line="259"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1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w:t>
      </w:r>
    </w:p>
    <w:p>
      <w:pPr>
        <w:spacing w:after="0" w:line="46" w:lineRule="exact"/>
        <w:rPr>
          <w:sz w:val="20"/>
          <w:szCs w:val="20"/>
          <w:color w:val="auto"/>
        </w:rPr>
      </w:pPr>
    </w:p>
    <w:p>
      <w:pPr>
        <w:ind w:left="180" w:right="480" w:firstLine="9"/>
        <w:spacing w:after="0" w:line="302" w:lineRule="auto"/>
        <w:tabs>
          <w:tab w:leader="none" w:pos="4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55" w:lineRule="exact"/>
        <w:rPr>
          <w:sz w:val="20"/>
          <w:szCs w:val="20"/>
          <w:color w:val="auto"/>
        </w:rPr>
      </w:pPr>
    </w:p>
    <w:p>
      <w:pPr>
        <w:ind w:left="180" w:firstLine="435"/>
        <w:spacing w:after="0" w:line="272" w:lineRule="auto"/>
        <w:rPr>
          <w:sz w:val="20"/>
          <w:szCs w:val="20"/>
          <w:color w:val="auto"/>
        </w:rPr>
      </w:pPr>
      <w:r>
        <w:rPr>
          <w:rFonts w:ascii="Arial" w:cs="Arial" w:eastAsia="Arial" w:hAnsi="Arial"/>
          <w:sz w:val="17"/>
          <w:szCs w:val="17"/>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2022, Management Fees of $0.2 million have been waived pursuant to the Leverage Waiver. For the three and nine months ended September 30, 2021, Management Fees of $0.1 million and $0.2 million have been waived pursuant to the Leverage Waiver.</w:t>
      </w:r>
    </w:p>
    <w:p>
      <w:pPr>
        <w:spacing w:after="0" w:line="177" w:lineRule="exact"/>
        <w:rPr>
          <w:sz w:val="20"/>
          <w:szCs w:val="20"/>
          <w:color w:val="auto"/>
        </w:rPr>
      </w:pPr>
    </w:p>
    <w:p>
      <w:pPr>
        <w:ind w:left="180" w:right="100" w:firstLine="435"/>
        <w:spacing w:after="0" w:line="273"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78" w:lineRule="exact"/>
        <w:rPr>
          <w:sz w:val="20"/>
          <w:szCs w:val="20"/>
          <w:color w:val="auto"/>
        </w:rPr>
      </w:pPr>
    </w:p>
    <w:p>
      <w:pPr>
        <w:ind w:left="180" w:right="20" w:firstLine="435"/>
        <w:spacing w:after="0" w:line="279" w:lineRule="auto"/>
        <w:rPr>
          <w:sz w:val="20"/>
          <w:szCs w:val="20"/>
          <w:color w:val="auto"/>
        </w:rPr>
      </w:pPr>
      <w:r>
        <w:rPr>
          <w:rFonts w:ascii="Arial" w:cs="Arial" w:eastAsia="Arial" w:hAnsi="Arial"/>
          <w:sz w:val="17"/>
          <w:szCs w:val="17"/>
          <w:color w:val="auto"/>
        </w:rPr>
        <w:t>See “Business—General—Our Company”; and “Business—General—Regulation as a Business Development Company” in Part I, Item 1 of our 2021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3Q 2022 Quarterly Report.</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675" w:right="5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516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36130" cy="55162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180" w:firstLine="435"/>
        <w:spacing w:after="0" w:line="286"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w:t>
      </w:r>
    </w:p>
    <w:p>
      <w:pPr>
        <w:spacing w:after="0" w:line="387" w:lineRule="exact"/>
        <w:rPr>
          <w:sz w:val="20"/>
          <w:szCs w:val="20"/>
          <w:color w:val="auto"/>
        </w:rPr>
      </w:pPr>
    </w:p>
    <w:p>
      <w:pPr>
        <w:ind w:left="180" w:right="40" w:firstLine="435"/>
        <w:spacing w:after="0" w:line="269" w:lineRule="auto"/>
        <w:rPr>
          <w:sz w:val="20"/>
          <w:szCs w:val="20"/>
          <w:color w:val="auto"/>
        </w:rPr>
      </w:pPr>
      <w:r>
        <w:rPr>
          <w:rFonts w:ascii="Arial" w:cs="Arial" w:eastAsia="Arial" w:hAnsi="Arial"/>
          <w:sz w:val="17"/>
          <w:szCs w:val="17"/>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w:t>
      </w:r>
    </w:p>
    <w:p>
      <w:pPr>
        <w:spacing w:after="0" w:line="185" w:lineRule="exact"/>
        <w:rPr>
          <w:sz w:val="20"/>
          <w:szCs w:val="20"/>
          <w:color w:val="auto"/>
        </w:rPr>
      </w:pPr>
    </w:p>
    <w:p>
      <w:pPr>
        <w:ind w:left="180" w:firstLine="435"/>
        <w:spacing w:after="0" w:line="272" w:lineRule="auto"/>
        <w:rPr>
          <w:sz w:val="20"/>
          <w:szCs w:val="20"/>
          <w:color w:val="auto"/>
        </w:rPr>
      </w:pPr>
      <w:r>
        <w:rPr>
          <w:rFonts w:ascii="Arial" w:cs="Arial" w:eastAsia="Arial" w:hAnsi="Arial"/>
          <w:sz w:val="17"/>
          <w:szCs w:val="17"/>
          <w:color w:val="auto"/>
        </w:rPr>
        <w:t>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w:t>
      </w:r>
    </w:p>
    <w:p>
      <w:pPr>
        <w:spacing w:after="0" w:line="177" w:lineRule="exact"/>
        <w:rPr>
          <w:sz w:val="20"/>
          <w:szCs w:val="20"/>
          <w:color w:val="auto"/>
        </w:rPr>
      </w:pPr>
    </w:p>
    <w:p>
      <w:pPr>
        <w:ind w:left="180" w:right="300" w:firstLine="435"/>
        <w:spacing w:after="0" w:line="308" w:lineRule="auto"/>
        <w:rPr>
          <w:sz w:val="20"/>
          <w:szCs w:val="20"/>
          <w:color w:val="auto"/>
        </w:rPr>
      </w:pPr>
      <w:r>
        <w:rPr>
          <w:rFonts w:ascii="Arial" w:cs="Arial" w:eastAsia="Arial" w:hAnsi="Arial"/>
          <w:sz w:val="17"/>
          <w:szCs w:val="17"/>
          <w:color w:val="auto"/>
        </w:rPr>
        <w:t>See “Certain Relationships and Related Party Transactions” in our Definitive Proxy Statement on Schedule 14A relating to our 2022 Annual Meeting of Stockholders filed with the SEC on April 13, 2022, and such section is incorporated by reference in this prospectus.</w:t>
      </w:r>
    </w:p>
    <w:p>
      <w:pPr>
        <w:spacing w:after="0" w:line="2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320" w:top="675" w:right="5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9303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36130" cy="6930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180" w:right="380"/>
        <w:spacing w:after="0" w:line="263" w:lineRule="auto"/>
        <w:rPr>
          <w:sz w:val="20"/>
          <w:szCs w:val="20"/>
          <w:color w:val="auto"/>
        </w:rPr>
      </w:pPr>
      <w:r>
        <w:rPr>
          <w:rFonts w:ascii="Arial" w:cs="Arial" w:eastAsia="Arial" w:hAnsi="Arial"/>
          <w:sz w:val="18"/>
          <w:szCs w:val="18"/>
          <w:color w:val="auto"/>
        </w:rPr>
        <w:t>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w:t>
      </w:r>
    </w:p>
    <w:p>
      <w:pPr>
        <w:spacing w:after="0" w:line="184" w:lineRule="exact"/>
        <w:rPr>
          <w:sz w:val="20"/>
          <w:szCs w:val="20"/>
          <w:color w:val="auto"/>
        </w:rPr>
      </w:pPr>
    </w:p>
    <w:p>
      <w:pPr>
        <w:ind w:left="180" w:right="200"/>
        <w:spacing w:after="0" w:line="279" w:lineRule="auto"/>
        <w:rPr>
          <w:sz w:val="20"/>
          <w:szCs w:val="20"/>
          <w:color w:val="auto"/>
        </w:rPr>
      </w:pPr>
      <w:r>
        <w:rPr>
          <w:rFonts w:ascii="Arial" w:cs="Arial" w:eastAsia="Arial" w:hAnsi="Arial"/>
          <w:sz w:val="17"/>
          <w:szCs w:val="17"/>
          <w:color w:val="auto"/>
        </w:rPr>
        <w:t>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w:t>
      </w:r>
    </w:p>
    <w:p>
      <w:pPr>
        <w:spacing w:after="0" w:line="171" w:lineRule="exact"/>
        <w:rPr>
          <w:sz w:val="20"/>
          <w:szCs w:val="20"/>
          <w:color w:val="auto"/>
        </w:rPr>
      </w:pPr>
    </w:p>
    <w:p>
      <w:pPr>
        <w:ind w:left="180" w:right="100"/>
        <w:spacing w:after="0" w:line="279" w:lineRule="auto"/>
        <w:rPr>
          <w:sz w:val="20"/>
          <w:szCs w:val="20"/>
          <w:color w:val="auto"/>
        </w:rPr>
      </w:pPr>
      <w:r>
        <w:rPr>
          <w:rFonts w:ascii="Arial" w:cs="Arial" w:eastAsia="Arial" w:hAnsi="Arial"/>
          <w:sz w:val="17"/>
          <w:szCs w:val="17"/>
          <w:color w:val="auto"/>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See “Regulation as a Business Development Company—Transactions with our Affiliates” in our 2021 Annual Report, and such section is incorporated by reference in this prospectus.</w:t>
      </w:r>
    </w:p>
    <w:p>
      <w:pPr>
        <w:spacing w:after="0" w:line="170" w:lineRule="exact"/>
        <w:rPr>
          <w:sz w:val="20"/>
          <w:szCs w:val="20"/>
          <w:color w:val="auto"/>
        </w:rPr>
      </w:pPr>
    </w:p>
    <w:p>
      <w:pPr>
        <w:ind w:left="180" w:right="600"/>
        <w:spacing w:after="0" w:line="277" w:lineRule="auto"/>
        <w:rPr>
          <w:sz w:val="20"/>
          <w:szCs w:val="20"/>
          <w:color w:val="auto"/>
        </w:rPr>
      </w:pPr>
      <w:r>
        <w:rPr>
          <w:rFonts w:ascii="Arial" w:cs="Arial" w:eastAsia="Arial" w:hAnsi="Arial"/>
          <w:sz w:val="18"/>
          <w:szCs w:val="18"/>
          <w:color w:val="auto"/>
        </w:rPr>
        <w:t>See “Certain Relationships and Related Party Transactions—Exemptive Order” in our 2022 Annual Proxy, and such section is incorporated by reference in this prospectus.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180" w:right="40" w:firstLine="435"/>
        <w:spacing w:after="0" w:line="257" w:lineRule="auto"/>
        <w:rPr>
          <w:sz w:val="20"/>
          <w:szCs w:val="20"/>
          <w:color w:val="auto"/>
        </w:rPr>
      </w:pPr>
      <w:r>
        <w:rPr>
          <w:rFonts w:ascii="Arial" w:cs="Arial" w:eastAsia="Arial" w:hAnsi="Arial"/>
          <w:sz w:val="18"/>
          <w:szCs w:val="18"/>
          <w:color w:val="auto"/>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180" w:right="80" w:firstLine="435"/>
        <w:spacing w:after="0" w:line="257" w:lineRule="auto"/>
        <w:rPr>
          <w:sz w:val="20"/>
          <w:szCs w:val="20"/>
          <w:color w:val="auto"/>
        </w:rPr>
      </w:pPr>
      <w:r>
        <w:rPr>
          <w:rFonts w:ascii="Arial" w:cs="Arial" w:eastAsia="Arial" w:hAnsi="Arial"/>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2021 Annual Report and our 3Q 2022 Quarterly Report, as well as the other documents that are incorporated by reference in this prospectus or in any prospectus supplement, for a description of these and other risks relating to our business and investments in our securities, including that:</w:t>
      </w:r>
    </w:p>
    <w:p>
      <w:pPr>
        <w:spacing w:after="0" w:line="2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Risks Related to Our Business and Structure</w:t>
      </w:r>
    </w:p>
    <w:p>
      <w:pPr>
        <w:spacing w:after="0" w:line="131" w:lineRule="exact"/>
        <w:rPr>
          <w:sz w:val="20"/>
          <w:szCs w:val="20"/>
          <w:color w:val="auto"/>
        </w:rPr>
      </w:pPr>
    </w:p>
    <w:p>
      <w:pPr>
        <w:ind w:left="1160" w:hanging="42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Sixth Street and their affiliates for our future success.</w:t>
      </w:r>
    </w:p>
    <w:p>
      <w:pPr>
        <w:spacing w:after="0" w:line="130" w:lineRule="exact"/>
        <w:rPr>
          <w:rFonts w:ascii="Arial" w:cs="Arial" w:eastAsia="Arial" w:hAnsi="Arial"/>
          <w:sz w:val="18"/>
          <w:szCs w:val="18"/>
          <w:color w:val="auto"/>
        </w:rPr>
      </w:pPr>
    </w:p>
    <w:p>
      <w:pPr>
        <w:ind w:left="1160" w:right="200" w:hanging="427"/>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subject to significant regulations governing our operation as a BDC, which affect our ability to, and the way in which we, raise additional capital. Changes in regulation could adversely affect our business.</w:t>
      </w:r>
    </w:p>
    <w:p>
      <w:pPr>
        <w:spacing w:after="0" w:line="75" w:lineRule="exact"/>
        <w:rPr>
          <w:rFonts w:ascii="Arial" w:cs="Arial" w:eastAsia="Arial" w:hAnsi="Arial"/>
          <w:sz w:val="18"/>
          <w:szCs w:val="18"/>
          <w:color w:val="auto"/>
        </w:rPr>
      </w:pPr>
    </w:p>
    <w:p>
      <w:pPr>
        <w:ind w:left="1160" w:hanging="42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160" w:right="740" w:hanging="427"/>
        <w:spacing w:after="0" w:line="277" w:lineRule="auto"/>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2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675" w:right="5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7760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7136130" cy="67760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right="180" w:hanging="427"/>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75" w:lineRule="exact"/>
        <w:rPr>
          <w:rFonts w:ascii="Arial" w:cs="Arial" w:eastAsia="Arial" w:hAnsi="Arial"/>
          <w:sz w:val="18"/>
          <w:szCs w:val="18"/>
          <w:color w:val="auto"/>
        </w:rPr>
      </w:pPr>
    </w:p>
    <w:p>
      <w:pPr>
        <w:ind w:left="1160" w:right="320" w:hanging="427"/>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160" w:hanging="427"/>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160" w:right="180" w:hanging="427"/>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can be expected to retain some income and capital gains in excess of what is permissible for excise tax purposes and such amounts will be subject to 4% U.S. federal excise tax.</w:t>
      </w:r>
    </w:p>
    <w:p>
      <w:pPr>
        <w:spacing w:after="0" w:line="75" w:lineRule="exact"/>
        <w:rPr>
          <w:rFonts w:ascii="Arial" w:cs="Arial" w:eastAsia="Arial" w:hAnsi="Arial"/>
          <w:sz w:val="18"/>
          <w:szCs w:val="18"/>
          <w:color w:val="auto"/>
        </w:rPr>
      </w:pPr>
    </w:p>
    <w:p>
      <w:pPr>
        <w:ind w:left="1160" w:hanging="42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160" w:hanging="427"/>
        <w:spacing w:after="0" w:line="263"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89" w:lineRule="exact"/>
        <w:rPr>
          <w:rFonts w:ascii="Arial" w:cs="Arial" w:eastAsia="Arial" w:hAnsi="Arial"/>
          <w:sz w:val="18"/>
          <w:szCs w:val="18"/>
          <w:color w:val="auto"/>
        </w:rPr>
      </w:pPr>
    </w:p>
    <w:p>
      <w:pPr>
        <w:ind w:left="1160" w:hanging="427"/>
        <w:spacing w:after="0" w:line="308" w:lineRule="auto"/>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51" w:lineRule="exact"/>
        <w:rPr>
          <w:rFonts w:ascii="Arial" w:cs="Arial" w:eastAsia="Arial" w:hAnsi="Arial"/>
          <w:sz w:val="17"/>
          <w:szCs w:val="17"/>
          <w:color w:val="auto"/>
        </w:rPr>
      </w:pPr>
    </w:p>
    <w:p>
      <w:pPr>
        <w:ind w:left="1160" w:hanging="42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160" w:right="20" w:hanging="427"/>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Provisions of the General Corporation Law of the State of Delaware and our certificate of incorporation and bylaws could deter takeover attempts and have an adverse effect on the price of our common stock.</w:t>
      </w:r>
    </w:p>
    <w:p>
      <w:pPr>
        <w:spacing w:after="0" w:line="75" w:lineRule="exact"/>
        <w:rPr>
          <w:rFonts w:ascii="Arial" w:cs="Arial" w:eastAsia="Arial" w:hAnsi="Arial"/>
          <w:sz w:val="18"/>
          <w:szCs w:val="18"/>
          <w:color w:val="auto"/>
        </w:rPr>
      </w:pPr>
    </w:p>
    <w:p>
      <w:pPr>
        <w:ind w:left="1160" w:hanging="42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investors are limited in their ability to make significant investments in us.</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or those of our portfolio companies.</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Board may change our investment objective, operating policies and strategies without prior notice or stockholder approval.</w:t>
      </w:r>
    </w:p>
    <w:p>
      <w:pPr>
        <w:spacing w:after="0" w:line="142" w:lineRule="exact"/>
        <w:rPr>
          <w:rFonts w:ascii="Arial" w:cs="Arial" w:eastAsia="Arial" w:hAnsi="Arial"/>
          <w:sz w:val="17"/>
          <w:szCs w:val="17"/>
          <w:color w:val="auto"/>
        </w:rPr>
      </w:pPr>
    </w:p>
    <w:p>
      <w:pPr>
        <w:ind w:left="1160" w:right="140" w:hanging="427"/>
        <w:spacing w:after="0" w:line="277" w:lineRule="auto"/>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interest rates of our debt investments to our portfolio companies and our indebtedness that extend beyond 2023 might be subject to change based on recent regulatory changes.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Risks Related to Economic Conditions</w:t>
      </w:r>
    </w:p>
    <w:p>
      <w:pPr>
        <w:spacing w:after="0" w:line="131" w:lineRule="exact"/>
        <w:rPr>
          <w:sz w:val="20"/>
          <w:szCs w:val="20"/>
          <w:color w:val="auto"/>
        </w:rPr>
      </w:pPr>
    </w:p>
    <w:p>
      <w:pPr>
        <w:ind w:left="1160" w:hanging="427"/>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COVID-19 pandemic has materially and adversely affected, and is likely to continue to materially and adversely affect, our portfolio companies and the results of our operations, including our financial results.</w:t>
      </w:r>
    </w:p>
    <w:p>
      <w:pPr>
        <w:spacing w:after="0" w:line="75" w:lineRule="exact"/>
        <w:rPr>
          <w:rFonts w:ascii="Arial" w:cs="Arial" w:eastAsia="Arial" w:hAnsi="Arial"/>
          <w:sz w:val="18"/>
          <w:szCs w:val="18"/>
          <w:color w:val="auto"/>
        </w:rPr>
      </w:pPr>
    </w:p>
    <w:p>
      <w:pPr>
        <w:ind w:left="1160" w:right="20" w:hanging="427"/>
        <w:spacing w:after="0" w:line="277"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current state of the economy and financial markets increases the likelihood of adverse effects on our financial position and results of operations.</w:t>
      </w:r>
    </w:p>
    <w:p>
      <w:pPr>
        <w:spacing w:after="0" w:line="75" w:lineRule="exact"/>
        <w:rPr>
          <w:rFonts w:ascii="Arial" w:cs="Arial" w:eastAsia="Arial" w:hAnsi="Arial"/>
          <w:sz w:val="18"/>
          <w:szCs w:val="18"/>
          <w:color w:val="auto"/>
        </w:rPr>
      </w:pPr>
    </w:p>
    <w:p>
      <w:pPr>
        <w:ind w:left="1160" w:hanging="427"/>
        <w:spacing w:after="0"/>
        <w:tabs>
          <w:tab w:leader="none" w:pos="11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Uncertainty about financial stability could have a significant adverse effect on our business, results of operations and financial condition.</w:t>
      </w:r>
    </w:p>
    <w:p>
      <w:pPr>
        <w:spacing w:after="0" w:line="153" w:lineRule="exact"/>
        <w:rPr>
          <w:rFonts w:ascii="Arial" w:cs="Arial" w:eastAsia="Arial" w:hAnsi="Arial"/>
          <w:sz w:val="16"/>
          <w:szCs w:val="16"/>
          <w:color w:val="auto"/>
        </w:rPr>
      </w:pPr>
    </w:p>
    <w:p>
      <w:pPr>
        <w:ind w:left="1160" w:hanging="427"/>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Risks Related to Our Portfolio Company Investments</w:t>
      </w:r>
    </w:p>
    <w:p>
      <w:pPr>
        <w:spacing w:after="0" w:line="131" w:lineRule="exact"/>
        <w:rPr>
          <w:sz w:val="20"/>
          <w:szCs w:val="20"/>
          <w:color w:val="auto"/>
        </w:rPr>
      </w:pPr>
    </w:p>
    <w:p>
      <w:pPr>
        <w:ind w:left="1160" w:hanging="42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160" w:right="160" w:hanging="427"/>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675" w:right="5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518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7136130" cy="65189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inherently subjective, may not reflect what we may actually realize for the sale of the investment and could result in a conflict of interest with the Adviser.</w:t>
      </w:r>
    </w:p>
    <w:p>
      <w:pPr>
        <w:spacing w:after="0" w:line="76" w:lineRule="exact"/>
        <w:rPr>
          <w:sz w:val="20"/>
          <w:szCs w:val="20"/>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portfolio may be focused on a limited number of portfolio companies or industries, which will subject us to a risk of</w:t>
      </w:r>
    </w:p>
    <w:p>
      <w:pPr>
        <w:spacing w:after="0" w:line="130" w:lineRule="exact"/>
        <w:rPr>
          <w:rFonts w:ascii="Arial" w:cs="Arial" w:eastAsia="Arial" w:hAnsi="Arial"/>
          <w:sz w:val="18"/>
          <w:szCs w:val="18"/>
          <w:color w:val="auto"/>
        </w:rPr>
      </w:pPr>
    </w:p>
    <w:p>
      <w:pPr>
        <w:ind w:left="1160" w:right="460" w:hanging="427"/>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loss if any of these companies defaults on its obligations under any of its debt instruments or if there is a downturn in a particular industry.</w:t>
      </w:r>
    </w:p>
    <w:p>
      <w:pPr>
        <w:spacing w:after="0" w:line="75"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securitize certain of our investments, which may subject us to certain structured financing risks.</w:t>
      </w:r>
    </w:p>
    <w:p>
      <w:pPr>
        <w:spacing w:after="0" w:line="130" w:lineRule="exact"/>
        <w:rPr>
          <w:rFonts w:ascii="Arial" w:cs="Arial" w:eastAsia="Arial" w:hAnsi="Arial"/>
          <w:sz w:val="18"/>
          <w:szCs w:val="18"/>
          <w:color w:val="auto"/>
        </w:rPr>
      </w:pPr>
    </w:p>
    <w:p>
      <w:pPr>
        <w:ind w:left="1160" w:right="140" w:hanging="427"/>
        <w:spacing w:after="0" w:line="263"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9"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to realize expected returns on our invested capital.</w:t>
      </w:r>
    </w:p>
    <w:p>
      <w:pPr>
        <w:spacing w:after="0" w:line="130" w:lineRule="exact"/>
        <w:rPr>
          <w:rFonts w:ascii="Arial" w:cs="Arial" w:eastAsia="Arial" w:hAnsi="Arial"/>
          <w:sz w:val="18"/>
          <w:szCs w:val="18"/>
          <w:color w:val="auto"/>
        </w:rPr>
      </w:pPr>
    </w:p>
    <w:p>
      <w:pPr>
        <w:ind w:left="1160" w:right="220" w:hanging="427"/>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160" w:right="140" w:hanging="427"/>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be exposed to special risks associated with bankruptcy cases.</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failure to make follow-on investments in our portfolio companies could impair the value of our investments.</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160" w:hanging="427"/>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cannot guarantee that we will be able to obtain various required licenses in U.S. states or in any other jurisdiction where they may be required in the future.</w:t>
      </w:r>
    </w:p>
    <w:p>
      <w:pPr>
        <w:spacing w:after="0" w:line="75"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expose ourselves to risks when we engage in hedging transactions.</w:t>
      </w:r>
    </w:p>
    <w:p>
      <w:pPr>
        <w:spacing w:after="0" w:line="130" w:lineRule="exact"/>
        <w:rPr>
          <w:rFonts w:ascii="Arial" w:cs="Arial" w:eastAsia="Arial" w:hAnsi="Arial"/>
          <w:sz w:val="18"/>
          <w:szCs w:val="18"/>
          <w:color w:val="auto"/>
        </w:rPr>
      </w:pPr>
    </w:p>
    <w:p>
      <w:pPr>
        <w:ind w:left="1160" w:right="520" w:hanging="427"/>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new market structure applicable to derivatives imposed by the Dodd-Frank Act may affect our ability to use over-the-counter (“OTC”) derivatives for hedging purposes.</w:t>
      </w:r>
    </w:p>
    <w:p>
      <w:pPr>
        <w:spacing w:after="0" w:line="75" w:lineRule="exact"/>
        <w:rPr>
          <w:rFonts w:ascii="Arial" w:cs="Arial" w:eastAsia="Arial" w:hAnsi="Arial"/>
          <w:sz w:val="18"/>
          <w:szCs w:val="18"/>
          <w:color w:val="auto"/>
        </w:rPr>
      </w:pPr>
    </w:p>
    <w:p>
      <w:pPr>
        <w:ind w:left="1160" w:right="440" w:hanging="427"/>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we cease to be eligible for an exemption from regulation as a commodity pool operator, our compliance expenses could increase substantially.</w:t>
      </w:r>
    </w:p>
    <w:p>
      <w:pPr>
        <w:spacing w:after="0" w:line="75"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portfolio investments may present special tax issues.</w:t>
      </w:r>
    </w:p>
    <w:p>
      <w:pPr>
        <w:spacing w:after="0" w:line="130" w:lineRule="exact"/>
        <w:rPr>
          <w:rFonts w:ascii="Arial" w:cs="Arial" w:eastAsia="Arial" w:hAnsi="Arial"/>
          <w:sz w:val="18"/>
          <w:szCs w:val="18"/>
          <w:color w:val="auto"/>
        </w:rPr>
      </w:pPr>
    </w:p>
    <w:p>
      <w:pPr>
        <w:ind w:left="1160" w:right="20" w:hanging="427"/>
        <w:spacing w:after="0" w:line="259"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92" w:lineRule="exact"/>
        <w:rPr>
          <w:rFonts w:ascii="Arial" w:cs="Arial" w:eastAsia="Arial" w:hAnsi="Arial"/>
          <w:sz w:val="18"/>
          <w:szCs w:val="18"/>
          <w:color w:val="auto"/>
        </w:rPr>
      </w:pPr>
    </w:p>
    <w:p>
      <w:pPr>
        <w:ind w:left="1160" w:hanging="427"/>
        <w:spacing w:after="0"/>
        <w:tabs>
          <w:tab w:leader="none" w:pos="11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There are certain risks associated with holding debt obligations that have original issue discount or payment-in-kind interest.</w:t>
      </w: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320" w:top="675" w:right="5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5274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7136130" cy="35274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Risks Related to Our Securities</w:t>
      </w:r>
    </w:p>
    <w:p>
      <w:pPr>
        <w:spacing w:after="0" w:line="131" w:lineRule="exact"/>
        <w:rPr>
          <w:sz w:val="20"/>
          <w:szCs w:val="20"/>
          <w:color w:val="auto"/>
        </w:rPr>
      </w:pPr>
    </w:p>
    <w:p>
      <w:pPr>
        <w:ind w:left="1160" w:hanging="427"/>
        <w:spacing w:after="0"/>
        <w:tabs>
          <w:tab w:leader="none" w:pos="1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There is a risk that investors in our common stock may not receive dividends or that our dividends may not grow over time.</w:t>
      </w:r>
    </w:p>
    <w:p>
      <w:pPr>
        <w:spacing w:after="0" w:line="142" w:lineRule="exact"/>
        <w:rPr>
          <w:rFonts w:ascii="Arial" w:cs="Arial" w:eastAsia="Arial" w:hAnsi="Arial"/>
          <w:sz w:val="17"/>
          <w:szCs w:val="17"/>
          <w:color w:val="auto"/>
        </w:rPr>
      </w:pPr>
    </w:p>
    <w:p>
      <w:pPr>
        <w:ind w:left="1160" w:hanging="42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Investing in our securities may involve a high degree of risk.</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 could decline.</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stockholders will experience dilution in their ownership percentage if they opt out of our dividend reinvestment plan.</w:t>
      </w:r>
    </w:p>
    <w:p>
      <w:pPr>
        <w:spacing w:after="0" w:line="130" w:lineRule="exact"/>
        <w:rPr>
          <w:rFonts w:ascii="Arial" w:cs="Arial" w:eastAsia="Arial" w:hAnsi="Arial"/>
          <w:sz w:val="18"/>
          <w:szCs w:val="18"/>
          <w:color w:val="auto"/>
        </w:rPr>
      </w:pPr>
    </w:p>
    <w:p>
      <w:pPr>
        <w:ind w:left="1160" w:right="200" w:hanging="427"/>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Purchases of our common stock by us under the Company 10b5-1 Plan may result in dilution to our net asset value per share and the price of our common stock being higher than the price that otherwise might exist in the open market.</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Risk Factors</w:t>
      </w:r>
    </w:p>
    <w:p>
      <w:pPr>
        <w:spacing w:after="0" w:line="131" w:lineRule="exact"/>
        <w:rPr>
          <w:sz w:val="20"/>
          <w:szCs w:val="20"/>
          <w:color w:val="auto"/>
        </w:rPr>
      </w:pPr>
    </w:p>
    <w:p>
      <w:pPr>
        <w:ind w:left="1160" w:right="340" w:hanging="427"/>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w:t>
      </w:r>
    </w:p>
    <w:p>
      <w:pPr>
        <w:spacing w:after="0" w:line="75" w:lineRule="exact"/>
        <w:rPr>
          <w:rFonts w:ascii="Arial" w:cs="Arial" w:eastAsia="Arial" w:hAnsi="Arial"/>
          <w:sz w:val="18"/>
          <w:szCs w:val="18"/>
          <w:color w:val="auto"/>
        </w:rPr>
      </w:pPr>
    </w:p>
    <w:p>
      <w:pPr>
        <w:ind w:left="1160" w:hanging="42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160" w:hanging="427"/>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 of global climate change may impact the operations of our portfolio companies.</w:t>
      </w: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80" w:firstLine="435"/>
        <w:spacing w:after="0" w:line="263" w:lineRule="auto"/>
        <w:rPr>
          <w:sz w:val="20"/>
          <w:szCs w:val="20"/>
          <w:color w:val="auto"/>
        </w:rPr>
      </w:pPr>
      <w:r>
        <w:rPr>
          <w:rFonts w:ascii="Arial" w:cs="Arial" w:eastAsia="Arial" w:hAnsi="Arial"/>
          <w:sz w:val="18"/>
          <w:szCs w:val="18"/>
          <w:color w:val="auto"/>
        </w:rPr>
        <w:t>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w:t>
      </w: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675" w:right="6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077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136130" cy="58077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80" w:right="260" w:firstLine="435"/>
        <w:spacing w:after="0" w:line="289" w:lineRule="auto"/>
        <w:rPr>
          <w:sz w:val="20"/>
          <w:szCs w:val="20"/>
          <w:color w:val="auto"/>
        </w:rPr>
      </w:pPr>
      <w:r>
        <w:rPr>
          <w:rFonts w:ascii="Arial" w:cs="Arial" w:eastAsia="Arial" w:hAnsi="Arial"/>
          <w:sz w:val="16"/>
          <w:szCs w:val="16"/>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66" w:lineRule="exact"/>
        <w:rPr>
          <w:sz w:val="20"/>
          <w:szCs w:val="20"/>
          <w:color w:val="auto"/>
        </w:rPr>
      </w:pPr>
    </w:p>
    <w:p>
      <w:pPr>
        <w:ind w:left="180" w:right="480" w:firstLine="435"/>
        <w:spacing w:after="0" w:line="311" w:lineRule="auto"/>
        <w:rPr>
          <w:sz w:val="20"/>
          <w:szCs w:val="20"/>
          <w:color w:val="auto"/>
        </w:rPr>
      </w:pPr>
      <w:r>
        <w:rPr>
          <w:rFonts w:ascii="Arial" w:cs="Arial" w:eastAsia="Arial" w:hAnsi="Arial"/>
          <w:sz w:val="16"/>
          <w:szCs w:val="16"/>
          <w:color w:val="auto"/>
        </w:rPr>
        <w:t>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w:t>
      </w:r>
    </w:p>
    <w:p>
      <w:pPr>
        <w:spacing w:after="0" w:line="149" w:lineRule="exact"/>
        <w:rPr>
          <w:sz w:val="20"/>
          <w:szCs w:val="20"/>
          <w:color w:val="auto"/>
        </w:rPr>
      </w:pPr>
    </w:p>
    <w:p>
      <w:pPr>
        <w:ind w:left="180" w:right="220" w:firstLine="435"/>
        <w:spacing w:after="0" w:line="273" w:lineRule="auto"/>
        <w:rPr>
          <w:sz w:val="20"/>
          <w:szCs w:val="20"/>
          <w:color w:val="auto"/>
        </w:rPr>
      </w:pPr>
      <w:r>
        <w:rPr>
          <w:rFonts w:ascii="Arial" w:cs="Arial" w:eastAsia="Arial" w:hAnsi="Arial"/>
          <w:sz w:val="17"/>
          <w:szCs w:val="17"/>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Use of Proceeds</w:t>
            </w:r>
          </w:p>
        </w:tc>
        <w:tc>
          <w:tcPr>
            <w:tcW w:w="8180" w:type="dxa"/>
            <w:vAlign w:val="bottom"/>
          </w:tcPr>
          <w:p>
            <w:pPr>
              <w:ind w:left="1260"/>
              <w:spacing w:after="0"/>
              <w:rPr>
                <w:sz w:val="20"/>
                <w:szCs w:val="20"/>
                <w:color w:val="auto"/>
              </w:rPr>
            </w:pPr>
            <w:r>
              <w:rPr>
                <w:rFonts w:ascii="Arial" w:cs="Arial" w:eastAsia="Arial" w:hAnsi="Arial"/>
                <w:sz w:val="18"/>
                <w:szCs w:val="18"/>
                <w:color w:val="auto"/>
                <w:w w:val="96"/>
              </w:rPr>
              <w:t>Unless otherwise specified in a prospectus supplement, we intend to use the net proceeds</w:t>
            </w:r>
          </w:p>
        </w:tc>
      </w:tr>
      <w:tr>
        <w:trPr>
          <w:trHeight w:val="216"/>
        </w:trPr>
        <w:tc>
          <w:tcPr>
            <w:tcW w:w="3060" w:type="dxa"/>
            <w:vAlign w:val="bottom"/>
          </w:tcPr>
          <w:p>
            <w:pPr>
              <w:spacing w:after="0"/>
              <w:rPr>
                <w:sz w:val="18"/>
                <w:szCs w:val="18"/>
                <w:color w:val="auto"/>
              </w:rPr>
            </w:pPr>
          </w:p>
        </w:tc>
        <w:tc>
          <w:tcPr>
            <w:tcW w:w="8180" w:type="dxa"/>
            <w:vAlign w:val="bottom"/>
          </w:tcPr>
          <w:p>
            <w:pPr>
              <w:ind w:left="1260"/>
              <w:spacing w:after="0"/>
              <w:rPr>
                <w:sz w:val="20"/>
                <w:szCs w:val="20"/>
                <w:color w:val="auto"/>
              </w:rPr>
            </w:pPr>
            <w:r>
              <w:rPr>
                <w:rFonts w:ascii="Arial" w:cs="Arial" w:eastAsia="Arial" w:hAnsi="Arial"/>
                <w:sz w:val="18"/>
                <w:szCs w:val="18"/>
                <w:color w:val="auto"/>
                <w:w w:val="97"/>
              </w:rPr>
              <w:t>from the sale of our securities for general corporate purposes, which may include, among</w:t>
            </w:r>
          </w:p>
        </w:tc>
      </w:tr>
      <w:tr>
        <w:trPr>
          <w:trHeight w:val="216"/>
        </w:trPr>
        <w:tc>
          <w:tcPr>
            <w:tcW w:w="3060" w:type="dxa"/>
            <w:vAlign w:val="bottom"/>
          </w:tcPr>
          <w:p>
            <w:pPr>
              <w:spacing w:after="0"/>
              <w:rPr>
                <w:sz w:val="18"/>
                <w:szCs w:val="18"/>
                <w:color w:val="auto"/>
              </w:rPr>
            </w:pPr>
          </w:p>
        </w:tc>
        <w:tc>
          <w:tcPr>
            <w:tcW w:w="8180" w:type="dxa"/>
            <w:vAlign w:val="bottom"/>
          </w:tcPr>
          <w:p>
            <w:pPr>
              <w:ind w:left="1260"/>
              <w:spacing w:after="0"/>
              <w:rPr>
                <w:sz w:val="20"/>
                <w:szCs w:val="20"/>
                <w:color w:val="auto"/>
              </w:rPr>
            </w:pPr>
            <w:r>
              <w:rPr>
                <w:rFonts w:ascii="Arial" w:cs="Arial" w:eastAsia="Arial" w:hAnsi="Arial"/>
                <w:sz w:val="18"/>
                <w:szCs w:val="18"/>
                <w:color w:val="auto"/>
                <w:w w:val="97"/>
              </w:rPr>
              <w:t>other things, investing in portfolio companies in accordance with our investment objective</w:t>
            </w:r>
          </w:p>
        </w:tc>
      </w:tr>
      <w:tr>
        <w:trPr>
          <w:trHeight w:val="230"/>
        </w:trPr>
        <w:tc>
          <w:tcPr>
            <w:tcW w:w="3060" w:type="dxa"/>
            <w:vAlign w:val="bottom"/>
          </w:tcPr>
          <w:p>
            <w:pPr>
              <w:spacing w:after="0"/>
              <w:rPr>
                <w:sz w:val="20"/>
                <w:szCs w:val="20"/>
                <w:color w:val="auto"/>
              </w:rPr>
            </w:pPr>
          </w:p>
        </w:tc>
        <w:tc>
          <w:tcPr>
            <w:tcW w:w="8180" w:type="dxa"/>
            <w:vAlign w:val="bottom"/>
          </w:tcPr>
          <w:p>
            <w:pPr>
              <w:ind w:left="1260"/>
              <w:spacing w:after="0"/>
              <w:rPr>
                <w:sz w:val="20"/>
                <w:szCs w:val="20"/>
                <w:color w:val="auto"/>
              </w:rPr>
            </w:pPr>
            <w:r>
              <w:rPr>
                <w:rFonts w:ascii="Arial" w:cs="Arial" w:eastAsia="Arial" w:hAnsi="Arial"/>
                <w:sz w:val="18"/>
                <w:szCs w:val="18"/>
                <w:color w:val="auto"/>
              </w:rPr>
              <w:t>and repaying indebtedness (which will be subject to reborrowing).</w:t>
            </w:r>
          </w:p>
        </w:tc>
      </w:tr>
      <w:tr>
        <w:trPr>
          <w:trHeight w:val="445"/>
        </w:trPr>
        <w:tc>
          <w:tcPr>
            <w:tcW w:w="3060" w:type="dxa"/>
            <w:vAlign w:val="bottom"/>
          </w:tcPr>
          <w:p>
            <w:pPr>
              <w:spacing w:after="0"/>
              <w:rPr>
                <w:sz w:val="24"/>
                <w:szCs w:val="24"/>
                <w:color w:val="auto"/>
              </w:rPr>
            </w:pPr>
          </w:p>
        </w:tc>
        <w:tc>
          <w:tcPr>
            <w:tcW w:w="8180" w:type="dxa"/>
            <w:vAlign w:val="bottom"/>
          </w:tcPr>
          <w:p>
            <w:pPr>
              <w:ind w:left="1260"/>
              <w:spacing w:after="0"/>
              <w:rPr>
                <w:sz w:val="20"/>
                <w:szCs w:val="20"/>
                <w:color w:val="auto"/>
              </w:rPr>
            </w:pPr>
            <w:r>
              <w:rPr>
                <w:rFonts w:ascii="Arial" w:cs="Arial" w:eastAsia="Arial" w:hAnsi="Arial"/>
                <w:sz w:val="18"/>
                <w:szCs w:val="18"/>
                <w:color w:val="auto"/>
                <w:w w:val="96"/>
              </w:rPr>
              <w:t>Each supplement to this prospectus relating to an offering will more fully identify the use of</w:t>
            </w:r>
          </w:p>
        </w:tc>
      </w:tr>
      <w:tr>
        <w:trPr>
          <w:trHeight w:val="230"/>
        </w:trPr>
        <w:tc>
          <w:tcPr>
            <w:tcW w:w="3060" w:type="dxa"/>
            <w:vAlign w:val="bottom"/>
          </w:tcPr>
          <w:p>
            <w:pPr>
              <w:spacing w:after="0"/>
              <w:rPr>
                <w:sz w:val="20"/>
                <w:szCs w:val="20"/>
                <w:color w:val="auto"/>
              </w:rPr>
            </w:pPr>
          </w:p>
        </w:tc>
        <w:tc>
          <w:tcPr>
            <w:tcW w:w="8180" w:type="dxa"/>
            <w:vAlign w:val="bottom"/>
          </w:tcPr>
          <w:p>
            <w:pPr>
              <w:ind w:left="1260"/>
              <w:spacing w:after="0"/>
              <w:rPr>
                <w:sz w:val="20"/>
                <w:szCs w:val="20"/>
                <w:color w:val="auto"/>
              </w:rPr>
            </w:pPr>
            <w:r>
              <w:rPr>
                <w:rFonts w:ascii="Arial" w:cs="Arial" w:eastAsia="Arial" w:hAnsi="Arial"/>
                <w:sz w:val="18"/>
                <w:szCs w:val="18"/>
                <w:color w:val="auto"/>
              </w:rPr>
              <w:t>the proceeds from such offering. See “Use of Proceeds.”</w:t>
            </w:r>
          </w:p>
        </w:tc>
      </w:tr>
      <w:tr>
        <w:trPr>
          <w:trHeight w:val="459"/>
        </w:trPr>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Symbol on the NYSE</w:t>
            </w:r>
          </w:p>
        </w:tc>
        <w:tc>
          <w:tcPr>
            <w:tcW w:w="8180" w:type="dxa"/>
            <w:vAlign w:val="bottom"/>
          </w:tcPr>
          <w:p>
            <w:pPr>
              <w:ind w:left="1260"/>
              <w:spacing w:after="0"/>
              <w:rPr>
                <w:sz w:val="20"/>
                <w:szCs w:val="20"/>
                <w:color w:val="auto"/>
              </w:rPr>
            </w:pPr>
            <w:r>
              <w:rPr>
                <w:rFonts w:ascii="Arial" w:cs="Arial" w:eastAsia="Arial" w:hAnsi="Arial"/>
                <w:sz w:val="18"/>
                <w:szCs w:val="18"/>
                <w:color w:val="auto"/>
              </w:rPr>
              <w:t>“TSLX”</w:t>
            </w:r>
          </w:p>
        </w:tc>
      </w:tr>
      <w:tr>
        <w:trPr>
          <w:trHeight w:val="458"/>
        </w:trPr>
        <w:tc>
          <w:tcPr>
            <w:tcW w:w="3060" w:type="dxa"/>
            <w:vAlign w:val="bottom"/>
          </w:tcPr>
          <w:p>
            <w:pPr>
              <w:ind w:left="200"/>
              <w:spacing w:after="0"/>
              <w:rPr>
                <w:sz w:val="20"/>
                <w:szCs w:val="20"/>
                <w:color w:val="auto"/>
              </w:rPr>
            </w:pPr>
            <w:r>
              <w:rPr>
                <w:rFonts w:ascii="Arial" w:cs="Arial" w:eastAsia="Arial" w:hAnsi="Arial"/>
                <w:sz w:val="18"/>
                <w:szCs w:val="18"/>
                <w:b w:val="1"/>
                <w:bCs w:val="1"/>
                <w:color w:val="auto"/>
              </w:rPr>
              <w:t>Distributions</w:t>
            </w:r>
          </w:p>
        </w:tc>
        <w:tc>
          <w:tcPr>
            <w:tcW w:w="8180" w:type="dxa"/>
            <w:vAlign w:val="bottom"/>
          </w:tcPr>
          <w:p>
            <w:pPr>
              <w:ind w:left="1260"/>
              <w:spacing w:after="0"/>
              <w:rPr>
                <w:sz w:val="20"/>
                <w:szCs w:val="20"/>
                <w:color w:val="auto"/>
              </w:rPr>
            </w:pPr>
            <w:r>
              <w:rPr>
                <w:rFonts w:ascii="Arial" w:cs="Arial" w:eastAsia="Arial" w:hAnsi="Arial"/>
                <w:sz w:val="18"/>
                <w:szCs w:val="18"/>
                <w:color w:val="auto"/>
                <w:w w:val="95"/>
              </w:rPr>
              <w:t>To the extent we have earnings available for distribution, we expect to continue distributing</w:t>
            </w:r>
          </w:p>
        </w:tc>
      </w:tr>
      <w:tr>
        <w:trPr>
          <w:trHeight w:val="216"/>
        </w:trPr>
        <w:tc>
          <w:tcPr>
            <w:tcW w:w="3060" w:type="dxa"/>
            <w:vAlign w:val="bottom"/>
          </w:tcPr>
          <w:p>
            <w:pPr>
              <w:spacing w:after="0"/>
              <w:rPr>
                <w:sz w:val="18"/>
                <w:szCs w:val="18"/>
                <w:color w:val="auto"/>
              </w:rPr>
            </w:pPr>
          </w:p>
        </w:tc>
        <w:tc>
          <w:tcPr>
            <w:tcW w:w="8180" w:type="dxa"/>
            <w:vAlign w:val="bottom"/>
          </w:tcPr>
          <w:p>
            <w:pPr>
              <w:ind w:left="1260"/>
              <w:spacing w:after="0"/>
              <w:rPr>
                <w:sz w:val="20"/>
                <w:szCs w:val="20"/>
                <w:color w:val="auto"/>
              </w:rPr>
            </w:pPr>
            <w:r>
              <w:rPr>
                <w:rFonts w:ascii="Arial" w:cs="Arial" w:eastAsia="Arial" w:hAnsi="Arial"/>
                <w:sz w:val="18"/>
                <w:szCs w:val="18"/>
                <w:color w:val="auto"/>
                <w:w w:val="96"/>
              </w:rPr>
              <w:t>quarterly dividends to our stockholders. The specific tax characteristics of our distributions</w:t>
            </w:r>
          </w:p>
        </w:tc>
      </w:tr>
      <w:tr>
        <w:trPr>
          <w:trHeight w:val="216"/>
        </w:trPr>
        <w:tc>
          <w:tcPr>
            <w:tcW w:w="3060" w:type="dxa"/>
            <w:vAlign w:val="bottom"/>
          </w:tcPr>
          <w:p>
            <w:pPr>
              <w:spacing w:after="0"/>
              <w:rPr>
                <w:sz w:val="18"/>
                <w:szCs w:val="18"/>
                <w:color w:val="auto"/>
              </w:rPr>
            </w:pPr>
          </w:p>
        </w:tc>
        <w:tc>
          <w:tcPr>
            <w:tcW w:w="8180" w:type="dxa"/>
            <w:vAlign w:val="bottom"/>
          </w:tcPr>
          <w:p>
            <w:pPr>
              <w:ind w:left="1260"/>
              <w:spacing w:after="0"/>
              <w:rPr>
                <w:sz w:val="20"/>
                <w:szCs w:val="20"/>
                <w:color w:val="auto"/>
              </w:rPr>
            </w:pPr>
            <w:r>
              <w:rPr>
                <w:rFonts w:ascii="Arial" w:cs="Arial" w:eastAsia="Arial" w:hAnsi="Arial"/>
                <w:sz w:val="18"/>
                <w:szCs w:val="18"/>
                <w:color w:val="auto"/>
                <w:w w:val="93"/>
              </w:rPr>
              <w:t>will be reported to stockholders after the end of the calendar year. Future quarterly dividends,</w:t>
            </w:r>
          </w:p>
        </w:tc>
      </w:tr>
      <w:tr>
        <w:trPr>
          <w:trHeight w:val="216"/>
        </w:trPr>
        <w:tc>
          <w:tcPr>
            <w:tcW w:w="3060" w:type="dxa"/>
            <w:vAlign w:val="bottom"/>
          </w:tcPr>
          <w:p>
            <w:pPr>
              <w:spacing w:after="0"/>
              <w:rPr>
                <w:sz w:val="18"/>
                <w:szCs w:val="18"/>
                <w:color w:val="auto"/>
              </w:rPr>
            </w:pPr>
          </w:p>
        </w:tc>
        <w:tc>
          <w:tcPr>
            <w:tcW w:w="8180" w:type="dxa"/>
            <w:vAlign w:val="bottom"/>
          </w:tcPr>
          <w:p>
            <w:pPr>
              <w:ind w:left="1260"/>
              <w:spacing w:after="0"/>
              <w:rPr>
                <w:sz w:val="20"/>
                <w:szCs w:val="20"/>
                <w:color w:val="auto"/>
              </w:rPr>
            </w:pPr>
            <w:r>
              <w:rPr>
                <w:rFonts w:ascii="Arial" w:cs="Arial" w:eastAsia="Arial" w:hAnsi="Arial"/>
                <w:sz w:val="18"/>
                <w:szCs w:val="18"/>
                <w:color w:val="auto"/>
              </w:rPr>
              <w:t>if any, will be determined by our Board. See “Price Range of Common Stock and</w:t>
            </w:r>
          </w:p>
        </w:tc>
      </w:tr>
      <w:tr>
        <w:trPr>
          <w:trHeight w:val="230"/>
        </w:trPr>
        <w:tc>
          <w:tcPr>
            <w:tcW w:w="3060" w:type="dxa"/>
            <w:vAlign w:val="bottom"/>
          </w:tcPr>
          <w:p>
            <w:pPr>
              <w:spacing w:after="0"/>
              <w:rPr>
                <w:sz w:val="20"/>
                <w:szCs w:val="20"/>
                <w:color w:val="auto"/>
              </w:rPr>
            </w:pPr>
          </w:p>
        </w:tc>
        <w:tc>
          <w:tcPr>
            <w:tcW w:w="8180" w:type="dxa"/>
            <w:vAlign w:val="bottom"/>
          </w:tcPr>
          <w:p>
            <w:pPr>
              <w:ind w:left="1260"/>
              <w:spacing w:after="0"/>
              <w:rPr>
                <w:sz w:val="20"/>
                <w:szCs w:val="20"/>
                <w:color w:val="auto"/>
              </w:rPr>
            </w:pPr>
            <w:r>
              <w:rPr>
                <w:rFonts w:ascii="Arial" w:cs="Arial" w:eastAsia="Arial" w:hAnsi="Arial"/>
                <w:sz w:val="18"/>
                <w:szCs w:val="18"/>
                <w:color w:val="auto"/>
              </w:rPr>
              <w:t>Distributions.”</w:t>
            </w:r>
          </w:p>
        </w:tc>
      </w:tr>
      <w:tr>
        <w:trPr>
          <w:trHeight w:val="172"/>
        </w:trPr>
        <w:tc>
          <w:tcPr>
            <w:tcW w:w="3060" w:type="dxa"/>
            <w:vAlign w:val="bottom"/>
            <w:tcBorders>
              <w:bottom w:val="single" w:sz="8" w:color="auto"/>
            </w:tcBorders>
          </w:tcPr>
          <w:p>
            <w:pPr>
              <w:spacing w:after="0"/>
              <w:rPr>
                <w:sz w:val="14"/>
                <w:szCs w:val="14"/>
                <w:color w:val="auto"/>
              </w:rPr>
            </w:pPr>
          </w:p>
        </w:tc>
        <w:tc>
          <w:tcPr>
            <w:tcW w:w="8180" w:type="dxa"/>
            <w:vAlign w:val="bottom"/>
            <w:tcBorders>
              <w:bottom w:val="single" w:sz="8" w:color="auto"/>
            </w:tcBorders>
          </w:tcPr>
          <w:p>
            <w:pPr>
              <w:spacing w:after="0"/>
              <w:rPr>
                <w:sz w:val="14"/>
                <w:szCs w:val="14"/>
                <w:color w:val="auto"/>
              </w:rPr>
            </w:pPr>
          </w:p>
        </w:tc>
      </w:tr>
      <w:tr>
        <w:trPr>
          <w:trHeight w:val="361"/>
        </w:trPr>
        <w:tc>
          <w:tcPr>
            <w:tcW w:w="3060" w:type="dxa"/>
            <w:vAlign w:val="bottom"/>
          </w:tcPr>
          <w:p>
            <w:pPr>
              <w:spacing w:after="0"/>
              <w:rPr>
                <w:sz w:val="24"/>
                <w:szCs w:val="24"/>
                <w:color w:val="auto"/>
              </w:rPr>
            </w:pPr>
          </w:p>
        </w:tc>
        <w:tc>
          <w:tcPr>
            <w:tcW w:w="8180" w:type="dxa"/>
            <w:vAlign w:val="bottom"/>
          </w:tcPr>
          <w:p>
            <w:pPr>
              <w:ind w:left="248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320" w:top="67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34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gridSpan w:val="2"/>
          </w:tcPr>
          <w:p>
            <w:pPr>
              <w:ind w:left="980"/>
              <w:spacing w:after="0"/>
              <w:rPr>
                <w:sz w:val="20"/>
                <w:szCs w:val="20"/>
                <w:color w:val="auto"/>
              </w:rPr>
            </w:pPr>
            <w:r>
              <w:rPr>
                <w:rFonts w:ascii="Arial" w:cs="Arial" w:eastAsia="Arial" w:hAnsi="Arial"/>
                <w:sz w:val="18"/>
                <w:szCs w:val="18"/>
                <w:color w:val="auto"/>
                <w:w w:val="96"/>
              </w:rPr>
              <w:t>To maintain our tax treatment as a RIC, we must make certain distributions. See “Material</w:t>
            </w:r>
          </w:p>
        </w:tc>
      </w:tr>
      <w:tr>
        <w:trPr>
          <w:trHeight w:val="230"/>
        </w:trPr>
        <w:tc>
          <w:tcPr>
            <w:tcW w:w="334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5"/>
              </w:rPr>
              <w:t>U.S. Federal Income Tax Considerations—Regulated Investment Company Classification.”</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Anti-Takeover Provisions</w:t>
            </w: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4"/>
              </w:rPr>
              <w:t>Our Board is divided into three classes of directors serving staggered three-year terms. This</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8"/>
              </w:rPr>
              <w:t>structure is intended to provide us with a greater likelihood of continuity of management,</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2"/>
              </w:rPr>
              <w:t>which may be necessary for us to realize the full value of our investments. A staggered board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3"/>
              </w:rPr>
              <w:t>of directors also may serve to deter hostile takeovers or proxy contests, as may certain other</w:t>
            </w:r>
          </w:p>
        </w:tc>
      </w:tr>
      <w:tr>
        <w:trPr>
          <w:trHeight w:val="230"/>
        </w:trPr>
        <w:tc>
          <w:tcPr>
            <w:tcW w:w="334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3"/>
              </w:rPr>
              <w:t>measures adopted by us. See “Description of Our Capital Stock—Anti-Takeover Provisions.”</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Leverage</w:t>
            </w: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3"/>
              </w:rPr>
              <w:t>As a BDC, we are permitted under the 1940 Act to borrow funds or issue senior securities to</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7"/>
              </w:rPr>
              <w:t>finance a portion of our investments. As a result, we are exposed to the risks of leverage,</w:t>
            </w:r>
          </w:p>
        </w:tc>
      </w:tr>
      <w:tr>
        <w:trPr>
          <w:trHeight w:val="230"/>
        </w:trPr>
        <w:tc>
          <w:tcPr>
            <w:tcW w:w="334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34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8"/>
              </w:rPr>
              <w:t>Leverage increases the potential for gain and loss on amounts invested and, as a result,</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4"/>
              </w:rPr>
              <w:t>increases the risks associated with investing in our securities. The costs associated with our</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9"/>
              </w:rPr>
              <w:t>borrowings, including any increase in the fees payable to the Adviser, are borne by our</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5"/>
              </w:rPr>
              <w:t>stockholders. Any decision on our part to use borrowings depends upon our assessment of</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3"/>
              </w:rPr>
              <w:t>the attractiveness of available investment opportunities in relation to the costs and perceived</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2"/>
              </w:rPr>
              <w:t>risks of such leverage. See “Regulation as a Business Development Company” in Part I, Item</w:t>
            </w:r>
          </w:p>
        </w:tc>
      </w:tr>
      <w:tr>
        <w:trPr>
          <w:trHeight w:val="230"/>
        </w:trPr>
        <w:tc>
          <w:tcPr>
            <w:tcW w:w="334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rPr>
              <w:t>1 of our 2021 Annual Report.</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Dividend Reinvestment Plan</w:t>
            </w: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6"/>
              </w:rPr>
              <w:t>We have adopted a dividend reinvestment plan for our stockholders, which is an “opt out”</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4"/>
              </w:rPr>
              <w:t>distribution, our stockholders who have not elected to “opt out” of our dividend reinvestment</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9"/>
              </w:rPr>
              <w:t>plan will have their cash distribution automatically reinvested in additional shares of our</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8"/>
              </w:rPr>
              <w:t>common stock, rather than receiving the cash distribution. If a stockholder elects to “opt</w:t>
            </w:r>
          </w:p>
        </w:tc>
      </w:tr>
      <w:tr>
        <w:trPr>
          <w:trHeight w:val="230"/>
        </w:trPr>
        <w:tc>
          <w:tcPr>
            <w:tcW w:w="334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rPr>
              <w:t>out,” that stockholder will receive cash dividends or other distributions.</w:t>
            </w:r>
          </w:p>
        </w:tc>
      </w:tr>
      <w:tr>
        <w:trPr>
          <w:trHeight w:val="445"/>
        </w:trPr>
        <w:tc>
          <w:tcPr>
            <w:tcW w:w="334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Taxation</w:t>
            </w: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2"/>
              </w:rPr>
              <w:t>We have elected to be treated as a RIC for U.S. federal income tax purposes. Our status as a</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6"/>
              </w:rPr>
              <w:t>RIC will enable us to deduct qualifying distributions to our stockholders, so that we will be</w:t>
            </w:r>
          </w:p>
        </w:tc>
      </w:tr>
      <w:tr>
        <w:trPr>
          <w:trHeight w:val="216"/>
        </w:trPr>
        <w:tc>
          <w:tcPr>
            <w:tcW w:w="334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6"/>
              </w:rPr>
              <w:t>subject to corporate-level U.S. federal income taxation only in respect of earnings that we</w:t>
            </w:r>
          </w:p>
        </w:tc>
      </w:tr>
      <w:tr>
        <w:trPr>
          <w:trHeight w:val="230"/>
        </w:trPr>
        <w:tc>
          <w:tcPr>
            <w:tcW w:w="334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rPr>
              <w:t>retain and do not distribute.</w:t>
            </w:r>
          </w:p>
        </w:tc>
      </w:tr>
      <w:tr>
        <w:trPr>
          <w:trHeight w:val="445"/>
        </w:trPr>
        <w:tc>
          <w:tcPr>
            <w:tcW w:w="3340" w:type="dxa"/>
            <w:vAlign w:val="bottom"/>
            <w:tcBorders>
              <w:left w:val="single" w:sz="8" w:color="auto"/>
            </w:tcBorders>
          </w:tcPr>
          <w:p>
            <w:pPr>
              <w:spacing w:after="0"/>
              <w:rPr>
                <w:sz w:val="24"/>
                <w:szCs w:val="24"/>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w w:val="96"/>
              </w:rPr>
              <w:t>To maintain our status as a RIC and to avoid being subject to corporate-level U.S. federal</w:t>
            </w:r>
          </w:p>
        </w:tc>
      </w:tr>
      <w:tr>
        <w:trPr>
          <w:trHeight w:val="230"/>
        </w:trPr>
        <w:tc>
          <w:tcPr>
            <w:tcW w:w="334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gridSpan w:val="2"/>
          </w:tcPr>
          <w:p>
            <w:pPr>
              <w:ind w:left="98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340" w:type="dxa"/>
            <w:vAlign w:val="bottom"/>
            <w:tcBorders>
              <w:left w:val="single" w:sz="8" w:color="auto"/>
            </w:tcBorders>
          </w:tcPr>
          <w:p>
            <w:pPr>
              <w:spacing w:after="0"/>
              <w:rPr>
                <w:sz w:val="24"/>
                <w:szCs w:val="24"/>
                <w:color w:val="auto"/>
              </w:rPr>
            </w:pP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6340" w:type="dxa"/>
            <w:vAlign w:val="bottom"/>
            <w:tcBorders>
              <w:right w:val="single" w:sz="8" w:color="auto"/>
            </w:tcBorders>
          </w:tcPr>
          <w:p>
            <w:pPr>
              <w:jc w:val="right"/>
              <w:ind w:right="1410"/>
              <w:spacing w:after="0"/>
              <w:rPr>
                <w:sz w:val="20"/>
                <w:szCs w:val="20"/>
                <w:color w:val="auto"/>
              </w:rPr>
            </w:pPr>
            <w:r>
              <w:rPr>
                <w:rFonts w:ascii="Arial" w:cs="Arial" w:eastAsia="Arial" w:hAnsi="Arial"/>
                <w:sz w:val="18"/>
                <w:szCs w:val="18"/>
                <w:color w:val="auto"/>
                <w:w w:val="93"/>
              </w:rPr>
              <w:t>maintain our election under the 1940 Act to be treated as a BDC;</w:t>
            </w:r>
          </w:p>
        </w:tc>
      </w:tr>
      <w:tr>
        <w:trPr>
          <w:trHeight w:val="159"/>
        </w:trPr>
        <w:tc>
          <w:tcPr>
            <w:tcW w:w="3340" w:type="dxa"/>
            <w:vAlign w:val="bottom"/>
            <w:tcBorders>
              <w:left w:val="single" w:sz="8" w:color="auto"/>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6340" w:type="dxa"/>
            <w:vAlign w:val="bottom"/>
            <w:tcBorders>
              <w:bottom w:val="single" w:sz="8" w:color="auto"/>
              <w:right w:val="single" w:sz="8" w:color="auto"/>
            </w:tcBorders>
          </w:tcPr>
          <w:p>
            <w:pPr>
              <w:spacing w:after="0"/>
              <w:rPr>
                <w:sz w:val="13"/>
                <w:szCs w:val="13"/>
                <w:color w:val="auto"/>
              </w:rPr>
            </w:pPr>
          </w:p>
        </w:tc>
      </w:tr>
      <w:tr>
        <w:trPr>
          <w:trHeight w:val="361"/>
        </w:trPr>
        <w:tc>
          <w:tcPr>
            <w:tcW w:w="3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340" w:type="dxa"/>
            <w:vAlign w:val="bottom"/>
          </w:tcPr>
          <w:p>
            <w:pPr>
              <w:jc w:val="right"/>
              <w:ind w:right="543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67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4559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36130" cy="5455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080" w:right="480" w:hanging="439"/>
        <w:spacing w:after="0" w:line="263" w:lineRule="auto"/>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89" w:lineRule="exact"/>
        <w:rPr>
          <w:sz w:val="20"/>
          <w:szCs w:val="20"/>
          <w:color w:val="auto"/>
        </w:rPr>
      </w:pPr>
    </w:p>
    <w:p>
      <w:pPr>
        <w:ind w:left="4640"/>
        <w:spacing w:after="0"/>
        <w:tabs>
          <w:tab w:leader="none" w:pos="5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maintain diversified holdings.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5"/>
              </w:rPr>
              <w:t>In addition, we must distribute (or be treated as distributing) in each taxable year dividends</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6"/>
              </w:rPr>
              <w:t>for tax purposes equal to at least 90% of our investment company taxable income and net</w:t>
            </w:r>
          </w:p>
        </w:tc>
      </w:tr>
      <w:tr>
        <w:trPr>
          <w:trHeight w:val="230"/>
        </w:trPr>
        <w:tc>
          <w:tcPr>
            <w:tcW w:w="3340" w:type="dxa"/>
            <w:vAlign w:val="bottom"/>
          </w:tcPr>
          <w:p>
            <w:pPr>
              <w:spacing w:after="0"/>
              <w:rPr>
                <w:sz w:val="20"/>
                <w:szCs w:val="20"/>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rPr>
              <w:t>tax-exempt income for that taxable year.</w:t>
            </w:r>
          </w:p>
        </w:tc>
      </w:tr>
      <w:tr>
        <w:trPr>
          <w:trHeight w:val="445"/>
        </w:trPr>
        <w:tc>
          <w:tcPr>
            <w:tcW w:w="3340" w:type="dxa"/>
            <w:vAlign w:val="bottom"/>
          </w:tcPr>
          <w:p>
            <w:pPr>
              <w:spacing w:after="0"/>
              <w:rPr>
                <w:sz w:val="24"/>
                <w:szCs w:val="24"/>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5"/>
              </w:rPr>
              <w:t>As a RIC, we generally will not be subject to corporate-level U.S. federal income tax on our</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4"/>
              </w:rPr>
              <w:t>investment company taxable income and net capital gains that we distribute to stockholders.</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rPr>
              <w:t>If we fail to distribute our investment company taxable income or net capital gains on a</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7"/>
              </w:rPr>
              <w:t>timely basis, we will be subject to a nondeductible 4% U.S. federal excise tax. We can be</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8"/>
              </w:rPr>
              <w:t>expected to carry forward investment company taxable income in excess of current year</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5"/>
              </w:rPr>
              <w:t>distributions into the next tax year and pay a 4% excise tax on such income. We elected to</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4"/>
              </w:rPr>
              <w:t>retain a portion of income and capital gains for the nine months ended September 30, 2022.</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7"/>
              </w:rPr>
              <w:t>For the three and nine months ended September 30, 2022 we recorded a net expense of</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7"/>
              </w:rPr>
              <w:t>$0.4 million and $1.5 million, respectively, for U.S. federal excise tax and other taxes. For</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2"/>
              </w:rPr>
              <w:t>the three and nine months ended September 30, 2021, the Company recorded a net expense</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4"/>
              </w:rPr>
              <w:t>of $0.1 million and $0.7 million, respectively, for U.S. federal excise tax and other taxes and</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1"/>
              </w:rPr>
              <w:t>for the calendar years ended December 31, 2021 and 2020 and we recorded a net expense of,</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rPr>
              <w:t>$0.4 million and $5.8 million, respectively, for U.S. federal excise tax as a result. Any</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rPr>
              <w:t>carryover of investment company taxable income or net capital gains must be timely</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4"/>
              </w:rPr>
              <w:t>declared and distributed as a dividend in the taxable year following the taxable year in which</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2"/>
              </w:rPr>
              <w:t>the income or gains were earned. See “Price Range of Common Stock and Distributions” and</w:t>
            </w:r>
          </w:p>
        </w:tc>
      </w:tr>
      <w:tr>
        <w:trPr>
          <w:trHeight w:val="230"/>
        </w:trPr>
        <w:tc>
          <w:tcPr>
            <w:tcW w:w="3340" w:type="dxa"/>
            <w:vAlign w:val="bottom"/>
          </w:tcPr>
          <w:p>
            <w:pPr>
              <w:spacing w:after="0"/>
              <w:rPr>
                <w:sz w:val="20"/>
                <w:szCs w:val="20"/>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rPr>
              <w:t>“Material U.S. Federal Income Tax Considerations.”</w:t>
            </w:r>
          </w:p>
        </w:tc>
      </w:tr>
      <w:tr>
        <w:trPr>
          <w:trHeight w:val="445"/>
        </w:trPr>
        <w:tc>
          <w:tcPr>
            <w:tcW w:w="3340" w:type="dxa"/>
            <w:vAlign w:val="bottom"/>
          </w:tcPr>
          <w:p>
            <w:pPr>
              <w:spacing w:after="0"/>
              <w:rPr>
                <w:sz w:val="24"/>
                <w:szCs w:val="24"/>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4"/>
              </w:rPr>
              <w:t>Stockholders who receive dividends and other distributions in the form of shares of common</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4"/>
              </w:rPr>
              <w:t>stock generally are subject to the same U.S. federal tax consequences as stockholders who</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rPr>
              <w:t>elect to receive their distributions in cash; however, since their cash dividends will be</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5"/>
              </w:rPr>
              <w:t>reinvested, those stockholders will not receive cash with which to pay any applicable taxes</w:t>
            </w:r>
          </w:p>
        </w:tc>
      </w:tr>
      <w:tr>
        <w:trPr>
          <w:trHeight w:val="230"/>
        </w:trPr>
        <w:tc>
          <w:tcPr>
            <w:tcW w:w="3340" w:type="dxa"/>
            <w:vAlign w:val="bottom"/>
          </w:tcPr>
          <w:p>
            <w:pPr>
              <w:spacing w:after="0"/>
              <w:rPr>
                <w:sz w:val="20"/>
                <w:szCs w:val="20"/>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rPr>
              <w:t>on reinvested dividends. See “Dividend Reinvestment Plan.”</w:t>
            </w:r>
          </w:p>
        </w:tc>
      </w:tr>
      <w:tr>
        <w:trPr>
          <w:trHeight w:val="445"/>
        </w:trPr>
        <w:tc>
          <w:tcPr>
            <w:tcW w:w="3340" w:type="dxa"/>
            <w:vAlign w:val="bottom"/>
          </w:tcPr>
          <w:p>
            <w:pPr>
              <w:ind w:left="200"/>
              <w:spacing w:after="0"/>
              <w:rPr>
                <w:sz w:val="20"/>
                <w:szCs w:val="20"/>
                <w:color w:val="auto"/>
              </w:rPr>
            </w:pPr>
            <w:r>
              <w:rPr>
                <w:rFonts w:ascii="Arial" w:cs="Arial" w:eastAsia="Arial" w:hAnsi="Arial"/>
                <w:sz w:val="18"/>
                <w:szCs w:val="18"/>
                <w:b w:val="1"/>
                <w:bCs w:val="1"/>
                <w:color w:val="auto"/>
              </w:rPr>
              <w:t>Management Arrangements</w:t>
            </w:r>
          </w:p>
        </w:tc>
        <w:tc>
          <w:tcPr>
            <w:tcW w:w="7900" w:type="dxa"/>
            <w:vAlign w:val="bottom"/>
          </w:tcPr>
          <w:p>
            <w:pPr>
              <w:ind w:left="980"/>
              <w:spacing w:after="0"/>
              <w:rPr>
                <w:sz w:val="20"/>
                <w:szCs w:val="20"/>
                <w:color w:val="auto"/>
              </w:rPr>
            </w:pPr>
            <w:r>
              <w:rPr>
                <w:rFonts w:ascii="Arial" w:cs="Arial" w:eastAsia="Arial" w:hAnsi="Arial"/>
                <w:sz w:val="18"/>
                <w:szCs w:val="18"/>
                <w:color w:val="auto"/>
                <w:w w:val="96"/>
              </w:rPr>
              <w:t>Our Adviser serves as our investment adviser and our administrator. For more information</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rPr>
              <w:t>regarding our Adviser and Sixth Street and our contractual arrangements with these</w:t>
            </w:r>
          </w:p>
        </w:tc>
      </w:tr>
      <w:tr>
        <w:trPr>
          <w:trHeight w:val="216"/>
        </w:trPr>
        <w:tc>
          <w:tcPr>
            <w:tcW w:w="3340" w:type="dxa"/>
            <w:vAlign w:val="bottom"/>
          </w:tcPr>
          <w:p>
            <w:pPr>
              <w:spacing w:after="0"/>
              <w:rPr>
                <w:sz w:val="18"/>
                <w:szCs w:val="18"/>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w w:val="94"/>
              </w:rPr>
              <w:t>companies, see “Management Agreements” in Part I, Item 1 of our 2021 Annual Report and</w:t>
            </w:r>
          </w:p>
        </w:tc>
      </w:tr>
      <w:tr>
        <w:trPr>
          <w:trHeight w:val="230"/>
        </w:trPr>
        <w:tc>
          <w:tcPr>
            <w:tcW w:w="3340" w:type="dxa"/>
            <w:vAlign w:val="bottom"/>
          </w:tcPr>
          <w:p>
            <w:pPr>
              <w:spacing w:after="0"/>
              <w:rPr>
                <w:sz w:val="20"/>
                <w:szCs w:val="20"/>
                <w:color w:val="auto"/>
              </w:rPr>
            </w:pPr>
          </w:p>
        </w:tc>
        <w:tc>
          <w:tcPr>
            <w:tcW w:w="7900" w:type="dxa"/>
            <w:vAlign w:val="bottom"/>
          </w:tcPr>
          <w:p>
            <w:pPr>
              <w:ind w:left="980"/>
              <w:spacing w:after="0"/>
              <w:rPr>
                <w:sz w:val="20"/>
                <w:szCs w:val="20"/>
                <w:color w:val="auto"/>
              </w:rPr>
            </w:pPr>
            <w:r>
              <w:rPr>
                <w:rFonts w:ascii="Arial" w:cs="Arial" w:eastAsia="Arial" w:hAnsi="Arial"/>
                <w:sz w:val="18"/>
                <w:szCs w:val="18"/>
                <w:color w:val="auto"/>
              </w:rPr>
              <w:t>Note 3 to our consolidated financial statements in our 3Q 2022 Quarterly Report.</w:t>
            </w:r>
          </w:p>
        </w:tc>
      </w:tr>
      <w:tr>
        <w:trPr>
          <w:trHeight w:val="159"/>
        </w:trPr>
        <w:tc>
          <w:tcPr>
            <w:tcW w:w="3340" w:type="dxa"/>
            <w:vAlign w:val="bottom"/>
            <w:tcBorders>
              <w:bottom w:val="single" w:sz="8" w:color="auto"/>
            </w:tcBorders>
          </w:tcPr>
          <w:p>
            <w:pPr>
              <w:spacing w:after="0"/>
              <w:rPr>
                <w:sz w:val="13"/>
                <w:szCs w:val="13"/>
                <w:color w:val="auto"/>
              </w:rPr>
            </w:pPr>
          </w:p>
        </w:tc>
        <w:tc>
          <w:tcPr>
            <w:tcW w:w="7900" w:type="dxa"/>
            <w:vAlign w:val="bottom"/>
            <w:tcBorders>
              <w:bottom w:val="single" w:sz="8" w:color="auto"/>
            </w:tcBorders>
          </w:tcPr>
          <w:p>
            <w:pPr>
              <w:spacing w:after="0"/>
              <w:rPr>
                <w:sz w:val="13"/>
                <w:szCs w:val="13"/>
                <w:color w:val="auto"/>
              </w:rPr>
            </w:pPr>
          </w:p>
        </w:tc>
      </w:tr>
      <w:tr>
        <w:trPr>
          <w:trHeight w:val="361"/>
        </w:trPr>
        <w:tc>
          <w:tcPr>
            <w:tcW w:w="3340" w:type="dxa"/>
            <w:vAlign w:val="bottom"/>
          </w:tcPr>
          <w:p>
            <w:pPr>
              <w:spacing w:after="0"/>
              <w:rPr>
                <w:sz w:val="24"/>
                <w:szCs w:val="24"/>
                <w:color w:val="auto"/>
              </w:rPr>
            </w:pPr>
          </w:p>
        </w:tc>
        <w:tc>
          <w:tcPr>
            <w:tcW w:w="7900" w:type="dxa"/>
            <w:vAlign w:val="bottom"/>
          </w:tcPr>
          <w:p>
            <w:pPr>
              <w:ind w:left="220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320" w:top="67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7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Trading at a Discount</w:t>
            </w:r>
          </w:p>
        </w:tc>
        <w:tc>
          <w:tcPr>
            <w:tcW w:w="74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color w:val="auto"/>
                <w:w w:val="94"/>
              </w:rPr>
              <w:t>Shares of closed-end investment companies, including BDCs, frequently trade at a discount</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5"/>
              </w:rPr>
              <w:t>to their net asset value. We are not generally able to issue and sell our common stock at a</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2"/>
              </w:rPr>
              <w:t>price below our net asset value per share except (a) in connection with a rights offering to our</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8"/>
              </w:rPr>
              <w:t>existing stockholders, (b) with the prior approval of the majority of our outstanding voting</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6"/>
              </w:rPr>
              <w:t>securities or (c) under such other circumstances as the SEC may permit. The risk that our</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1"/>
              </w:rPr>
              <w:t>shares may trade at a discount to our net asset value is separate and distinct from the risk that</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2"/>
              </w:rPr>
              <w:t>our net asset value per share may decline. We cannot predict whether our shares will trade at</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6"/>
              </w:rPr>
              <w:t>a price per share above, at or below net asset value per share. See “Risk Factors—Risks</w:t>
            </w:r>
          </w:p>
        </w:tc>
      </w:tr>
      <w:tr>
        <w:trPr>
          <w:trHeight w:val="230"/>
        </w:trPr>
        <w:tc>
          <w:tcPr>
            <w:tcW w:w="378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Related to Offerings Pursuant to This Prospectus.”</w:t>
            </w:r>
          </w:p>
        </w:tc>
      </w:tr>
      <w:tr>
        <w:trPr>
          <w:trHeight w:val="445"/>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Available Information</w:t>
            </w: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3"/>
              </w:rPr>
              <w:t>We have filed with the SEC a registration statement on Form N-2, of which this prospectus is</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5"/>
              </w:rPr>
              <w:t>a part, under the Securities Act. This registration statement contains additional information</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8"/>
              </w:rPr>
              <w:t>about us and the securities being offered by this prospectus. We are also required to file</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4"/>
              </w:rPr>
              <w:t>periodic reports, current reports, proxy statements and other information with the SEC. This</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information is available at the SEC’s public reference room at 100 F Street, N.E.,</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3"/>
              </w:rPr>
              <w:t>Washington, D.C. 20549 and on the SEC’s website at http://www.sec.gov. Information on the</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operation of the SEC’s public reference room may be obtained by calling the SEC at 1</w:t>
            </w:r>
          </w:p>
        </w:tc>
      </w:tr>
      <w:tr>
        <w:trPr>
          <w:trHeight w:val="230"/>
        </w:trPr>
        <w:tc>
          <w:tcPr>
            <w:tcW w:w="378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(800) SEC-0330.</w:t>
            </w:r>
          </w:p>
        </w:tc>
      </w:tr>
      <w:tr>
        <w:trPr>
          <w:trHeight w:val="445"/>
        </w:trPr>
        <w:tc>
          <w:tcPr>
            <w:tcW w:w="378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3"/>
              </w:rPr>
              <w:t>We maintain a website at https://sixthstreetspecialtylending.com and make all of our periodic</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5"/>
              </w:rPr>
              <w:t>and current reports, proxy statements and other information available, free of charge, on or</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through our website. Information on our website is not incorporated into or part of this</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4"/>
              </w:rPr>
              <w:t>prospectus. You may also obtain such information free of charge by contacting us in writing</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4"/>
              </w:rPr>
              <w:t>at 888 7th Avenue, 41st Floor, New York, NY 10106, Attention: TSLX Investor Relations, or</w:t>
            </w:r>
          </w:p>
        </w:tc>
      </w:tr>
      <w:tr>
        <w:trPr>
          <w:trHeight w:val="230"/>
        </w:trPr>
        <w:tc>
          <w:tcPr>
            <w:tcW w:w="378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by emailing us at IRTSLX@sixthstreet.com.</w:t>
            </w:r>
          </w:p>
        </w:tc>
      </w:tr>
      <w:tr>
        <w:trPr>
          <w:trHeight w:val="445"/>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Information Incorporated by Reference</w:t>
            </w: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6"/>
              </w:rPr>
              <w:t>The rules of the SEC allow us to incorporate by reference information into this prospectus.</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4"/>
              </w:rPr>
              <w:t>The information incorporated by reference is considered to be a part of this prospectus, and</w:t>
            </w:r>
          </w:p>
        </w:tc>
      </w:tr>
      <w:tr>
        <w:trPr>
          <w:trHeight w:val="216"/>
        </w:trPr>
        <w:tc>
          <w:tcPr>
            <w:tcW w:w="378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information that we file later with the SEC will automatically update and supersede this</w:t>
            </w:r>
          </w:p>
        </w:tc>
      </w:tr>
      <w:tr>
        <w:trPr>
          <w:trHeight w:val="230"/>
        </w:trPr>
        <w:tc>
          <w:tcPr>
            <w:tcW w:w="378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information. See “Information Incorporated by Reference” for more information.</w:t>
            </w:r>
          </w:p>
        </w:tc>
      </w:tr>
      <w:tr>
        <w:trPr>
          <w:trHeight w:val="159"/>
        </w:trPr>
        <w:tc>
          <w:tcPr>
            <w:tcW w:w="3780" w:type="dxa"/>
            <w:vAlign w:val="bottom"/>
            <w:tcBorders>
              <w:left w:val="single" w:sz="8" w:color="auto"/>
              <w:bottom w:val="single" w:sz="8" w:color="auto"/>
            </w:tcBorders>
          </w:tcPr>
          <w:p>
            <w:pPr>
              <w:spacing w:after="0"/>
              <w:rPr>
                <w:sz w:val="13"/>
                <w:szCs w:val="13"/>
                <w:color w:val="auto"/>
              </w:rPr>
            </w:pPr>
          </w:p>
        </w:tc>
        <w:tc>
          <w:tcPr>
            <w:tcW w:w="7460" w:type="dxa"/>
            <w:vAlign w:val="bottom"/>
            <w:tcBorders>
              <w:bottom w:val="single" w:sz="8" w:color="auto"/>
              <w:right w:val="single" w:sz="8" w:color="auto"/>
            </w:tcBorders>
          </w:tcPr>
          <w:p>
            <w:pPr>
              <w:spacing w:after="0"/>
              <w:rPr>
                <w:sz w:val="13"/>
                <w:szCs w:val="13"/>
                <w:color w:val="auto"/>
              </w:rPr>
            </w:pPr>
          </w:p>
        </w:tc>
      </w:tr>
      <w:tr>
        <w:trPr>
          <w:trHeight w:val="361"/>
        </w:trPr>
        <w:tc>
          <w:tcPr>
            <w:tcW w:w="3780" w:type="dxa"/>
            <w:vAlign w:val="bottom"/>
          </w:tcPr>
          <w:p>
            <w:pPr>
              <w:spacing w:after="0"/>
              <w:rPr>
                <w:sz w:val="24"/>
                <w:szCs w:val="24"/>
                <w:color w:val="auto"/>
              </w:rPr>
            </w:pPr>
          </w:p>
        </w:tc>
        <w:tc>
          <w:tcPr>
            <w:tcW w:w="7460" w:type="dxa"/>
            <w:vAlign w:val="bottom"/>
          </w:tcPr>
          <w:p>
            <w:pPr>
              <w:ind w:left="17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67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67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6">
                      <a:extLst>
                        <a:ext uri="{28A0092B-C50C-407E-A947-70E740481C1C}"/>
                      </a:extLst>
                    </a:blip>
                    <a:srcRect/>
                    <a:stretch>
                      <a:fillRect/>
                    </a:stretch>
                  </pic:blipFill>
                  <pic:spPr bwMode="auto">
                    <a:xfrm>
                      <a:off x="0" y="0"/>
                      <a:ext cx="713613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80" w:right="140" w:firstLine="435"/>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23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Sales load</w:t>
            </w:r>
          </w:p>
        </w:tc>
        <w:tc>
          <w:tcPr>
            <w:tcW w:w="2320" w:type="dxa"/>
            <w:vAlign w:val="bottom"/>
          </w:tcPr>
          <w:p>
            <w:pPr>
              <w:ind w:left="172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(1)</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2320" w:type="dxa"/>
            <w:vAlign w:val="bottom"/>
            <w:shd w:val="clear" w:color="auto" w:fill="CCEEFF"/>
          </w:tcPr>
          <w:p>
            <w:pPr>
              <w:ind w:left="172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(2)</w:t>
            </w:r>
          </w:p>
        </w:tc>
      </w:tr>
      <w:tr>
        <w:trPr>
          <w:trHeight w:val="324"/>
        </w:trPr>
        <w:tc>
          <w:tcPr>
            <w:tcW w:w="856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2320" w:type="dxa"/>
            <w:vAlign w:val="bottom"/>
          </w:tcPr>
          <w:p>
            <w:pPr>
              <w:ind w:left="172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(3)</w:t>
            </w:r>
          </w:p>
        </w:tc>
      </w:tr>
      <w:tr>
        <w:trPr>
          <w:trHeight w:val="216"/>
        </w:trPr>
        <w:tc>
          <w:tcPr>
            <w:tcW w:w="85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Estimated annual expenses (as a percentage of net assets attributable to common stock)</w:t>
            </w:r>
            <w:r>
              <w:rPr>
                <w:rFonts w:ascii="Arial" w:cs="Arial" w:eastAsia="Arial" w:hAnsi="Arial"/>
                <w:sz w:val="25"/>
                <w:szCs w:val="25"/>
                <w:b w:val="1"/>
                <w:bCs w:val="1"/>
                <w:color w:val="auto"/>
                <w:vertAlign w:val="superscript"/>
              </w:rPr>
              <w:t>(4)</w:t>
            </w:r>
            <w:r>
              <w:rPr>
                <w:rFonts w:ascii="Arial" w:cs="Arial" w:eastAsia="Arial" w:hAnsi="Arial"/>
                <w:sz w:val="17"/>
                <w:szCs w:val="17"/>
                <w:b w:val="1"/>
                <w:bCs w:val="1"/>
                <w:color w:val="auto"/>
              </w:rPr>
              <w:t>:</w:t>
            </w:r>
          </w:p>
        </w:tc>
        <w:tc>
          <w:tcPr>
            <w:tcW w:w="232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2320" w:type="dxa"/>
            <w:vAlign w:val="bottom"/>
          </w:tcPr>
          <w:p>
            <w:pPr>
              <w:ind w:left="1660"/>
              <w:spacing w:after="0" w:line="216" w:lineRule="exact"/>
              <w:rPr>
                <w:sz w:val="20"/>
                <w:szCs w:val="20"/>
                <w:color w:val="auto"/>
              </w:rPr>
            </w:pPr>
            <w:r>
              <w:rPr>
                <w:rFonts w:ascii="Arial" w:cs="Arial" w:eastAsia="Arial" w:hAnsi="Arial"/>
                <w:sz w:val="17"/>
                <w:szCs w:val="17"/>
                <w:color w:val="auto"/>
                <w:w w:val="93"/>
              </w:rPr>
              <w:t>2.91%</w:t>
            </w:r>
            <w:r>
              <w:rPr>
                <w:rFonts w:ascii="Arial" w:cs="Arial" w:eastAsia="Arial" w:hAnsi="Arial"/>
                <w:sz w:val="25"/>
                <w:szCs w:val="25"/>
                <w:color w:val="auto"/>
                <w:w w:val="93"/>
                <w:vertAlign w:val="superscript"/>
              </w:rPr>
              <w:t>(5)</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2320" w:type="dxa"/>
            <w:vAlign w:val="bottom"/>
            <w:shd w:val="clear" w:color="auto" w:fill="CCEEFF"/>
          </w:tcPr>
          <w:p>
            <w:pPr>
              <w:ind w:left="1660"/>
              <w:spacing w:after="0" w:line="216" w:lineRule="exact"/>
              <w:rPr>
                <w:sz w:val="20"/>
                <w:szCs w:val="20"/>
                <w:color w:val="auto"/>
              </w:rPr>
            </w:pPr>
            <w:r>
              <w:rPr>
                <w:rFonts w:ascii="Arial" w:cs="Arial" w:eastAsia="Arial" w:hAnsi="Arial"/>
                <w:sz w:val="17"/>
                <w:szCs w:val="17"/>
                <w:color w:val="auto"/>
                <w:w w:val="93"/>
              </w:rPr>
              <w:t>2.59%</w:t>
            </w:r>
            <w:r>
              <w:rPr>
                <w:rFonts w:ascii="Arial" w:cs="Arial" w:eastAsia="Arial" w:hAnsi="Arial"/>
                <w:sz w:val="25"/>
                <w:szCs w:val="25"/>
                <w:color w:val="auto"/>
                <w:w w:val="93"/>
                <w:vertAlign w:val="superscript"/>
              </w:rPr>
              <w:t>(6)</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2320" w:type="dxa"/>
            <w:vAlign w:val="bottom"/>
          </w:tcPr>
          <w:p>
            <w:pPr>
              <w:ind w:left="1660"/>
              <w:spacing w:after="0" w:line="216" w:lineRule="exact"/>
              <w:rPr>
                <w:sz w:val="20"/>
                <w:szCs w:val="20"/>
                <w:color w:val="auto"/>
              </w:rPr>
            </w:pPr>
            <w:r>
              <w:rPr>
                <w:rFonts w:ascii="Arial" w:cs="Arial" w:eastAsia="Arial" w:hAnsi="Arial"/>
                <w:sz w:val="17"/>
                <w:szCs w:val="17"/>
                <w:color w:val="auto"/>
                <w:w w:val="93"/>
              </w:rPr>
              <w:t>2.47%</w:t>
            </w:r>
            <w:r>
              <w:rPr>
                <w:rFonts w:ascii="Arial" w:cs="Arial" w:eastAsia="Arial" w:hAnsi="Arial"/>
                <w:sz w:val="25"/>
                <w:szCs w:val="25"/>
                <w:color w:val="auto"/>
                <w:w w:val="93"/>
                <w:vertAlign w:val="superscript"/>
              </w:rPr>
              <w:t>(7)</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320" w:type="dxa"/>
            <w:vAlign w:val="bottom"/>
            <w:shd w:val="clear" w:color="auto" w:fill="CCEEFF"/>
          </w:tcPr>
          <w:p>
            <w:pPr>
              <w:ind w:left="1660"/>
              <w:spacing w:after="0" w:line="216" w:lineRule="exact"/>
              <w:rPr>
                <w:sz w:val="20"/>
                <w:szCs w:val="20"/>
                <w:color w:val="auto"/>
              </w:rPr>
            </w:pPr>
            <w:r>
              <w:rPr>
                <w:rFonts w:ascii="Arial" w:cs="Arial" w:eastAsia="Arial" w:hAnsi="Arial"/>
                <w:sz w:val="17"/>
                <w:szCs w:val="17"/>
                <w:color w:val="auto"/>
                <w:w w:val="93"/>
              </w:rPr>
              <w:t>1.06%</w:t>
            </w:r>
            <w:r>
              <w:rPr>
                <w:rFonts w:ascii="Arial" w:cs="Arial" w:eastAsia="Arial" w:hAnsi="Arial"/>
                <w:sz w:val="25"/>
                <w:szCs w:val="25"/>
                <w:color w:val="auto"/>
                <w:w w:val="93"/>
                <w:vertAlign w:val="superscript"/>
              </w:rPr>
              <w:t>(8)</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Total annual expenses</w:t>
            </w:r>
          </w:p>
        </w:tc>
        <w:tc>
          <w:tcPr>
            <w:tcW w:w="2320" w:type="dxa"/>
            <w:vAlign w:val="bottom"/>
          </w:tcPr>
          <w:p>
            <w:pPr>
              <w:ind w:left="1660"/>
              <w:spacing w:after="0"/>
              <w:rPr>
                <w:sz w:val="20"/>
                <w:szCs w:val="20"/>
                <w:color w:val="auto"/>
              </w:rPr>
            </w:pPr>
            <w:r>
              <w:rPr>
                <w:rFonts w:ascii="Arial" w:cs="Arial" w:eastAsia="Arial" w:hAnsi="Arial"/>
                <w:sz w:val="18"/>
                <w:szCs w:val="18"/>
                <w:color w:val="auto"/>
              </w:rPr>
              <w:t>9.07%</w:t>
            </w:r>
          </w:p>
        </w:tc>
      </w:tr>
    </w:tbl>
    <w:p>
      <w:pPr>
        <w:spacing w:after="0" w:line="214" w:lineRule="exact"/>
        <w:rPr>
          <w:sz w:val="20"/>
          <w:szCs w:val="20"/>
          <w:color w:val="auto"/>
        </w:rPr>
      </w:pPr>
    </w:p>
    <w:p>
      <w:pPr>
        <w:ind w:left="620" w:right="180" w:hanging="431"/>
        <w:spacing w:after="0" w:line="258"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220" w:hanging="431"/>
        <w:spacing w:after="0" w:line="250"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20" w:right="180" w:hanging="431"/>
        <w:spacing w:after="0" w:line="265"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ind w:left="620" w:right="640" w:hanging="431"/>
        <w:spacing w:after="0" w:line="250"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$1,275.8 million as of December 31, 2021.</w:t>
      </w:r>
    </w:p>
    <w:p>
      <w:pPr>
        <w:ind w:left="620" w:right="80" w:hanging="431"/>
        <w:spacing w:after="0" w:line="252" w:lineRule="auto"/>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2021 Annual Report and in Note 3 to our consolidated financial statements in our 3Q 2022 Quarterly Report.</w:t>
      </w:r>
    </w:p>
    <w:p>
      <w:pPr>
        <w:spacing w:after="0" w:line="85" w:lineRule="exact"/>
        <w:rPr>
          <w:rFonts w:ascii="Arial" w:cs="Arial" w:eastAsia="Arial" w:hAnsi="Arial"/>
          <w:sz w:val="18"/>
          <w:szCs w:val="18"/>
          <w:color w:val="auto"/>
        </w:rPr>
      </w:pPr>
    </w:p>
    <w:p>
      <w:pPr>
        <w:ind w:left="620" w:right="360"/>
        <w:spacing w:after="0" w:line="277" w:lineRule="auto"/>
        <w:rPr>
          <w:rFonts w:ascii="Arial" w:cs="Arial" w:eastAsia="Arial" w:hAnsi="Arial"/>
          <w:sz w:val="18"/>
          <w:szCs w:val="18"/>
          <w:color w:val="auto"/>
        </w:rPr>
      </w:pPr>
      <w:r>
        <w:rPr>
          <w:rFonts w:ascii="Arial" w:cs="Arial" w:eastAsia="Arial" w:hAnsi="Arial"/>
          <w:sz w:val="18"/>
          <w:szCs w:val="18"/>
          <w:color w:val="auto"/>
        </w:rPr>
        <w:t>The Management Fee reflected in the table is calculated by determining the ratio that the Management Fee for the year ended December 31, 2021 bears to our net assets attributable to common stock (rather than our gross assets).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675" w:right="5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7905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13613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20" w:right="60"/>
        <w:spacing w:after="0" w:line="257" w:lineRule="auto"/>
        <w:rPr>
          <w:sz w:val="20"/>
          <w:szCs w:val="20"/>
          <w:color w:val="auto"/>
        </w:rPr>
      </w:pPr>
      <w:r>
        <w:rPr>
          <w:rFonts w:ascii="Arial" w:cs="Arial" w:eastAsia="Arial" w:hAnsi="Arial"/>
          <w:sz w:val="18"/>
          <w:szCs w:val="18"/>
          <w:color w:val="auto"/>
        </w:rPr>
        <w:t>From time to time, our Adviser voluntarily has waived certain Management Fees. See “Management’s Discussion and Analysis of Financial Condition and Results of Operations—Results of Operations—Management Fees” in Part II, Item 7 of our 2021 Annual Report and in Part I, Item 2 of our 3Q 2022 Quarterly Report. The above estimates are based on our actual Management Fees for the year ended December 31, 2021. For the year ended December 31, 2021, Management Fees of $0.2 million were waived consisting solely of Management Fees pursuant to the Leverage Waiver.</w:t>
      </w:r>
    </w:p>
    <w:p>
      <w:pPr>
        <w:spacing w:after="0" w:line="80" w:lineRule="exact"/>
        <w:rPr>
          <w:sz w:val="20"/>
          <w:szCs w:val="20"/>
          <w:color w:val="auto"/>
        </w:rPr>
      </w:pPr>
    </w:p>
    <w:p>
      <w:pPr>
        <w:ind w:left="620" w:right="20"/>
        <w:spacing w:after="0" w:line="269" w:lineRule="auto"/>
        <w:rPr>
          <w:sz w:val="20"/>
          <w:szCs w:val="20"/>
          <w:color w:val="auto"/>
        </w:rPr>
      </w:pPr>
      <w:r>
        <w:rPr>
          <w:rFonts w:ascii="Arial" w:cs="Arial" w:eastAsia="Arial" w:hAnsi="Arial"/>
          <w:sz w:val="17"/>
          <w:szCs w:val="17"/>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2022, Management Fees of $0.2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2021 and assumes that the Incentive Fee is 17.5% for all relevant periods. However, the Incentive Fee payable to the Adviser is based on our performance and will not be paid unless we achieve certain goals.</w:t>
      </w:r>
    </w:p>
    <w:p>
      <w:pPr>
        <w:spacing w:after="0" w:line="7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620" w:right="40" w:firstLine="4"/>
        <w:spacing w:after="0" w:line="254" w:lineRule="auto"/>
        <w:tabs>
          <w:tab w:leader="none" w:pos="83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4" w:lineRule="exact"/>
        <w:rPr>
          <w:sz w:val="20"/>
          <w:szCs w:val="20"/>
          <w:color w:val="auto"/>
        </w:rPr>
      </w:pPr>
    </w:p>
    <w:p>
      <w:pPr>
        <w:ind w:left="620"/>
        <w:spacing w:after="0" w:line="293" w:lineRule="auto"/>
        <w:rPr>
          <w:sz w:val="20"/>
          <w:szCs w:val="20"/>
          <w:color w:val="auto"/>
        </w:rPr>
      </w:pPr>
      <w:r>
        <w:rPr>
          <w:rFonts w:ascii="Arial" w:cs="Arial" w:eastAsia="Arial" w:hAnsi="Arial"/>
          <w:sz w:val="16"/>
          <w:szCs w:val="16"/>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56" w:lineRule="exact"/>
        <w:rPr>
          <w:sz w:val="20"/>
          <w:szCs w:val="20"/>
          <w:color w:val="auto"/>
        </w:rPr>
      </w:pPr>
    </w:p>
    <w:p>
      <w:pPr>
        <w:ind w:left="620" w:right="40" w:firstLine="4"/>
        <w:spacing w:after="0" w:line="271" w:lineRule="auto"/>
        <w:tabs>
          <w:tab w:leader="none" w:pos="88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w:t>
      </w: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675" w:right="5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8077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713613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620" w:right="360"/>
        <w:spacing w:after="0" w:line="311" w:lineRule="auto"/>
        <w:rPr>
          <w:sz w:val="20"/>
          <w:szCs w:val="20"/>
          <w:color w:val="auto"/>
        </w:rPr>
      </w:pPr>
      <w:r>
        <w:rPr>
          <w:rFonts w:ascii="Arial" w:cs="Arial" w:eastAsia="Arial" w:hAnsi="Arial"/>
          <w:sz w:val="16"/>
          <w:szCs w:val="16"/>
          <w:color w:val="auto"/>
        </w:rPr>
        <w:t>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w:t>
      </w:r>
    </w:p>
    <w:p>
      <w:pPr>
        <w:spacing w:after="0" w:line="41" w:lineRule="exact"/>
        <w:rPr>
          <w:sz w:val="20"/>
          <w:szCs w:val="20"/>
          <w:color w:val="auto"/>
        </w:rPr>
      </w:pPr>
    </w:p>
    <w:p>
      <w:pPr>
        <w:ind w:left="620" w:right="60"/>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38" w:lineRule="exact"/>
        <w:rPr>
          <w:sz w:val="20"/>
          <w:szCs w:val="20"/>
          <w:color w:val="auto"/>
        </w:rPr>
      </w:pPr>
    </w:p>
    <w:p>
      <w:pPr>
        <w:ind w:left="620" w:right="80"/>
        <w:spacing w:after="0" w:line="253" w:lineRule="auto"/>
        <w:rPr>
          <w:sz w:val="20"/>
          <w:szCs w:val="20"/>
          <w:color w:val="auto"/>
        </w:rPr>
      </w:pPr>
      <w:r>
        <w:rPr>
          <w:rFonts w:ascii="Arial" w:cs="Arial" w:eastAsia="Arial" w:hAnsi="Arial"/>
          <w:sz w:val="18"/>
          <w:szCs w:val="18"/>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88" w:lineRule="exact"/>
        <w:rPr>
          <w:sz w:val="20"/>
          <w:szCs w:val="20"/>
          <w:color w:val="auto"/>
        </w:rPr>
      </w:pPr>
    </w:p>
    <w:p>
      <w:pPr>
        <w:ind w:left="620" w:right="380"/>
        <w:spacing w:after="0" w:line="308" w:lineRule="auto"/>
        <w:rPr>
          <w:sz w:val="20"/>
          <w:szCs w:val="20"/>
          <w:color w:val="auto"/>
        </w:rPr>
      </w:pPr>
      <w:r>
        <w:rPr>
          <w:rFonts w:ascii="Arial" w:cs="Arial" w:eastAsia="Arial" w:hAnsi="Arial"/>
          <w:sz w:val="17"/>
          <w:szCs w:val="17"/>
          <w:color w:val="auto"/>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38" w:lineRule="exact"/>
        <w:rPr>
          <w:sz w:val="20"/>
          <w:szCs w:val="20"/>
          <w:color w:val="auto"/>
        </w:rPr>
      </w:pPr>
    </w:p>
    <w:p>
      <w:pPr>
        <w:ind w:left="620"/>
        <w:spacing w:after="0" w:line="263" w:lineRule="auto"/>
        <w:rPr>
          <w:sz w:val="20"/>
          <w:szCs w:val="20"/>
          <w:color w:val="auto"/>
        </w:rPr>
      </w:pPr>
      <w:r>
        <w:rPr>
          <w:rFonts w:ascii="Arial" w:cs="Arial" w:eastAsia="Arial" w:hAnsi="Arial"/>
          <w:sz w:val="18"/>
          <w:szCs w:val="18"/>
          <w:color w:val="auto"/>
        </w:rPr>
        <w:t>See Note 3 to our consolidated financial statements in our 2021 Annual Report and our 3Q 2022 Quarterly Report and “Management Agreements—Investment Advisory Agreement; Administration Agreement; License Agreement” in Part I, Item 1 of our 2021 Annual Report and Note 3 to our consolidated financial statements in our 3Q 2022 Quarterly Report.</w:t>
      </w:r>
    </w:p>
    <w:p>
      <w:pPr>
        <w:spacing w:after="0" w:line="76" w:lineRule="exact"/>
        <w:rPr>
          <w:sz w:val="20"/>
          <w:szCs w:val="20"/>
          <w:color w:val="auto"/>
        </w:rPr>
      </w:pPr>
    </w:p>
    <w:p>
      <w:pPr>
        <w:ind w:left="620" w:right="60"/>
        <w:spacing w:after="0" w:line="263" w:lineRule="auto"/>
        <w:rPr>
          <w:sz w:val="20"/>
          <w:szCs w:val="20"/>
          <w:color w:val="auto"/>
        </w:rPr>
      </w:pPr>
      <w:r>
        <w:rPr>
          <w:rFonts w:ascii="Arial" w:cs="Arial" w:eastAsia="Arial" w:hAnsi="Arial"/>
          <w:sz w:val="18"/>
          <w:szCs w:val="18"/>
          <w:color w:val="auto"/>
        </w:rPr>
        <w:t>From time to time, our Adviser has voluntarily waived certain Incentive Fees. See “Management’s Discussion and Analysis of Financial Condition and Results of Operations—Results of Operations—Incentive Fees” in Part II, Item 7 of our 2021 Annual Report and in Part I, Item 2 of our 3Q 2022 Quarterly Report. The above estimates do not reflect or assume any such waivers.</w:t>
      </w:r>
    </w:p>
    <w:p>
      <w:pPr>
        <w:spacing w:after="0" w:line="89" w:lineRule="exact"/>
        <w:rPr>
          <w:sz w:val="20"/>
          <w:szCs w:val="20"/>
          <w:color w:val="auto"/>
        </w:rPr>
      </w:pPr>
    </w:p>
    <w:p>
      <w:pPr>
        <w:ind w:left="620" w:hanging="431"/>
        <w:spacing w:after="0" w:line="293"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Interest payments on borrowed funds is based on our interest expense for the year ended December 31, 2021 under our credit facilities excluding fees (such as fees on undrawn amounts and amortization of upfront fees) and including the swap-adjusted interest expense related to our 2022 Convertible Notes,2023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w:t>
      </w:r>
    </w:p>
    <w:p>
      <w:pPr>
        <w:spacing w:after="0" w:line="69" w:lineRule="exact"/>
        <w:rPr>
          <w:rFonts w:ascii="Arial" w:cs="Arial" w:eastAsia="Arial" w:hAnsi="Arial"/>
          <w:sz w:val="16"/>
          <w:szCs w:val="16"/>
          <w:color w:val="auto"/>
        </w:rPr>
      </w:pPr>
    </w:p>
    <w:p>
      <w:pPr>
        <w:ind w:left="620" w:right="60" w:hanging="431"/>
        <w:spacing w:after="0" w:line="279"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2021 Annual Report and Note 3 to our consolidated financial statements in our 3Q 2022 Quarterly Report. The expenses in this table are based on our actual other expenses and excise taxes for the year ended December 31, 2021.</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80" w:right="900" w:firstLine="435"/>
        <w:spacing w:after="0" w:line="277"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60"/>
          </w:cols>
          <w:pgMar w:left="320" w:top="675" w:right="51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33731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7136130" cy="33731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80" w:right="20"/>
        <w:spacing w:after="0" w:line="279" w:lineRule="auto"/>
        <w:rPr>
          <w:sz w:val="20"/>
          <w:szCs w:val="20"/>
          <w:color w:val="auto"/>
        </w:rPr>
      </w:pPr>
      <w:r>
        <w:rPr>
          <w:rFonts w:ascii="Arial" w:cs="Arial" w:eastAsia="Arial" w:hAnsi="Arial"/>
          <w:sz w:val="17"/>
          <w:szCs w:val="17"/>
          <w:color w:val="auto"/>
        </w:rPr>
        <w:t>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900" w:type="dxa"/>
            <w:vAlign w:val="bottom"/>
            <w:gridSpan w:val="3"/>
          </w:tcPr>
          <w:p>
            <w:pPr>
              <w:ind w:left="340"/>
              <w:spacing w:after="0"/>
              <w:rPr>
                <w:sz w:val="20"/>
                <w:szCs w:val="20"/>
                <w:color w:val="auto"/>
              </w:rPr>
            </w:pPr>
            <w:r>
              <w:rPr>
                <w:rFonts w:ascii="Arial" w:cs="Arial" w:eastAsia="Arial" w:hAnsi="Arial"/>
                <w:sz w:val="14"/>
                <w:szCs w:val="14"/>
                <w:b w:val="1"/>
                <w:bCs w:val="1"/>
                <w:color w:val="auto"/>
                <w:w w:val="96"/>
              </w:rPr>
              <w:t>10 years</w:t>
            </w:r>
          </w:p>
        </w:tc>
      </w:tr>
      <w:tr>
        <w:trPr>
          <w:trHeight w:val="182"/>
        </w:trPr>
        <w:tc>
          <w:tcPr>
            <w:tcW w:w="80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You would pay the following expenses on a $1,000 common stock investment, assuming a 5% annual</w:t>
            </w:r>
          </w:p>
        </w:tc>
        <w:tc>
          <w:tcPr>
            <w:tcW w:w="3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from realized capital gains</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$ 88</w:t>
            </w: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$ 253</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$ 407</w:t>
            </w: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742</w:t>
            </w:r>
          </w:p>
        </w:tc>
      </w:tr>
    </w:tbl>
    <w:p>
      <w:pPr>
        <w:spacing w:after="0" w:line="202" w:lineRule="exact"/>
        <w:rPr>
          <w:sz w:val="20"/>
          <w:szCs w:val="20"/>
          <w:color w:val="auto"/>
        </w:rPr>
      </w:pPr>
    </w:p>
    <w:p>
      <w:pPr>
        <w:ind w:left="180" w:right="100" w:firstLine="435"/>
        <w:spacing w:after="0" w:line="287"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68" w:lineRule="exact"/>
        <w:rPr>
          <w:sz w:val="20"/>
          <w:szCs w:val="20"/>
          <w:color w:val="auto"/>
        </w:rPr>
      </w:pPr>
    </w:p>
    <w:p>
      <w:pPr>
        <w:ind w:left="180" w:right="80" w:firstLine="435"/>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675" w:right="5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Investing in our securities involves a number of significant risks. You should carefully consider the risks set out below and described in Part I, Item 1A, “Risk Factors,” in our 2021 Annual Report and Part I, Item IA, “Risk Factors,” in our quarterly report on Form 10-Q for the three months ended March 31, 2022 (the “1Q 2022 Quarterly Report”), in our quarterly report on Form 10-Q for the three months ended June 30, 2022 (the “2Q 2022 Quarterly Report”), and in our quarterly report on Form 10-Q for the three months ended September 30, 2022 (the “3Q 2022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2021 Annual Report, 1Q 2022 Quarterly Report, 2Q 2022 Quarterly Report, and 3Q 2022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95"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2021 Annual Report.</w:t>
      </w:r>
    </w:p>
    <w:p>
      <w:pPr>
        <w:spacing w:after="0" w:line="176"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4"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67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6" w:lineRule="exact"/>
        <w:rPr>
          <w:sz w:val="20"/>
          <w:szCs w:val="20"/>
          <w:color w:val="auto"/>
        </w:rPr>
      </w:pPr>
    </w:p>
    <w:p>
      <w:pPr>
        <w:ind w:right="480" w:firstLine="449"/>
        <w:spacing w:after="0" w:line="286" w:lineRule="auto"/>
        <w:rPr>
          <w:sz w:val="20"/>
          <w:szCs w:val="20"/>
          <w:color w:val="auto"/>
        </w:rPr>
      </w:pPr>
      <w:r>
        <w:rPr>
          <w:rFonts w:ascii="Arial" w:cs="Arial" w:eastAsia="Arial" w:hAnsi="Arial"/>
          <w:sz w:val="17"/>
          <w:szCs w:val="17"/>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020" w:right="40" w:hanging="450"/>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1020" w:right="320" w:hanging="450"/>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future sales of our securities convertible into or exchangeable or exercisable for our common stock or the conversion of such securities;</w:t>
      </w:r>
    </w:p>
    <w:p>
      <w:pPr>
        <w:spacing w:after="0" w:line="153" w:lineRule="exact"/>
        <w:rPr>
          <w:rFonts w:ascii="Arial" w:cs="Arial" w:eastAsia="Arial" w:hAnsi="Arial"/>
          <w:sz w:val="16"/>
          <w:szCs w:val="16"/>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economy;</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675"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020" w:hanging="450"/>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concerns regarding U.S. and global tariffs and trade policy;</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SOFR, EURIBOR, SONIA, the Federal Funds Rate or the Prime Rate;</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public health epidemics on the global economy, such as the COVID-19 pandemic and its worldwide impact;</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 “Risk Factors—Risks Related to Our Business and Structure—Regulations governing our operation as a BDC affect our ability to, and the way in which we, raise additional capital” in our 2021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67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260" w:firstLine="8"/>
        <w:spacing w:after="0" w:line="257"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entered into an agreement with Goldman Sachs &amp; Co. LLC, which we refer to as the Company 10b5-1 Plan,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Rules 10b5-1 and 10b-18 under the Exchange Act, under which Goldman Sachs &amp; Co. LLC, as agent for us, will buy up to $50 million of our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in the aggregate during the period ending on the earlier of the date on which all the capital committed to the plan has been exhausted or May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1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 2022. Under the Company 10b5-1 Plan, the agent will increase the volume of purchases made as the price of our common stock declines, subject to volume restrictions.</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4"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67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70"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1"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7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7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7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76" w:lineRule="exact"/>
        <w:rPr>
          <w:sz w:val="20"/>
          <w:szCs w:val="20"/>
          <w:color w:val="auto"/>
        </w:rPr>
      </w:pPr>
    </w:p>
    <w:p>
      <w:pPr>
        <w:ind w:left="1020" w:right="240" w:hanging="450"/>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1020" w:right="80" w:hanging="450"/>
        <w:spacing w:after="0" w:line="263"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9" w:lineRule="exact"/>
        <w:rPr>
          <w:rFonts w:ascii="Arial" w:cs="Arial" w:eastAsia="Arial" w:hAnsi="Arial"/>
          <w:sz w:val="18"/>
          <w:szCs w:val="18"/>
          <w:color w:val="auto"/>
        </w:rPr>
      </w:pPr>
    </w:p>
    <w:p>
      <w:pPr>
        <w:ind w:left="1020" w:hanging="450"/>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w:t>
      </w:r>
    </w:p>
    <w:p>
      <w:pPr>
        <w:spacing w:after="0" w:line="130" w:lineRule="exact"/>
        <w:rPr>
          <w:rFonts w:ascii="Arial" w:cs="Arial" w:eastAsia="Arial" w:hAnsi="Arial"/>
          <w:sz w:val="18"/>
          <w:szCs w:val="18"/>
          <w:color w:val="auto"/>
        </w:rPr>
      </w:pPr>
    </w:p>
    <w:p>
      <w:pPr>
        <w:ind w:left="1020" w:hanging="450"/>
        <w:spacing w:after="0" w:line="277"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inflation could negatively impact our business, including our ability to access the debt markets on favorable terms, or could negatively impact our portfolio companies; and</w:t>
      </w:r>
    </w:p>
    <w:p>
      <w:pPr>
        <w:spacing w:after="0" w:line="75" w:lineRule="exact"/>
        <w:rPr>
          <w:rFonts w:ascii="Arial" w:cs="Arial" w:eastAsia="Arial" w:hAnsi="Arial"/>
          <w:sz w:val="18"/>
          <w:szCs w:val="18"/>
          <w:color w:val="auto"/>
        </w:rPr>
      </w:pPr>
    </w:p>
    <w:p>
      <w:pPr>
        <w:ind w:left="1020" w:hanging="450"/>
        <w:spacing w:after="0" w:line="342"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prospectus and in Part I, Item 1A of our 2021 Annual Report and Part II, Item 1A of our 3Q 2022 Quarterly Report, and those discussed in other documents we file with the SEC.</w:t>
      </w:r>
    </w:p>
    <w:p>
      <w:pPr>
        <w:spacing w:after="0" w:line="124"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2022 Quarterly Report, and in our 2021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“TSLX” and “TAO” marks are marks of Sixth Street.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67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675"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4"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2022 and for the years ended December 31, 2021, 2020 and 2019. On January 12, 2023, the last reported closing sales price of our common stock on the NYSE was $18.94 per share, which represented a premium of approximately 15.8% to the net asset value per share reported by us as of September 30, 2022, the last date prior to the date of this prospectus for which we reported net asset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Price Range</w:t>
            </w: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High Sales</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Low Sales</w:t>
            </w:r>
          </w:p>
        </w:tc>
        <w:tc>
          <w:tcPr>
            <w:tcW w:w="10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Cash</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12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Price to</w:t>
            </w: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Dividend</w:t>
            </w:r>
          </w:p>
        </w:tc>
        <w:tc>
          <w:tcPr>
            <w:tcW w:w="0" w:type="dxa"/>
            <w:vAlign w:val="bottom"/>
          </w:tcPr>
          <w:p>
            <w:pPr>
              <w:spacing w:after="0"/>
              <w:rPr>
                <w:sz w:val="1"/>
                <w:szCs w:val="1"/>
                <w:color w:val="auto"/>
              </w:rPr>
            </w:pPr>
          </w:p>
        </w:tc>
      </w:tr>
      <w:tr>
        <w:trPr>
          <w:trHeight w:val="23"/>
        </w:trPr>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Asset</w:t>
            </w:r>
          </w:p>
        </w:tc>
        <w:tc>
          <w:tcPr>
            <w:tcW w:w="120" w:type="dxa"/>
            <w:vAlign w:val="bottom"/>
            <w:vMerge w:val="restart"/>
          </w:tcPr>
          <w:p>
            <w:pPr>
              <w:spacing w:after="0" w:line="20" w:lineRule="exact"/>
              <w:rPr>
                <w:sz w:val="1"/>
                <w:szCs w:val="1"/>
                <w:color w:val="auto"/>
              </w:rPr>
            </w:pPr>
          </w:p>
        </w:tc>
        <w:tc>
          <w:tcPr>
            <w:tcW w:w="108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Net Asset</w:t>
            </w:r>
          </w:p>
        </w:tc>
        <w:tc>
          <w:tcPr>
            <w:tcW w:w="100" w:type="dxa"/>
            <w:vAlign w:val="bottom"/>
          </w:tcPr>
          <w:p>
            <w:pPr>
              <w:spacing w:after="0" w:line="20" w:lineRule="exact"/>
              <w:rPr>
                <w:sz w:val="1"/>
                <w:szCs w:val="1"/>
                <w:color w:val="auto"/>
              </w:rPr>
            </w:pPr>
          </w:p>
        </w:tc>
        <w:tc>
          <w:tcPr>
            <w:tcW w:w="5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Per</w:t>
            </w:r>
          </w:p>
        </w:tc>
        <w:tc>
          <w:tcPr>
            <w:tcW w:w="0" w:type="dxa"/>
            <w:vAlign w:val="bottom"/>
          </w:tcPr>
          <w:p>
            <w:pPr>
              <w:spacing w:after="0"/>
              <w:rPr>
                <w:sz w:val="1"/>
                <w:szCs w:val="1"/>
                <w:color w:val="auto"/>
              </w:rPr>
            </w:pPr>
          </w:p>
        </w:tc>
      </w:tr>
      <w:tr>
        <w:trPr>
          <w:trHeight w:val="106"/>
        </w:trPr>
        <w:tc>
          <w:tcPr>
            <w:tcW w:w="6200" w:type="dxa"/>
            <w:vAlign w:val="bottom"/>
          </w:tcPr>
          <w:p>
            <w:pPr>
              <w:spacing w:after="0"/>
              <w:rPr>
                <w:sz w:val="9"/>
                <w:szCs w:val="9"/>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0"/>
                <w:szCs w:val="10"/>
                <w:b w:val="1"/>
                <w:bCs w:val="1"/>
                <w:color w:val="auto"/>
              </w:rPr>
              <w:t>(1)</w:t>
            </w:r>
          </w:p>
        </w:tc>
        <w:tc>
          <w:tcPr>
            <w:tcW w:w="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9"/>
                <w:szCs w:val="9"/>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9"/>
              </w:rPr>
              <w:t>Low</w:t>
            </w:r>
          </w:p>
        </w:tc>
        <w:tc>
          <w:tcPr>
            <w:tcW w:w="12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(2)</w:t>
            </w:r>
          </w:p>
        </w:tc>
        <w:tc>
          <w:tcPr>
            <w:tcW w:w="1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(2)</w:t>
            </w:r>
          </w:p>
        </w:tc>
        <w:tc>
          <w:tcPr>
            <w:tcW w:w="6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0"/>
                <w:szCs w:val="10"/>
                <w:b w:val="1"/>
                <w:bCs w:val="1"/>
                <w:color w:val="auto"/>
                <w:w w:val="93"/>
              </w:rPr>
              <w:t>(3)</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2019</w:t>
            </w: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$16.34</w:t>
            </w:r>
          </w:p>
        </w:tc>
        <w:tc>
          <w:tcPr>
            <w:tcW w:w="240" w:type="dxa"/>
            <w:vAlign w:val="bottom"/>
          </w:tcPr>
          <w:p>
            <w:pPr>
              <w:spacing w:after="0"/>
              <w:rPr>
                <w:sz w:val="18"/>
                <w:szCs w:val="1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$20.99</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$18.44</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28.5%</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2"/>
              <w:spacing w:after="0"/>
              <w:rPr>
                <w:sz w:val="20"/>
                <w:szCs w:val="20"/>
                <w:color w:val="auto"/>
              </w:rPr>
            </w:pPr>
            <w:r>
              <w:rPr>
                <w:rFonts w:ascii="Arial" w:cs="Arial" w:eastAsia="Arial" w:hAnsi="Arial"/>
                <w:sz w:val="18"/>
                <w:szCs w:val="18"/>
                <w:color w:val="auto"/>
                <w:w w:val="91"/>
              </w:rPr>
              <w:t>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$20.29</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$19.49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1"/>
              </w:rPr>
              <w:t>0.40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$16.72</w:t>
            </w:r>
          </w:p>
        </w:tc>
        <w:tc>
          <w:tcPr>
            <w:tcW w:w="240" w:type="dxa"/>
            <w:vAlign w:val="bottom"/>
          </w:tcPr>
          <w:p>
            <w:pPr>
              <w:spacing w:after="0"/>
              <w:rPr>
                <w:sz w:val="18"/>
                <w:szCs w:val="1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$21.01</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$19.36</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25.7%</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2"/>
              <w:spacing w:after="0"/>
              <w:rPr>
                <w:sz w:val="20"/>
                <w:szCs w:val="20"/>
                <w:color w:val="auto"/>
              </w:rPr>
            </w:pPr>
            <w:r>
              <w:rPr>
                <w:rFonts w:ascii="Arial" w:cs="Arial" w:eastAsia="Arial" w:hAnsi="Arial"/>
                <w:sz w:val="18"/>
                <w:szCs w:val="18"/>
                <w:color w:val="auto"/>
                <w:w w:val="91"/>
              </w:rPr>
              <w:t>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$21.83</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$20.01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1"/>
              </w:rPr>
              <w:t>0.47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Year ended December 31, 2020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$23.28</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$11.30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49.5%</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1"/>
              </w:rPr>
              <w:t>0.97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$16.08</w:t>
            </w:r>
          </w:p>
        </w:tc>
        <w:tc>
          <w:tcPr>
            <w:tcW w:w="240" w:type="dxa"/>
            <w:vAlign w:val="bottom"/>
          </w:tcPr>
          <w:p>
            <w:pPr>
              <w:spacing w:after="0"/>
              <w:rPr>
                <w:sz w:val="18"/>
                <w:szCs w:val="1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$19.51</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$12.57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21.3%</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2"/>
              <w:spacing w:after="0"/>
              <w:rPr>
                <w:sz w:val="20"/>
                <w:szCs w:val="20"/>
                <w:color w:val="auto"/>
              </w:rPr>
            </w:pPr>
            <w:r>
              <w:rPr>
                <w:rFonts w:ascii="Arial" w:cs="Arial" w:eastAsia="Arial" w:hAnsi="Arial"/>
                <w:sz w:val="18"/>
                <w:szCs w:val="18"/>
                <w:color w:val="auto"/>
                <w:w w:val="91"/>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$16.87</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$18.48</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$15.68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1"/>
              </w:rPr>
              <w:t>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$17.16</w:t>
            </w:r>
          </w:p>
        </w:tc>
        <w:tc>
          <w:tcPr>
            <w:tcW w:w="240" w:type="dxa"/>
            <w:vAlign w:val="bottom"/>
          </w:tcPr>
          <w:p>
            <w:pPr>
              <w:spacing w:after="0"/>
              <w:rPr>
                <w:sz w:val="18"/>
                <w:szCs w:val="1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$21.24</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$16.31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23.8%</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2"/>
              <w:spacing w:after="0"/>
              <w:rPr>
                <w:sz w:val="20"/>
                <w:szCs w:val="20"/>
                <w:color w:val="auto"/>
              </w:rPr>
            </w:pPr>
            <w:r>
              <w:rPr>
                <w:rFonts w:ascii="Arial" w:cs="Arial" w:eastAsia="Arial" w:hAnsi="Arial"/>
                <w:sz w:val="18"/>
                <w:szCs w:val="18"/>
                <w:color w:val="auto"/>
                <w:w w:val="91"/>
              </w:rPr>
              <w:t>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$16.47</w:t>
            </w:r>
          </w:p>
        </w:tc>
        <w:tc>
          <w:tcPr>
            <w:tcW w:w="240" w:type="dxa"/>
            <w:vAlign w:val="bottom"/>
          </w:tcPr>
          <w:p>
            <w:pPr>
              <w:spacing w:after="0"/>
              <w:rPr>
                <w:sz w:val="18"/>
                <w:szCs w:val="1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$22.76</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$20.46</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38.2%</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2"/>
              <w:spacing w:after="0"/>
              <w:rPr>
                <w:sz w:val="20"/>
                <w:szCs w:val="20"/>
                <w:color w:val="auto"/>
              </w:rPr>
            </w:pPr>
            <w:r>
              <w:rPr>
                <w:rFonts w:ascii="Arial" w:cs="Arial" w:eastAsia="Arial" w:hAnsi="Arial"/>
                <w:sz w:val="18"/>
                <w:szCs w:val="18"/>
                <w:color w:val="auto"/>
                <w:w w:val="91"/>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$16.85</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$22.78</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$20.80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1"/>
              </w:rPr>
              <w:t>0.47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$17.18</w:t>
            </w:r>
          </w:p>
        </w:tc>
        <w:tc>
          <w:tcPr>
            <w:tcW w:w="240" w:type="dxa"/>
            <w:vAlign w:val="bottom"/>
          </w:tcPr>
          <w:p>
            <w:pPr>
              <w:spacing w:after="0"/>
              <w:rPr>
                <w:sz w:val="18"/>
                <w:szCs w:val="1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$23.97</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$21.13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39.5%</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2"/>
              <w:spacing w:after="0"/>
              <w:rPr>
                <w:sz w:val="20"/>
                <w:szCs w:val="20"/>
                <w:color w:val="auto"/>
              </w:rPr>
            </w:pPr>
            <w:r>
              <w:rPr>
                <w:rFonts w:ascii="Arial" w:cs="Arial" w:eastAsia="Arial" w:hAnsi="Arial"/>
                <w:sz w:val="18"/>
                <w:szCs w:val="18"/>
                <w:color w:val="auto"/>
                <w:w w:val="91"/>
              </w:rPr>
              <w:t>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$16.84</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$24.74</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$21.97</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47.0%</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1"/>
              </w:rPr>
              <w:t>0.98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Year ended December 31, 2022</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$16.88</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$24.27</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$22.40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1"/>
              </w:rPr>
              <w:t>0.52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$16.27</w:t>
            </w:r>
          </w:p>
        </w:tc>
        <w:tc>
          <w:tcPr>
            <w:tcW w:w="240" w:type="dxa"/>
            <w:vAlign w:val="bottom"/>
          </w:tcPr>
          <w:p>
            <w:pPr>
              <w:spacing w:after="0"/>
              <w:rPr>
                <w:sz w:val="18"/>
                <w:szCs w:val="1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$23.64</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$18.09</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45.3%</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2"/>
              <w:spacing w:after="0"/>
              <w:rPr>
                <w:sz w:val="20"/>
                <w:szCs w:val="20"/>
                <w:color w:val="auto"/>
              </w:rPr>
            </w:pPr>
            <w:r>
              <w:rPr>
                <w:rFonts w:ascii="Arial" w:cs="Arial" w:eastAsia="Arial" w:hAnsi="Arial"/>
                <w:sz w:val="18"/>
                <w:szCs w:val="18"/>
                <w:color w:val="auto"/>
                <w:w w:val="91"/>
              </w:rPr>
              <w:t>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$16.36</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$19.64</w:t>
            </w:r>
          </w:p>
        </w:tc>
        <w:tc>
          <w:tcPr>
            <w:tcW w:w="7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$16.13</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1"/>
              </w:rPr>
              <w:t>0.42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$19.14</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$16.56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tcPr>
          <w:p>
            <w:pPr>
              <w:jc w:val="center"/>
              <w:ind w:left="52"/>
              <w:spacing w:after="0"/>
              <w:rPr>
                <w:sz w:val="20"/>
                <w:szCs w:val="20"/>
                <w:color w:val="auto"/>
              </w:rPr>
            </w:pPr>
            <w:r>
              <w:rPr>
                <w:rFonts w:ascii="Arial" w:cs="Arial" w:eastAsia="Arial" w:hAnsi="Arial"/>
                <w:sz w:val="18"/>
                <w:szCs w:val="18"/>
                <w:color w:val="auto"/>
                <w:w w:val="91"/>
              </w:rPr>
              <w:t>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2023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First Quarter (through January 12, 2023)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$18.94</w:t>
            </w:r>
          </w:p>
        </w:tc>
        <w:tc>
          <w:tcPr>
            <w:tcW w:w="740" w:type="dxa"/>
            <w:vAlign w:val="bottom"/>
            <w:gridSpan w:val="3"/>
          </w:tcPr>
          <w:p>
            <w:pPr>
              <w:jc w:val="center"/>
              <w:spacing w:after="0"/>
              <w:rPr>
                <w:sz w:val="20"/>
                <w:szCs w:val="20"/>
                <w:color w:val="auto"/>
              </w:rPr>
            </w:pPr>
            <w:r>
              <w:rPr>
                <w:rFonts w:ascii="Arial" w:cs="Arial" w:eastAsia="Arial" w:hAnsi="Arial"/>
                <w:sz w:val="18"/>
                <w:szCs w:val="18"/>
                <w:color w:val="auto"/>
                <w:w w:val="90"/>
              </w:rPr>
              <w:t>$17.96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right="60" w:hanging="452"/>
        <w:spacing w:after="0" w:line="29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460" w:right="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applicable quarter). Does not reflect intraday trading prices.</w:t>
      </w: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9"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11"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400" w:firstLine="449"/>
        <w:spacing w:after="0" w:line="342" w:lineRule="auto"/>
        <w:rPr>
          <w:sz w:val="20"/>
          <w:szCs w:val="20"/>
          <w:color w:val="auto"/>
        </w:rPr>
      </w:pPr>
      <w:r>
        <w:rPr>
          <w:rFonts w:ascii="Arial" w:cs="Arial" w:eastAsia="Arial" w:hAnsi="Arial"/>
          <w:sz w:val="16"/>
          <w:szCs w:val="16"/>
          <w:color w:val="auto"/>
        </w:rPr>
        <w:t>On November 1, 2022, our Board declared a fourth quarter 2022 base dividend of $0.45 per share for stockholders of record as of December 15, 2022, payable on December 30, 2022. Those dividends were paid from income generated primarily by interest earned on our investment portfolio.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67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following tables summarize dividends declared during the nine months ended September 30, 2022 and years ended December 31, 2021, 2020 and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3"/>
          </w:tcPr>
          <w:p>
            <w:pPr>
              <w:jc w:val="center"/>
              <w:ind w:right="372"/>
              <w:spacing w:after="0"/>
              <w:rPr>
                <w:sz w:val="20"/>
                <w:szCs w:val="20"/>
                <w:color w:val="auto"/>
              </w:rPr>
            </w:pPr>
            <w:r>
              <w:rPr>
                <w:rFonts w:ascii="Arial" w:cs="Arial" w:eastAsia="Arial" w:hAnsi="Arial"/>
                <w:sz w:val="14"/>
                <w:szCs w:val="14"/>
                <w:b w:val="1"/>
                <w:bCs w:val="1"/>
                <w:color w:val="auto"/>
                <w:w w:val="92"/>
              </w:rPr>
              <w:t>Nine Months Ended September 30, 2022</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3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Dividend</w:t>
            </w:r>
            <w:r>
              <w:rPr>
                <w:rFonts w:ascii="Arial" w:cs="Arial" w:eastAsia="Arial" w:hAnsi="Arial"/>
                <w:sz w:val="10"/>
                <w:szCs w:val="10"/>
                <w:b w:val="1"/>
                <w:bCs w:val="1"/>
                <w:color w:val="auto"/>
                <w:w w:val="95"/>
              </w:rPr>
              <w:t>(1)</w:t>
            </w:r>
          </w:p>
        </w:tc>
        <w:tc>
          <w:tcPr>
            <w:tcW w:w="16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Dividend</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February 17,</w:t>
            </w:r>
          </w:p>
        </w:tc>
        <w:tc>
          <w:tcPr>
            <w:tcW w:w="286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rPr>
              <w:t>2022</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28, 2022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2022</w:t>
            </w:r>
          </w:p>
        </w:tc>
        <w:tc>
          <w:tcPr>
            <w:tcW w:w="34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February 17, 2022</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15, 2022</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18, 2022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2022</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31, 2022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2022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May 3, 2022</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15, 2022</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July 15, 2022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2022</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15, 2022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2022</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Total Dividends Declared</w:t>
            </w:r>
          </w:p>
        </w:tc>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4"/>
                <w:szCs w:val="4"/>
                <w:color w:val="auto"/>
                <w:w w:val="87"/>
              </w:rPr>
              <w:t>$</w:t>
            </w:r>
          </w:p>
        </w:tc>
        <w:tc>
          <w:tcPr>
            <w:tcW w:w="4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79"/>
              </w:rPr>
              <w:t>1.39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3"/>
            <w:vMerge w:val="restart"/>
          </w:tcPr>
          <w:p>
            <w:pPr>
              <w:jc w:val="center"/>
              <w:ind w:right="352"/>
              <w:spacing w:after="0"/>
              <w:rPr>
                <w:sz w:val="20"/>
                <w:szCs w:val="20"/>
                <w:color w:val="auto"/>
              </w:rPr>
            </w:pPr>
            <w:r>
              <w:rPr>
                <w:rFonts w:ascii="Arial" w:cs="Arial" w:eastAsia="Arial" w:hAnsi="Arial"/>
                <w:sz w:val="14"/>
                <w:szCs w:val="14"/>
                <w:b w:val="1"/>
                <w:bCs w:val="1"/>
                <w:color w:val="auto"/>
                <w:w w:val="92"/>
              </w:rPr>
              <w:t>Year Ended December 31, 2021</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3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Dividend</w:t>
            </w:r>
            <w:r>
              <w:rPr>
                <w:rFonts w:ascii="Arial" w:cs="Arial" w:eastAsia="Arial" w:hAnsi="Arial"/>
                <w:sz w:val="10"/>
                <w:szCs w:val="10"/>
                <w:b w:val="1"/>
                <w:bCs w:val="1"/>
                <w:color w:val="auto"/>
                <w:w w:val="95"/>
              </w:rPr>
              <w:t>(1)</w:t>
            </w:r>
          </w:p>
        </w:tc>
        <w:tc>
          <w:tcPr>
            <w:tcW w:w="16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0"/>
                <w:szCs w:val="10"/>
                <w:color w:val="auto"/>
              </w:rPr>
            </w:pPr>
          </w:p>
        </w:tc>
        <w:tc>
          <w:tcPr>
            <w:tcW w:w="6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Dividend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February 17,</w:t>
            </w:r>
          </w:p>
        </w:tc>
        <w:tc>
          <w:tcPr>
            <w:tcW w:w="286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rPr>
              <w:t>2021</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26, 2021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2021</w:t>
            </w:r>
          </w:p>
        </w:tc>
        <w:tc>
          <w:tcPr>
            <w:tcW w:w="34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February 17, 2021</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15, 2021</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15, 2021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17, 2021</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Special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25, 2021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8, 2021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1.25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May 4, 2021</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May 28, 2021</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June 30, 2021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4, 2021</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15, 2021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15, 2021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August 3, 2021</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August 31, 2021</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September 30, 2021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3, 2021</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15, 2021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15, 2021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November 2, 2021</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November 30, 2021</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December 31, 2021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 2021</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Special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7, 2021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20, 2021</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November 2, 2021</w:t>
            </w:r>
          </w:p>
        </w:tc>
        <w:tc>
          <w:tcPr>
            <w:tcW w:w="232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December 15, 2021</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January 14, 2022</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2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85"/>
              </w:rPr>
              <w:t>3.59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3"/>
            <w:vMerge w:val="restart"/>
          </w:tcPr>
          <w:p>
            <w:pPr>
              <w:jc w:val="center"/>
              <w:ind w:right="352"/>
              <w:spacing w:after="0"/>
              <w:rPr>
                <w:sz w:val="20"/>
                <w:szCs w:val="20"/>
                <w:color w:val="auto"/>
              </w:rPr>
            </w:pPr>
            <w:r>
              <w:rPr>
                <w:rFonts w:ascii="Arial" w:cs="Arial" w:eastAsia="Arial" w:hAnsi="Arial"/>
                <w:sz w:val="14"/>
                <w:szCs w:val="14"/>
                <w:b w:val="1"/>
                <w:bCs w:val="1"/>
                <w:color w:val="auto"/>
                <w:w w:val="92"/>
              </w:rPr>
              <w:t>Year Ended December 31, 2020</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3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16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0"/>
                <w:szCs w:val="10"/>
                <w:color w:val="auto"/>
              </w:rPr>
            </w:pPr>
          </w:p>
        </w:tc>
        <w:tc>
          <w:tcPr>
            <w:tcW w:w="5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Dividend</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February 19,</w:t>
            </w:r>
          </w:p>
        </w:tc>
        <w:tc>
          <w:tcPr>
            <w:tcW w:w="286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rPr>
              <w:t>2020</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28, 2020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31, 2020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February 19, 2020</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13, 2020</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15, 2020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19, 2020</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Special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15, 2020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30, 2020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February 19, 2020</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8"/>
              </w:rPr>
              <w:t>Special</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15, 2020</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June 30, 2020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5, 2020</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15, 2020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15, 2020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August 4, 2020</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September 15, 2020</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15, 2020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4, 2020</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30, 2020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2020</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November 4, 2020</w:t>
            </w:r>
          </w:p>
        </w:tc>
        <w:tc>
          <w:tcPr>
            <w:tcW w:w="232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December 15, 2020</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January 15, 2021</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5"/>
              </w:rPr>
              <w:t>0.41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2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60" w:type="dxa"/>
            <w:vAlign w:val="bottom"/>
            <w:gridSpan w:val="3"/>
            <w:vMerge w:val="restart"/>
          </w:tcPr>
          <w:p>
            <w:pPr>
              <w:jc w:val="center"/>
              <w:ind w:right="352"/>
              <w:spacing w:after="0"/>
              <w:rPr>
                <w:sz w:val="20"/>
                <w:szCs w:val="20"/>
                <w:color w:val="auto"/>
              </w:rPr>
            </w:pPr>
            <w:r>
              <w:rPr>
                <w:rFonts w:ascii="Arial" w:cs="Arial" w:eastAsia="Arial" w:hAnsi="Arial"/>
                <w:sz w:val="14"/>
                <w:szCs w:val="14"/>
                <w:b w:val="1"/>
                <w:bCs w:val="1"/>
                <w:color w:val="auto"/>
                <w:w w:val="92"/>
              </w:rPr>
              <w:t>Year Ended December 31, 2019</w:t>
            </w: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2320" w:type="dxa"/>
            <w:vAlign w:val="bottom"/>
          </w:tcPr>
          <w:p>
            <w:pPr>
              <w:spacing w:after="0"/>
              <w:rPr>
                <w:sz w:val="10"/>
                <w:szCs w:val="10"/>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Dividend</w:t>
            </w:r>
          </w:p>
        </w:tc>
        <w:tc>
          <w:tcPr>
            <w:tcW w:w="16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8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Payment Date</w:t>
            </w:r>
          </w:p>
        </w:tc>
        <w:tc>
          <w:tcPr>
            <w:tcW w:w="160" w:type="dxa"/>
            <w:vAlign w:val="bottom"/>
          </w:tcPr>
          <w:p>
            <w:pPr>
              <w:spacing w:after="0"/>
              <w:rPr>
                <w:sz w:val="10"/>
                <w:szCs w:val="10"/>
                <w:color w:val="auto"/>
              </w:rPr>
            </w:pPr>
          </w:p>
        </w:tc>
        <w:tc>
          <w:tcPr>
            <w:tcW w:w="6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Dividend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40" w:type="dxa"/>
            <w:vAlign w:val="bottom"/>
            <w:gridSpan w:val="2"/>
            <w:vMerge w:val="continue"/>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w w:val="95"/>
              </w:rPr>
              <w:t>per Share</w:t>
            </w: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February 20,</w:t>
            </w:r>
          </w:p>
        </w:tc>
        <w:tc>
          <w:tcPr>
            <w:tcW w:w="2860" w:type="dxa"/>
            <w:vAlign w:val="bottom"/>
            <w:shd w:val="clear" w:color="auto" w:fill="CCEEFF"/>
          </w:tcPr>
          <w:p>
            <w:pPr>
              <w:jc w:val="right"/>
              <w:ind w:right="2310"/>
              <w:spacing w:after="0"/>
              <w:rPr>
                <w:sz w:val="20"/>
                <w:szCs w:val="20"/>
                <w:color w:val="auto"/>
              </w:rPr>
            </w:pPr>
            <w:r>
              <w:rPr>
                <w:rFonts w:ascii="Arial" w:cs="Arial" w:eastAsia="Arial" w:hAnsi="Arial"/>
                <w:sz w:val="18"/>
                <w:szCs w:val="18"/>
                <w:color w:val="auto"/>
              </w:rPr>
              <w:t>2019</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February 28, 2019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29, 2019</w:t>
            </w:r>
          </w:p>
        </w:tc>
        <w:tc>
          <w:tcPr>
            <w:tcW w:w="34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March 15, 2019</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5"/>
              </w:rPr>
              <w:t>April 15, 2019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31, 2019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28, 2019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14, 2019</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July 15, 2019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2019</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August 30, 2019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July 31, 2019</w:t>
            </w:r>
          </w:p>
        </w:tc>
        <w:tc>
          <w:tcPr>
            <w:tcW w:w="232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September 13, 2019</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15, 2019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w w:val="85"/>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5, 2019</w:t>
            </w:r>
          </w:p>
        </w:tc>
        <w:tc>
          <w:tcPr>
            <w:tcW w:w="2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Supplemental</w:t>
            </w: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29, 2019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December 31, 2019</w:t>
            </w: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0.08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November 5, 2019</w:t>
            </w:r>
          </w:p>
        </w:tc>
        <w:tc>
          <w:tcPr>
            <w:tcW w:w="232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Base</w:t>
            </w:r>
          </w:p>
        </w:tc>
        <w:tc>
          <w:tcPr>
            <w:tcW w:w="1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December 13, 2019</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January 15, 2020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5"/>
              </w:rPr>
              <w:t>0.39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2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w w:val="85"/>
              </w:rPr>
              <w:t>1.81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320" w:type="dxa"/>
            <w:vAlign w:val="bottom"/>
            <w:vMerge w:val="restart"/>
          </w:tcPr>
          <w:p>
            <w:pPr>
              <w:jc w:val="right"/>
              <w:ind w:right="25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dividends declared during the nine months ended September 30, 2022 were derived from net investment income, determined on a tax basis. The dividends declared during the years ended December 31, 2021, 2020 and 2019 were derived from net investment income and net realized capital gains, determined on a tax basis.</w:t>
      </w:r>
    </w:p>
    <w:p>
      <w:pPr>
        <w:spacing w:after="0" w:line="184" w:lineRule="exact"/>
        <w:rPr>
          <w:sz w:val="20"/>
          <w:szCs w:val="20"/>
          <w:color w:val="auto"/>
        </w:rPr>
      </w:pPr>
    </w:p>
    <w:p>
      <w:pPr>
        <w:jc w:val="both"/>
        <w:ind w:right="220" w:firstLine="449"/>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93" w:lineRule="exact"/>
        <w:rPr>
          <w:sz w:val="20"/>
          <w:szCs w:val="20"/>
          <w:color w:val="auto"/>
        </w:rPr>
      </w:pPr>
    </w:p>
    <w:p>
      <w:pPr>
        <w:ind w:left="1020" w:hanging="450"/>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1020" w:right="520" w:hanging="450"/>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2022 and for calendar years ended December 31, 2021 and 2020 for purposes of additional liquidity and we recorded a net expense of $1.5 million for the nine months ended September 30, 2022 and $0.7 million and $5.8 million for the years ended December 31, 2021 and December 31, 2020,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2021 Annual Report.</w:t>
      </w:r>
    </w:p>
    <w:p>
      <w:pPr>
        <w:spacing w:after="0" w:line="18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66"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67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Information about our senior securities as of the last ten fiscal years ended December 31, 2021 and as of the unaudited fiscal period ended September 30, 2022 is shown in the following table. The report of our independent registered public accounting firm, KPMG LLP, on the senior securities table as of December 31, 2021 is included in our 2021 Annual Report and is incorporated by reference to the registration statement of which this prospectus is a part.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900" w:type="dxa"/>
            <w:vAlign w:val="bottom"/>
            <w:gridSpan w:val="3"/>
          </w:tcPr>
          <w:p>
            <w:pPr>
              <w:ind w:left="1040"/>
              <w:spacing w:after="0"/>
              <w:rPr>
                <w:sz w:val="20"/>
                <w:szCs w:val="20"/>
                <w:color w:val="auto"/>
              </w:rPr>
            </w:pPr>
            <w:r>
              <w:rPr>
                <w:rFonts w:ascii="Arial" w:cs="Arial" w:eastAsia="Arial" w:hAnsi="Arial"/>
                <w:sz w:val="14"/>
                <w:szCs w:val="14"/>
                <w:b w:val="1"/>
                <w:bCs w:val="1"/>
                <w:color w:val="auto"/>
                <w:w w:val="93"/>
              </w:rPr>
              <w:t>Total Amount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4"/>
              </w:rPr>
              <w:t>Treasury</w:t>
            </w:r>
          </w:p>
        </w:tc>
        <w:tc>
          <w:tcPr>
            <w:tcW w:w="15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88"/>
              </w:rPr>
              <w:t>Asset Coverage</w:t>
            </w:r>
          </w:p>
        </w:tc>
        <w:tc>
          <w:tcPr>
            <w:tcW w:w="56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Liquidating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Average Market</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0"/>
                <w:szCs w:val="10"/>
                <w:b w:val="1"/>
                <w:bCs w:val="1"/>
                <w:color w:val="auto"/>
                <w:w w:val="90"/>
              </w:rPr>
              <w:t>(1)</w:t>
            </w:r>
          </w:p>
        </w:tc>
        <w:tc>
          <w:tcPr>
            <w:tcW w:w="15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1900" w:type="dxa"/>
            <w:vAlign w:val="bottom"/>
            <w:gridSpan w:val="3"/>
          </w:tcPr>
          <w:p>
            <w:pPr>
              <w:ind w:left="106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0"/>
                <w:szCs w:val="10"/>
                <w:b w:val="1"/>
                <w:bCs w:val="1"/>
                <w:color w:val="auto"/>
              </w:rPr>
              <w:t>(2)</w:t>
            </w:r>
          </w:p>
        </w:tc>
        <w:tc>
          <w:tcPr>
            <w:tcW w:w="56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0"/>
                <w:szCs w:val="10"/>
                <w:b w:val="1"/>
                <w:bCs w:val="1"/>
                <w:color w:val="auto"/>
              </w:rPr>
              <w:t>(3)</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8"/>
              </w:rPr>
              <w:t>Value Per Unit</w:t>
            </w:r>
            <w:r>
              <w:rPr>
                <w:rFonts w:ascii="Arial" w:cs="Arial" w:eastAsia="Arial" w:hAnsi="Arial"/>
                <w:sz w:val="10"/>
                <w:szCs w:val="10"/>
                <w:b w:val="1"/>
                <w:bCs w:val="1"/>
                <w:color w:val="auto"/>
                <w:w w:val="98"/>
              </w:rPr>
              <w:t>(4)</w:t>
            </w: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Facilities</w:t>
            </w: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2022 (as of September 30, 2022 Unaudited)</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739.3</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1,865.5</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2,053.6</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2020</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472.3</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2,045.4</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2018</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187.5</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2016</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578.7</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2,376.6</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2,257.3</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2014</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283.9</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3,110.3</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2,329.5</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2012</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331.8</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2,445.9</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2022 (as of September 30, 2022 Unaudited)</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2020</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2018</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114.3</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2016</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113.1</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2,376.6</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2,257.3</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2014</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111.9</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3,110.3</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2022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2022 (as of September 30, 2022 Unaudited)</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2,053.6</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2020</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142.5</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2,045.4</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2018</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 (as of September 30, 2022 Unaudited)</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2021</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2,053.6</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December 31, 2019</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2,004.1</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65"/>
        </w:trPr>
        <w:tc>
          <w:tcPr>
            <w:tcW w:w="4880" w:type="dxa"/>
            <w:vAlign w:val="bottom"/>
          </w:tcPr>
          <w:p>
            <w:pPr>
              <w:spacing w:after="0"/>
              <w:rPr>
                <w:sz w:val="24"/>
                <w:szCs w:val="24"/>
                <w:color w:val="auto"/>
              </w:rPr>
            </w:pPr>
          </w:p>
        </w:tc>
        <w:tc>
          <w:tcPr>
            <w:tcW w:w="1060" w:type="dxa"/>
            <w:vAlign w:val="bottom"/>
          </w:tcPr>
          <w:p>
            <w:pPr>
              <w:ind w:left="6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700" w:type="dxa"/>
            <w:vAlign w:val="bottom"/>
            <w:gridSpan w:val="3"/>
          </w:tcPr>
          <w:p>
            <w:pPr>
              <w:ind w:left="840"/>
              <w:spacing w:after="0"/>
              <w:rPr>
                <w:sz w:val="20"/>
                <w:szCs w:val="20"/>
                <w:color w:val="auto"/>
              </w:rPr>
            </w:pPr>
            <w:r>
              <w:rPr>
                <w:rFonts w:ascii="Arial" w:cs="Arial" w:eastAsia="Arial" w:hAnsi="Arial"/>
                <w:sz w:val="14"/>
                <w:szCs w:val="14"/>
                <w:b w:val="1"/>
                <w:bCs w:val="1"/>
                <w:color w:val="auto"/>
                <w:w w:val="93"/>
              </w:rPr>
              <w:t>Total Amount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4"/>
              </w:rPr>
              <w:t>Treasury</w:t>
            </w:r>
          </w:p>
        </w:tc>
        <w:tc>
          <w:tcPr>
            <w:tcW w:w="15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88"/>
              </w:rPr>
              <w:t>Asset Coverage</w:t>
            </w:r>
          </w:p>
        </w:tc>
        <w:tc>
          <w:tcPr>
            <w:tcW w:w="56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8"/>
              </w:rPr>
              <w:t>Liquidating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Average Market</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0"/>
                <w:szCs w:val="10"/>
                <w:b w:val="1"/>
                <w:bCs w:val="1"/>
                <w:color w:val="auto"/>
                <w:w w:val="90"/>
              </w:rPr>
              <w:t>(1)</w:t>
            </w:r>
          </w:p>
        </w:tc>
        <w:tc>
          <w:tcPr>
            <w:tcW w:w="15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Preference</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20"/>
                <w:szCs w:val="20"/>
                <w:color w:val="auto"/>
              </w:rPr>
            </w:pPr>
            <w:r>
              <w:rPr>
                <w:rFonts w:ascii="Arial" w:cs="Arial" w:eastAsia="Arial" w:hAnsi="Arial"/>
                <w:sz w:val="14"/>
                <w:szCs w:val="14"/>
                <w:b w:val="1"/>
                <w:bCs w:val="1"/>
                <w:color w:val="auto"/>
              </w:rPr>
              <w:t>Class and Year/Period</w:t>
            </w:r>
          </w:p>
        </w:tc>
        <w:tc>
          <w:tcPr>
            <w:tcW w:w="1700" w:type="dxa"/>
            <w:vAlign w:val="bottom"/>
            <w:gridSpan w:val="3"/>
          </w:tcPr>
          <w:p>
            <w:pPr>
              <w:ind w:left="86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0"/>
                <w:szCs w:val="10"/>
                <w:b w:val="1"/>
                <w:bCs w:val="1"/>
                <w:color w:val="auto"/>
              </w:rPr>
              <w:t>(2)</w:t>
            </w:r>
          </w:p>
        </w:tc>
        <w:tc>
          <w:tcPr>
            <w:tcW w:w="560" w:type="dxa"/>
            <w:vAlign w:val="bottom"/>
          </w:tcPr>
          <w:p>
            <w:pPr>
              <w:spacing w:after="0"/>
              <w:rPr>
                <w:sz w:val="14"/>
                <w:szCs w:val="14"/>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Per Unit</w:t>
            </w:r>
            <w:r>
              <w:rPr>
                <w:rFonts w:ascii="Arial" w:cs="Arial" w:eastAsia="Arial" w:hAnsi="Arial"/>
                <w:sz w:val="10"/>
                <w:szCs w:val="10"/>
                <w:b w:val="1"/>
                <w:bCs w:val="1"/>
                <w:color w:val="auto"/>
              </w:rPr>
              <w:t>(3)</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8"/>
              </w:rPr>
              <w:t>Value Per Unit</w:t>
            </w:r>
            <w:r>
              <w:rPr>
                <w:rFonts w:ascii="Arial" w:cs="Arial" w:eastAsia="Arial" w:hAnsi="Arial"/>
                <w:sz w:val="10"/>
                <w:szCs w:val="10"/>
                <w:b w:val="1"/>
                <w:bCs w:val="1"/>
                <w:color w:val="auto"/>
                <w:w w:val="98"/>
              </w:rPr>
              <w:t>(4)</w:t>
            </w: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2024 Notes</w:t>
            </w: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December 31, 2022 (as of September 30, 2022 Unaudited)</w:t>
            </w: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346.7</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1,865.5</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2,053.6</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December 31, 2020</w:t>
            </w: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346.1</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2,045.4</w:t>
            </w:r>
          </w:p>
        </w:tc>
        <w:tc>
          <w:tcPr>
            <w:tcW w:w="560" w:type="dxa"/>
            <w:vAlign w:val="bottom"/>
          </w:tcPr>
          <w:p>
            <w:pPr>
              <w:spacing w:after="0"/>
              <w:rPr>
                <w:sz w:val="18"/>
                <w:szCs w:val="18"/>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2,004.1</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2026 Notes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 (as of September 30, 2022 Unaudited)</w:t>
            </w:r>
          </w:p>
        </w:tc>
        <w:tc>
          <w:tcPr>
            <w:tcW w:w="9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1,865.5</w:t>
            </w:r>
          </w:p>
        </w:tc>
        <w:tc>
          <w:tcPr>
            <w:tcW w:w="5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December 31, 2021</w:t>
            </w:r>
          </w:p>
        </w:tc>
        <w:tc>
          <w:tcPr>
            <w:tcW w:w="960" w:type="dxa"/>
            <w:vAlign w:val="bottom"/>
            <w:gridSpan w:val="2"/>
          </w:tcPr>
          <w:p>
            <w:pPr>
              <w:ind w:left="84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298.1</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2,053.6</w:t>
            </w:r>
          </w:p>
        </w:tc>
        <w:tc>
          <w:tcPr>
            <w:tcW w:w="560" w:type="dxa"/>
            <w:vAlign w:val="bottom"/>
          </w:tcPr>
          <w:p>
            <w:pPr>
              <w:spacing w:after="0"/>
              <w:rPr>
                <w:sz w:val="20"/>
                <w:szCs w:val="20"/>
                <w:color w:val="auto"/>
              </w:rPr>
            </w:pPr>
          </w:p>
        </w:tc>
        <w:tc>
          <w:tcPr>
            <w:tcW w:w="13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line="25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460" w:right="240" w:hanging="452"/>
        <w:spacing w:after="0" w:line="265"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67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table set forth below contains certain information as of September 30, 2022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Initial</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Reference</w:t>
            </w: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020" w:type="dxa"/>
            <w:vAlign w:val="bottom"/>
            <w:vMerge w:val="restart"/>
          </w:tcPr>
          <w:p>
            <w:pPr>
              <w:ind w:left="1220"/>
              <w:spacing w:after="0"/>
              <w:rPr>
                <w:sz w:val="20"/>
                <w:szCs w:val="20"/>
                <w:color w:val="auto"/>
              </w:rPr>
            </w:pPr>
            <w:r>
              <w:rPr>
                <w:rFonts w:ascii="Arial" w:cs="Arial" w:eastAsia="Arial" w:hAnsi="Arial"/>
                <w:sz w:val="13"/>
                <w:szCs w:val="13"/>
                <w:b w:val="1"/>
                <w:bCs w:val="1"/>
                <w:color w:val="auto"/>
              </w:rPr>
              <w:t>Investment</w:t>
            </w:r>
          </w:p>
        </w:tc>
        <w:tc>
          <w:tcPr>
            <w:tcW w:w="6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Rate and</w:t>
            </w:r>
          </w:p>
        </w:tc>
        <w:tc>
          <w:tcPr>
            <w:tcW w:w="1640" w:type="dxa"/>
            <w:vAlign w:val="bottom"/>
            <w:vMerge w:val="restart"/>
          </w:tcPr>
          <w:p>
            <w:pPr>
              <w:ind w:left="480"/>
              <w:spacing w:after="0"/>
              <w:rPr>
                <w:sz w:val="20"/>
                <w:szCs w:val="20"/>
                <w:color w:val="auto"/>
              </w:rPr>
            </w:pPr>
            <w:r>
              <w:rPr>
                <w:rFonts w:ascii="Arial" w:cs="Arial" w:eastAsia="Arial" w:hAnsi="Arial"/>
                <w:sz w:val="13"/>
                <w:szCs w:val="13"/>
                <w:b w:val="1"/>
                <w:bCs w:val="1"/>
                <w:color w:val="auto"/>
              </w:rPr>
              <w:t>Interest Rate</w:t>
            </w:r>
          </w:p>
        </w:tc>
        <w:tc>
          <w:tcPr>
            <w:tcW w:w="40" w:type="dxa"/>
            <w:vAlign w:val="bottom"/>
            <w:vMerge w:val="restart"/>
          </w:tcPr>
          <w:p>
            <w:pPr>
              <w:spacing w:after="0"/>
              <w:rPr>
                <w:sz w:val="11"/>
                <w:szCs w:val="11"/>
                <w:color w:val="auto"/>
              </w:rPr>
            </w:pPr>
          </w:p>
        </w:tc>
        <w:tc>
          <w:tcPr>
            <w:tcW w:w="70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91"/>
              </w:rPr>
              <w:t>Percentage</w:t>
            </w:r>
          </w:p>
        </w:tc>
        <w:tc>
          <w:tcPr>
            <w:tcW w:w="0" w:type="dxa"/>
            <w:vAlign w:val="bottom"/>
          </w:tcPr>
          <w:p>
            <w:pPr>
              <w:spacing w:after="0"/>
              <w:rPr>
                <w:sz w:val="1"/>
                <w:szCs w:val="1"/>
                <w:color w:val="auto"/>
              </w:rPr>
            </w:pPr>
          </w:p>
        </w:tc>
      </w:tr>
      <w:tr>
        <w:trPr>
          <w:trHeight w:val="153"/>
        </w:trPr>
        <w:tc>
          <w:tcPr>
            <w:tcW w:w="760" w:type="dxa"/>
            <w:vAlign w:val="bottom"/>
          </w:tcPr>
          <w:p>
            <w:pPr>
              <w:spacing w:after="0" w:line="154" w:lineRule="exact"/>
              <w:rPr>
                <w:sz w:val="20"/>
                <w:szCs w:val="20"/>
                <w:color w:val="auto"/>
              </w:rPr>
            </w:pPr>
            <w:r>
              <w:rPr>
                <w:rFonts w:ascii="Arial" w:cs="Arial" w:eastAsia="Arial" w:hAnsi="Arial"/>
                <w:sz w:val="12"/>
                <w:szCs w:val="12"/>
                <w:b w:val="1"/>
                <w:bCs w:val="1"/>
                <w:color w:val="auto"/>
                <w:w w:val="89"/>
              </w:rPr>
              <w:t>Company</w:t>
            </w:r>
            <w:r>
              <w:rPr>
                <w:rFonts w:ascii="Arial" w:cs="Arial" w:eastAsia="Arial" w:hAnsi="Arial"/>
                <w:sz w:val="17"/>
                <w:szCs w:val="17"/>
                <w:b w:val="1"/>
                <w:bCs w:val="1"/>
                <w:color w:val="auto"/>
                <w:w w:val="89"/>
                <w:vertAlign w:val="superscript"/>
              </w:rPr>
              <w:t>(1)(6)</w:t>
            </w:r>
          </w:p>
        </w:tc>
        <w:tc>
          <w:tcPr>
            <w:tcW w:w="1400" w:type="dxa"/>
            <w:vAlign w:val="bottom"/>
          </w:tcPr>
          <w:p>
            <w:pPr>
              <w:spacing w:after="0"/>
              <w:rPr>
                <w:sz w:val="13"/>
                <w:szCs w:val="13"/>
                <w:color w:val="auto"/>
              </w:rPr>
            </w:pPr>
          </w:p>
        </w:tc>
        <w:tc>
          <w:tcPr>
            <w:tcW w:w="3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Spread</w:t>
            </w:r>
          </w:p>
        </w:tc>
        <w:tc>
          <w:tcPr>
            <w:tcW w:w="20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8"/>
                <w:szCs w:val="8"/>
                <w:b w:val="1"/>
                <w:bCs w:val="1"/>
                <w:color w:val="auto"/>
              </w:rPr>
              <w:t>(2)(8)</w:t>
            </w: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8"/>
              <w:spacing w:after="0" w:line="154" w:lineRule="exact"/>
              <w:rPr>
                <w:sz w:val="20"/>
                <w:szCs w:val="20"/>
                <w:color w:val="auto"/>
              </w:rPr>
            </w:pPr>
            <w:r>
              <w:rPr>
                <w:rFonts w:ascii="Arial" w:cs="Arial" w:eastAsia="Arial" w:hAnsi="Arial"/>
                <w:sz w:val="12"/>
                <w:szCs w:val="12"/>
                <w:b w:val="1"/>
                <w:bCs w:val="1"/>
                <w:color w:val="auto"/>
                <w:w w:val="95"/>
              </w:rPr>
              <w:t>Fair Value</w:t>
            </w:r>
            <w:r>
              <w:rPr>
                <w:rFonts w:ascii="Arial" w:cs="Arial" w:eastAsia="Arial" w:hAnsi="Arial"/>
                <w:sz w:val="17"/>
                <w:szCs w:val="17"/>
                <w:b w:val="1"/>
                <w:bCs w:val="1"/>
                <w:color w:val="auto"/>
                <w:w w:val="95"/>
                <w:vertAlign w:val="superscript"/>
              </w:rPr>
              <w:t>(9)</w:t>
            </w:r>
          </w:p>
        </w:tc>
        <w:tc>
          <w:tcPr>
            <w:tcW w:w="1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Debt Investments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Carlstar Group, LLC</w:t>
            </w:r>
            <w:r>
              <w:rPr>
                <w:rFonts w:ascii="Arial" w:cs="Arial" w:eastAsia="Arial" w:hAnsi="Arial"/>
                <w:sz w:val="10"/>
                <w:szCs w:val="10"/>
                <w:color w:val="auto"/>
              </w:rPr>
              <w:t>(3)</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($34,000 par, due 7/2027)</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7/8/2022</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SOFR + 6.60%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9.25%</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9"/>
              </w:rPr>
              <w:t>$  33,125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33,256</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Business services</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Acceo Solutions, Inc.</w:t>
            </w:r>
            <w:r>
              <w:rPr>
                <w:rFonts w:ascii="Arial" w:cs="Arial" w:eastAsia="Arial" w:hAnsi="Arial"/>
                <w:sz w:val="10"/>
                <w:szCs w:val="10"/>
                <w:color w:val="auto"/>
              </w:rPr>
              <w:t>(3)(4)(5)</w:t>
            </w:r>
          </w:p>
        </w:tc>
        <w:tc>
          <w:tcPr>
            <w:tcW w:w="30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First-lien loan (CAD 73,687 par, due 10/2025)</w:t>
            </w:r>
          </w:p>
        </w:tc>
        <w:tc>
          <w:tcPr>
            <w:tcW w:w="8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7/6/2018</w:t>
            </w: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C + 4.75%</w:t>
            </w:r>
          </w:p>
        </w:tc>
        <w:tc>
          <w:tcPr>
            <w:tcW w:w="1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8.70%</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55,562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54,164</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1"/>
        </w:trPr>
        <w:tc>
          <w:tcPr>
            <w:tcW w:w="7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5"/>
              </w:rPr>
              <w:t>(CAD 74,424)</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Alpha Midco, Inc.</w:t>
            </w:r>
            <w:r>
              <w:rPr>
                <w:rFonts w:ascii="Arial" w:cs="Arial" w:eastAsia="Arial" w:hAnsi="Arial"/>
                <w:sz w:val="10"/>
                <w:szCs w:val="10"/>
                <w:color w:val="auto"/>
              </w:rPr>
              <w:t>(3)(5)</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($68,788 par, due 8/2025)</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8/15/2019</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SOFR + 7.50%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11.17%</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67,823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69,485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30"/>
        </w:trPr>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Dye &amp; Durham Corp.</w:t>
            </w:r>
            <w:r>
              <w:rPr>
                <w:rFonts w:ascii="Arial" w:cs="Arial" w:eastAsia="Arial" w:hAnsi="Arial"/>
                <w:sz w:val="10"/>
                <w:szCs w:val="10"/>
                <w:color w:val="auto"/>
              </w:rPr>
              <w:t>(3)(4)</w:t>
            </w:r>
          </w:p>
        </w:tc>
        <w:tc>
          <w:tcPr>
            <w:tcW w:w="30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First-lien loan (CAD 32,772 par, due 12/2027)</w:t>
            </w:r>
          </w:p>
        </w:tc>
        <w:tc>
          <w:tcPr>
            <w:tcW w:w="8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12/3/2021</w:t>
            </w: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C + 5.75%</w:t>
            </w:r>
          </w:p>
        </w:tc>
        <w:tc>
          <w:tcPr>
            <w:tcW w:w="1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9.95%</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25,011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23,778</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4"/>
        </w:trPr>
        <w:tc>
          <w:tcPr>
            <w:tcW w:w="7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5"/>
              </w:rPr>
              <w:t>(CAD 32,672)</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ExtraHop Networks, Inc.</w:t>
            </w:r>
            <w:r>
              <w:rPr>
                <w:rFonts w:ascii="Arial" w:cs="Arial" w:eastAsia="Arial" w:hAnsi="Arial"/>
                <w:sz w:val="10"/>
                <w:szCs w:val="10"/>
                <w:color w:val="auto"/>
              </w:rPr>
              <w:t>(3)(5)</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($56,066 par, due 7/2027)</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7/22/2021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+ 7.50%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11.17%</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54,881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54,384</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ForeScout Technologies, Inc.</w:t>
            </w:r>
            <w:r>
              <w:rPr>
                <w:rFonts w:ascii="Arial" w:cs="Arial" w:eastAsia="Arial" w:hAnsi="Arial"/>
                <w:sz w:val="10"/>
                <w:szCs w:val="10"/>
                <w:color w:val="auto"/>
              </w:rPr>
              <w:t>(3)</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($6,349 par, due 8/2026)</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8/17/2020</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+ 9.50%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13.17% (incl. 9.50% PIK)</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6,247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6,263</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($2,548 par, due 8/2026)</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7/1/2022</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+ 9.00%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12.67% (incl. 9.00%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2,453</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Information Clearinghouse, LLC</w:t>
            </w:r>
          </w:p>
        </w:tc>
        <w:tc>
          <w:tcPr>
            <w:tcW w:w="3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160" w:type="dxa"/>
            <w:vAlign w:val="bottom"/>
            <w:gridSpan w:val="2"/>
            <w:shd w:val="clear" w:color="auto" w:fill="CCEEFF"/>
          </w:tcPr>
          <w:p>
            <w:pPr>
              <w:ind w:left="160"/>
              <w:spacing w:after="0" w:line="157" w:lineRule="exact"/>
              <w:rPr>
                <w:sz w:val="20"/>
                <w:szCs w:val="20"/>
                <w:color w:val="auto"/>
              </w:rPr>
            </w:pPr>
            <w:r>
              <w:rPr>
                <w:rFonts w:ascii="Arial" w:cs="Arial" w:eastAsia="Arial" w:hAnsi="Arial"/>
                <w:sz w:val="14"/>
                <w:szCs w:val="14"/>
                <w:color w:val="auto"/>
              </w:rPr>
              <w:t>and MS Market Service, LLC</w:t>
            </w:r>
            <w:r>
              <w:rPr>
                <w:rFonts w:ascii="Arial" w:cs="Arial" w:eastAsia="Arial" w:hAnsi="Arial"/>
                <w:sz w:val="10"/>
                <w:szCs w:val="10"/>
                <w:color w:val="auto"/>
              </w:rPr>
              <w:t>(3)</w:t>
            </w:r>
          </w:p>
        </w:tc>
        <w:tc>
          <w:tcPr>
            <w:tcW w:w="30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First-lien loan ($17,865 par, due 12/2026)</w:t>
            </w:r>
          </w:p>
        </w:tc>
        <w:tc>
          <w:tcPr>
            <w:tcW w:w="8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12/20/2021</w:t>
            </w:r>
          </w:p>
        </w:tc>
        <w:tc>
          <w:tcPr>
            <w:tcW w:w="10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L + 6.50%</w:t>
            </w:r>
          </w:p>
        </w:tc>
        <w:tc>
          <w:tcPr>
            <w:tcW w:w="1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10.07%</w:t>
            </w:r>
          </w:p>
        </w:tc>
        <w:tc>
          <w:tcPr>
            <w:tcW w:w="6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17,457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17,284</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1"/>
        </w:trPr>
        <w:tc>
          <w:tcPr>
            <w:tcW w:w="7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(5)</w:t>
            </w:r>
          </w:p>
        </w:tc>
        <w:tc>
          <w:tcPr>
            <w:tcW w:w="1400" w:type="dxa"/>
            <w:vAlign w:val="bottom"/>
            <w:shd w:val="clear" w:color="auto" w:fill="CCEEFF"/>
          </w:tcPr>
          <w:p>
            <w:pPr>
              <w:spacing w:after="0"/>
              <w:rPr>
                <w:sz w:val="11"/>
                <w:szCs w:val="11"/>
                <w:color w:val="auto"/>
              </w:rPr>
            </w:pPr>
          </w:p>
        </w:tc>
        <w:tc>
          <w:tcPr>
            <w:tcW w:w="3020" w:type="dxa"/>
            <w:vAlign w:val="bottom"/>
            <w:vMerge w:val="continue"/>
            <w:shd w:val="clear" w:color="auto" w:fill="CCEEFF"/>
          </w:tcPr>
          <w:p>
            <w:pPr>
              <w:spacing w:after="0"/>
              <w:rPr>
                <w:sz w:val="11"/>
                <w:szCs w:val="11"/>
                <w:color w:val="auto"/>
              </w:rPr>
            </w:pPr>
          </w:p>
        </w:tc>
        <w:tc>
          <w:tcPr>
            <w:tcW w:w="840" w:type="dxa"/>
            <w:vAlign w:val="bottom"/>
            <w:gridSpan w:val="3"/>
            <w:vMerge w:val="continue"/>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1680" w:type="dxa"/>
            <w:vAlign w:val="bottom"/>
            <w:gridSpan w:val="2"/>
            <w:vMerge w:val="continue"/>
            <w:shd w:val="clear" w:color="auto" w:fill="CCEEFF"/>
          </w:tcPr>
          <w:p>
            <w:pPr>
              <w:spacing w:after="0"/>
              <w:rPr>
                <w:sz w:val="11"/>
                <w:szCs w:val="11"/>
                <w:color w:val="auto"/>
              </w:rPr>
            </w:pPr>
          </w:p>
        </w:tc>
        <w:tc>
          <w:tcPr>
            <w:tcW w:w="62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60" w:type="dxa"/>
            <w:vAlign w:val="bottom"/>
            <w:gridSpan w:val="2"/>
          </w:tcPr>
          <w:p>
            <w:pPr>
              <w:spacing w:after="0" w:line="139" w:lineRule="exact"/>
              <w:rPr>
                <w:sz w:val="20"/>
                <w:szCs w:val="20"/>
                <w:color w:val="auto"/>
              </w:rPr>
            </w:pPr>
            <w:r>
              <w:rPr>
                <w:rFonts w:ascii="Arial" w:cs="Arial" w:eastAsia="Arial" w:hAnsi="Arial"/>
                <w:sz w:val="14"/>
                <w:szCs w:val="14"/>
                <w:color w:val="auto"/>
                <w:w w:val="97"/>
              </w:rPr>
              <w:t>Mitnick Corporate Purchaser, Inc.</w:t>
            </w:r>
            <w:r>
              <w:rPr>
                <w:rFonts w:ascii="Arial" w:cs="Arial" w:eastAsia="Arial" w:hAnsi="Arial"/>
                <w:sz w:val="10"/>
                <w:szCs w:val="10"/>
                <w:color w:val="auto"/>
                <w:w w:val="97"/>
              </w:rPr>
              <w:t>(3)</w:t>
            </w:r>
          </w:p>
        </w:tc>
        <w:tc>
          <w:tcPr>
            <w:tcW w:w="3020" w:type="dxa"/>
            <w:vAlign w:val="bottom"/>
            <w:vMerge w:val="restart"/>
          </w:tcPr>
          <w:p>
            <w:pPr>
              <w:ind w:left="20"/>
              <w:spacing w:after="0"/>
              <w:rPr>
                <w:sz w:val="20"/>
                <w:szCs w:val="20"/>
                <w:color w:val="auto"/>
              </w:rPr>
            </w:pPr>
            <w:r>
              <w:rPr>
                <w:rFonts w:ascii="Arial" w:cs="Arial" w:eastAsia="Arial" w:hAnsi="Arial"/>
                <w:sz w:val="14"/>
                <w:szCs w:val="14"/>
                <w:color w:val="auto"/>
              </w:rPr>
              <w:t>First-lien loan ($333 par, due 5/2029)</w:t>
            </w: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5/2/2022</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w w:val="95"/>
              </w:rPr>
              <w:t>SOFR + 4.85%</w:t>
            </w:r>
          </w:p>
        </w:tc>
        <w:tc>
          <w:tcPr>
            <w:tcW w:w="168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7.39%</w:t>
            </w:r>
          </w:p>
        </w:tc>
        <w:tc>
          <w:tcPr>
            <w:tcW w:w="70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334</w:t>
            </w:r>
          </w:p>
        </w:tc>
        <w:tc>
          <w:tcPr>
            <w:tcW w:w="6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314</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1"/>
        </w:trPr>
        <w:tc>
          <w:tcPr>
            <w:tcW w:w="760" w:type="dxa"/>
            <w:vAlign w:val="bottom"/>
          </w:tcPr>
          <w:p>
            <w:pPr>
              <w:ind w:left="160"/>
              <w:spacing w:after="0"/>
              <w:rPr>
                <w:sz w:val="20"/>
                <w:szCs w:val="20"/>
                <w:color w:val="auto"/>
              </w:rPr>
            </w:pPr>
            <w:r>
              <w:rPr>
                <w:rFonts w:ascii="Arial" w:cs="Arial" w:eastAsia="Arial" w:hAnsi="Arial"/>
                <w:sz w:val="11"/>
                <w:szCs w:val="11"/>
                <w:color w:val="auto"/>
              </w:rPr>
              <w:t>(10)</w:t>
            </w:r>
          </w:p>
        </w:tc>
        <w:tc>
          <w:tcPr>
            <w:tcW w:w="140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70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Netwrix Corp.</w:t>
            </w:r>
            <w:r>
              <w:rPr>
                <w:rFonts w:ascii="Arial" w:cs="Arial" w:eastAsia="Arial" w:hAnsi="Arial"/>
                <w:sz w:val="10"/>
                <w:szCs w:val="10"/>
                <w:color w:val="auto"/>
              </w:rPr>
              <w:t>(3)</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($47,130 par, due 6/2029)</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6/9/2022</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SOFR + 5.00%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7.92%</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31,211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30,697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ReliaQuest Holdings, LLC</w:t>
            </w:r>
            <w:r>
              <w:rPr>
                <w:rFonts w:ascii="Arial" w:cs="Arial" w:eastAsia="Arial" w:hAnsi="Arial"/>
                <w:sz w:val="10"/>
                <w:szCs w:val="10"/>
                <w:color w:val="auto"/>
              </w:rPr>
              <w:t>(3)(5)</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($60,497 par, due 10/2026)</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10/8/2020</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SOFR + 7.25%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10.80%</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59,366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60,346</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TIBCO Software Inc.</w:t>
            </w:r>
            <w:r>
              <w:rPr>
                <w:rFonts w:ascii="Arial" w:cs="Arial" w:eastAsia="Arial" w:hAnsi="Arial"/>
                <w:sz w:val="10"/>
                <w:szCs w:val="10"/>
                <w:color w:val="auto"/>
              </w:rPr>
              <w:t>(10)</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note ($13,000 par, due 3/2029)</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9/20/2022</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6.50%</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10,863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11,046</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($12,000 par, due 3/2029)</w:t>
            </w:r>
            <w:r>
              <w:rPr>
                <w:rFonts w:ascii="Arial" w:cs="Arial" w:eastAsia="Arial" w:hAnsi="Arial"/>
                <w:sz w:val="10"/>
                <w:szCs w:val="10"/>
                <w:color w:val="auto"/>
              </w:rPr>
              <w:t>(3)</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9/20/2022</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SOFR + 4.50%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8.15%</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10,920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11,087</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WideOrbit, Inc.</w:t>
            </w:r>
            <w:r>
              <w:rPr>
                <w:rFonts w:ascii="Arial" w:cs="Arial" w:eastAsia="Arial" w:hAnsi="Arial"/>
                <w:sz w:val="10"/>
                <w:szCs w:val="10"/>
                <w:color w:val="auto"/>
              </w:rPr>
              <w:t>(3)</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($35,655 par, due 7/2025)</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7/8/2020</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+ 8.50%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11.62%</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35,291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36,457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377,441</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377,758</w:t>
            </w:r>
          </w:p>
        </w:tc>
        <w:tc>
          <w:tcPr>
            <w:tcW w:w="140" w:type="dxa"/>
            <w:vAlign w:val="bottom"/>
            <w:vMerge w:val="continue"/>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Chemicals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gridSpan w:val="2"/>
          </w:tcPr>
          <w:p>
            <w:pPr>
              <w:spacing w:after="0" w:line="130" w:lineRule="exact"/>
              <w:rPr>
                <w:sz w:val="20"/>
                <w:szCs w:val="20"/>
                <w:color w:val="auto"/>
              </w:rPr>
            </w:pPr>
            <w:r>
              <w:rPr>
                <w:rFonts w:ascii="Arial" w:cs="Arial" w:eastAsia="Arial" w:hAnsi="Arial"/>
                <w:sz w:val="14"/>
                <w:szCs w:val="14"/>
                <w:color w:val="auto"/>
              </w:rPr>
              <w:t>Erling Lux Bidco Sarl</w:t>
            </w:r>
            <w:r>
              <w:rPr>
                <w:rFonts w:ascii="Arial" w:cs="Arial" w:eastAsia="Arial" w:hAnsi="Arial"/>
                <w:sz w:val="10"/>
                <w:szCs w:val="10"/>
                <w:color w:val="auto"/>
              </w:rPr>
              <w:t>(3)(4)</w:t>
            </w:r>
          </w:p>
        </w:tc>
        <w:tc>
          <w:tcPr>
            <w:tcW w:w="3020" w:type="dxa"/>
            <w:vAlign w:val="bottom"/>
          </w:tcPr>
          <w:p>
            <w:pPr>
              <w:ind w:left="20"/>
              <w:spacing w:after="0" w:line="130" w:lineRule="exact"/>
              <w:rPr>
                <w:sz w:val="20"/>
                <w:szCs w:val="20"/>
                <w:color w:val="auto"/>
              </w:rPr>
            </w:pPr>
            <w:r>
              <w:rPr>
                <w:rFonts w:ascii="Arial" w:cs="Arial" w:eastAsia="Arial" w:hAnsi="Arial"/>
                <w:sz w:val="14"/>
                <w:szCs w:val="14"/>
                <w:color w:val="auto"/>
              </w:rPr>
              <w:t>First-lien loan (EUR 3,660 par, due 9/2028)</w:t>
            </w:r>
          </w:p>
        </w:tc>
        <w:tc>
          <w:tcPr>
            <w:tcW w:w="840" w:type="dxa"/>
            <w:vAlign w:val="bottom"/>
            <w:gridSpan w:val="3"/>
          </w:tcPr>
          <w:p>
            <w:pPr>
              <w:jc w:val="right"/>
              <w:ind w:right="100"/>
              <w:spacing w:after="0" w:line="130" w:lineRule="exact"/>
              <w:rPr>
                <w:sz w:val="20"/>
                <w:szCs w:val="20"/>
                <w:color w:val="auto"/>
              </w:rPr>
            </w:pPr>
            <w:r>
              <w:rPr>
                <w:rFonts w:ascii="Arial" w:cs="Arial" w:eastAsia="Arial" w:hAnsi="Arial"/>
                <w:sz w:val="14"/>
                <w:szCs w:val="14"/>
                <w:color w:val="auto"/>
              </w:rPr>
              <w:t>9/6/2022</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E + 6.75%</w:t>
            </w:r>
          </w:p>
        </w:tc>
        <w:tc>
          <w:tcPr>
            <w:tcW w:w="16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7.46%</w:t>
            </w:r>
          </w:p>
        </w:tc>
        <w:tc>
          <w:tcPr>
            <w:tcW w:w="6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3,586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3,505</w:t>
            </w:r>
          </w:p>
        </w:tc>
        <w:tc>
          <w:tcPr>
            <w:tcW w:w="86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(EUR 3,578)</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First-lien loan (GBP 3,538 par, due 9/2028)</w:t>
            </w:r>
          </w:p>
        </w:tc>
        <w:tc>
          <w:tcPr>
            <w:tcW w:w="8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9/6/2022</w:t>
            </w: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S + 6.75%</w:t>
            </w:r>
          </w:p>
        </w:tc>
        <w:tc>
          <w:tcPr>
            <w:tcW w:w="1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8.94%</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3,564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3,449</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1"/>
        </w:trPr>
        <w:tc>
          <w:tcPr>
            <w:tcW w:w="7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(GBP 3,090)</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7,150</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6,954</w:t>
            </w:r>
          </w:p>
        </w:tc>
        <w:tc>
          <w:tcPr>
            <w:tcW w:w="140" w:type="dxa"/>
            <w:vAlign w:val="bottom"/>
            <w:vMerge w:val="continue"/>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Communications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Celtra Technologies, Inc.</w:t>
            </w:r>
            <w:r>
              <w:rPr>
                <w:rFonts w:ascii="Arial" w:cs="Arial" w:eastAsia="Arial" w:hAnsi="Arial"/>
                <w:sz w:val="10"/>
                <w:szCs w:val="10"/>
                <w:color w:val="auto"/>
              </w:rPr>
              <w:t>(3)(5)</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($34,738 par, due 11/2026)</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11/19/2021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+ 7.00%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10.67%</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33,803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33,435</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IntelePeer Holdings, Inc.</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($34,956 par, due 12/2024)</w:t>
            </w:r>
            <w:r>
              <w:rPr>
                <w:rFonts w:ascii="Arial" w:cs="Arial" w:eastAsia="Arial" w:hAnsi="Arial"/>
                <w:sz w:val="10"/>
                <w:szCs w:val="10"/>
                <w:color w:val="auto"/>
              </w:rPr>
              <w:t>(3)</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12/2/2019</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11.37%</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34,907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34,257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Convertible note ($4,314 par, due 5/2028)</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5/12/2021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6.00%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4,281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4,239</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72,991</w:t>
            </w: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71,931</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Education</w:t>
            </w:r>
          </w:p>
        </w:tc>
        <w:tc>
          <w:tcPr>
            <w:tcW w:w="3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Astra Acquisition Corp.</w:t>
            </w:r>
            <w:r>
              <w:rPr>
                <w:rFonts w:ascii="Arial" w:cs="Arial" w:eastAsia="Arial" w:hAnsi="Arial"/>
                <w:sz w:val="10"/>
                <w:szCs w:val="10"/>
                <w:color w:val="auto"/>
              </w:rPr>
              <w:t>(3)</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Second-lien loan ($43,479 par, due 10/2029)</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10/25/2021</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+ 8.88%</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11.99%</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42,725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41,197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0"/>
        </w:trPr>
        <w:tc>
          <w:tcPr>
            <w:tcW w:w="2160" w:type="dxa"/>
            <w:vAlign w:val="bottom"/>
            <w:gridSpan w:val="2"/>
          </w:tcPr>
          <w:p>
            <w:pPr>
              <w:spacing w:after="0" w:line="130" w:lineRule="exact"/>
              <w:rPr>
                <w:sz w:val="20"/>
                <w:szCs w:val="20"/>
                <w:color w:val="auto"/>
              </w:rPr>
            </w:pPr>
            <w:r>
              <w:rPr>
                <w:rFonts w:ascii="Arial" w:cs="Arial" w:eastAsia="Arial" w:hAnsi="Arial"/>
                <w:sz w:val="14"/>
                <w:szCs w:val="14"/>
                <w:color w:val="auto"/>
              </w:rPr>
              <w:t>Destiny Solutions Parent Holding</w:t>
            </w:r>
          </w:p>
        </w:tc>
        <w:tc>
          <w:tcPr>
            <w:tcW w:w="3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tcPr>
          <w:p>
            <w:pPr>
              <w:ind w:left="160"/>
              <w:spacing w:after="0"/>
              <w:rPr>
                <w:sz w:val="20"/>
                <w:szCs w:val="20"/>
                <w:color w:val="auto"/>
              </w:rPr>
            </w:pPr>
            <w:r>
              <w:rPr>
                <w:rFonts w:ascii="Arial" w:cs="Arial" w:eastAsia="Arial" w:hAnsi="Arial"/>
                <w:sz w:val="14"/>
                <w:szCs w:val="14"/>
                <w:color w:val="auto"/>
              </w:rPr>
              <w:t>Company</w:t>
            </w:r>
            <w:r>
              <w:rPr>
                <w:rFonts w:ascii="Arial" w:cs="Arial" w:eastAsia="Arial" w:hAnsi="Arial"/>
                <w:sz w:val="10"/>
                <w:szCs w:val="10"/>
                <w:color w:val="auto"/>
              </w:rPr>
              <w:t>(3)(5)</w:t>
            </w:r>
          </w:p>
        </w:tc>
        <w:tc>
          <w:tcPr>
            <w:tcW w:w="3020" w:type="dxa"/>
            <w:vAlign w:val="bottom"/>
          </w:tcPr>
          <w:p>
            <w:pPr>
              <w:ind w:left="20"/>
              <w:spacing w:after="0"/>
              <w:rPr>
                <w:sz w:val="20"/>
                <w:szCs w:val="20"/>
                <w:color w:val="auto"/>
              </w:rPr>
            </w:pPr>
            <w:r>
              <w:rPr>
                <w:rFonts w:ascii="Arial" w:cs="Arial" w:eastAsia="Arial" w:hAnsi="Arial"/>
                <w:sz w:val="14"/>
                <w:szCs w:val="14"/>
                <w:color w:val="auto"/>
              </w:rPr>
              <w:t>First-lien loan ($60,000 par, due 6/2026)</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6/8/2021</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L + 5.75%</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8.87%</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58,983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58,200</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EMS Linq, Inc.</w:t>
            </w:r>
            <w:r>
              <w:rPr>
                <w:rFonts w:ascii="Arial" w:cs="Arial" w:eastAsia="Arial" w:hAnsi="Arial"/>
                <w:sz w:val="10"/>
                <w:szCs w:val="10"/>
                <w:color w:val="auto"/>
              </w:rPr>
              <w:t>(3)</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($56,216 par, due 12/2027)</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12/22/2021</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+ 6.25%</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9.37%</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55,057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53,616</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160" w:type="dxa"/>
            <w:vAlign w:val="bottom"/>
            <w:gridSpan w:val="2"/>
          </w:tcPr>
          <w:p>
            <w:pPr>
              <w:spacing w:after="0" w:line="130" w:lineRule="exact"/>
              <w:rPr>
                <w:sz w:val="20"/>
                <w:szCs w:val="20"/>
                <w:color w:val="auto"/>
              </w:rPr>
            </w:pPr>
            <w:r>
              <w:rPr>
                <w:rFonts w:ascii="Arial" w:cs="Arial" w:eastAsia="Arial" w:hAnsi="Arial"/>
                <w:sz w:val="14"/>
                <w:szCs w:val="14"/>
                <w:color w:val="auto"/>
              </w:rPr>
              <w:t>Frontline Technologies</w:t>
            </w:r>
          </w:p>
        </w:tc>
        <w:tc>
          <w:tcPr>
            <w:tcW w:w="3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160" w:type="dxa"/>
            <w:vAlign w:val="bottom"/>
            <w:gridSpan w:val="2"/>
          </w:tcPr>
          <w:p>
            <w:pPr>
              <w:ind w:left="160"/>
              <w:spacing w:after="0"/>
              <w:rPr>
                <w:sz w:val="20"/>
                <w:szCs w:val="20"/>
                <w:color w:val="auto"/>
              </w:rPr>
            </w:pPr>
            <w:r>
              <w:rPr>
                <w:rFonts w:ascii="Arial" w:cs="Arial" w:eastAsia="Arial" w:hAnsi="Arial"/>
                <w:sz w:val="14"/>
                <w:szCs w:val="14"/>
                <w:color w:val="auto"/>
              </w:rPr>
              <w:t>Group, LLC</w:t>
            </w:r>
            <w:r>
              <w:rPr>
                <w:rFonts w:ascii="Arial" w:cs="Arial" w:eastAsia="Arial" w:hAnsi="Arial"/>
                <w:sz w:val="10"/>
                <w:szCs w:val="10"/>
                <w:color w:val="auto"/>
              </w:rPr>
              <w:t>(3)</w:t>
            </w:r>
          </w:p>
        </w:tc>
        <w:tc>
          <w:tcPr>
            <w:tcW w:w="3020" w:type="dxa"/>
            <w:vAlign w:val="bottom"/>
          </w:tcPr>
          <w:p>
            <w:pPr>
              <w:ind w:left="20"/>
              <w:spacing w:after="0"/>
              <w:rPr>
                <w:sz w:val="20"/>
                <w:szCs w:val="20"/>
                <w:color w:val="auto"/>
              </w:rPr>
            </w:pPr>
            <w:r>
              <w:rPr>
                <w:rFonts w:ascii="Arial" w:cs="Arial" w:eastAsia="Arial" w:hAnsi="Arial"/>
                <w:sz w:val="14"/>
                <w:szCs w:val="14"/>
                <w:color w:val="auto"/>
              </w:rPr>
              <w:t>First-lien loan ($85,389 par, due 9/2023)</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9/18/2017</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L + 5.25%</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11.00%</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85,259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85,389</w:t>
            </w: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242,024</w:t>
            </w: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238,402</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Financial Services</w:t>
            </w:r>
          </w:p>
        </w:tc>
        <w:tc>
          <w:tcPr>
            <w:tcW w:w="3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AvidXchange, Inc.</w:t>
            </w:r>
            <w:r>
              <w:rPr>
                <w:rFonts w:ascii="Arial" w:cs="Arial" w:eastAsia="Arial" w:hAnsi="Arial"/>
                <w:sz w:val="10"/>
                <w:szCs w:val="10"/>
                <w:color w:val="auto"/>
              </w:rPr>
              <w:t>(3)(5)</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($11,460 par, due 4/2024)</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10/1/2019</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+ 9.00%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12.69%</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11,408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11,460</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Bear OpCo, LLC</w:t>
            </w:r>
            <w:r>
              <w:rPr>
                <w:rFonts w:ascii="Arial" w:cs="Arial" w:eastAsia="Arial" w:hAnsi="Arial"/>
                <w:sz w:val="10"/>
                <w:szCs w:val="10"/>
                <w:color w:val="auto"/>
              </w:rPr>
              <w:t>(3)(5)</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($19,874 par, due 10/2024)</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10/10/2019</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SOFR + 7.65%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10.68%</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19,629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19,874</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BlueSnap, Inc.</w:t>
            </w:r>
            <w:r>
              <w:rPr>
                <w:rFonts w:ascii="Arial" w:cs="Arial" w:eastAsia="Arial" w:hAnsi="Arial"/>
                <w:sz w:val="10"/>
                <w:szCs w:val="10"/>
                <w:color w:val="auto"/>
              </w:rPr>
              <w:t>(3)(5)</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($42,000 par, due 10/2024)</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10/25/2019</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10.42%</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41,598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41,881</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G Treasury SS, LLC</w:t>
            </w:r>
            <w:r>
              <w:rPr>
                <w:rFonts w:ascii="Arial" w:cs="Arial" w:eastAsia="Arial" w:hAnsi="Arial"/>
                <w:sz w:val="10"/>
                <w:szCs w:val="10"/>
                <w:color w:val="auto"/>
              </w:rPr>
              <w:t>(3)(5)</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($64,271 par, due 4/2023)</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4/9/2018</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11.92%</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63,957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64,603</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Ibis Intermediate Co.</w:t>
            </w:r>
            <w:r>
              <w:rPr>
                <w:rFonts w:ascii="Arial" w:cs="Arial" w:eastAsia="Arial" w:hAnsi="Arial"/>
                <w:sz w:val="10"/>
                <w:szCs w:val="10"/>
                <w:color w:val="auto"/>
              </w:rPr>
              <w:t>(3)(5)</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($1,530 par, due 5/2027)</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5/28/2021</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+ 5.00%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8.07%</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1,414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1,530</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Ibis US Blocker Co.</w:t>
            </w:r>
            <w:r>
              <w:rPr>
                <w:rFonts w:ascii="Arial" w:cs="Arial" w:eastAsia="Arial" w:hAnsi="Arial"/>
                <w:sz w:val="10"/>
                <w:szCs w:val="10"/>
                <w:color w:val="auto"/>
              </w:rPr>
              <w:t>(3)</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($13,569 par, due 5/2028)</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5/28/2021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11.32%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13,317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13,162</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Jonas Collections and</w:t>
            </w:r>
          </w:p>
        </w:tc>
        <w:tc>
          <w:tcPr>
            <w:tcW w:w="3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Recovery, Inc.</w:t>
            </w:r>
            <w:r>
              <w:rPr>
                <w:rFonts w:ascii="Arial" w:cs="Arial" w:eastAsia="Arial" w:hAnsi="Arial"/>
                <w:sz w:val="10"/>
                <w:szCs w:val="10"/>
                <w:color w:val="auto"/>
              </w:rPr>
              <w:t>(3)(5)</w:t>
            </w:r>
          </w:p>
        </w:tc>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First-lien loan ($27,188 par, due 6/2026)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6/21/2021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L + 5.50%</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8.38%</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26,746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26,576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Kyriba Corp.</w:t>
            </w:r>
            <w:r>
              <w:rPr>
                <w:rFonts w:ascii="Arial" w:cs="Arial" w:eastAsia="Arial" w:hAnsi="Arial"/>
                <w:sz w:val="10"/>
                <w:szCs w:val="10"/>
                <w:color w:val="auto"/>
              </w:rPr>
              <w:t>(3)</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($18,628 par, due 4/2025)</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4/9/2019</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+ 9.00%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12.67% (incl. 9.00%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18,429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18,721</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7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First-lien loan (EUR 9,704 par, due 4/2025)</w:t>
            </w:r>
          </w:p>
        </w:tc>
        <w:tc>
          <w:tcPr>
            <w:tcW w:w="8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4/9/2019</w:t>
            </w: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E + 9.00%</w:t>
            </w:r>
          </w:p>
        </w:tc>
        <w:tc>
          <w:tcPr>
            <w:tcW w:w="1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10.19% (incl 9.00% PIK)</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10,759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9,554</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1"/>
        </w:trPr>
        <w:tc>
          <w:tcPr>
            <w:tcW w:w="7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(EUR 9,752)</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w w:val="98"/>
              </w:rPr>
              <w:t>First-lien revolving loan ($1,411 par, due 4/2025)</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4/9/2019</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+ 7.25%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10.92%</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1,392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1,418</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7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0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First-lien revolving loan (EUR 336 par, due 4/2025)</w:t>
            </w:r>
          </w:p>
        </w:tc>
        <w:tc>
          <w:tcPr>
            <w:tcW w:w="840" w:type="dxa"/>
            <w:vAlign w:val="bottom"/>
            <w:gridSpan w:val="3"/>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4/9/2019</w:t>
            </w: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E + 7.25%</w:t>
            </w:r>
          </w:p>
        </w:tc>
        <w:tc>
          <w:tcPr>
            <w:tcW w:w="1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8.44%</w:t>
            </w:r>
          </w:p>
        </w:tc>
        <w:tc>
          <w:tcPr>
            <w:tcW w:w="700" w:type="dxa"/>
            <w:vAlign w:val="bottom"/>
            <w:gridSpan w:val="4"/>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372</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329</w:t>
            </w: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94"/>
        </w:trPr>
        <w:tc>
          <w:tcPr>
            <w:tcW w:w="7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(EUR 336)</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Passport Labs, Inc.</w:t>
            </w:r>
            <w:r>
              <w:rPr>
                <w:rFonts w:ascii="Arial" w:cs="Arial" w:eastAsia="Arial" w:hAnsi="Arial"/>
                <w:sz w:val="10"/>
                <w:szCs w:val="10"/>
                <w:color w:val="auto"/>
              </w:rPr>
              <w:t>(3)</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($23,142 par, due 4/2026)</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4/28/2021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11.11% (incl. 4.125%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22,906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22,541</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PrimeRevenue, Inc.</w:t>
            </w:r>
            <w:r>
              <w:rPr>
                <w:rFonts w:ascii="Arial" w:cs="Arial" w:eastAsia="Arial" w:hAnsi="Arial"/>
                <w:sz w:val="10"/>
                <w:szCs w:val="10"/>
                <w:color w:val="auto"/>
              </w:rPr>
              <w:t>(3)</w:t>
            </w:r>
          </w:p>
        </w:tc>
        <w:tc>
          <w:tcPr>
            <w:tcW w:w="30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First-lien loan ($22,507 par, due 12/2023)</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12/31/2018</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L + 7.00%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10.12%</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22,416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22,579</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TradingScreen, Inc.</w:t>
            </w:r>
            <w:r>
              <w:rPr>
                <w:rFonts w:ascii="Arial" w:cs="Arial" w:eastAsia="Arial" w:hAnsi="Arial"/>
                <w:sz w:val="10"/>
                <w:szCs w:val="10"/>
                <w:color w:val="auto"/>
              </w:rPr>
              <w:t>(3)(5)</w:t>
            </w:r>
          </w:p>
        </w:tc>
        <w:tc>
          <w:tcPr>
            <w:tcW w:w="3020" w:type="dxa"/>
            <w:vAlign w:val="bottom"/>
          </w:tcPr>
          <w:p>
            <w:pPr>
              <w:ind w:left="20"/>
              <w:spacing w:after="0" w:line="149" w:lineRule="exact"/>
              <w:rPr>
                <w:sz w:val="20"/>
                <w:szCs w:val="20"/>
                <w:color w:val="auto"/>
              </w:rPr>
            </w:pPr>
            <w:r>
              <w:rPr>
                <w:rFonts w:ascii="Arial" w:cs="Arial" w:eastAsia="Arial" w:hAnsi="Arial"/>
                <w:sz w:val="14"/>
                <w:szCs w:val="14"/>
                <w:color w:val="auto"/>
              </w:rPr>
              <w:t>First-lien loan ($44,775 par, due 4/2027)</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4/30/2021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+ 6.25%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9.06%</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43,706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43,768</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298,049</w:t>
            </w:r>
          </w:p>
        </w:tc>
        <w:tc>
          <w:tcPr>
            <w:tcW w:w="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297,996</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71"/>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Healthcare</w:t>
            </w:r>
          </w:p>
        </w:tc>
        <w:tc>
          <w:tcPr>
            <w:tcW w:w="3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67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Initial</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Reference</w:t>
            </w: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940" w:type="dxa"/>
            <w:vAlign w:val="bottom"/>
            <w:vMerge w:val="restart"/>
          </w:tcPr>
          <w:p>
            <w:pPr>
              <w:ind w:left="1160"/>
              <w:spacing w:after="0"/>
              <w:rPr>
                <w:sz w:val="20"/>
                <w:szCs w:val="20"/>
                <w:color w:val="auto"/>
              </w:rPr>
            </w:pPr>
            <w:r>
              <w:rPr>
                <w:rFonts w:ascii="Arial" w:cs="Arial" w:eastAsia="Arial" w:hAnsi="Arial"/>
                <w:sz w:val="13"/>
                <w:szCs w:val="13"/>
                <w:b w:val="1"/>
                <w:bCs w:val="1"/>
                <w:color w:val="auto"/>
              </w:rPr>
              <w:t>Investment</w:t>
            </w:r>
          </w:p>
        </w:tc>
        <w:tc>
          <w:tcPr>
            <w:tcW w:w="80" w:type="dxa"/>
            <w:vAlign w:val="bottom"/>
            <w:vMerge w:val="restart"/>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Rate and</w:t>
            </w:r>
          </w:p>
        </w:tc>
        <w:tc>
          <w:tcPr>
            <w:tcW w:w="162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Interest Rate</w:t>
            </w:r>
          </w:p>
        </w:tc>
        <w:tc>
          <w:tcPr>
            <w:tcW w:w="60" w:type="dxa"/>
            <w:vAlign w:val="bottom"/>
            <w:vMerge w:val="restart"/>
          </w:tcPr>
          <w:p>
            <w:pPr>
              <w:spacing w:after="0"/>
              <w:rPr>
                <w:sz w:val="11"/>
                <w:szCs w:val="11"/>
                <w:color w:val="auto"/>
              </w:rPr>
            </w:pPr>
          </w:p>
        </w:tc>
        <w:tc>
          <w:tcPr>
            <w:tcW w:w="700" w:type="dxa"/>
            <w:vAlign w:val="bottom"/>
            <w:gridSpan w:val="4"/>
          </w:tcPr>
          <w:p>
            <w:pPr>
              <w:ind w:left="20"/>
              <w:spacing w:after="0" w:line="135" w:lineRule="exact"/>
              <w:rPr>
                <w:sz w:val="20"/>
                <w:szCs w:val="20"/>
                <w:color w:val="auto"/>
              </w:rPr>
            </w:pPr>
            <w:r>
              <w:rPr>
                <w:rFonts w:ascii="Arial" w:cs="Arial" w:eastAsia="Arial" w:hAnsi="Arial"/>
                <w:sz w:val="13"/>
                <w:szCs w:val="13"/>
                <w:b w:val="1"/>
                <w:bCs w:val="1"/>
                <w:color w:val="auto"/>
              </w:rPr>
              <w:t>Amortized</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91"/>
              </w:rPr>
              <w:t>Percentage</w:t>
            </w:r>
          </w:p>
        </w:tc>
        <w:tc>
          <w:tcPr>
            <w:tcW w:w="0" w:type="dxa"/>
            <w:vAlign w:val="bottom"/>
          </w:tcPr>
          <w:p>
            <w:pPr>
              <w:spacing w:after="0"/>
              <w:rPr>
                <w:sz w:val="1"/>
                <w:szCs w:val="1"/>
                <w:color w:val="auto"/>
              </w:rPr>
            </w:pPr>
          </w:p>
        </w:tc>
      </w:tr>
      <w:tr>
        <w:trPr>
          <w:trHeight w:val="153"/>
        </w:trPr>
        <w:tc>
          <w:tcPr>
            <w:tcW w:w="760" w:type="dxa"/>
            <w:vAlign w:val="bottom"/>
          </w:tcPr>
          <w:p>
            <w:pPr>
              <w:spacing w:after="0" w:line="154" w:lineRule="exact"/>
              <w:rPr>
                <w:sz w:val="20"/>
                <w:szCs w:val="20"/>
                <w:color w:val="auto"/>
              </w:rPr>
            </w:pPr>
            <w:r>
              <w:rPr>
                <w:rFonts w:ascii="Arial" w:cs="Arial" w:eastAsia="Arial" w:hAnsi="Arial"/>
                <w:sz w:val="12"/>
                <w:szCs w:val="12"/>
                <w:b w:val="1"/>
                <w:bCs w:val="1"/>
                <w:color w:val="auto"/>
                <w:w w:val="89"/>
              </w:rPr>
              <w:t>Company</w:t>
            </w:r>
            <w:r>
              <w:rPr>
                <w:rFonts w:ascii="Arial" w:cs="Arial" w:eastAsia="Arial" w:hAnsi="Arial"/>
                <w:sz w:val="17"/>
                <w:szCs w:val="17"/>
                <w:b w:val="1"/>
                <w:bCs w:val="1"/>
                <w:color w:val="auto"/>
                <w:w w:val="89"/>
                <w:vertAlign w:val="superscript"/>
              </w:rPr>
              <w:t>(1)(6)</w:t>
            </w:r>
          </w:p>
        </w:tc>
        <w:tc>
          <w:tcPr>
            <w:tcW w:w="142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6"/>
              </w:rPr>
              <w:t>Spread</w:t>
            </w:r>
          </w:p>
        </w:tc>
        <w:tc>
          <w:tcPr>
            <w:tcW w:w="24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8"/>
                <w:szCs w:val="8"/>
                <w:b w:val="1"/>
                <w:bCs w:val="1"/>
                <w:color w:val="auto"/>
              </w:rPr>
              <w:t>(2)(8)</w:t>
            </w:r>
          </w:p>
        </w:tc>
        <w:tc>
          <w:tcPr>
            <w:tcW w:w="100" w:type="dxa"/>
            <w:vAlign w:val="bottom"/>
            <w:gridSpan w:val="2"/>
          </w:tcPr>
          <w:p>
            <w:pPr>
              <w:spacing w:after="0"/>
              <w:rPr>
                <w:sz w:val="13"/>
                <w:szCs w:val="13"/>
                <w:color w:val="auto"/>
              </w:rPr>
            </w:pPr>
          </w:p>
        </w:tc>
        <w:tc>
          <w:tcPr>
            <w:tcW w:w="840" w:type="dxa"/>
            <w:vAlign w:val="bottom"/>
          </w:tcPr>
          <w:p>
            <w:pPr>
              <w:jc w:val="right"/>
              <w:ind w:right="8"/>
              <w:spacing w:after="0" w:line="154" w:lineRule="exact"/>
              <w:rPr>
                <w:sz w:val="20"/>
                <w:szCs w:val="20"/>
                <w:color w:val="auto"/>
              </w:rPr>
            </w:pPr>
            <w:r>
              <w:rPr>
                <w:rFonts w:ascii="Arial" w:cs="Arial" w:eastAsia="Arial" w:hAnsi="Arial"/>
                <w:sz w:val="12"/>
                <w:szCs w:val="12"/>
                <w:b w:val="1"/>
                <w:bCs w:val="1"/>
                <w:color w:val="auto"/>
              </w:rPr>
              <w:t>Fair Value</w:t>
            </w:r>
            <w:r>
              <w:rPr>
                <w:rFonts w:ascii="Arial" w:cs="Arial" w:eastAsia="Arial" w:hAnsi="Arial"/>
                <w:sz w:val="17"/>
                <w:szCs w:val="17"/>
                <w:b w:val="1"/>
                <w:bCs w:val="1"/>
                <w:color w:val="auto"/>
                <w:vertAlign w:val="superscript"/>
              </w:rPr>
              <w:t>(9)</w:t>
            </w:r>
          </w:p>
        </w:tc>
        <w:tc>
          <w:tcPr>
            <w:tcW w:w="1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BCTO Ace</w:t>
            </w:r>
          </w:p>
        </w:tc>
        <w:tc>
          <w:tcPr>
            <w:tcW w:w="1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Purchaser, Inc.</w:t>
            </w:r>
            <w:r>
              <w:rPr>
                <w:rFonts w:ascii="Arial" w:cs="Arial" w:eastAsia="Arial" w:hAnsi="Arial"/>
                <w:sz w:val="10"/>
                <w:szCs w:val="10"/>
                <w:color w:val="auto"/>
              </w:rPr>
              <w:t>(3)(5)</w:t>
            </w:r>
          </w:p>
        </w:tc>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First-lien loan ($61,585 par, due 11/2026)</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11/23/2020</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w w:val="95"/>
              </w:rPr>
              <w:t>SOFR + 7.50%</w:t>
            </w:r>
          </w:p>
        </w:tc>
        <w:tc>
          <w:tcPr>
            <w:tcW w:w="16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10.60%</w:t>
            </w:r>
          </w:p>
        </w:tc>
        <w:tc>
          <w:tcPr>
            <w:tcW w:w="6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60,398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60,507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8"/>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Caris Life Sciences, Inc.</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($5,000 par, due 9/2023)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9/21/2018</w:t>
            </w:r>
          </w:p>
        </w:tc>
        <w:tc>
          <w:tcPr>
            <w:tcW w:w="11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11.30%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11.30%</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4,956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4,975</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($3,750 par, due 4/2025)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4/2/2020</w:t>
            </w:r>
          </w:p>
        </w:tc>
        <w:tc>
          <w:tcPr>
            <w:tcW w:w="11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11.30%</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3,586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Convertible note ($2,602 par, due 9/2023)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9/21/2018</w:t>
            </w:r>
          </w:p>
        </w:tc>
        <w:tc>
          <w:tcPr>
            <w:tcW w:w="11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8.00%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8.00%</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2,602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5,660</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Homecare Software Solutions,</w:t>
            </w:r>
          </w:p>
        </w:tc>
        <w:tc>
          <w:tcPr>
            <w:tcW w:w="2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shd w:val="clear" w:color="auto" w:fill="CCEEFF"/>
          </w:tcPr>
          <w:p>
            <w:pPr>
              <w:ind w:left="160"/>
              <w:spacing w:after="0" w:line="167" w:lineRule="exact"/>
              <w:rPr>
                <w:sz w:val="20"/>
                <w:szCs w:val="20"/>
                <w:color w:val="auto"/>
              </w:rPr>
            </w:pPr>
            <w:r>
              <w:rPr>
                <w:rFonts w:ascii="Arial" w:cs="Arial" w:eastAsia="Arial" w:hAnsi="Arial"/>
                <w:sz w:val="19"/>
                <w:szCs w:val="19"/>
                <w:color w:val="auto"/>
                <w:vertAlign w:val="subscript"/>
              </w:rPr>
              <w:t>LLC</w:t>
            </w:r>
            <w:r>
              <w:rPr>
                <w:rFonts w:ascii="Arial" w:cs="Arial" w:eastAsia="Arial" w:hAnsi="Arial"/>
                <w:sz w:val="9"/>
                <w:szCs w:val="9"/>
                <w:color w:val="auto"/>
              </w:rPr>
              <w:t>(3)(5)</w:t>
            </w: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First-lien loan ($65,000 par, due 10/2026)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10/6/2021</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5"/>
              </w:rPr>
              <w:t>SOFR + 5.70%</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8.72%</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63,664</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62,888</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0"/>
        </w:trPr>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Integrated Practice</w:t>
            </w:r>
          </w:p>
        </w:tc>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ind w:left="160"/>
              <w:spacing w:after="0"/>
              <w:rPr>
                <w:sz w:val="20"/>
                <w:szCs w:val="20"/>
                <w:color w:val="auto"/>
              </w:rPr>
            </w:pPr>
            <w:r>
              <w:rPr>
                <w:rFonts w:ascii="Arial" w:cs="Arial" w:eastAsia="Arial" w:hAnsi="Arial"/>
                <w:sz w:val="14"/>
                <w:szCs w:val="14"/>
                <w:color w:val="auto"/>
              </w:rPr>
              <w:t>Solutions, Inc.</w:t>
            </w:r>
            <w:r>
              <w:rPr>
                <w:rFonts w:ascii="Arial" w:cs="Arial" w:eastAsia="Arial" w:hAnsi="Arial"/>
                <w:sz w:val="10"/>
                <w:szCs w:val="10"/>
                <w:color w:val="auto"/>
              </w:rPr>
              <w:t>(3)(5)</w:t>
            </w:r>
          </w:p>
        </w:tc>
        <w:tc>
          <w:tcPr>
            <w:tcW w:w="3020" w:type="dxa"/>
            <w:vAlign w:val="bottom"/>
            <w:gridSpan w:val="2"/>
          </w:tcPr>
          <w:p>
            <w:pPr>
              <w:spacing w:after="0"/>
              <w:rPr>
                <w:sz w:val="20"/>
                <w:szCs w:val="20"/>
                <w:color w:val="auto"/>
              </w:rPr>
            </w:pPr>
            <w:r>
              <w:rPr>
                <w:rFonts w:ascii="Arial" w:cs="Arial" w:eastAsia="Arial" w:hAnsi="Arial"/>
                <w:sz w:val="14"/>
                <w:szCs w:val="14"/>
                <w:color w:val="auto"/>
              </w:rPr>
              <w:t>First-lien loan ($46,624 par, due 10/2024)</w:t>
            </w:r>
          </w:p>
        </w:tc>
        <w:tc>
          <w:tcPr>
            <w:tcW w:w="680" w:type="dxa"/>
            <w:vAlign w:val="bottom"/>
          </w:tcPr>
          <w:p>
            <w:pPr>
              <w:jc w:val="right"/>
              <w:spacing w:after="0"/>
              <w:rPr>
                <w:sz w:val="20"/>
                <w:szCs w:val="20"/>
                <w:color w:val="auto"/>
              </w:rPr>
            </w:pPr>
            <w:r>
              <w:rPr>
                <w:rFonts w:ascii="Arial" w:cs="Arial" w:eastAsia="Arial" w:hAnsi="Arial"/>
                <w:sz w:val="14"/>
                <w:szCs w:val="14"/>
                <w:color w:val="auto"/>
              </w:rPr>
              <w:t>6/30/2017</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L + 7.50%</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10.62%</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45,805</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46,624</w:t>
            </w: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Merative L.P.</w:t>
            </w:r>
            <w:r>
              <w:rPr>
                <w:rFonts w:ascii="Arial" w:cs="Arial" w:eastAsia="Arial" w:hAnsi="Arial"/>
                <w:sz w:val="10"/>
                <w:szCs w:val="10"/>
                <w:color w:val="auto"/>
              </w:rPr>
              <w:t>(3)(5)</w:t>
            </w: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($70,103 par, due 6/2028)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6/30/2022</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SOFR + 7.25%</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10.81%</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67,833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66,773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248,844</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251,168</w:t>
            </w:r>
          </w:p>
        </w:tc>
        <w:tc>
          <w:tcPr>
            <w:tcW w:w="140" w:type="dxa"/>
            <w:vAlign w:val="bottom"/>
            <w:vMerge w:val="continue"/>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Hotel, Gaming and Leisure</w:t>
            </w: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ASG II, LLC</w:t>
            </w:r>
            <w:r>
              <w:rPr>
                <w:rFonts w:ascii="Arial" w:cs="Arial" w:eastAsia="Arial" w:hAnsi="Arial"/>
                <w:sz w:val="10"/>
                <w:szCs w:val="10"/>
                <w:color w:val="auto"/>
              </w:rPr>
              <w:t>(3)(5)</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($56,522 par, due 5/2028)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5/25/2022</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SOFR + 6.65%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9.37%</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55,033</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54,409</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IRGSE Holding Corp.</w:t>
            </w:r>
            <w:r>
              <w:rPr>
                <w:rFonts w:ascii="Arial" w:cs="Arial" w:eastAsia="Arial" w:hAnsi="Arial"/>
                <w:sz w:val="10"/>
                <w:szCs w:val="10"/>
                <w:color w:val="auto"/>
              </w:rPr>
              <w:t>(3)(7)</w:t>
            </w: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($30,261 par, due 6/2023)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9/29/2015</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 + 9.50%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13.17%</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28,594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29,958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w w:val="96"/>
              </w:rPr>
              <w:t>First-lien revolving loan ($14,827 par, due 6/2023)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9/29/2015</w:t>
            </w:r>
          </w:p>
        </w:tc>
        <w:tc>
          <w:tcPr>
            <w:tcW w:w="100" w:type="dxa"/>
            <w:vAlign w:val="bottom"/>
          </w:tcPr>
          <w:p>
            <w:pPr>
              <w:spacing w:after="0"/>
              <w:rPr>
                <w:sz w:val="13"/>
                <w:szCs w:val="13"/>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 + 9.50%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13.14%</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14,828</w:t>
            </w: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14,672</w:t>
            </w:r>
          </w:p>
        </w:tc>
        <w:tc>
          <w:tcPr>
            <w:tcW w:w="140" w:type="dxa"/>
            <w:vAlign w:val="bottom"/>
          </w:tcPr>
          <w:p>
            <w:pPr>
              <w:spacing w:after="0"/>
              <w:rPr>
                <w:sz w:val="13"/>
                <w:szCs w:val="13"/>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98,455</w:t>
            </w: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99,039</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33"/>
        </w:trPr>
        <w:tc>
          <w:tcPr>
            <w:tcW w:w="21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Human Resource Support</w:t>
            </w:r>
          </w:p>
        </w:tc>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ind w:left="160"/>
              <w:spacing w:after="0"/>
              <w:rPr>
                <w:sz w:val="20"/>
                <w:szCs w:val="20"/>
                <w:color w:val="auto"/>
              </w:rPr>
            </w:pPr>
            <w:r>
              <w:rPr>
                <w:rFonts w:ascii="Arial" w:cs="Arial" w:eastAsia="Arial" w:hAnsi="Arial"/>
                <w:sz w:val="14"/>
                <w:szCs w:val="14"/>
                <w:b w:val="1"/>
                <w:bCs w:val="1"/>
                <w:color w:val="auto"/>
              </w:rPr>
              <w:t>Services</w:t>
            </w: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Axonify, Inc.</w:t>
            </w:r>
            <w:r>
              <w:rPr>
                <w:rFonts w:ascii="Arial" w:cs="Arial" w:eastAsia="Arial" w:hAnsi="Arial"/>
                <w:sz w:val="10"/>
                <w:szCs w:val="10"/>
                <w:color w:val="auto"/>
              </w:rPr>
              <w:t>(3)(4)(5)</w:t>
            </w: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($46,088 par, due 5/2026)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5/5/2021</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 + 7.50%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10.24%</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45,113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45,024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8"/>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Elysian Finco Ltd.</w:t>
            </w:r>
            <w:r>
              <w:rPr>
                <w:rFonts w:ascii="Arial" w:cs="Arial" w:eastAsia="Arial" w:hAnsi="Arial"/>
                <w:sz w:val="10"/>
                <w:szCs w:val="10"/>
                <w:color w:val="auto"/>
              </w:rPr>
              <w:t>(3)(4)(5)</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($16,785 par, due 1/2028)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1/31/2022</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SOFR + 6.65%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9.64%</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16,282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16,489</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Employment Hero Holdings Pty</w:t>
            </w:r>
          </w:p>
        </w:tc>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(AUD 40,000 par, due 12/2026)</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12/6/2021</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B + 6.50%</w:t>
            </w:r>
          </w:p>
        </w:tc>
        <w:tc>
          <w:tcPr>
            <w:tcW w:w="1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9.56%</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27,554</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24,503</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4"/>
        </w:trPr>
        <w:tc>
          <w:tcPr>
            <w:tcW w:w="218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22"/>
                <w:szCs w:val="22"/>
                <w:color w:val="auto"/>
                <w:vertAlign w:val="subscript"/>
              </w:rPr>
              <w:t>Ltd.</w:t>
            </w:r>
            <w:r>
              <w:rPr>
                <w:rFonts w:ascii="Arial" w:cs="Arial" w:eastAsia="Arial" w:hAnsi="Arial"/>
                <w:sz w:val="9"/>
                <w:szCs w:val="9"/>
                <w:color w:val="auto"/>
              </w:rPr>
              <w:t>(3)(4)</w:t>
            </w:r>
          </w:p>
        </w:tc>
        <w:tc>
          <w:tcPr>
            <w:tcW w:w="2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(AUD 38,110)</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PageUp People, Ltd.</w:t>
            </w:r>
            <w:r>
              <w:rPr>
                <w:rFonts w:ascii="Arial" w:cs="Arial" w:eastAsia="Arial" w:hAnsi="Arial"/>
                <w:sz w:val="10"/>
                <w:szCs w:val="10"/>
                <w:color w:val="auto"/>
              </w:rPr>
              <w:t>(3)(4)(5)</w:t>
            </w:r>
          </w:p>
        </w:tc>
        <w:tc>
          <w:tcPr>
            <w:tcW w:w="3020" w:type="dxa"/>
            <w:vAlign w:val="bottom"/>
            <w:gridSpan w:val="2"/>
          </w:tcPr>
          <w:p>
            <w:pPr>
              <w:spacing w:after="0" w:line="130" w:lineRule="exact"/>
              <w:rPr>
                <w:sz w:val="20"/>
                <w:szCs w:val="20"/>
                <w:color w:val="auto"/>
              </w:rPr>
            </w:pPr>
            <w:r>
              <w:rPr>
                <w:rFonts w:ascii="Arial" w:cs="Arial" w:eastAsia="Arial" w:hAnsi="Arial"/>
                <w:sz w:val="14"/>
                <w:szCs w:val="14"/>
                <w:color w:val="auto"/>
              </w:rPr>
              <w:t>First-lien loan (AUD 15,982 par, due 12/2025)</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1/11/2018</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B + 5.50%</w:t>
            </w:r>
          </w:p>
        </w:tc>
        <w:tc>
          <w:tcPr>
            <w:tcW w:w="168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8.56%</w:t>
            </w:r>
          </w:p>
        </w:tc>
        <w:tc>
          <w:tcPr>
            <w:tcW w:w="620" w:type="dxa"/>
            <w:vAlign w:val="bottom"/>
            <w:gridSpan w:val="3"/>
          </w:tcPr>
          <w:p>
            <w:pPr>
              <w:jc w:val="right"/>
              <w:ind w:right="20"/>
              <w:spacing w:after="0" w:line="130" w:lineRule="exact"/>
              <w:rPr>
                <w:sz w:val="20"/>
                <w:szCs w:val="20"/>
                <w:color w:val="auto"/>
              </w:rPr>
            </w:pPr>
            <w:r>
              <w:rPr>
                <w:rFonts w:ascii="Arial" w:cs="Arial" w:eastAsia="Arial" w:hAnsi="Arial"/>
                <w:sz w:val="14"/>
                <w:szCs w:val="14"/>
                <w:color w:val="auto"/>
              </w:rPr>
              <w:t>11,794</w:t>
            </w: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9,259</w:t>
            </w:r>
          </w:p>
        </w:tc>
        <w:tc>
          <w:tcPr>
            <w:tcW w:w="140" w:type="dxa"/>
            <w:vAlign w:val="bottom"/>
          </w:tcPr>
          <w:p>
            <w:pPr>
              <w:spacing w:after="0"/>
              <w:rPr>
                <w:sz w:val="11"/>
                <w:szCs w:val="11"/>
                <w:color w:val="auto"/>
              </w:rPr>
            </w:pPr>
          </w:p>
        </w:tc>
        <w:tc>
          <w:tcPr>
            <w:tcW w:w="86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1"/>
        </w:trPr>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(AUD 14,401)</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First-lien loan (GBP 4,723 par, due 12/2025)</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10/28/2021</w:t>
            </w:r>
          </w:p>
        </w:tc>
        <w:tc>
          <w:tcPr>
            <w:tcW w:w="1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S + 5.50%</w:t>
            </w:r>
          </w:p>
        </w:tc>
        <w:tc>
          <w:tcPr>
            <w:tcW w:w="168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7.32%</w:t>
            </w:r>
          </w:p>
        </w:tc>
        <w:tc>
          <w:tcPr>
            <w:tcW w:w="620" w:type="dxa"/>
            <w:vAlign w:val="bottom"/>
            <w:gridSpan w:val="3"/>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6,501</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5,128</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1"/>
        </w:trPr>
        <w:tc>
          <w:tcPr>
            <w:tcW w:w="7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(GBP 4,593)</w:t>
            </w: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($12,989 par, due 12/2025)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10/28/2021</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 + 5.50%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9.17%</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12,974</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12,632</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PayScale Holdings, Inc.</w:t>
            </w:r>
            <w:r>
              <w:rPr>
                <w:rFonts w:ascii="Arial" w:cs="Arial" w:eastAsia="Arial" w:hAnsi="Arial"/>
                <w:sz w:val="10"/>
                <w:szCs w:val="10"/>
                <w:color w:val="auto"/>
              </w:rPr>
              <w:t>(3)(5)</w:t>
            </w: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($68,950 par, due 5/2024)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5/3/2019</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 + 5.50%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9.17%</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68,270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67,743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0"/>
        </w:trPr>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PrimePay Intermediate,</w:t>
            </w:r>
          </w:p>
        </w:tc>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ind w:left="160"/>
              <w:spacing w:after="0" w:line="167" w:lineRule="exact"/>
              <w:rPr>
                <w:sz w:val="20"/>
                <w:szCs w:val="20"/>
                <w:color w:val="auto"/>
              </w:rPr>
            </w:pPr>
            <w:r>
              <w:rPr>
                <w:rFonts w:ascii="Arial" w:cs="Arial" w:eastAsia="Arial" w:hAnsi="Arial"/>
                <w:sz w:val="19"/>
                <w:szCs w:val="19"/>
                <w:color w:val="auto"/>
                <w:vertAlign w:val="subscript"/>
              </w:rPr>
              <w:t>LLC</w:t>
            </w:r>
            <w:r>
              <w:rPr>
                <w:rFonts w:ascii="Arial" w:cs="Arial" w:eastAsia="Arial" w:hAnsi="Arial"/>
                <w:sz w:val="9"/>
                <w:szCs w:val="9"/>
                <w:color w:val="auto"/>
              </w:rPr>
              <w:t>(3)(5)</w:t>
            </w:r>
          </w:p>
        </w:tc>
        <w:tc>
          <w:tcPr>
            <w:tcW w:w="3020" w:type="dxa"/>
            <w:vAlign w:val="bottom"/>
            <w:gridSpan w:val="2"/>
          </w:tcPr>
          <w:p>
            <w:pPr>
              <w:spacing w:after="0"/>
              <w:rPr>
                <w:sz w:val="20"/>
                <w:szCs w:val="20"/>
                <w:color w:val="auto"/>
              </w:rPr>
            </w:pPr>
            <w:r>
              <w:rPr>
                <w:rFonts w:ascii="Arial" w:cs="Arial" w:eastAsia="Arial" w:hAnsi="Arial"/>
                <w:sz w:val="14"/>
                <w:szCs w:val="14"/>
                <w:color w:val="auto"/>
              </w:rPr>
              <w:t>First-lien loan ($29,500 par, due 12/2026)</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12/17/2021</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L + 7.00%</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9.88%</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28,496</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28,394</w:t>
            </w: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Modern Hire, Inc.</w:t>
            </w:r>
            <w:r>
              <w:rPr>
                <w:rFonts w:ascii="Arial" w:cs="Arial" w:eastAsia="Arial" w:hAnsi="Arial"/>
                <w:sz w:val="10"/>
                <w:szCs w:val="10"/>
                <w:color w:val="auto"/>
              </w:rPr>
              <w:t>(3)(5)</w:t>
            </w: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($29,068 par, due 5/2024)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5/15/2019</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 + 7.00%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10.12%</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28,769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29,432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6"/>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Workwell Acquisition Co.</w:t>
            </w:r>
            <w:r>
              <w:rPr>
                <w:rFonts w:ascii="Arial" w:cs="Arial" w:eastAsia="Arial" w:hAnsi="Arial"/>
                <w:sz w:val="10"/>
                <w:szCs w:val="10"/>
                <w:color w:val="auto"/>
              </w:rPr>
              <w:t>(3)(5)</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($23,951 par, due 10/2025)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10/19/2020</w:t>
            </w:r>
          </w:p>
        </w:tc>
        <w:tc>
          <w:tcPr>
            <w:tcW w:w="100" w:type="dxa"/>
            <w:vAlign w:val="bottom"/>
          </w:tcPr>
          <w:p>
            <w:pPr>
              <w:spacing w:after="0"/>
              <w:rPr>
                <w:sz w:val="13"/>
                <w:szCs w:val="13"/>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SOFR + 7.35%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10.55%</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23,550</w:t>
            </w: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23,581</w:t>
            </w:r>
          </w:p>
        </w:tc>
        <w:tc>
          <w:tcPr>
            <w:tcW w:w="140" w:type="dxa"/>
            <w:vAlign w:val="bottom"/>
          </w:tcPr>
          <w:p>
            <w:pPr>
              <w:spacing w:after="0"/>
              <w:rPr>
                <w:sz w:val="13"/>
                <w:szCs w:val="13"/>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269,303</w:t>
            </w: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262,185</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55"/>
        </w:trPr>
        <w:tc>
          <w:tcPr>
            <w:tcW w:w="2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Internet Services</w:t>
            </w: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Bayshore Intermediate #2,</w:t>
            </w:r>
          </w:p>
        </w:tc>
        <w:tc>
          <w:tcPr>
            <w:tcW w:w="2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L.P.</w:t>
            </w:r>
            <w:r>
              <w:rPr>
                <w:rFonts w:ascii="Arial" w:cs="Arial" w:eastAsia="Arial" w:hAnsi="Arial"/>
                <w:sz w:val="10"/>
                <w:szCs w:val="10"/>
                <w:color w:val="auto"/>
              </w:rPr>
              <w:t>(3)</w:t>
            </w: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First-lien loan ($31,256 par, due 10/2028)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10/1/2021</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 + 7.75%</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10.43% PIK</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30,633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30,078</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CrunchTime Information,</w:t>
            </w:r>
          </w:p>
        </w:tc>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ind w:left="160"/>
              <w:spacing w:after="0"/>
              <w:rPr>
                <w:sz w:val="20"/>
                <w:szCs w:val="20"/>
                <w:color w:val="auto"/>
              </w:rPr>
            </w:pPr>
            <w:r>
              <w:rPr>
                <w:rFonts w:ascii="Arial" w:cs="Arial" w:eastAsia="Arial" w:hAnsi="Arial"/>
                <w:sz w:val="14"/>
                <w:szCs w:val="14"/>
                <w:color w:val="auto"/>
              </w:rPr>
              <w:t>Systems, Inc.</w:t>
            </w:r>
            <w:r>
              <w:rPr>
                <w:rFonts w:ascii="Arial" w:cs="Arial" w:eastAsia="Arial" w:hAnsi="Arial"/>
                <w:sz w:val="10"/>
                <w:szCs w:val="10"/>
                <w:color w:val="auto"/>
              </w:rPr>
              <w:t>(3)(5)</w:t>
            </w:r>
          </w:p>
        </w:tc>
        <w:tc>
          <w:tcPr>
            <w:tcW w:w="3020" w:type="dxa"/>
            <w:vAlign w:val="bottom"/>
            <w:gridSpan w:val="2"/>
          </w:tcPr>
          <w:p>
            <w:pPr>
              <w:spacing w:after="0"/>
              <w:rPr>
                <w:sz w:val="20"/>
                <w:szCs w:val="20"/>
                <w:color w:val="auto"/>
              </w:rPr>
            </w:pPr>
            <w:r>
              <w:rPr>
                <w:rFonts w:ascii="Arial" w:cs="Arial" w:eastAsia="Arial" w:hAnsi="Arial"/>
                <w:sz w:val="14"/>
                <w:szCs w:val="14"/>
                <w:color w:val="auto"/>
              </w:rPr>
              <w:t>First-lien loan ($53,255 par, due 6/2028)</w:t>
            </w:r>
          </w:p>
        </w:tc>
        <w:tc>
          <w:tcPr>
            <w:tcW w:w="680" w:type="dxa"/>
            <w:vAlign w:val="bottom"/>
          </w:tcPr>
          <w:p>
            <w:pPr>
              <w:jc w:val="right"/>
              <w:spacing w:after="0"/>
              <w:rPr>
                <w:sz w:val="20"/>
                <w:szCs w:val="20"/>
                <w:color w:val="auto"/>
              </w:rPr>
            </w:pPr>
            <w:r>
              <w:rPr>
                <w:rFonts w:ascii="Arial" w:cs="Arial" w:eastAsia="Arial" w:hAnsi="Arial"/>
                <w:sz w:val="14"/>
                <w:szCs w:val="14"/>
                <w:color w:val="auto"/>
              </w:rPr>
              <w:t>6/17/2022</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SOFR + 6.00%</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9.02%</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52,047</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51,595</w:t>
            </w: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EDB Parent, LLC</w:t>
            </w:r>
            <w:r>
              <w:rPr>
                <w:rFonts w:ascii="Arial" w:cs="Arial" w:eastAsia="Arial" w:hAnsi="Arial"/>
                <w:sz w:val="10"/>
                <w:szCs w:val="10"/>
                <w:color w:val="auto"/>
              </w:rPr>
              <w:t>(3)(5)</w:t>
            </w: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($53,988 par, due 7/2028)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7/7/2022</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SOFR + 6.00%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9.11%</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52,597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52,504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8"/>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Higher Logic, LLC</w:t>
            </w:r>
            <w:r>
              <w:rPr>
                <w:rFonts w:ascii="Arial" w:cs="Arial" w:eastAsia="Arial" w:hAnsi="Arial"/>
                <w:sz w:val="10"/>
                <w:szCs w:val="10"/>
                <w:color w:val="auto"/>
              </w:rPr>
              <w:t>(3)(5)</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($56,181 par, due 1/2024)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6/18/2018</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 + 7.25%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10.93%</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55,852</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56,040</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LeanTaaS Holdings, Inc.</w:t>
            </w:r>
            <w:r>
              <w:rPr>
                <w:rFonts w:ascii="Arial" w:cs="Arial" w:eastAsia="Arial" w:hAnsi="Arial"/>
                <w:sz w:val="10"/>
                <w:szCs w:val="10"/>
                <w:color w:val="auto"/>
              </w:rPr>
              <w:t>(3)(5)</w:t>
            </w: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($26,690 par, due 7/2028)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7/12/2022</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SOFR + 6.50%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11.05%</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25,783</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25,639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Lithium Technologies,</w:t>
            </w:r>
          </w:p>
        </w:tc>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ind w:left="160"/>
              <w:spacing w:after="0" w:line="167" w:lineRule="exact"/>
              <w:rPr>
                <w:sz w:val="20"/>
                <w:szCs w:val="20"/>
                <w:color w:val="auto"/>
              </w:rPr>
            </w:pPr>
            <w:r>
              <w:rPr>
                <w:rFonts w:ascii="Arial" w:cs="Arial" w:eastAsia="Arial" w:hAnsi="Arial"/>
                <w:sz w:val="19"/>
                <w:szCs w:val="19"/>
                <w:color w:val="auto"/>
                <w:vertAlign w:val="subscript"/>
              </w:rPr>
              <w:t>LLC</w:t>
            </w:r>
            <w:r>
              <w:rPr>
                <w:rFonts w:ascii="Arial" w:cs="Arial" w:eastAsia="Arial" w:hAnsi="Arial"/>
                <w:sz w:val="9"/>
                <w:szCs w:val="9"/>
                <w:color w:val="auto"/>
              </w:rPr>
              <w:t>(3)</w:t>
            </w:r>
          </w:p>
        </w:tc>
        <w:tc>
          <w:tcPr>
            <w:tcW w:w="3020" w:type="dxa"/>
            <w:vAlign w:val="bottom"/>
            <w:gridSpan w:val="2"/>
          </w:tcPr>
          <w:p>
            <w:pPr>
              <w:spacing w:after="0"/>
              <w:rPr>
                <w:sz w:val="20"/>
                <w:szCs w:val="20"/>
                <w:color w:val="auto"/>
              </w:rPr>
            </w:pPr>
            <w:r>
              <w:rPr>
                <w:rFonts w:ascii="Arial" w:cs="Arial" w:eastAsia="Arial" w:hAnsi="Arial"/>
                <w:sz w:val="14"/>
                <w:szCs w:val="14"/>
                <w:color w:val="auto"/>
              </w:rPr>
              <w:t>First-lien loan ($54,700 par, due 1/2024)</w:t>
            </w:r>
          </w:p>
        </w:tc>
        <w:tc>
          <w:tcPr>
            <w:tcW w:w="680" w:type="dxa"/>
            <w:vAlign w:val="bottom"/>
          </w:tcPr>
          <w:p>
            <w:pPr>
              <w:jc w:val="right"/>
              <w:spacing w:after="0"/>
              <w:rPr>
                <w:sz w:val="20"/>
                <w:szCs w:val="20"/>
                <w:color w:val="auto"/>
              </w:rPr>
            </w:pPr>
            <w:r>
              <w:rPr>
                <w:rFonts w:ascii="Arial" w:cs="Arial" w:eastAsia="Arial" w:hAnsi="Arial"/>
                <w:sz w:val="14"/>
                <w:szCs w:val="14"/>
                <w:color w:val="auto"/>
              </w:rPr>
              <w:t>10/3/2017</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SOFR + 8.00%</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10.53%</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54,636</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53,606</w:t>
            </w: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First-lien revolving loan ($1,320 par, due 10/2022)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10/3/2017</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SOFR + 8.00%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10.53%</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1,319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8"/>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Lucidworks, Inc.</w:t>
            </w:r>
            <w:r>
              <w:rPr>
                <w:rFonts w:ascii="Arial" w:cs="Arial" w:eastAsia="Arial" w:hAnsi="Arial"/>
                <w:sz w:val="10"/>
                <w:szCs w:val="10"/>
                <w:color w:val="auto"/>
              </w:rPr>
              <w:t>(3)(5)</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($8,188 par, due 2/2027)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2/11/2022</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SOFR + 7.50%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10.53% (incl. 3.50% PIK)</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8,188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8,030</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Piano Software, Inc.</w:t>
            </w:r>
            <w:r>
              <w:rPr>
                <w:rFonts w:ascii="Arial" w:cs="Arial" w:eastAsia="Arial" w:hAnsi="Arial"/>
                <w:sz w:val="10"/>
                <w:szCs w:val="10"/>
                <w:color w:val="auto"/>
              </w:rPr>
              <w:t>(3)(5)</w:t>
            </w: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($51,442 par, due 2/2026)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2/25/2021</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SOFR + 7.10%</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10.13%</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50,156</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331,581</w:t>
            </w: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328,902</w:t>
            </w:r>
          </w:p>
        </w:tc>
        <w:tc>
          <w:tcPr>
            <w:tcW w:w="140" w:type="dxa"/>
            <w:vAlign w:val="bottom"/>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Marketing Services</w:t>
            </w: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Acoustic, L.P.</w:t>
            </w:r>
            <w:r>
              <w:rPr>
                <w:rFonts w:ascii="Arial" w:cs="Arial" w:eastAsia="Arial" w:hAnsi="Arial"/>
                <w:sz w:val="10"/>
                <w:szCs w:val="10"/>
                <w:color w:val="auto"/>
              </w:rPr>
              <w:t>(3)</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note ($33,330 par, due 6/2024)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12/17/2019</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 + 7.00%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9.81%</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32,681</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32,913</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Office Products</w:t>
            </w: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USR Parent, Inc.</w:t>
            </w:r>
            <w:r>
              <w:rPr>
                <w:rFonts w:ascii="Arial" w:cs="Arial" w:eastAsia="Arial" w:hAnsi="Arial"/>
                <w:sz w:val="10"/>
                <w:szCs w:val="10"/>
                <w:color w:val="auto"/>
              </w:rPr>
              <w:t>(3)(5)</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ABL FILO term loan ($19,500 par, due 4/2027)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4/25/2022</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SOFR + 6.50%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9.01%</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19,118</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18,866</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Oil, Gas and Consumable Fuels</w:t>
            </w: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Murchison Oil and Gas, LLC</w:t>
            </w:r>
            <w:r>
              <w:rPr>
                <w:rFonts w:ascii="Arial" w:cs="Arial" w:eastAsia="Arial" w:hAnsi="Arial"/>
                <w:sz w:val="10"/>
                <w:szCs w:val="10"/>
                <w:color w:val="auto"/>
              </w:rPr>
              <w:t>(3)</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($26,873 par, due 6/2026)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6/30/2022</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SOFR + 8.50%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12.20%</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26,307</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26,323</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TRP Assets, LLC</w:t>
            </w:r>
            <w:r>
              <w:rPr>
                <w:rFonts w:ascii="Arial" w:cs="Arial" w:eastAsia="Arial" w:hAnsi="Arial"/>
                <w:sz w:val="10"/>
                <w:szCs w:val="10"/>
                <w:color w:val="auto"/>
              </w:rPr>
              <w:t>(3)</w:t>
            </w: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($46,364 par, due 12/2025)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12/3/2021</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SOFR + 7.76%</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11.31%</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45,546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46,664</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71,853</w:t>
            </w:r>
          </w:p>
        </w:tc>
        <w:tc>
          <w:tcPr>
            <w:tcW w:w="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72,987</w:t>
            </w:r>
          </w:p>
        </w:tc>
        <w:tc>
          <w:tcPr>
            <w:tcW w:w="140" w:type="dxa"/>
            <w:vAlign w:val="bottom"/>
          </w:tcPr>
          <w:p>
            <w:pPr>
              <w:spacing w:after="0"/>
              <w:rPr>
                <w:sz w:val="14"/>
                <w:szCs w:val="14"/>
                <w:color w:val="auto"/>
              </w:rPr>
            </w:pPr>
          </w:p>
        </w:tc>
        <w:tc>
          <w:tcPr>
            <w:tcW w:w="8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w:t>
            </w: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Omnigo Software, LLC</w:t>
            </w:r>
            <w:r>
              <w:rPr>
                <w:rFonts w:ascii="Arial" w:cs="Arial" w:eastAsia="Arial" w:hAnsi="Arial"/>
                <w:sz w:val="10"/>
                <w:szCs w:val="10"/>
                <w:color w:val="auto"/>
              </w:rPr>
              <w:t>(3)(5)</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($40,455 par, due 3/2026)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3/31/2021</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SOFR + 6.60%</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9.63%</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39,710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39,545</w:t>
            </w:r>
          </w:p>
        </w:tc>
        <w:tc>
          <w:tcPr>
            <w:tcW w:w="14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Pharmaceuticals</w:t>
            </w: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Biohaven Pharmaceuticals,</w:t>
            </w:r>
          </w:p>
        </w:tc>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tcPr>
          <w:p>
            <w:pPr>
              <w:ind w:left="160"/>
              <w:spacing w:after="0" w:line="167" w:lineRule="exact"/>
              <w:rPr>
                <w:sz w:val="20"/>
                <w:szCs w:val="20"/>
                <w:color w:val="auto"/>
              </w:rPr>
            </w:pPr>
            <w:r>
              <w:rPr>
                <w:rFonts w:ascii="Arial" w:cs="Arial" w:eastAsia="Arial" w:hAnsi="Arial"/>
                <w:sz w:val="19"/>
                <w:szCs w:val="19"/>
                <w:color w:val="auto"/>
                <w:vertAlign w:val="subscript"/>
              </w:rPr>
              <w:t>Inc.</w:t>
            </w:r>
            <w:r>
              <w:rPr>
                <w:rFonts w:ascii="Arial" w:cs="Arial" w:eastAsia="Arial" w:hAnsi="Arial"/>
                <w:sz w:val="9"/>
                <w:szCs w:val="9"/>
                <w:color w:val="auto"/>
              </w:rPr>
              <w:t>(3)(4)</w:t>
            </w:r>
          </w:p>
        </w:tc>
        <w:tc>
          <w:tcPr>
            <w:tcW w:w="3020" w:type="dxa"/>
            <w:vAlign w:val="bottom"/>
            <w:gridSpan w:val="2"/>
          </w:tcPr>
          <w:p>
            <w:pPr>
              <w:spacing w:after="0"/>
              <w:rPr>
                <w:sz w:val="20"/>
                <w:szCs w:val="20"/>
                <w:color w:val="auto"/>
              </w:rPr>
            </w:pPr>
            <w:r>
              <w:rPr>
                <w:rFonts w:ascii="Arial" w:cs="Arial" w:eastAsia="Arial" w:hAnsi="Arial"/>
                <w:sz w:val="14"/>
                <w:szCs w:val="14"/>
                <w:color w:val="auto"/>
              </w:rPr>
              <w:t>First-lien loan ($42,613 par, due 8/2025)</w:t>
            </w:r>
          </w:p>
        </w:tc>
        <w:tc>
          <w:tcPr>
            <w:tcW w:w="680" w:type="dxa"/>
            <w:vAlign w:val="bottom"/>
          </w:tcPr>
          <w:p>
            <w:pPr>
              <w:jc w:val="right"/>
              <w:spacing w:after="0"/>
              <w:rPr>
                <w:sz w:val="20"/>
                <w:szCs w:val="20"/>
                <w:color w:val="auto"/>
              </w:rPr>
            </w:pPr>
            <w:r>
              <w:rPr>
                <w:rFonts w:ascii="Arial" w:cs="Arial" w:eastAsia="Arial" w:hAnsi="Arial"/>
                <w:sz w:val="14"/>
                <w:szCs w:val="14"/>
                <w:color w:val="auto"/>
              </w:rPr>
              <w:t>8/7/2020</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L + 9.00%</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12.67%</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41,864</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45,169</w:t>
            </w:r>
          </w:p>
        </w:tc>
        <w:tc>
          <w:tcPr>
            <w:tcW w:w="140" w:type="dxa"/>
            <w:vAlign w:val="bottom"/>
          </w:tcPr>
          <w:p>
            <w:pPr>
              <w:spacing w:after="0"/>
              <w:rPr>
                <w:sz w:val="14"/>
                <w:szCs w:val="1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First-lien loan ($35,689 par, due 9/2026)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9/30/2021</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L + 8.25%</w:t>
            </w:r>
          </w:p>
        </w:tc>
        <w:tc>
          <w:tcPr>
            <w:tcW w:w="1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11.92%</w:t>
            </w:r>
          </w:p>
        </w:tc>
        <w:tc>
          <w:tcPr>
            <w:tcW w:w="6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35,011</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41,043</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5"/>
        </w:trPr>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TherapeuticsMD, Inc.</w:t>
            </w:r>
            <w:r>
              <w:rPr>
                <w:rFonts w:ascii="Arial" w:cs="Arial" w:eastAsia="Arial" w:hAnsi="Arial"/>
                <w:sz w:val="10"/>
                <w:szCs w:val="10"/>
                <w:color w:val="auto"/>
              </w:rPr>
              <w:t>(3)(4)</w:t>
            </w:r>
          </w:p>
        </w:tc>
        <w:tc>
          <w:tcPr>
            <w:tcW w:w="302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($13,797 par, due 10/2022)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4/24/2019</w:t>
            </w:r>
          </w:p>
        </w:tc>
        <w:tc>
          <w:tcPr>
            <w:tcW w:w="100" w:type="dxa"/>
            <w:vAlign w:val="bottom"/>
          </w:tcPr>
          <w:p>
            <w:pPr>
              <w:spacing w:after="0"/>
              <w:rPr>
                <w:sz w:val="13"/>
                <w:szCs w:val="13"/>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L + 7.75%</w:t>
            </w:r>
          </w:p>
        </w:tc>
        <w:tc>
          <w:tcPr>
            <w:tcW w:w="1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11.42%</w:t>
            </w:r>
          </w:p>
        </w:tc>
        <w:tc>
          <w:tcPr>
            <w:tcW w:w="6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13,673</w:t>
            </w: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13,659</w:t>
            </w:r>
          </w:p>
        </w:tc>
        <w:tc>
          <w:tcPr>
            <w:tcW w:w="140" w:type="dxa"/>
            <w:vAlign w:val="bottom"/>
          </w:tcPr>
          <w:p>
            <w:pPr>
              <w:spacing w:after="0"/>
              <w:rPr>
                <w:sz w:val="13"/>
                <w:szCs w:val="13"/>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90,548</w:t>
            </w: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99,871</w:t>
            </w:r>
          </w:p>
        </w:tc>
        <w:tc>
          <w:tcPr>
            <w:tcW w:w="140" w:type="dxa"/>
            <w:vAlign w:val="bottom"/>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5"/>
        </w:trPr>
        <w:tc>
          <w:tcPr>
            <w:tcW w:w="21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Retail and Consumer Products</w:t>
            </w: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99 Cents Only Stores</w:t>
            </w:r>
          </w:p>
        </w:tc>
        <w:tc>
          <w:tcPr>
            <w:tcW w:w="2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gridSpan w:val="2"/>
            <w:shd w:val="clear" w:color="auto" w:fill="CCEEFF"/>
          </w:tcPr>
          <w:p>
            <w:pPr>
              <w:ind w:left="160"/>
              <w:spacing w:after="0" w:line="167" w:lineRule="exact"/>
              <w:rPr>
                <w:sz w:val="20"/>
                <w:szCs w:val="20"/>
                <w:color w:val="auto"/>
              </w:rPr>
            </w:pPr>
            <w:r>
              <w:rPr>
                <w:rFonts w:ascii="Arial" w:cs="Arial" w:eastAsia="Arial" w:hAnsi="Arial"/>
                <w:sz w:val="19"/>
                <w:szCs w:val="19"/>
                <w:color w:val="auto"/>
                <w:vertAlign w:val="subscript"/>
              </w:rPr>
              <w:t>LLC</w:t>
            </w:r>
            <w:r>
              <w:rPr>
                <w:rFonts w:ascii="Arial" w:cs="Arial" w:eastAsia="Arial" w:hAnsi="Arial"/>
                <w:sz w:val="9"/>
                <w:szCs w:val="9"/>
                <w:color w:val="auto"/>
              </w:rPr>
              <w:t>(3)</w:t>
            </w: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ABL FILO term loan ($25,000 par, due 5/2025)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9/6/2017</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 + 8.50%</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11.67%</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24,762</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American Achievement,</w:t>
            </w:r>
          </w:p>
        </w:tc>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180" w:type="dxa"/>
            <w:vAlign w:val="bottom"/>
            <w:gridSpan w:val="2"/>
          </w:tcPr>
          <w:p>
            <w:pPr>
              <w:ind w:left="160"/>
              <w:spacing w:after="0"/>
              <w:rPr>
                <w:sz w:val="20"/>
                <w:szCs w:val="20"/>
                <w:color w:val="auto"/>
              </w:rPr>
            </w:pPr>
            <w:r>
              <w:rPr>
                <w:rFonts w:ascii="Arial" w:cs="Arial" w:eastAsia="Arial" w:hAnsi="Arial"/>
                <w:sz w:val="14"/>
                <w:szCs w:val="14"/>
                <w:color w:val="auto"/>
              </w:rPr>
              <w:t>Corp.</w:t>
            </w:r>
            <w:r>
              <w:rPr>
                <w:rFonts w:ascii="Arial" w:cs="Arial" w:eastAsia="Arial" w:hAnsi="Arial"/>
                <w:sz w:val="10"/>
                <w:szCs w:val="10"/>
                <w:color w:val="auto"/>
              </w:rPr>
              <w:t>(3)</w:t>
            </w:r>
          </w:p>
        </w:tc>
        <w:tc>
          <w:tcPr>
            <w:tcW w:w="3020" w:type="dxa"/>
            <w:vAlign w:val="bottom"/>
            <w:gridSpan w:val="2"/>
          </w:tcPr>
          <w:p>
            <w:pPr>
              <w:spacing w:after="0"/>
              <w:rPr>
                <w:sz w:val="20"/>
                <w:szCs w:val="20"/>
                <w:color w:val="auto"/>
              </w:rPr>
            </w:pPr>
            <w:r>
              <w:rPr>
                <w:rFonts w:ascii="Arial" w:cs="Arial" w:eastAsia="Arial" w:hAnsi="Arial"/>
                <w:sz w:val="14"/>
                <w:szCs w:val="14"/>
                <w:color w:val="auto"/>
              </w:rPr>
              <w:t>First-lien loan ($26,566 par, due 9/2026)</w:t>
            </w:r>
          </w:p>
        </w:tc>
        <w:tc>
          <w:tcPr>
            <w:tcW w:w="680" w:type="dxa"/>
            <w:vAlign w:val="bottom"/>
          </w:tcPr>
          <w:p>
            <w:pPr>
              <w:jc w:val="right"/>
              <w:spacing w:after="0"/>
              <w:rPr>
                <w:sz w:val="20"/>
                <w:szCs w:val="20"/>
                <w:color w:val="auto"/>
              </w:rPr>
            </w:pPr>
            <w:r>
              <w:rPr>
                <w:rFonts w:ascii="Arial" w:cs="Arial" w:eastAsia="Arial" w:hAnsi="Arial"/>
                <w:sz w:val="14"/>
                <w:szCs w:val="14"/>
                <w:color w:val="auto"/>
              </w:rPr>
              <w:t>9/30/2015</w:t>
            </w:r>
          </w:p>
        </w:tc>
        <w:tc>
          <w:tcPr>
            <w:tcW w:w="1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L + 6.25%</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8.82% (incl. 8.32% PIK)</w:t>
            </w:r>
          </w:p>
        </w:tc>
        <w:tc>
          <w:tcPr>
            <w:tcW w:w="620" w:type="dxa"/>
            <w:vAlign w:val="bottom"/>
            <w:gridSpan w:val="3"/>
          </w:tcPr>
          <w:p>
            <w:pPr>
              <w:jc w:val="right"/>
              <w:ind w:right="20"/>
              <w:spacing w:after="0"/>
              <w:rPr>
                <w:sz w:val="20"/>
                <w:szCs w:val="20"/>
                <w:color w:val="auto"/>
              </w:rPr>
            </w:pPr>
            <w:r>
              <w:rPr>
                <w:rFonts w:ascii="Arial" w:cs="Arial" w:eastAsia="Arial" w:hAnsi="Arial"/>
                <w:sz w:val="14"/>
                <w:szCs w:val="14"/>
                <w:color w:val="auto"/>
              </w:rPr>
              <w:t>25,710</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20,257</w:t>
            </w:r>
          </w:p>
        </w:tc>
        <w:tc>
          <w:tcPr>
            <w:tcW w:w="14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67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Reference</w:t>
            </w: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80" w:type="dxa"/>
            <w:vAlign w:val="bottom"/>
            <w:vMerge w:val="restart"/>
          </w:tcPr>
          <w:p>
            <w:pPr>
              <w:ind w:left="98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Rate and</w:t>
            </w:r>
          </w:p>
        </w:tc>
        <w:tc>
          <w:tcPr>
            <w:tcW w:w="1760" w:type="dxa"/>
            <w:vAlign w:val="bottom"/>
            <w:vMerge w:val="restart"/>
          </w:tcPr>
          <w:p>
            <w:pPr>
              <w:ind w:left="540"/>
              <w:spacing w:after="0"/>
              <w:rPr>
                <w:sz w:val="20"/>
                <w:szCs w:val="20"/>
                <w:color w:val="auto"/>
              </w:rPr>
            </w:pPr>
            <w:r>
              <w:rPr>
                <w:rFonts w:ascii="Arial" w:cs="Arial" w:eastAsia="Arial" w:hAnsi="Arial"/>
                <w:sz w:val="13"/>
                <w:szCs w:val="13"/>
                <w:b w:val="1"/>
                <w:bCs w:val="1"/>
                <w:color w:val="auto"/>
              </w:rPr>
              <w:t>Interest Rate</w:t>
            </w:r>
          </w:p>
        </w:tc>
        <w:tc>
          <w:tcPr>
            <w:tcW w:w="60" w:type="dxa"/>
            <w:vAlign w:val="bottom"/>
            <w:vMerge w:val="restart"/>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Percentage</w:t>
            </w: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tcPr>
          <w:p>
            <w:pPr>
              <w:spacing w:after="0" w:line="154" w:lineRule="exact"/>
              <w:rPr>
                <w:sz w:val="20"/>
                <w:szCs w:val="20"/>
                <w:color w:val="auto"/>
              </w:rPr>
            </w:pPr>
            <w:r>
              <w:rPr>
                <w:rFonts w:ascii="Arial" w:cs="Arial" w:eastAsia="Arial" w:hAnsi="Arial"/>
                <w:sz w:val="12"/>
                <w:szCs w:val="12"/>
                <w:b w:val="1"/>
                <w:bCs w:val="1"/>
                <w:color w:val="auto"/>
                <w:w w:val="89"/>
              </w:rPr>
              <w:t>Company</w:t>
            </w:r>
            <w:r>
              <w:rPr>
                <w:rFonts w:ascii="Arial" w:cs="Arial" w:eastAsia="Arial" w:hAnsi="Arial"/>
                <w:sz w:val="17"/>
                <w:szCs w:val="17"/>
                <w:b w:val="1"/>
                <w:bCs w:val="1"/>
                <w:color w:val="auto"/>
                <w:w w:val="89"/>
                <w:vertAlign w:val="superscript"/>
              </w:rPr>
              <w:t>(1)(6)</w:t>
            </w: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Spread</w:t>
            </w:r>
          </w:p>
        </w:tc>
        <w:tc>
          <w:tcPr>
            <w:tcW w:w="240" w:type="dxa"/>
            <w:vAlign w:val="bottom"/>
          </w:tcPr>
          <w:p>
            <w:pPr>
              <w:spacing w:after="0"/>
              <w:rPr>
                <w:sz w:val="13"/>
                <w:szCs w:val="13"/>
                <w:color w:val="auto"/>
              </w:rPr>
            </w:pPr>
          </w:p>
        </w:tc>
        <w:tc>
          <w:tcPr>
            <w:tcW w:w="1760" w:type="dxa"/>
            <w:vAlign w:val="bottom"/>
            <w:tcBorders>
              <w:bottom w:val="single" w:sz="8" w:color="auto"/>
            </w:tcBorders>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8"/>
                <w:szCs w:val="8"/>
                <w:b w:val="1"/>
                <w:bCs w:val="1"/>
                <w:color w:val="auto"/>
              </w:rPr>
              <w:t>(2)(8)</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2"/>
                <w:szCs w:val="12"/>
                <w:b w:val="1"/>
                <w:bCs w:val="1"/>
                <w:color w:val="auto"/>
                <w:w w:val="92"/>
              </w:rPr>
              <w:t>Fair Value</w:t>
            </w:r>
            <w:r>
              <w:rPr>
                <w:rFonts w:ascii="Arial" w:cs="Arial" w:eastAsia="Arial" w:hAnsi="Arial"/>
                <w:sz w:val="17"/>
                <w:szCs w:val="17"/>
                <w:b w:val="1"/>
                <w:bCs w:val="1"/>
                <w:color w:val="auto"/>
                <w:w w:val="92"/>
                <w:vertAlign w:val="superscript"/>
              </w:rPr>
              <w:t>(9)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of Net Assets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1"/>
                <w:szCs w:val="11"/>
                <w:color w:val="auto"/>
              </w:rPr>
              <w:t xml:space="preserve">First-lien loan ($1,364 par, due 9/2026) </w:t>
            </w:r>
            <w:r>
              <w:rPr>
                <w:rFonts w:ascii="Arial" w:cs="Arial" w:eastAsia="Arial" w:hAnsi="Arial"/>
                <w:sz w:val="16"/>
                <w:szCs w:val="16"/>
                <w:color w:val="auto"/>
                <w:vertAlign w:val="superscript"/>
              </w:rPr>
              <w:t>(15)</w:t>
            </w:r>
          </w:p>
        </w:tc>
        <w:tc>
          <w:tcPr>
            <w:tcW w:w="860" w:type="dxa"/>
            <w:vAlign w:val="bottom"/>
            <w:gridSpan w:val="3"/>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6/10/2021</w:t>
            </w:r>
          </w:p>
        </w:tc>
        <w:tc>
          <w:tcPr>
            <w:tcW w:w="10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L + 14.00%</w:t>
            </w:r>
          </w:p>
        </w:tc>
        <w:tc>
          <w:tcPr>
            <w:tcW w:w="1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16.57% (incl. 16.07% PIK)</w:t>
            </w:r>
          </w:p>
        </w:tc>
        <w:tc>
          <w:tcPr>
            <w:tcW w:w="64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1,364</w:t>
            </w: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82</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80" w:type="dxa"/>
            <w:vAlign w:val="bottom"/>
            <w:gridSpan w:val="2"/>
          </w:tcPr>
          <w:p>
            <w:pPr>
              <w:ind w:left="80"/>
              <w:spacing w:after="0" w:line="149" w:lineRule="exact"/>
              <w:rPr>
                <w:sz w:val="20"/>
                <w:szCs w:val="20"/>
                <w:color w:val="auto"/>
              </w:rPr>
            </w:pPr>
            <w:r>
              <w:rPr>
                <w:rFonts w:ascii="Arial" w:cs="Arial" w:eastAsia="Arial" w:hAnsi="Arial"/>
                <w:sz w:val="12"/>
                <w:szCs w:val="12"/>
                <w:color w:val="auto"/>
              </w:rPr>
              <w:t xml:space="preserve">Subordinated note ($4,740 par, due 9/2026) </w:t>
            </w:r>
            <w:r>
              <w:rPr>
                <w:rFonts w:ascii="Arial" w:cs="Arial" w:eastAsia="Arial" w:hAnsi="Arial"/>
                <w:sz w:val="17"/>
                <w:szCs w:val="17"/>
                <w:color w:val="auto"/>
                <w:vertAlign w:val="superscript"/>
              </w:rPr>
              <w:t>(15)</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3/16/2021</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L + 1.00%</w:t>
            </w:r>
          </w:p>
        </w:tc>
        <w:tc>
          <w:tcPr>
            <w:tcW w:w="1820" w:type="dxa"/>
            <w:vAlign w:val="bottom"/>
            <w:gridSpan w:val="2"/>
          </w:tcPr>
          <w:p>
            <w:pPr>
              <w:jc w:val="right"/>
              <w:ind w:right="60"/>
              <w:spacing w:after="0"/>
              <w:rPr>
                <w:sz w:val="20"/>
                <w:szCs w:val="20"/>
                <w:color w:val="auto"/>
              </w:rPr>
            </w:pPr>
            <w:r>
              <w:rPr>
                <w:rFonts w:ascii="Arial" w:cs="Arial" w:eastAsia="Arial" w:hAnsi="Arial"/>
                <w:sz w:val="13"/>
                <w:szCs w:val="13"/>
                <w:color w:val="auto"/>
              </w:rPr>
              <w:t>3.28% PIK</w:t>
            </w: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545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Bed Bath and Beyond Inc.</w:t>
            </w:r>
            <w:r>
              <w:rPr>
                <w:rFonts w:ascii="Arial" w:cs="Arial" w:eastAsia="Arial" w:hAnsi="Arial"/>
                <w:sz w:val="17"/>
                <w:szCs w:val="17"/>
                <w:color w:val="auto"/>
                <w:vertAlign w:val="superscript"/>
              </w:rPr>
              <w:t>(3)</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ABL FILO term loan ($55,000 par, due 8/2027)</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9/2/2022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7"/>
              </w:rPr>
              <w:t>SOFR + 7.90%</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10.87%</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53,646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53,625</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Cordance Operations, LLC</w:t>
            </w:r>
            <w:r>
              <w:rPr>
                <w:rFonts w:ascii="Arial" w:cs="Arial" w:eastAsia="Arial" w:hAnsi="Arial"/>
                <w:sz w:val="17"/>
                <w:szCs w:val="17"/>
                <w:color w:val="auto"/>
                <w:vertAlign w:val="superscript"/>
              </w:rPr>
              <w:t>(3)</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First-lien loan ($26,087 par, due 7/2028)</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7/25/2022</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w w:val="97"/>
              </w:rPr>
              <w:t>SOFR + 8.50%</w:t>
            </w:r>
          </w:p>
        </w:tc>
        <w:tc>
          <w:tcPr>
            <w:tcW w:w="1820" w:type="dxa"/>
            <w:vAlign w:val="bottom"/>
            <w:gridSpan w:val="2"/>
          </w:tcPr>
          <w:p>
            <w:pPr>
              <w:jc w:val="right"/>
              <w:ind w:right="60"/>
              <w:spacing w:after="0"/>
              <w:rPr>
                <w:sz w:val="20"/>
                <w:szCs w:val="20"/>
                <w:color w:val="auto"/>
              </w:rPr>
            </w:pPr>
            <w:r>
              <w:rPr>
                <w:rFonts w:ascii="Arial" w:cs="Arial" w:eastAsia="Arial" w:hAnsi="Arial"/>
                <w:sz w:val="13"/>
                <w:szCs w:val="13"/>
                <w:color w:val="auto"/>
              </w:rPr>
              <w:t>11.80%</w:t>
            </w: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25,310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25,141</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Moran Foods, LLC</w:t>
            </w:r>
            <w:r>
              <w:rPr>
                <w:rFonts w:ascii="Arial" w:cs="Arial" w:eastAsia="Arial" w:hAnsi="Arial"/>
                <w:sz w:val="17"/>
                <w:szCs w:val="17"/>
                <w:color w:val="auto"/>
                <w:vertAlign w:val="superscript"/>
              </w:rPr>
              <w:t>(3)</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ABL FILO term loan ($32,267 par, due 4/2024)</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4/1/2020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L + 7.50%</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11.17%</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31,997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32,186</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Neuintel, LLC</w:t>
            </w:r>
            <w:r>
              <w:rPr>
                <w:rFonts w:ascii="Arial" w:cs="Arial" w:eastAsia="Arial" w:hAnsi="Arial"/>
                <w:sz w:val="17"/>
                <w:szCs w:val="17"/>
                <w:color w:val="auto"/>
                <w:vertAlign w:val="superscript"/>
              </w:rPr>
              <w:t>(3)(5)</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First-lien loan ($55,300 par, due 12/2026)</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12/20/2021</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L + 6.25%</w:t>
            </w:r>
          </w:p>
        </w:tc>
        <w:tc>
          <w:tcPr>
            <w:tcW w:w="1820" w:type="dxa"/>
            <w:vAlign w:val="bottom"/>
            <w:gridSpan w:val="2"/>
          </w:tcPr>
          <w:p>
            <w:pPr>
              <w:jc w:val="right"/>
              <w:ind w:right="60"/>
              <w:spacing w:after="0"/>
              <w:rPr>
                <w:sz w:val="20"/>
                <w:szCs w:val="20"/>
                <w:color w:val="auto"/>
              </w:rPr>
            </w:pPr>
            <w:r>
              <w:rPr>
                <w:rFonts w:ascii="Arial" w:cs="Arial" w:eastAsia="Arial" w:hAnsi="Arial"/>
                <w:sz w:val="13"/>
                <w:szCs w:val="13"/>
                <w:color w:val="auto"/>
              </w:rPr>
              <w:t>9.07%</w:t>
            </w: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54,263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53,365</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Project P Intermediate 2, LLC</w:t>
            </w:r>
            <w:r>
              <w:rPr>
                <w:rFonts w:ascii="Arial" w:cs="Arial" w:eastAsia="Arial" w:hAnsi="Arial"/>
                <w:sz w:val="17"/>
                <w:szCs w:val="17"/>
                <w:color w:val="auto"/>
                <w:vertAlign w:val="superscript"/>
              </w:rPr>
              <w:t>(3)</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5"/>
              </w:rPr>
              <w:t>ABL FILO term loan ($74,063 par, due 5/2026)</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11/8/2021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L + 8.00%</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10.81%</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72,828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73,877</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Tango Management Consulting,</w:t>
            </w:r>
          </w:p>
        </w:tc>
        <w:tc>
          <w:tcPr>
            <w:tcW w:w="268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First-lien loan ($42,736 par, due 12/2027)</w:t>
            </w: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12/1/2021</w:t>
            </w: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L + 6.75%</w:t>
            </w:r>
          </w:p>
        </w:tc>
        <w:tc>
          <w:tcPr>
            <w:tcW w:w="18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9.03%</w:t>
            </w: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41,769</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40,749</w:t>
            </w:r>
          </w:p>
        </w:tc>
        <w:tc>
          <w:tcPr>
            <w:tcW w:w="120" w:type="dxa"/>
            <w:vAlign w:val="bottom"/>
          </w:tcPr>
          <w:p>
            <w:pPr>
              <w:spacing w:after="0"/>
              <w:rPr>
                <w:sz w:val="9"/>
                <w:szCs w:val="9"/>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5"/>
        </w:trPr>
        <w:tc>
          <w:tcPr>
            <w:tcW w:w="2400" w:type="dxa"/>
            <w:vAlign w:val="bottom"/>
            <w:gridSpan w:val="2"/>
          </w:tcPr>
          <w:p>
            <w:pPr>
              <w:ind w:left="140"/>
              <w:spacing w:after="0" w:line="149" w:lineRule="exact"/>
              <w:rPr>
                <w:sz w:val="20"/>
                <w:szCs w:val="20"/>
                <w:color w:val="auto"/>
              </w:rPr>
            </w:pPr>
            <w:r>
              <w:rPr>
                <w:rFonts w:ascii="Arial" w:cs="Arial" w:eastAsia="Arial" w:hAnsi="Arial"/>
                <w:sz w:val="17"/>
                <w:szCs w:val="17"/>
                <w:color w:val="auto"/>
                <w:vertAlign w:val="subscript"/>
              </w:rPr>
              <w:t>LLC</w:t>
            </w:r>
            <w:r>
              <w:rPr>
                <w:rFonts w:ascii="Arial" w:cs="Arial" w:eastAsia="Arial" w:hAnsi="Arial"/>
                <w:sz w:val="8"/>
                <w:szCs w:val="8"/>
                <w:color w:val="auto"/>
              </w:rPr>
              <w:t>(3)(5)</w:t>
            </w:r>
          </w:p>
        </w:tc>
        <w:tc>
          <w:tcPr>
            <w:tcW w:w="2680" w:type="dxa"/>
            <w:vAlign w:val="bottom"/>
            <w:gridSpan w:val="2"/>
            <w:vMerge w:val="continue"/>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332,194</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324,353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24.4%</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Transportation</w:t>
            </w:r>
          </w:p>
        </w:tc>
        <w:tc>
          <w:tcPr>
            <w:tcW w:w="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Project44, Inc.</w:t>
            </w:r>
            <w:r>
              <w:rPr>
                <w:rFonts w:ascii="Arial" w:cs="Arial" w:eastAsia="Arial" w:hAnsi="Arial"/>
                <w:sz w:val="17"/>
                <w:szCs w:val="17"/>
                <w:color w:val="auto"/>
                <w:vertAlign w:val="superscript"/>
              </w:rPr>
              <w:t>(3)(5)</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First-lien loan ($35,139 par, due 11/2027)</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11/12/2021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L + 6.25%</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8.19%</w:t>
            </w: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33,988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33,626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Debt Investments</w:t>
            </w: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2,599,055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2,589,752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194.8%</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Equity and Other Investments</w:t>
            </w: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rPr>
                <w:sz w:val="20"/>
                <w:szCs w:val="20"/>
                <w:color w:val="auto"/>
              </w:rPr>
            </w:pPr>
            <w:r>
              <w:rPr>
                <w:rFonts w:ascii="Arial" w:cs="Arial" w:eastAsia="Arial" w:hAnsi="Arial"/>
                <w:sz w:val="13"/>
                <w:szCs w:val="13"/>
                <w:color w:val="auto"/>
              </w:rPr>
              <w:t>Business Services</w:t>
            </w:r>
          </w:p>
        </w:tc>
        <w:tc>
          <w:tcPr>
            <w:tcW w:w="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Dye &amp; Durham, Ltd.</w:t>
            </w:r>
            <w:r>
              <w:rPr>
                <w:rFonts w:ascii="Arial" w:cs="Arial" w:eastAsia="Arial" w:hAnsi="Arial"/>
                <w:sz w:val="20"/>
                <w:szCs w:val="20"/>
                <w:color w:val="auto"/>
                <w:vertAlign w:val="superscript"/>
              </w:rPr>
              <w:t>(4)(11)(13)</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Common Shares (126,968 shares)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12/3/2021</w:t>
            </w: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3,909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1,688</w:t>
            </w: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9"/>
        </w:trPr>
        <w:tc>
          <w:tcPr>
            <w:tcW w:w="7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9"/>
              </w:rPr>
              <w:t>(CAD 2,322)</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Mitnick TA Aggregator,</w:t>
            </w:r>
          </w:p>
        </w:tc>
        <w:tc>
          <w:tcPr>
            <w:tcW w:w="2680" w:type="dxa"/>
            <w:vAlign w:val="bottom"/>
            <w:gridSpan w:val="2"/>
            <w:vMerge w:val="restart"/>
          </w:tcPr>
          <w:p>
            <w:pPr>
              <w:ind w:left="80"/>
              <w:spacing w:after="0"/>
              <w:rPr>
                <w:sz w:val="20"/>
                <w:szCs w:val="20"/>
                <w:color w:val="auto"/>
              </w:rPr>
            </w:pPr>
            <w:r>
              <w:rPr>
                <w:rFonts w:ascii="Arial" w:cs="Arial" w:eastAsia="Arial" w:hAnsi="Arial"/>
                <w:sz w:val="13"/>
                <w:szCs w:val="13"/>
                <w:color w:val="auto"/>
              </w:rPr>
              <w:t>Membership Interest (0.29% ownership)</w:t>
            </w: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5/2/2022</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5,243</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5,243</w:t>
            </w:r>
          </w:p>
        </w:tc>
        <w:tc>
          <w:tcPr>
            <w:tcW w:w="120" w:type="dxa"/>
            <w:vAlign w:val="bottom"/>
          </w:tcPr>
          <w:p>
            <w:pPr>
              <w:spacing w:after="0"/>
              <w:rPr>
                <w:sz w:val="9"/>
                <w:szCs w:val="9"/>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Arial" w:cs="Arial" w:eastAsia="Arial" w:hAnsi="Arial"/>
                <w:sz w:val="17"/>
                <w:szCs w:val="17"/>
                <w:color w:val="auto"/>
                <w:vertAlign w:val="subscript"/>
              </w:rPr>
              <w:t>LP</w:t>
            </w:r>
            <w:r>
              <w:rPr>
                <w:rFonts w:ascii="Arial" w:cs="Arial" w:eastAsia="Arial" w:hAnsi="Arial"/>
                <w:sz w:val="8"/>
                <w:szCs w:val="8"/>
                <w:color w:val="auto"/>
              </w:rPr>
              <w:t>(12)(13)(14)</w:t>
            </w:r>
          </w:p>
        </w:tc>
        <w:tc>
          <w:tcPr>
            <w:tcW w:w="26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ReliaQuest, LLC</w:t>
            </w:r>
            <w:r>
              <w:rPr>
                <w:rFonts w:ascii="Arial" w:cs="Arial" w:eastAsia="Arial" w:hAnsi="Arial"/>
                <w:sz w:val="17"/>
                <w:szCs w:val="17"/>
                <w:color w:val="auto"/>
                <w:vertAlign w:val="superscript"/>
              </w:rPr>
              <w:t>(12)(13)(14)</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Class A-1 Units (570,263 units)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11/23/2021</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1,363</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Sprinklr, Inc.</w:t>
            </w:r>
            <w:r>
              <w:rPr>
                <w:rFonts w:ascii="Arial" w:cs="Arial" w:eastAsia="Arial" w:hAnsi="Arial"/>
                <w:sz w:val="17"/>
                <w:szCs w:val="17"/>
                <w:color w:val="auto"/>
                <w:vertAlign w:val="superscript"/>
              </w:rPr>
              <w:t>(11)(12)</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Common Shares (484,700 shares)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6/24/2021</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4,180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4,469</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WideOrbit, Inc.</w:t>
            </w:r>
            <w:r>
              <w:rPr>
                <w:rFonts w:ascii="Arial" w:cs="Arial" w:eastAsia="Arial" w:hAnsi="Arial"/>
                <w:sz w:val="17"/>
                <w:szCs w:val="17"/>
                <w:color w:val="auto"/>
                <w:vertAlign w:val="superscript"/>
              </w:rPr>
              <w:t>(12)</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1,567,807 Warrants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7/8/2020</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14,785</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15,245</w:t>
            </w: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Communications</w:t>
            </w: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Celtra Technologies, Inc.</w:t>
            </w:r>
            <w:r>
              <w:rPr>
                <w:rFonts w:ascii="Arial" w:cs="Arial" w:eastAsia="Arial" w:hAnsi="Arial"/>
                <w:sz w:val="17"/>
                <w:szCs w:val="17"/>
                <w:color w:val="auto"/>
                <w:vertAlign w:val="superscript"/>
              </w:rPr>
              <w:t>(12)(13)</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Class A Units (1,250,000 units)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11/19/2021</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1,250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1,250</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IntelePeer Holdings, Inc.</w:t>
            </w:r>
            <w:r>
              <w:rPr>
                <w:rFonts w:ascii="Arial" w:cs="Arial" w:eastAsia="Arial" w:hAnsi="Arial"/>
                <w:sz w:val="17"/>
                <w:szCs w:val="17"/>
                <w:color w:val="auto"/>
                <w:vertAlign w:val="superscript"/>
              </w:rPr>
              <w:t>(12)</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7"/>
              </w:rPr>
              <w:t>Series C Preferred Shares (1,816,295 shares)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4/8/2021</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2,829</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80" w:type="dxa"/>
            <w:vAlign w:val="bottom"/>
            <w:gridSpan w:val="2"/>
          </w:tcPr>
          <w:p>
            <w:pPr>
              <w:ind w:left="80"/>
              <w:spacing w:after="0"/>
              <w:rPr>
                <w:sz w:val="20"/>
                <w:szCs w:val="20"/>
                <w:color w:val="auto"/>
              </w:rPr>
            </w:pPr>
            <w:r>
              <w:rPr>
                <w:rFonts w:ascii="Arial" w:cs="Arial" w:eastAsia="Arial" w:hAnsi="Arial"/>
                <w:sz w:val="13"/>
                <w:szCs w:val="13"/>
                <w:color w:val="auto"/>
                <w:w w:val="97"/>
              </w:rPr>
              <w:t>Series D Preferred Shares (1,598,874 shares)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4/8/2021</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2,925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2,925</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280,000 Warrants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2/28/2020</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106,592 Warrants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4/8/2021</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3"/>
                <w:szCs w:val="1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6,174</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55"/>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Education</w:t>
            </w: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Astra 2L Holdings II LLC</w:t>
            </w:r>
            <w:r>
              <w:rPr>
                <w:rFonts w:ascii="Arial" w:cs="Arial" w:eastAsia="Arial" w:hAnsi="Arial"/>
                <w:sz w:val="17"/>
                <w:szCs w:val="17"/>
                <w:color w:val="auto"/>
                <w:vertAlign w:val="superscript"/>
              </w:rPr>
              <w:t>(12)(13)</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Membership Interest (10.17% ownership)</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1/13/2022</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3,255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2,620</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EMS Linq, Inc.</w:t>
            </w:r>
            <w:r>
              <w:rPr>
                <w:rFonts w:ascii="Arial" w:cs="Arial" w:eastAsia="Arial" w:hAnsi="Arial"/>
                <w:sz w:val="17"/>
                <w:szCs w:val="17"/>
                <w:color w:val="auto"/>
                <w:vertAlign w:val="superscript"/>
              </w:rPr>
              <w:t>(12)(13)</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Class B Units (5,522,526 units)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12/22/2021</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5,523</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4,763</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08"/>
        </w:trPr>
        <w:tc>
          <w:tcPr>
            <w:tcW w:w="24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RMCF IV CIV XXXV,</w:t>
            </w:r>
          </w:p>
        </w:tc>
        <w:tc>
          <w:tcPr>
            <w:tcW w:w="26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Partnership Interest (11.94% ownership)</w:t>
            </w:r>
          </w:p>
        </w:tc>
        <w:tc>
          <w:tcPr>
            <w:tcW w:w="8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6/8/2021</w:t>
            </w:r>
          </w:p>
        </w:tc>
        <w:tc>
          <w:tcPr>
            <w:tcW w:w="7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20" w:type="dxa"/>
            <w:vAlign w:val="bottom"/>
            <w:vMerge w:val="restart"/>
            <w:shd w:val="clear" w:color="auto" w:fill="CCEEFF"/>
          </w:tcPr>
          <w:p>
            <w:pPr>
              <w:spacing w:after="0"/>
              <w:rPr>
                <w:sz w:val="9"/>
                <w:szCs w:val="9"/>
                <w:color w:val="auto"/>
              </w:rPr>
            </w:pPr>
          </w:p>
        </w:tc>
        <w:tc>
          <w:tcPr>
            <w:tcW w:w="12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1,190</w:t>
            </w:r>
          </w:p>
        </w:tc>
        <w:tc>
          <w:tcPr>
            <w:tcW w:w="12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7"/>
                <w:szCs w:val="17"/>
                <w:color w:val="auto"/>
                <w:vertAlign w:val="subscript"/>
              </w:rPr>
              <w:t>LP.</w:t>
            </w:r>
            <w:r>
              <w:rPr>
                <w:rFonts w:ascii="Arial" w:cs="Arial" w:eastAsia="Arial" w:hAnsi="Arial"/>
                <w:sz w:val="8"/>
                <w:szCs w:val="8"/>
                <w:color w:val="auto"/>
              </w:rPr>
              <w:t>(12)</w:t>
            </w:r>
          </w:p>
        </w:tc>
        <w:tc>
          <w:tcPr>
            <w:tcW w:w="2680" w:type="dxa"/>
            <w:vAlign w:val="bottom"/>
            <w:gridSpan w:val="2"/>
            <w:vMerge w:val="continue"/>
            <w:shd w:val="clear" w:color="auto" w:fill="CCEEFF"/>
          </w:tcPr>
          <w:p>
            <w:pPr>
              <w:spacing w:after="0"/>
              <w:rPr>
                <w:sz w:val="12"/>
                <w:szCs w:val="12"/>
                <w:color w:val="auto"/>
              </w:rPr>
            </w:pPr>
          </w:p>
        </w:tc>
        <w:tc>
          <w:tcPr>
            <w:tcW w:w="860" w:type="dxa"/>
            <w:vAlign w:val="bottom"/>
            <w:gridSpan w:val="3"/>
            <w:vMerge w:val="continue"/>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8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9,778</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8,573</w:t>
            </w: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Financial Services</w:t>
            </w: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AvidXchange, Inc.</w:t>
            </w:r>
            <w:r>
              <w:rPr>
                <w:rFonts w:ascii="Arial" w:cs="Arial" w:eastAsia="Arial" w:hAnsi="Arial"/>
                <w:sz w:val="17"/>
                <w:szCs w:val="17"/>
                <w:color w:val="auto"/>
                <w:vertAlign w:val="superscript"/>
              </w:rPr>
              <w:t>(11)(12)(13)</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Common Shares (200,721 shares)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10/15/2021</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1,022</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1,690</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Newport Parent Holdings, LP</w:t>
            </w:r>
            <w:r>
              <w:rPr>
                <w:rFonts w:ascii="Arial" w:cs="Arial" w:eastAsia="Arial" w:hAnsi="Arial"/>
                <w:sz w:val="17"/>
                <w:szCs w:val="17"/>
                <w:color w:val="auto"/>
                <w:vertAlign w:val="superscript"/>
              </w:rPr>
              <w:t>(12)</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Class A-2 Units (131,569 units)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12/10/2020</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4,177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4,386</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Oxford Square Capital</w:t>
            </w:r>
          </w:p>
        </w:tc>
        <w:tc>
          <w:tcPr>
            <w:tcW w:w="2680" w:type="dxa"/>
            <w:vAlign w:val="bottom"/>
            <w:gridSpan w:val="2"/>
            <w:vMerge w:val="restart"/>
          </w:tcPr>
          <w:p>
            <w:pPr>
              <w:ind w:left="80"/>
              <w:spacing w:after="0"/>
              <w:rPr>
                <w:sz w:val="20"/>
                <w:szCs w:val="20"/>
                <w:color w:val="auto"/>
              </w:rPr>
            </w:pPr>
            <w:r>
              <w:rPr>
                <w:rFonts w:ascii="Arial" w:cs="Arial" w:eastAsia="Arial" w:hAnsi="Arial"/>
                <w:sz w:val="13"/>
                <w:szCs w:val="13"/>
                <w:color w:val="auto"/>
              </w:rPr>
              <w:t>Common Shares (1,620 shares)</w:t>
            </w: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8/5/2015</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6</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9"/>
                <w:szCs w:val="9"/>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400" w:type="dxa"/>
            <w:vAlign w:val="bottom"/>
            <w:gridSpan w:val="2"/>
          </w:tcPr>
          <w:p>
            <w:pPr>
              <w:ind w:left="140"/>
              <w:spacing w:after="0" w:line="135" w:lineRule="exact"/>
              <w:rPr>
                <w:sz w:val="20"/>
                <w:szCs w:val="20"/>
                <w:color w:val="auto"/>
              </w:rPr>
            </w:pPr>
            <w:r>
              <w:rPr>
                <w:rFonts w:ascii="Arial" w:cs="Arial" w:eastAsia="Arial" w:hAnsi="Arial"/>
                <w:sz w:val="15"/>
                <w:szCs w:val="15"/>
                <w:color w:val="auto"/>
                <w:vertAlign w:val="subscript"/>
              </w:rPr>
              <w:t>Corp.</w:t>
            </w:r>
            <w:r>
              <w:rPr>
                <w:rFonts w:ascii="Arial" w:cs="Arial" w:eastAsia="Arial" w:hAnsi="Arial"/>
                <w:sz w:val="8"/>
                <w:szCs w:val="8"/>
                <w:color w:val="auto"/>
              </w:rPr>
              <w:t>(4)(11)</w:t>
            </w:r>
          </w:p>
        </w:tc>
        <w:tc>
          <w:tcPr>
            <w:tcW w:w="268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Passport Labs, Inc.</w:t>
            </w:r>
            <w:r>
              <w:rPr>
                <w:rFonts w:ascii="Arial" w:cs="Arial" w:eastAsia="Arial" w:hAnsi="Arial"/>
                <w:sz w:val="17"/>
                <w:szCs w:val="17"/>
                <w:color w:val="auto"/>
                <w:vertAlign w:val="superscript"/>
              </w:rPr>
              <w:t>(12)</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17,534 Warrants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4/28/2021</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55"/>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TradingScreen, Inc.</w:t>
            </w:r>
            <w:r>
              <w:rPr>
                <w:rFonts w:ascii="Arial" w:cs="Arial" w:eastAsia="Arial" w:hAnsi="Arial"/>
                <w:sz w:val="17"/>
                <w:szCs w:val="17"/>
                <w:color w:val="auto"/>
                <w:vertAlign w:val="superscript"/>
              </w:rPr>
              <w:t>(12)(14)</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Class A Units (600,000 units)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5/14/2021</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600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5,997</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55"/>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Healthcare</w:t>
            </w: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Caris Life Sciences, Inc.</w:t>
            </w:r>
            <w:r>
              <w:rPr>
                <w:rFonts w:ascii="Arial" w:cs="Arial" w:eastAsia="Arial" w:hAnsi="Arial"/>
                <w:sz w:val="17"/>
                <w:szCs w:val="17"/>
                <w:color w:val="auto"/>
                <w:vertAlign w:val="superscript"/>
              </w:rPr>
              <w:t>(12)</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Series C Preferred Shares (362,319 shares)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10/13/2020</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1,300</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80" w:type="dxa"/>
            <w:vAlign w:val="bottom"/>
            <w:gridSpan w:val="2"/>
          </w:tcPr>
          <w:p>
            <w:pPr>
              <w:ind w:left="80"/>
              <w:spacing w:after="0"/>
              <w:rPr>
                <w:sz w:val="20"/>
                <w:szCs w:val="20"/>
                <w:color w:val="auto"/>
              </w:rPr>
            </w:pPr>
            <w:r>
              <w:rPr>
                <w:rFonts w:ascii="Arial" w:cs="Arial" w:eastAsia="Arial" w:hAnsi="Arial"/>
                <w:sz w:val="13"/>
                <w:szCs w:val="13"/>
                <w:color w:val="auto"/>
                <w:w w:val="97"/>
              </w:rPr>
              <w:t>Series D Preferred Shares (1,240,740 shares)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5/11/2021</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10,050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8,568</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633,376 Warrants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9/21/2018</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192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1,151</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569,991 Warrants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4/2/2020</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250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888</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7"/>
                <w:szCs w:val="17"/>
                <w:color w:val="auto"/>
                <w:vertAlign w:val="subscript"/>
              </w:rPr>
              <w:t>Merative L.P.</w:t>
            </w:r>
            <w:r>
              <w:rPr>
                <w:rFonts w:ascii="Arial" w:cs="Arial" w:eastAsia="Arial" w:hAnsi="Arial"/>
                <w:sz w:val="8"/>
                <w:szCs w:val="8"/>
                <w:color w:val="auto"/>
              </w:rPr>
              <w:t>(12)(13)(14)</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989,691 Class A-1 Units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6/30/2022</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21,389</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21,804</w:t>
            </w: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Hotel, Gaming and Leisure</w:t>
            </w: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IRGSE Holding Corp.</w:t>
            </w:r>
            <w:r>
              <w:rPr>
                <w:rFonts w:ascii="Arial" w:cs="Arial" w:eastAsia="Arial" w:hAnsi="Arial"/>
                <w:sz w:val="17"/>
                <w:szCs w:val="17"/>
                <w:color w:val="auto"/>
                <w:vertAlign w:val="superscript"/>
              </w:rPr>
              <w:t>(7)(12)</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Class A Units (33,790,171 units)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12/21/2018</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21,842</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25,596</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Class C-1 Units (8,800,000 units)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12/21/2018</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21,942</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25,639</w:t>
            </w: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Human Resource Support Services</w:t>
            </w: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Axonify, Inc.</w:t>
            </w:r>
            <w:r>
              <w:rPr>
                <w:rFonts w:ascii="Arial" w:cs="Arial" w:eastAsia="Arial" w:hAnsi="Arial"/>
                <w:sz w:val="17"/>
                <w:szCs w:val="17"/>
                <w:color w:val="auto"/>
                <w:vertAlign w:val="superscript"/>
              </w:rPr>
              <w:t>(4)(12)(14)</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Class A-1 Units (3,780,000 units)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5/5/2021</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3,780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4,262</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ClearCompany, LLC</w:t>
            </w:r>
            <w:r>
              <w:rPr>
                <w:rFonts w:ascii="Arial" w:cs="Arial" w:eastAsia="Arial" w:hAnsi="Arial"/>
                <w:sz w:val="17"/>
                <w:szCs w:val="17"/>
                <w:color w:val="auto"/>
                <w:vertAlign w:val="superscript"/>
              </w:rPr>
              <w:t>(12)(14)</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Series A Preferred Units (1,429,228 units)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8/24/2018</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2,014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4,788</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DaySmart Holdings, LLC</w:t>
            </w:r>
            <w:r>
              <w:rPr>
                <w:rFonts w:ascii="Arial" w:cs="Arial" w:eastAsia="Arial" w:hAnsi="Arial"/>
                <w:sz w:val="17"/>
                <w:szCs w:val="17"/>
                <w:color w:val="auto"/>
                <w:vertAlign w:val="superscript"/>
              </w:rPr>
              <w:t>(12)(14)</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Class A Units (166,811 units)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10/1/2019</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1,347</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1,845</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shd w:val="clear" w:color="auto" w:fill="CCEEFF"/>
          </w:tcPr>
          <w:p>
            <w:pPr>
              <w:spacing w:after="0" w:line="108" w:lineRule="exact"/>
              <w:rPr>
                <w:sz w:val="20"/>
                <w:szCs w:val="20"/>
                <w:color w:val="auto"/>
              </w:rPr>
            </w:pPr>
            <w:r>
              <w:rPr>
                <w:rFonts w:ascii="Arial" w:cs="Arial" w:eastAsia="Arial" w:hAnsi="Arial"/>
                <w:sz w:val="9"/>
                <w:szCs w:val="9"/>
                <w:color w:val="auto"/>
              </w:rPr>
              <w:t>Employment Hero Holdings Pty Ltd.</w:t>
            </w:r>
            <w:r>
              <w:rPr>
                <w:rFonts w:ascii="Arial" w:cs="Arial" w:eastAsia="Arial" w:hAnsi="Arial"/>
                <w:sz w:val="12"/>
                <w:szCs w:val="12"/>
                <w:color w:val="auto"/>
                <w:vertAlign w:val="superscript"/>
              </w:rPr>
              <w:t>(4)(12)</w:t>
            </w:r>
          </w:p>
        </w:tc>
        <w:tc>
          <w:tcPr>
            <w:tcW w:w="2680" w:type="dxa"/>
            <w:vAlign w:val="bottom"/>
            <w:gridSpan w:val="2"/>
            <w:shd w:val="clear" w:color="auto" w:fill="CCEEFF"/>
          </w:tcPr>
          <w:p>
            <w:pPr>
              <w:ind w:left="80"/>
              <w:spacing w:after="0" w:line="108" w:lineRule="exact"/>
              <w:rPr>
                <w:sz w:val="20"/>
                <w:szCs w:val="20"/>
                <w:color w:val="auto"/>
              </w:rPr>
            </w:pPr>
            <w:r>
              <w:rPr>
                <w:rFonts w:ascii="Arial" w:cs="Arial" w:eastAsia="Arial" w:hAnsi="Arial"/>
                <w:sz w:val="12"/>
                <w:szCs w:val="12"/>
                <w:color w:val="auto"/>
              </w:rPr>
              <w:t>Series E Preferred Shares (113,250 shares)</w:t>
            </w:r>
          </w:p>
        </w:tc>
        <w:tc>
          <w:tcPr>
            <w:tcW w:w="860" w:type="dxa"/>
            <w:vAlign w:val="bottom"/>
            <w:gridSpan w:val="3"/>
            <w:shd w:val="clear" w:color="auto" w:fill="CCEEFF"/>
          </w:tcPr>
          <w:p>
            <w:pPr>
              <w:jc w:val="right"/>
              <w:ind w:right="120"/>
              <w:spacing w:after="0" w:line="108" w:lineRule="exact"/>
              <w:rPr>
                <w:sz w:val="20"/>
                <w:szCs w:val="20"/>
                <w:color w:val="auto"/>
              </w:rPr>
            </w:pPr>
            <w:r>
              <w:rPr>
                <w:rFonts w:ascii="Arial" w:cs="Arial" w:eastAsia="Arial" w:hAnsi="Arial"/>
                <w:sz w:val="12"/>
                <w:szCs w:val="12"/>
                <w:color w:val="auto"/>
              </w:rPr>
              <w:t>3/1/2022</w:t>
            </w:r>
          </w:p>
        </w:tc>
        <w:tc>
          <w:tcPr>
            <w:tcW w:w="7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20"/>
              <w:spacing w:after="0" w:line="108" w:lineRule="exact"/>
              <w:rPr>
                <w:sz w:val="20"/>
                <w:szCs w:val="20"/>
                <w:color w:val="auto"/>
              </w:rPr>
            </w:pPr>
            <w:r>
              <w:rPr>
                <w:rFonts w:ascii="Arial" w:cs="Arial" w:eastAsia="Arial" w:hAnsi="Arial"/>
                <w:sz w:val="12"/>
                <w:szCs w:val="12"/>
                <w:color w:val="auto"/>
              </w:rPr>
              <w:t>2,134</w:t>
            </w:r>
          </w:p>
        </w:tc>
        <w:tc>
          <w:tcPr>
            <w:tcW w:w="8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rPr>
              <w:t>1,929</w:t>
            </w:r>
          </w:p>
        </w:tc>
        <w:tc>
          <w:tcPr>
            <w:tcW w:w="120" w:type="dxa"/>
            <w:vAlign w:val="bottom"/>
            <w:shd w:val="clear" w:color="auto" w:fill="CCEEFF"/>
          </w:tcPr>
          <w:p>
            <w:pPr>
              <w:spacing w:after="0"/>
              <w:rPr>
                <w:sz w:val="9"/>
                <w:szCs w:val="9"/>
                <w:color w:val="auto"/>
              </w:rPr>
            </w:pPr>
          </w:p>
        </w:tc>
        <w:tc>
          <w:tcPr>
            <w:tcW w:w="900" w:type="dxa"/>
            <w:vAlign w:val="bottom"/>
            <w:gridSpan w:val="3"/>
            <w:shd w:val="clear" w:color="auto" w:fill="CCEEFF"/>
          </w:tcPr>
          <w:p>
            <w:pPr>
              <w:jc w:val="right"/>
              <w:ind w:right="40"/>
              <w:spacing w:after="0" w:line="108" w:lineRule="exact"/>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28"/>
        </w:trPr>
        <w:tc>
          <w:tcPr>
            <w:tcW w:w="760" w:type="dxa"/>
            <w:vAlign w:val="bottom"/>
            <w:shd w:val="clear" w:color="auto" w:fill="CCEEFF"/>
          </w:tcPr>
          <w:p>
            <w:pPr>
              <w:ind w:left="140"/>
              <w:spacing w:after="0"/>
              <w:rPr>
                <w:sz w:val="20"/>
                <w:szCs w:val="20"/>
                <w:color w:val="auto"/>
              </w:rPr>
            </w:pPr>
            <w:r>
              <w:rPr>
                <w:rFonts w:ascii="Arial" w:cs="Arial" w:eastAsia="Arial" w:hAnsi="Arial"/>
                <w:sz w:val="10"/>
                <w:szCs w:val="10"/>
                <w:color w:val="auto"/>
              </w:rPr>
              <w:t>(13)</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9"/>
              </w:rPr>
              <w:t>(AUD 3,000)</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9,275</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12,824</w:t>
            </w:r>
          </w:p>
        </w:tc>
        <w:tc>
          <w:tcPr>
            <w:tcW w:w="12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Internet Services</w:t>
            </w: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Bayshore Intermediate #2,</w:t>
            </w:r>
          </w:p>
        </w:tc>
        <w:tc>
          <w:tcPr>
            <w:tcW w:w="2680" w:type="dxa"/>
            <w:vAlign w:val="bottom"/>
            <w:gridSpan w:val="2"/>
            <w:vMerge w:val="restart"/>
          </w:tcPr>
          <w:p>
            <w:pPr>
              <w:ind w:left="80"/>
              <w:spacing w:after="0"/>
              <w:rPr>
                <w:sz w:val="20"/>
                <w:szCs w:val="20"/>
                <w:color w:val="auto"/>
              </w:rPr>
            </w:pPr>
            <w:r>
              <w:rPr>
                <w:rFonts w:ascii="Arial" w:cs="Arial" w:eastAsia="Arial" w:hAnsi="Arial"/>
                <w:sz w:val="13"/>
                <w:szCs w:val="13"/>
                <w:color w:val="auto"/>
              </w:rPr>
              <w:t>Common Units (12,330,709 units)</w:t>
            </w: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3"/>
                <w:szCs w:val="13"/>
                <w:color w:val="auto"/>
              </w:rPr>
              <w:t>10/1/2021</w:t>
            </w: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12,331</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12,331</w:t>
            </w:r>
          </w:p>
        </w:tc>
        <w:tc>
          <w:tcPr>
            <w:tcW w:w="120" w:type="dxa"/>
            <w:vAlign w:val="bottom"/>
          </w:tcPr>
          <w:p>
            <w:pPr>
              <w:spacing w:after="0"/>
              <w:rPr>
                <w:sz w:val="9"/>
                <w:szCs w:val="9"/>
                <w:color w:val="auto"/>
              </w:rPr>
            </w:pP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9"/>
        </w:trPr>
        <w:tc>
          <w:tcPr>
            <w:tcW w:w="2400" w:type="dxa"/>
            <w:vAlign w:val="bottom"/>
            <w:gridSpan w:val="2"/>
          </w:tcPr>
          <w:p>
            <w:pPr>
              <w:ind w:left="140"/>
              <w:spacing w:after="0" w:line="149" w:lineRule="exact"/>
              <w:rPr>
                <w:sz w:val="20"/>
                <w:szCs w:val="20"/>
                <w:color w:val="auto"/>
              </w:rPr>
            </w:pPr>
            <w:r>
              <w:rPr>
                <w:rFonts w:ascii="Arial" w:cs="Arial" w:eastAsia="Arial" w:hAnsi="Arial"/>
                <w:sz w:val="17"/>
                <w:szCs w:val="17"/>
                <w:color w:val="auto"/>
                <w:vertAlign w:val="subscript"/>
              </w:rPr>
              <w:t>L.P.</w:t>
            </w:r>
            <w:r>
              <w:rPr>
                <w:rFonts w:ascii="Arial" w:cs="Arial" w:eastAsia="Arial" w:hAnsi="Arial"/>
                <w:sz w:val="8"/>
                <w:szCs w:val="8"/>
                <w:color w:val="auto"/>
              </w:rPr>
              <w:t>(12)(13)(14)</w:t>
            </w:r>
          </w:p>
        </w:tc>
        <w:tc>
          <w:tcPr>
            <w:tcW w:w="268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Lucidworks, Inc.</w:t>
            </w:r>
            <w:r>
              <w:rPr>
                <w:rFonts w:ascii="Arial" w:cs="Arial" w:eastAsia="Arial" w:hAnsi="Arial"/>
                <w:sz w:val="17"/>
                <w:szCs w:val="17"/>
                <w:color w:val="auto"/>
                <w:vertAlign w:val="superscript"/>
              </w:rPr>
              <w:t>(12)</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Series F Preferred Shares (199,054 shares)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8/2/2019</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842</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55"/>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Piano Software, Inc.</w:t>
            </w:r>
            <w:r>
              <w:rPr>
                <w:rFonts w:ascii="Arial" w:cs="Arial" w:eastAsia="Arial" w:hAnsi="Arial"/>
                <w:sz w:val="17"/>
                <w:szCs w:val="17"/>
                <w:color w:val="auto"/>
                <w:vertAlign w:val="superscript"/>
              </w:rPr>
              <w:t>(12)(13)</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w w:val="97"/>
              </w:rPr>
              <w:t>Series C-1 Preferred Shares (418,527 shares)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12/22/2021</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3,000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3,000</w:t>
            </w:r>
          </w:p>
        </w:tc>
        <w:tc>
          <w:tcPr>
            <w:tcW w:w="120" w:type="dxa"/>
            <w:vAlign w:val="bottom"/>
          </w:tcPr>
          <w:p>
            <w:pPr>
              <w:spacing w:after="0"/>
              <w:rPr>
                <w:sz w:val="13"/>
                <w:szCs w:val="1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16,131</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16,173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5"/>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Marketing Services</w:t>
            </w: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Validity, Inc.</w:t>
            </w:r>
            <w:r>
              <w:rPr>
                <w:rFonts w:ascii="Arial" w:cs="Arial" w:eastAsia="Arial" w:hAnsi="Arial"/>
                <w:sz w:val="17"/>
                <w:szCs w:val="17"/>
                <w:color w:val="auto"/>
                <w:vertAlign w:val="superscript"/>
              </w:rPr>
              <w:t>(12)</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97"/>
              </w:rPr>
              <w:t>Series A Preferred Shares (3,840,000 shares)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5/31/2018</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3,840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11,520</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Oil, Gas and Consumable Fuels</w:t>
            </w:r>
          </w:p>
        </w:tc>
        <w:tc>
          <w:tcPr>
            <w:tcW w:w="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4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Murchison Oil and Gas,</w:t>
            </w:r>
          </w:p>
        </w:tc>
        <w:tc>
          <w:tcPr>
            <w:tcW w:w="26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13,355 Preferred Units</w:t>
            </w:r>
          </w:p>
        </w:tc>
        <w:tc>
          <w:tcPr>
            <w:tcW w:w="8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6/30/2022</w:t>
            </w:r>
          </w:p>
        </w:tc>
        <w:tc>
          <w:tcPr>
            <w:tcW w:w="7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13,355</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13,355</w:t>
            </w:r>
          </w:p>
        </w:tc>
        <w:tc>
          <w:tcPr>
            <w:tcW w:w="120" w:type="dxa"/>
            <w:vAlign w:val="bottom"/>
            <w:shd w:val="clear" w:color="auto" w:fill="CCEEFF"/>
          </w:tcPr>
          <w:p>
            <w:pPr>
              <w:spacing w:after="0"/>
              <w:rPr>
                <w:sz w:val="9"/>
                <w:szCs w:val="9"/>
                <w:color w:val="auto"/>
              </w:rPr>
            </w:pPr>
          </w:p>
        </w:tc>
        <w:tc>
          <w:tcPr>
            <w:tcW w:w="9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7"/>
                <w:szCs w:val="17"/>
                <w:color w:val="auto"/>
                <w:vertAlign w:val="subscript"/>
              </w:rPr>
              <w:t>LLC</w:t>
            </w:r>
            <w:r>
              <w:rPr>
                <w:rFonts w:ascii="Arial" w:cs="Arial" w:eastAsia="Arial" w:hAnsi="Arial"/>
                <w:sz w:val="8"/>
                <w:szCs w:val="8"/>
                <w:color w:val="auto"/>
              </w:rPr>
              <w:t>(13)(14)</w:t>
            </w:r>
          </w:p>
        </w:tc>
        <w:tc>
          <w:tcPr>
            <w:tcW w:w="2680" w:type="dxa"/>
            <w:vAlign w:val="bottom"/>
            <w:gridSpan w:val="2"/>
            <w:vMerge w:val="continue"/>
            <w:shd w:val="clear" w:color="auto" w:fill="CCEEFF"/>
          </w:tcPr>
          <w:p>
            <w:pPr>
              <w:spacing w:after="0"/>
              <w:rPr>
                <w:sz w:val="12"/>
                <w:szCs w:val="12"/>
                <w:color w:val="auto"/>
              </w:rPr>
            </w:pPr>
          </w:p>
        </w:tc>
        <w:tc>
          <w:tcPr>
            <w:tcW w:w="860" w:type="dxa"/>
            <w:vAlign w:val="bottom"/>
            <w:gridSpan w:val="3"/>
            <w:vMerge w:val="continue"/>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3"/>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TRP Assets, LLC</w:t>
            </w:r>
            <w:r>
              <w:rPr>
                <w:rFonts w:ascii="Arial" w:cs="Arial" w:eastAsia="Arial" w:hAnsi="Arial"/>
                <w:sz w:val="17"/>
                <w:szCs w:val="17"/>
                <w:color w:val="auto"/>
                <w:vertAlign w:val="superscript"/>
              </w:rPr>
              <w:t>(12)(13)(14)</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Partnership Interest (1.89% ownership)</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8/25/2022</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8,058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8,058</w:t>
            </w:r>
          </w:p>
        </w:tc>
        <w:tc>
          <w:tcPr>
            <w:tcW w:w="120" w:type="dxa"/>
            <w:vAlign w:val="bottom"/>
          </w:tcPr>
          <w:p>
            <w:pPr>
              <w:spacing w:after="0"/>
              <w:rPr>
                <w:sz w:val="13"/>
                <w:szCs w:val="1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21,413</w:t>
            </w: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21,413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5"/>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Pharmaceuticals</w:t>
            </w:r>
          </w:p>
        </w:tc>
        <w:tc>
          <w:tcPr>
            <w:tcW w:w="1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TherapeuticsMD, Inc.</w:t>
            </w:r>
            <w:r>
              <w:rPr>
                <w:rFonts w:ascii="Arial" w:cs="Arial" w:eastAsia="Arial" w:hAnsi="Arial"/>
                <w:sz w:val="17"/>
                <w:szCs w:val="17"/>
                <w:color w:val="auto"/>
                <w:vertAlign w:val="superscript"/>
              </w:rPr>
              <w:t>(12)(13)</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759,317 Warrants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8/5/2020</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1,326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9"/>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Retail and Consumer Products</w:t>
            </w:r>
          </w:p>
        </w:tc>
        <w:tc>
          <w:tcPr>
            <w:tcW w:w="1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2"/>
                <w:szCs w:val="12"/>
                <w:color w:val="auto"/>
              </w:rPr>
              <w:t>American Achievement, Corp.</w:t>
            </w:r>
            <w:r>
              <w:rPr>
                <w:rFonts w:ascii="Arial" w:cs="Arial" w:eastAsia="Arial" w:hAnsi="Arial"/>
                <w:sz w:val="17"/>
                <w:szCs w:val="17"/>
                <w:color w:val="auto"/>
                <w:vertAlign w:val="superscript"/>
              </w:rPr>
              <w:t>(12)</w:t>
            </w: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Class A Units (687 units)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3/16/2021</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Copper Bidco, LLC</w:t>
            </w:r>
            <w:r>
              <w:rPr>
                <w:rFonts w:ascii="Arial" w:cs="Arial" w:eastAsia="Arial" w:hAnsi="Arial"/>
                <w:sz w:val="17"/>
                <w:szCs w:val="17"/>
                <w:color w:val="auto"/>
                <w:vertAlign w:val="superscript"/>
              </w:rPr>
              <w:t>(10)</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Trust Certificates (132,928 Certificates)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12/7/2020</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798</w:t>
            </w:r>
          </w:p>
        </w:tc>
        <w:tc>
          <w:tcPr>
            <w:tcW w:w="120" w:type="dxa"/>
            <w:vAlign w:val="bottom"/>
          </w:tcPr>
          <w:p>
            <w:pPr>
              <w:spacing w:after="0"/>
              <w:rPr>
                <w:sz w:val="12"/>
                <w:szCs w:val="12"/>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Trust Certificates (996,958 Certificates)</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1/30/2021</w:t>
            </w: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4,148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13,309</w:t>
            </w:r>
          </w:p>
        </w:tc>
        <w:tc>
          <w:tcPr>
            <w:tcW w:w="12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6"/>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Neuintel, LLC</w:t>
            </w:r>
            <w:r>
              <w:rPr>
                <w:rFonts w:ascii="Arial" w:cs="Arial" w:eastAsia="Arial" w:hAnsi="Arial"/>
                <w:sz w:val="17"/>
                <w:szCs w:val="17"/>
                <w:color w:val="auto"/>
                <w:vertAlign w:val="superscript"/>
              </w:rPr>
              <w:t>(12)(13)(14)</w:t>
            </w:r>
          </w:p>
        </w:tc>
        <w:tc>
          <w:tcPr>
            <w:tcW w:w="2680" w:type="dxa"/>
            <w:vAlign w:val="bottom"/>
            <w:gridSpan w:val="2"/>
          </w:tcPr>
          <w:p>
            <w:pPr>
              <w:ind w:left="80"/>
              <w:spacing w:after="0"/>
              <w:rPr>
                <w:sz w:val="20"/>
                <w:szCs w:val="20"/>
                <w:color w:val="auto"/>
              </w:rPr>
            </w:pPr>
            <w:r>
              <w:rPr>
                <w:rFonts w:ascii="Arial" w:cs="Arial" w:eastAsia="Arial" w:hAnsi="Arial"/>
                <w:sz w:val="13"/>
                <w:szCs w:val="13"/>
                <w:color w:val="auto"/>
              </w:rPr>
              <w:t>Class A Units (1,176,494 units)</w:t>
            </w:r>
          </w:p>
        </w:tc>
        <w:tc>
          <w:tcPr>
            <w:tcW w:w="860" w:type="dxa"/>
            <w:vAlign w:val="bottom"/>
            <w:gridSpan w:val="3"/>
          </w:tcPr>
          <w:p>
            <w:pPr>
              <w:jc w:val="right"/>
              <w:ind w:right="120"/>
              <w:spacing w:after="0"/>
              <w:rPr>
                <w:sz w:val="20"/>
                <w:szCs w:val="20"/>
                <w:color w:val="auto"/>
              </w:rPr>
            </w:pPr>
            <w:r>
              <w:rPr>
                <w:rFonts w:ascii="Arial" w:cs="Arial" w:eastAsia="Arial" w:hAnsi="Arial"/>
                <w:sz w:val="13"/>
                <w:szCs w:val="13"/>
                <w:color w:val="auto"/>
              </w:rPr>
              <w:t>12/21/2021</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3"/>
                <w:szCs w:val="13"/>
                <w:color w:val="auto"/>
              </w:rPr>
              <w:t>3,000</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2,618</w:t>
            </w:r>
          </w:p>
        </w:tc>
        <w:tc>
          <w:tcPr>
            <w:tcW w:w="120" w:type="dxa"/>
            <w:vAlign w:val="bottom"/>
          </w:tcPr>
          <w:p>
            <w:pPr>
              <w:spacing w:after="0"/>
              <w:rPr>
                <w:sz w:val="13"/>
                <w:szCs w:val="13"/>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9"/>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7,148</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16,775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320" w:top="67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675"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9"/>
              </w:rPr>
              <w:t>Initial</w:t>
            </w:r>
          </w:p>
        </w:tc>
        <w:tc>
          <w:tcPr>
            <w:tcW w:w="860" w:type="dxa"/>
            <w:vAlign w:val="bottom"/>
            <w:gridSpan w:val="3"/>
          </w:tcPr>
          <w:p>
            <w:pPr>
              <w:ind w:left="80"/>
              <w:spacing w:after="0"/>
              <w:rPr>
                <w:sz w:val="20"/>
                <w:szCs w:val="20"/>
                <w:color w:val="auto"/>
              </w:rPr>
            </w:pPr>
            <w:r>
              <w:rPr>
                <w:rFonts w:ascii="Arial" w:cs="Arial" w:eastAsia="Arial" w:hAnsi="Arial"/>
                <w:sz w:val="13"/>
                <w:szCs w:val="13"/>
                <w:b w:val="1"/>
                <w:bCs w:val="1"/>
                <w:color w:val="auto"/>
              </w:rPr>
              <w:t>Reference</w:t>
            </w: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58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Rate and</w:t>
            </w:r>
          </w:p>
        </w:tc>
        <w:tc>
          <w:tcPr>
            <w:tcW w:w="1720" w:type="dxa"/>
            <w:vAlign w:val="bottom"/>
            <w:vMerge w:val="restart"/>
          </w:tcPr>
          <w:p>
            <w:pPr>
              <w:jc w:val="right"/>
              <w:ind w:right="433"/>
              <w:spacing w:after="0"/>
              <w:rPr>
                <w:sz w:val="20"/>
                <w:szCs w:val="20"/>
                <w:color w:val="auto"/>
              </w:rPr>
            </w:pPr>
            <w:r>
              <w:rPr>
                <w:rFonts w:ascii="Arial" w:cs="Arial" w:eastAsia="Arial" w:hAnsi="Arial"/>
                <w:sz w:val="13"/>
                <w:szCs w:val="13"/>
                <w:b w:val="1"/>
                <w:bCs w:val="1"/>
                <w:color w:val="auto"/>
              </w:rPr>
              <w:t>Interest Rate</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8"/>
              </w:rPr>
              <w:t>Amortized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2400" w:type="dxa"/>
            <w:vAlign w:val="bottom"/>
            <w:gridSpan w:val="2"/>
          </w:tcPr>
          <w:p>
            <w:pPr>
              <w:spacing w:after="0" w:line="154" w:lineRule="exact"/>
              <w:rPr>
                <w:sz w:val="20"/>
                <w:szCs w:val="20"/>
                <w:color w:val="auto"/>
              </w:rPr>
            </w:pPr>
            <w:r>
              <w:rPr>
                <w:rFonts w:ascii="Arial" w:cs="Arial" w:eastAsia="Arial" w:hAnsi="Arial"/>
                <w:sz w:val="12"/>
                <w:szCs w:val="12"/>
                <w:b w:val="1"/>
                <w:bCs w:val="1"/>
                <w:color w:val="auto"/>
              </w:rPr>
              <w:t>Company</w:t>
            </w:r>
            <w:r>
              <w:rPr>
                <w:rFonts w:ascii="Arial" w:cs="Arial" w:eastAsia="Arial" w:hAnsi="Arial"/>
                <w:sz w:val="17"/>
                <w:szCs w:val="17"/>
                <w:b w:val="1"/>
                <w:bCs w:val="1"/>
                <w:color w:val="auto"/>
                <w:vertAlign w:val="superscript"/>
              </w:rPr>
              <w:t>(1)(6)</w:t>
            </w:r>
          </w:p>
        </w:tc>
        <w:tc>
          <w:tcPr>
            <w:tcW w:w="340" w:type="dxa"/>
            <w:vAlign w:val="bottom"/>
          </w:tcPr>
          <w:p>
            <w:pPr>
              <w:spacing w:after="0"/>
              <w:rPr>
                <w:sz w:val="13"/>
                <w:szCs w:val="13"/>
                <w:color w:val="auto"/>
              </w:rPr>
            </w:pPr>
          </w:p>
        </w:tc>
        <w:tc>
          <w:tcPr>
            <w:tcW w:w="2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Date</w:t>
            </w:r>
          </w:p>
        </w:tc>
        <w:tc>
          <w:tcPr>
            <w:tcW w:w="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Spread</w:t>
            </w:r>
          </w:p>
        </w:tc>
        <w:tc>
          <w:tcPr>
            <w:tcW w:w="1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4" w:lineRule="exact"/>
              <w:rPr>
                <w:sz w:val="20"/>
                <w:szCs w:val="20"/>
                <w:color w:val="auto"/>
              </w:rPr>
            </w:pPr>
            <w:r>
              <w:rPr>
                <w:rFonts w:ascii="Arial" w:cs="Arial" w:eastAsia="Arial" w:hAnsi="Arial"/>
                <w:sz w:val="17"/>
                <w:szCs w:val="17"/>
                <w:b w:val="1"/>
                <w:bCs w:val="1"/>
                <w:color w:val="auto"/>
                <w:vertAlign w:val="subscript"/>
              </w:rPr>
              <w:t>Cost</w:t>
            </w:r>
            <w:r>
              <w:rPr>
                <w:rFonts w:ascii="Arial" w:cs="Arial" w:eastAsia="Arial" w:hAnsi="Arial"/>
                <w:sz w:val="8"/>
                <w:szCs w:val="8"/>
                <w:b w:val="1"/>
                <w:bCs w:val="1"/>
                <w:color w:val="auto"/>
              </w:rPr>
              <w:t>(2)(8)</w:t>
            </w:r>
          </w:p>
        </w:tc>
        <w:tc>
          <w:tcPr>
            <w:tcW w:w="140" w:type="dxa"/>
            <w:vAlign w:val="bottom"/>
          </w:tcPr>
          <w:p>
            <w:pPr>
              <w:spacing w:after="0"/>
              <w:rPr>
                <w:sz w:val="13"/>
                <w:szCs w:val="13"/>
                <w:color w:val="auto"/>
              </w:rPr>
            </w:pPr>
          </w:p>
        </w:tc>
        <w:tc>
          <w:tcPr>
            <w:tcW w:w="760" w:type="dxa"/>
            <w:vAlign w:val="bottom"/>
            <w:gridSpan w:val="3"/>
          </w:tcPr>
          <w:p>
            <w:pPr>
              <w:spacing w:after="0" w:line="154" w:lineRule="exact"/>
              <w:rPr>
                <w:sz w:val="20"/>
                <w:szCs w:val="20"/>
                <w:color w:val="auto"/>
              </w:rPr>
            </w:pPr>
            <w:r>
              <w:rPr>
                <w:rFonts w:ascii="Arial" w:cs="Arial" w:eastAsia="Arial" w:hAnsi="Arial"/>
                <w:sz w:val="12"/>
                <w:szCs w:val="12"/>
                <w:b w:val="1"/>
                <w:bCs w:val="1"/>
                <w:color w:val="auto"/>
              </w:rPr>
              <w:t>Fair Value</w:t>
            </w:r>
            <w:r>
              <w:rPr>
                <w:rFonts w:ascii="Arial" w:cs="Arial" w:eastAsia="Arial" w:hAnsi="Arial"/>
                <w:sz w:val="17"/>
                <w:szCs w:val="17"/>
                <w:b w:val="1"/>
                <w:bCs w:val="1"/>
                <w:color w:val="auto"/>
                <w:vertAlign w:val="superscript"/>
              </w:rPr>
              <w:t>(9)</w:t>
            </w:r>
          </w:p>
        </w:tc>
        <w:tc>
          <w:tcPr>
            <w:tcW w:w="9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9"/>
              </w:rPr>
              <w:t>of Net Assets</w:t>
            </w:r>
          </w:p>
        </w:tc>
        <w:tc>
          <w:tcPr>
            <w:tcW w:w="0" w:type="dxa"/>
            <w:vAlign w:val="bottom"/>
          </w:tcPr>
          <w:p>
            <w:pPr>
              <w:spacing w:after="0"/>
              <w:rPr>
                <w:sz w:val="1"/>
                <w:szCs w:val="1"/>
                <w:color w:val="auto"/>
              </w:rPr>
            </w:pPr>
          </w:p>
        </w:tc>
      </w:tr>
      <w:tr>
        <w:trPr>
          <w:trHeight w:val="142"/>
        </w:trPr>
        <w:tc>
          <w:tcPr>
            <w:tcW w:w="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Structured</w:t>
            </w:r>
          </w:p>
        </w:tc>
        <w:tc>
          <w:tcPr>
            <w:tcW w:w="164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Products</w:t>
            </w:r>
          </w:p>
        </w:tc>
        <w:tc>
          <w:tcPr>
            <w:tcW w:w="340" w:type="dxa"/>
            <w:vAlign w:val="bottom"/>
            <w:shd w:val="clear" w:color="auto" w:fill="CCEEFF"/>
          </w:tcPr>
          <w:p>
            <w:pPr>
              <w:spacing w:after="0"/>
              <w:rPr>
                <w:sz w:val="12"/>
                <w:szCs w:val="12"/>
                <w:color w:val="auto"/>
              </w:rPr>
            </w:pPr>
          </w:p>
        </w:tc>
        <w:tc>
          <w:tcPr>
            <w:tcW w:w="2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Allegro CLO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2018-1A,</w:t>
            </w:r>
            <w:r>
              <w:rPr>
                <w:rFonts w:ascii="Arial" w:cs="Arial" w:eastAsia="Arial" w:hAnsi="Arial"/>
                <w:sz w:val="19"/>
                <w:szCs w:val="19"/>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6/2031)</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5/26/2022</w:t>
            </w: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+ 2.85%</w:t>
            </w:r>
          </w:p>
        </w:tc>
        <w:tc>
          <w:tcPr>
            <w:tcW w:w="1720" w:type="dxa"/>
            <w:vAlign w:val="bottom"/>
          </w:tcPr>
          <w:p>
            <w:pPr>
              <w:jc w:val="right"/>
              <w:spacing w:after="0"/>
              <w:rPr>
                <w:sz w:val="20"/>
                <w:szCs w:val="20"/>
                <w:color w:val="auto"/>
              </w:rPr>
            </w:pPr>
            <w:r>
              <w:rPr>
                <w:rFonts w:ascii="Arial" w:cs="Arial" w:eastAsia="Arial" w:hAnsi="Arial"/>
                <w:sz w:val="13"/>
                <w:szCs w:val="13"/>
                <w:color w:val="auto"/>
              </w:rPr>
              <w:t>5.36%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856</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American Money Management Corp</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CLO Ltd, Series 2016-18A</w:t>
            </w:r>
            <w:r>
              <w:rPr>
                <w:rFonts w:ascii="Arial" w:cs="Arial" w:eastAsia="Arial" w:hAnsi="Arial"/>
                <w:sz w:val="19"/>
                <w:szCs w:val="19"/>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($1,500 par, due 5/2031)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6/22/2022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+ 3.05%</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1,344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1,302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Ares CLO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2021-59A</w:t>
            </w:r>
            <w:r>
              <w:rPr>
                <w:rFonts w:ascii="Arial" w:cs="Arial" w:eastAsia="Arial" w:hAnsi="Arial"/>
                <w:sz w:val="20"/>
                <w:szCs w:val="20"/>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4/2034)</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6/23/2022</w:t>
            </w: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+ 6.25%</w:t>
            </w:r>
          </w:p>
        </w:tc>
        <w:tc>
          <w:tcPr>
            <w:tcW w:w="1720" w:type="dxa"/>
            <w:vAlign w:val="bottom"/>
          </w:tcPr>
          <w:p>
            <w:pPr>
              <w:jc w:val="right"/>
              <w:spacing w:after="0"/>
              <w:rPr>
                <w:sz w:val="20"/>
                <w:szCs w:val="20"/>
                <w:color w:val="auto"/>
              </w:rPr>
            </w:pPr>
            <w:r>
              <w:rPr>
                <w:rFonts w:ascii="Arial" w:cs="Arial" w:eastAsia="Arial" w:hAnsi="Arial"/>
                <w:sz w:val="13"/>
                <w:szCs w:val="13"/>
                <w:color w:val="auto"/>
              </w:rPr>
              <w:t>9.03%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893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837</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Ares Loan Funding I Ltd,</w:t>
            </w:r>
          </w:p>
        </w:tc>
        <w:tc>
          <w:tcPr>
            <w:tcW w:w="29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w w:val="97"/>
              </w:rPr>
              <w:t>Structured Product ($1,000 par, due 10/2034)</w:t>
            </w:r>
          </w:p>
        </w:tc>
        <w:tc>
          <w:tcPr>
            <w:tcW w:w="8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6/24/2022</w:t>
            </w: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L + 6.70%</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9.21%</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867</w:t>
            </w:r>
          </w:p>
        </w:tc>
        <w:tc>
          <w:tcPr>
            <w:tcW w:w="9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6"/>
        </w:trPr>
        <w:tc>
          <w:tcPr>
            <w:tcW w:w="24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2021-ALFA, Class E</w:t>
            </w:r>
            <w:r>
              <w:rPr>
                <w:rFonts w:ascii="Arial" w:cs="Arial" w:eastAsia="Arial" w:hAnsi="Arial"/>
                <w:sz w:val="20"/>
                <w:szCs w:val="20"/>
                <w:color w:val="auto"/>
                <w:vertAlign w:val="superscript"/>
              </w:rPr>
              <w:t>(3)(4)(10)</w:t>
            </w:r>
          </w:p>
        </w:tc>
        <w:tc>
          <w:tcPr>
            <w:tcW w:w="2920" w:type="dxa"/>
            <w:vAlign w:val="bottom"/>
            <w:gridSpan w:val="2"/>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Bain Capital Credit CLO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2018-1A</w:t>
            </w:r>
            <w:r>
              <w:rPr>
                <w:rFonts w:ascii="Arial" w:cs="Arial" w:eastAsia="Arial" w:hAnsi="Arial"/>
                <w:sz w:val="19"/>
                <w:szCs w:val="19"/>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($500 par, due 4/2031)</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10/15/2020</w:t>
            </w: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+ 5.35%</w:t>
            </w:r>
          </w:p>
        </w:tc>
        <w:tc>
          <w:tcPr>
            <w:tcW w:w="1720" w:type="dxa"/>
            <w:vAlign w:val="bottom"/>
          </w:tcPr>
          <w:p>
            <w:pPr>
              <w:jc w:val="right"/>
              <w:spacing w:after="0"/>
              <w:rPr>
                <w:sz w:val="20"/>
                <w:szCs w:val="20"/>
                <w:color w:val="auto"/>
              </w:rPr>
            </w:pPr>
            <w:r>
              <w:rPr>
                <w:rFonts w:ascii="Arial" w:cs="Arial" w:eastAsia="Arial" w:hAnsi="Arial"/>
                <w:sz w:val="13"/>
                <w:szCs w:val="13"/>
                <w:color w:val="auto"/>
              </w:rPr>
              <w:t>8.13%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381</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Battalion CLO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2021-21A</w:t>
            </w:r>
            <w:r>
              <w:rPr>
                <w:rFonts w:ascii="Arial" w:cs="Arial" w:eastAsia="Arial" w:hAnsi="Arial"/>
                <w:sz w:val="20"/>
                <w:szCs w:val="20"/>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($1,300 par, due 7/2034)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7/13/2022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+ 3.30%</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1,143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1,140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Benefit Street Partners CLO Ltd,</w:t>
            </w:r>
          </w:p>
        </w:tc>
        <w:tc>
          <w:tcPr>
            <w:tcW w:w="2920" w:type="dxa"/>
            <w:vAlign w:val="bottom"/>
            <w:gridSpan w:val="2"/>
            <w:vMerge w:val="restart"/>
          </w:tcPr>
          <w:p>
            <w:pPr>
              <w:ind w:left="340"/>
              <w:spacing w:after="0"/>
              <w:rPr>
                <w:sz w:val="20"/>
                <w:szCs w:val="20"/>
                <w:color w:val="auto"/>
              </w:rPr>
            </w:pPr>
            <w:r>
              <w:rPr>
                <w:rFonts w:ascii="Arial" w:cs="Arial" w:eastAsia="Arial" w:hAnsi="Arial"/>
                <w:sz w:val="13"/>
                <w:szCs w:val="13"/>
                <w:color w:val="auto"/>
              </w:rPr>
              <w:t>Structured Product ($2,500 par, due 7/2034)</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7/13/2022</w:t>
            </w:r>
          </w:p>
        </w:tc>
        <w:tc>
          <w:tcPr>
            <w:tcW w:w="8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auto"/>
              </w:rPr>
              <w:t>L + 3.85%</w:t>
            </w:r>
          </w:p>
        </w:tc>
        <w:tc>
          <w:tcPr>
            <w:tcW w:w="1720" w:type="dxa"/>
            <w:vAlign w:val="bottom"/>
            <w:vMerge w:val="restart"/>
          </w:tcPr>
          <w:p>
            <w:pPr>
              <w:jc w:val="right"/>
              <w:spacing w:after="0"/>
              <w:rPr>
                <w:sz w:val="20"/>
                <w:szCs w:val="20"/>
                <w:color w:val="auto"/>
              </w:rPr>
            </w:pPr>
            <w:r>
              <w:rPr>
                <w:rFonts w:ascii="Arial" w:cs="Arial" w:eastAsia="Arial" w:hAnsi="Arial"/>
                <w:sz w:val="13"/>
                <w:szCs w:val="13"/>
                <w:color w:val="auto"/>
              </w:rPr>
              <w:t>6.56%</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2,157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2,220</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6"/>
        </w:trPr>
        <w:tc>
          <w:tcPr>
            <w:tcW w:w="240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2015-6BR</w:t>
            </w:r>
            <w:r>
              <w:rPr>
                <w:rFonts w:ascii="Arial" w:cs="Arial" w:eastAsia="Arial" w:hAnsi="Arial"/>
                <w:sz w:val="20"/>
                <w:szCs w:val="20"/>
                <w:color w:val="auto"/>
                <w:vertAlign w:val="superscript"/>
              </w:rPr>
              <w:t>(3)(4)(10)</w:t>
            </w:r>
          </w:p>
        </w:tc>
        <w:tc>
          <w:tcPr>
            <w:tcW w:w="29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Benefit Street Partners CLO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2015-8A</w:t>
            </w:r>
            <w:r>
              <w:rPr>
                <w:rFonts w:ascii="Arial" w:cs="Arial" w:eastAsia="Arial" w:hAnsi="Arial"/>
                <w:sz w:val="19"/>
                <w:szCs w:val="19"/>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($1,425 par, due 1/2031)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9/13/2022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+ 2.75%</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1,219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Carlyle Global Market Strategies</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CLO Ltd, Series 2014-4RA</w:t>
            </w:r>
            <w:r>
              <w:rPr>
                <w:rFonts w:ascii="Arial" w:cs="Arial" w:eastAsia="Arial" w:hAnsi="Arial"/>
                <w:sz w:val="20"/>
                <w:szCs w:val="20"/>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7/2030)</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5/26/2022</w:t>
            </w: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+ 2.90%</w:t>
            </w:r>
          </w:p>
        </w:tc>
        <w:tc>
          <w:tcPr>
            <w:tcW w:w="1720" w:type="dxa"/>
            <w:vAlign w:val="bottom"/>
          </w:tcPr>
          <w:p>
            <w:pPr>
              <w:jc w:val="right"/>
              <w:spacing w:after="0"/>
              <w:rPr>
                <w:sz w:val="20"/>
                <w:szCs w:val="20"/>
                <w:color w:val="auto"/>
              </w:rPr>
            </w:pPr>
            <w:r>
              <w:rPr>
                <w:rFonts w:ascii="Arial" w:cs="Arial" w:eastAsia="Arial" w:hAnsi="Arial"/>
                <w:sz w:val="13"/>
                <w:szCs w:val="13"/>
                <w:color w:val="auto"/>
              </w:rPr>
              <w:t>5.41%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850</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Carlyle Global Market Strategies</w:t>
            </w:r>
          </w:p>
        </w:tc>
        <w:tc>
          <w:tcPr>
            <w:tcW w:w="29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Structured Product ($1,550 par, due 4/2031)</w:t>
            </w:r>
          </w:p>
        </w:tc>
        <w:tc>
          <w:tcPr>
            <w:tcW w:w="8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8/11/2020</w:t>
            </w: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L + 5.75%</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8.46%</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1,241</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1,201</w:t>
            </w:r>
          </w:p>
        </w:tc>
        <w:tc>
          <w:tcPr>
            <w:tcW w:w="9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4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CLO Ltd, Series 2018-1A</w:t>
            </w:r>
            <w:r>
              <w:rPr>
                <w:rFonts w:ascii="Arial" w:cs="Arial" w:eastAsia="Arial" w:hAnsi="Arial"/>
                <w:sz w:val="20"/>
                <w:szCs w:val="20"/>
                <w:color w:val="auto"/>
                <w:vertAlign w:val="superscript"/>
              </w:rPr>
              <w:t>(3)(4)(10)</w:t>
            </w:r>
          </w:p>
        </w:tc>
        <w:tc>
          <w:tcPr>
            <w:tcW w:w="2920" w:type="dxa"/>
            <w:vAlign w:val="bottom"/>
            <w:gridSpan w:val="2"/>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Carlyle Global Market Strategies</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CLO Ltd, Series 2017-4A</w:t>
            </w:r>
            <w:r>
              <w:rPr>
                <w:rFonts w:ascii="Arial" w:cs="Arial" w:eastAsia="Arial" w:hAnsi="Arial"/>
                <w:sz w:val="19"/>
                <w:szCs w:val="19"/>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($4,150 par, due 1/2030)</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9/3/2020</w:t>
            </w: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+ 6.15%</w:t>
            </w:r>
          </w:p>
        </w:tc>
        <w:tc>
          <w:tcPr>
            <w:tcW w:w="1720" w:type="dxa"/>
            <w:vAlign w:val="bottom"/>
          </w:tcPr>
          <w:p>
            <w:pPr>
              <w:jc w:val="right"/>
              <w:spacing w:after="0"/>
              <w:rPr>
                <w:sz w:val="20"/>
                <w:szCs w:val="20"/>
                <w:color w:val="auto"/>
              </w:rPr>
            </w:pPr>
            <w:r>
              <w:rPr>
                <w:rFonts w:ascii="Arial" w:cs="Arial" w:eastAsia="Arial" w:hAnsi="Arial"/>
                <w:sz w:val="13"/>
                <w:szCs w:val="13"/>
                <w:color w:val="auto"/>
              </w:rPr>
              <w:t>8.66%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3,498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3,275</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CarVal CLO III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2019-2A</w:t>
            </w:r>
            <w:r>
              <w:rPr>
                <w:rFonts w:ascii="Arial" w:cs="Arial" w:eastAsia="Arial" w:hAnsi="Arial"/>
                <w:sz w:val="20"/>
                <w:szCs w:val="20"/>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($1,000 par, due 7/2032)</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6/30/2022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+ 6.44%</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Cedar Funding CLO Ltd,</w:t>
            </w:r>
          </w:p>
        </w:tc>
        <w:tc>
          <w:tcPr>
            <w:tcW w:w="2920" w:type="dxa"/>
            <w:vAlign w:val="bottom"/>
            <w:gridSpan w:val="2"/>
            <w:vMerge w:val="restart"/>
          </w:tcPr>
          <w:p>
            <w:pPr>
              <w:ind w:left="340"/>
              <w:spacing w:after="0"/>
              <w:rPr>
                <w:sz w:val="20"/>
                <w:szCs w:val="20"/>
                <w:color w:val="auto"/>
              </w:rPr>
            </w:pPr>
            <w:r>
              <w:rPr>
                <w:rFonts w:ascii="Arial" w:cs="Arial" w:eastAsia="Arial" w:hAnsi="Arial"/>
                <w:sz w:val="13"/>
                <w:szCs w:val="13"/>
                <w:color w:val="auto"/>
              </w:rPr>
              <w:t>Structured Product ($1,000 par, due 1/2031)</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7/21/2022</w:t>
            </w:r>
          </w:p>
        </w:tc>
        <w:tc>
          <w:tcPr>
            <w:tcW w:w="8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auto"/>
              </w:rPr>
              <w:t>L + 4.55%</w:t>
            </w:r>
          </w:p>
        </w:tc>
        <w:tc>
          <w:tcPr>
            <w:tcW w:w="1720" w:type="dxa"/>
            <w:vAlign w:val="bottom"/>
            <w:vMerge w:val="restart"/>
          </w:tcPr>
          <w:p>
            <w:pPr>
              <w:jc w:val="right"/>
              <w:spacing w:after="0"/>
              <w:rPr>
                <w:sz w:val="20"/>
                <w:szCs w:val="20"/>
                <w:color w:val="auto"/>
              </w:rPr>
            </w:pPr>
            <w:r>
              <w:rPr>
                <w:rFonts w:ascii="Arial" w:cs="Arial" w:eastAsia="Arial" w:hAnsi="Arial"/>
                <w:sz w:val="13"/>
                <w:szCs w:val="13"/>
                <w:color w:val="auto"/>
              </w:rPr>
              <w:t>7.26%</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851</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784</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5"/>
        </w:trPr>
        <w:tc>
          <w:tcPr>
            <w:tcW w:w="240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2018-7A</w:t>
            </w:r>
            <w:r>
              <w:rPr>
                <w:rFonts w:ascii="Arial" w:cs="Arial" w:eastAsia="Arial" w:hAnsi="Arial"/>
                <w:sz w:val="20"/>
                <w:szCs w:val="20"/>
                <w:color w:val="auto"/>
                <w:vertAlign w:val="superscript"/>
              </w:rPr>
              <w:t>(3)(4)(10)</w:t>
            </w:r>
          </w:p>
        </w:tc>
        <w:tc>
          <w:tcPr>
            <w:tcW w:w="29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CIFC CLO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2018-3A</w:t>
            </w:r>
            <w:r>
              <w:rPr>
                <w:rFonts w:ascii="Arial" w:cs="Arial" w:eastAsia="Arial" w:hAnsi="Arial"/>
                <w:sz w:val="19"/>
                <w:szCs w:val="19"/>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($1,000 par, due 7/2031)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6/16/2022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+ 5.50%</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CIFC CLO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2021-4A</w:t>
            </w:r>
            <w:r>
              <w:rPr>
                <w:rFonts w:ascii="Arial" w:cs="Arial" w:eastAsia="Arial" w:hAnsi="Arial"/>
                <w:sz w:val="20"/>
                <w:szCs w:val="20"/>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7/2033)</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7/14/2022</w:t>
            </w: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+ 6.00%</w:t>
            </w:r>
          </w:p>
        </w:tc>
        <w:tc>
          <w:tcPr>
            <w:tcW w:w="1720" w:type="dxa"/>
            <w:vAlign w:val="bottom"/>
          </w:tcPr>
          <w:p>
            <w:pPr>
              <w:jc w:val="right"/>
              <w:spacing w:after="0"/>
              <w:rPr>
                <w:sz w:val="20"/>
                <w:szCs w:val="20"/>
                <w:color w:val="auto"/>
              </w:rPr>
            </w:pPr>
            <w:r>
              <w:rPr>
                <w:rFonts w:ascii="Arial" w:cs="Arial" w:eastAsia="Arial" w:hAnsi="Arial"/>
                <w:sz w:val="13"/>
                <w:szCs w:val="13"/>
                <w:color w:val="auto"/>
              </w:rPr>
              <w:t>8.51%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850</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Crown Point CLO Ltd,</w:t>
            </w:r>
          </w:p>
        </w:tc>
        <w:tc>
          <w:tcPr>
            <w:tcW w:w="29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Structured Product ($1,000 par, due 7/2034)</w:t>
            </w:r>
          </w:p>
        </w:tc>
        <w:tc>
          <w:tcPr>
            <w:tcW w:w="8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6/14/2022</w:t>
            </w: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L + 6.85%</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899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835</w:t>
            </w:r>
          </w:p>
        </w:tc>
        <w:tc>
          <w:tcPr>
            <w:tcW w:w="9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6"/>
        </w:trPr>
        <w:tc>
          <w:tcPr>
            <w:tcW w:w="24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2021-10A</w:t>
            </w:r>
            <w:r>
              <w:rPr>
                <w:rFonts w:ascii="Arial" w:cs="Arial" w:eastAsia="Arial" w:hAnsi="Arial"/>
                <w:sz w:val="20"/>
                <w:szCs w:val="20"/>
                <w:color w:val="auto"/>
                <w:vertAlign w:val="superscript"/>
              </w:rPr>
              <w:t>(3)(4)(10)</w:t>
            </w:r>
          </w:p>
        </w:tc>
        <w:tc>
          <w:tcPr>
            <w:tcW w:w="2920" w:type="dxa"/>
            <w:vAlign w:val="bottom"/>
            <w:gridSpan w:val="2"/>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Dryden Senior Loan Fund,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2018-55A</w:t>
            </w:r>
            <w:r>
              <w:rPr>
                <w:rFonts w:ascii="Arial" w:cs="Arial" w:eastAsia="Arial" w:hAnsi="Arial"/>
                <w:sz w:val="19"/>
                <w:szCs w:val="19"/>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4/2031)</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7/25/2022</w:t>
            </w: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+ 2.85%</w:t>
            </w:r>
          </w:p>
        </w:tc>
        <w:tc>
          <w:tcPr>
            <w:tcW w:w="1720" w:type="dxa"/>
            <w:vAlign w:val="bottom"/>
          </w:tcPr>
          <w:p>
            <w:pPr>
              <w:jc w:val="right"/>
              <w:spacing w:after="0"/>
              <w:rPr>
                <w:sz w:val="20"/>
                <w:szCs w:val="20"/>
                <w:color w:val="auto"/>
              </w:rPr>
            </w:pPr>
            <w:r>
              <w:rPr>
                <w:rFonts w:ascii="Arial" w:cs="Arial" w:eastAsia="Arial" w:hAnsi="Arial"/>
                <w:sz w:val="13"/>
                <w:szCs w:val="13"/>
                <w:color w:val="auto"/>
              </w:rPr>
              <w:t>5.36%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893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860</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Dryden Senior Loan Fund,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2020-86A</w:t>
            </w:r>
            <w:r>
              <w:rPr>
                <w:rFonts w:ascii="Arial" w:cs="Arial" w:eastAsia="Arial" w:hAnsi="Arial"/>
                <w:sz w:val="19"/>
                <w:szCs w:val="19"/>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($1,500 par, due 7/2034)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8/17/2022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+ 6.50%</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1,230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Eaton CLO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2015-1A</w:t>
            </w:r>
            <w:r>
              <w:rPr>
                <w:rFonts w:ascii="Arial" w:cs="Arial" w:eastAsia="Arial" w:hAnsi="Arial"/>
                <w:sz w:val="20"/>
                <w:szCs w:val="20"/>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($2,500 par, due 1/2030)</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6/23/2022</w:t>
            </w: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+ 2.50%</w:t>
            </w:r>
          </w:p>
        </w:tc>
        <w:tc>
          <w:tcPr>
            <w:tcW w:w="1720" w:type="dxa"/>
            <w:vAlign w:val="bottom"/>
          </w:tcPr>
          <w:p>
            <w:pPr>
              <w:jc w:val="right"/>
              <w:spacing w:after="0"/>
              <w:rPr>
                <w:sz w:val="20"/>
                <w:szCs w:val="20"/>
                <w:color w:val="auto"/>
              </w:rPr>
            </w:pPr>
            <w:r>
              <w:rPr>
                <w:rFonts w:ascii="Arial" w:cs="Arial" w:eastAsia="Arial" w:hAnsi="Arial"/>
                <w:sz w:val="13"/>
                <w:szCs w:val="13"/>
                <w:color w:val="auto"/>
              </w:rPr>
              <w:t>5.21%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2,181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2,172</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08"/>
        </w:trPr>
        <w:tc>
          <w:tcPr>
            <w:tcW w:w="24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Eaton CLO Ltd,</w:t>
            </w:r>
          </w:p>
        </w:tc>
        <w:tc>
          <w:tcPr>
            <w:tcW w:w="29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w w:val="97"/>
              </w:rPr>
              <w:t>Structured Product ($1,000 par, due 10/2034)</w:t>
            </w:r>
          </w:p>
        </w:tc>
        <w:tc>
          <w:tcPr>
            <w:tcW w:w="8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8/11/2022</w:t>
            </w: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L + 6.25%</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928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837</w:t>
            </w:r>
          </w:p>
        </w:tc>
        <w:tc>
          <w:tcPr>
            <w:tcW w:w="9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4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2020-1A</w:t>
            </w:r>
            <w:r>
              <w:rPr>
                <w:rFonts w:ascii="Arial" w:cs="Arial" w:eastAsia="Arial" w:hAnsi="Arial"/>
                <w:sz w:val="20"/>
                <w:szCs w:val="20"/>
                <w:color w:val="auto"/>
                <w:vertAlign w:val="superscript"/>
              </w:rPr>
              <w:t>(3)(4)(10)</w:t>
            </w:r>
          </w:p>
        </w:tc>
        <w:tc>
          <w:tcPr>
            <w:tcW w:w="2920" w:type="dxa"/>
            <w:vAlign w:val="bottom"/>
            <w:gridSpan w:val="2"/>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GoldenTree CLO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2020-7A</w:t>
            </w:r>
            <w:r>
              <w:rPr>
                <w:rFonts w:ascii="Arial" w:cs="Arial" w:eastAsia="Arial" w:hAnsi="Arial"/>
                <w:sz w:val="19"/>
                <w:szCs w:val="19"/>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4/2034)</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6/17/2022</w:t>
            </w: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+ 6.50%</w:t>
            </w:r>
          </w:p>
        </w:tc>
        <w:tc>
          <w:tcPr>
            <w:tcW w:w="1720" w:type="dxa"/>
            <w:vAlign w:val="bottom"/>
          </w:tcPr>
          <w:p>
            <w:pPr>
              <w:jc w:val="right"/>
              <w:spacing w:after="0"/>
              <w:rPr>
                <w:sz w:val="20"/>
                <w:szCs w:val="20"/>
                <w:color w:val="auto"/>
              </w:rPr>
            </w:pPr>
            <w:r>
              <w:rPr>
                <w:rFonts w:ascii="Arial" w:cs="Arial" w:eastAsia="Arial" w:hAnsi="Arial"/>
                <w:sz w:val="13"/>
                <w:szCs w:val="13"/>
                <w:color w:val="auto"/>
              </w:rPr>
              <w:t>9.21%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871</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Gulf Stream Meridian,</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2021-4A</w:t>
            </w:r>
            <w:r>
              <w:rPr>
                <w:rFonts w:ascii="Arial" w:cs="Arial" w:eastAsia="Arial" w:hAnsi="Arial"/>
                <w:sz w:val="20"/>
                <w:szCs w:val="20"/>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($1,015 par, due 7/2036)</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6/3/2022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+ 6.35%</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838</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Gulf Stream Meridian,</w:t>
            </w:r>
          </w:p>
        </w:tc>
        <w:tc>
          <w:tcPr>
            <w:tcW w:w="2920" w:type="dxa"/>
            <w:vAlign w:val="bottom"/>
            <w:gridSpan w:val="2"/>
            <w:vMerge w:val="restart"/>
          </w:tcPr>
          <w:p>
            <w:pPr>
              <w:ind w:left="340"/>
              <w:spacing w:after="0"/>
              <w:rPr>
                <w:sz w:val="20"/>
                <w:szCs w:val="20"/>
                <w:color w:val="auto"/>
              </w:rPr>
            </w:pPr>
            <w:r>
              <w:rPr>
                <w:rFonts w:ascii="Arial" w:cs="Arial" w:eastAsia="Arial" w:hAnsi="Arial"/>
                <w:sz w:val="13"/>
                <w:szCs w:val="13"/>
                <w:color w:val="auto"/>
              </w:rPr>
              <w:t>Structured Product ($2,000 par, due 1/2037)</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9/12/2022</w:t>
            </w:r>
          </w:p>
        </w:tc>
        <w:tc>
          <w:tcPr>
            <w:tcW w:w="8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auto"/>
              </w:rPr>
              <w:t>L + 6.36%</w:t>
            </w:r>
          </w:p>
        </w:tc>
        <w:tc>
          <w:tcPr>
            <w:tcW w:w="1720" w:type="dxa"/>
            <w:vAlign w:val="bottom"/>
            <w:vMerge w:val="restart"/>
          </w:tcPr>
          <w:p>
            <w:pPr>
              <w:jc w:val="right"/>
              <w:spacing w:after="0"/>
              <w:rPr>
                <w:sz w:val="20"/>
                <w:szCs w:val="20"/>
                <w:color w:val="auto"/>
              </w:rPr>
            </w:pPr>
            <w:r>
              <w:rPr>
                <w:rFonts w:ascii="Arial" w:cs="Arial" w:eastAsia="Arial" w:hAnsi="Arial"/>
                <w:sz w:val="13"/>
                <w:szCs w:val="13"/>
                <w:color w:val="auto"/>
              </w:rPr>
              <w:t>8.87%</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1,780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1,654</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40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2021-6A</w:t>
            </w:r>
            <w:r>
              <w:rPr>
                <w:rFonts w:ascii="Arial" w:cs="Arial" w:eastAsia="Arial" w:hAnsi="Arial"/>
                <w:sz w:val="20"/>
                <w:szCs w:val="20"/>
                <w:color w:val="auto"/>
                <w:vertAlign w:val="superscript"/>
              </w:rPr>
              <w:t>(3)(4)(10)</w:t>
            </w:r>
          </w:p>
        </w:tc>
        <w:tc>
          <w:tcPr>
            <w:tcW w:w="29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Jefferson Mill CLO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2015-1A</w:t>
            </w:r>
            <w:r>
              <w:rPr>
                <w:rFonts w:ascii="Arial" w:cs="Arial" w:eastAsia="Arial" w:hAnsi="Arial"/>
                <w:sz w:val="19"/>
                <w:szCs w:val="19"/>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97"/>
              </w:rPr>
              <w:t>Structured Product ($1,000 par, due 10/2031)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5/23/2022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+ 3.55%</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842</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KKR CLO Ltd, 49A</w:t>
            </w:r>
            <w:r>
              <w:rPr>
                <w:rFonts w:ascii="Arial" w:cs="Arial" w:eastAsia="Arial" w:hAnsi="Arial"/>
                <w:sz w:val="17"/>
                <w:szCs w:val="17"/>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7/2035)</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6/2/2022</w:t>
            </w:r>
          </w:p>
        </w:tc>
        <w:tc>
          <w:tcPr>
            <w:tcW w:w="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+ 8.00%</w:t>
            </w:r>
          </w:p>
        </w:tc>
        <w:tc>
          <w:tcPr>
            <w:tcW w:w="1720" w:type="dxa"/>
            <w:vAlign w:val="bottom"/>
          </w:tcPr>
          <w:p>
            <w:pPr>
              <w:jc w:val="right"/>
              <w:spacing w:after="0"/>
              <w:rPr>
                <w:sz w:val="20"/>
                <w:szCs w:val="20"/>
                <w:color w:val="auto"/>
              </w:rPr>
            </w:pPr>
            <w:r>
              <w:rPr>
                <w:rFonts w:ascii="Arial" w:cs="Arial" w:eastAsia="Arial" w:hAnsi="Arial"/>
                <w:sz w:val="13"/>
                <w:szCs w:val="13"/>
                <w:color w:val="auto"/>
              </w:rPr>
              <w:t>10.17%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961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917</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Madison Park CLO,</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2018-28A</w:t>
            </w:r>
            <w:r>
              <w:rPr>
                <w:rFonts w:ascii="Arial" w:cs="Arial" w:eastAsia="Arial" w:hAnsi="Arial"/>
                <w:sz w:val="20"/>
                <w:szCs w:val="20"/>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($1,000 par, due 7/2030)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6/28/2022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+ 5.25%</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Magnetite CLO Ltd,</w:t>
            </w:r>
          </w:p>
        </w:tc>
        <w:tc>
          <w:tcPr>
            <w:tcW w:w="2920" w:type="dxa"/>
            <w:vAlign w:val="bottom"/>
            <w:gridSpan w:val="2"/>
            <w:vMerge w:val="restart"/>
          </w:tcPr>
          <w:p>
            <w:pPr>
              <w:ind w:left="340"/>
              <w:spacing w:after="0"/>
              <w:rPr>
                <w:sz w:val="20"/>
                <w:szCs w:val="20"/>
                <w:color w:val="auto"/>
              </w:rPr>
            </w:pPr>
            <w:r>
              <w:rPr>
                <w:rFonts w:ascii="Arial" w:cs="Arial" w:eastAsia="Arial" w:hAnsi="Arial"/>
                <w:sz w:val="13"/>
                <w:szCs w:val="13"/>
                <w:color w:val="auto"/>
                <w:w w:val="97"/>
              </w:rPr>
              <w:t>Structured Product ($1,000 par, due 10/2034)</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6/13/2022</w:t>
            </w:r>
          </w:p>
        </w:tc>
        <w:tc>
          <w:tcPr>
            <w:tcW w:w="8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auto"/>
              </w:rPr>
              <w:t>L + 6.20%</w:t>
            </w:r>
          </w:p>
        </w:tc>
        <w:tc>
          <w:tcPr>
            <w:tcW w:w="1720" w:type="dxa"/>
            <w:vAlign w:val="bottom"/>
            <w:vMerge w:val="restart"/>
          </w:tcPr>
          <w:p>
            <w:pPr>
              <w:jc w:val="right"/>
              <w:spacing w:after="0"/>
              <w:rPr>
                <w:sz w:val="20"/>
                <w:szCs w:val="20"/>
                <w:color w:val="auto"/>
              </w:rPr>
            </w:pPr>
            <w:r>
              <w:rPr>
                <w:rFonts w:ascii="Arial" w:cs="Arial" w:eastAsia="Arial" w:hAnsi="Arial"/>
                <w:sz w:val="13"/>
                <w:szCs w:val="13"/>
                <w:color w:val="auto"/>
              </w:rPr>
              <w:t>8.98%</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916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864</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40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2021-30A</w:t>
            </w:r>
            <w:r>
              <w:rPr>
                <w:rFonts w:ascii="Arial" w:cs="Arial" w:eastAsia="Arial" w:hAnsi="Arial"/>
                <w:sz w:val="20"/>
                <w:szCs w:val="20"/>
                <w:color w:val="auto"/>
                <w:vertAlign w:val="superscript"/>
              </w:rPr>
              <w:t>(3)(4)(10)</w:t>
            </w:r>
          </w:p>
        </w:tc>
        <w:tc>
          <w:tcPr>
            <w:tcW w:w="29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MidOcean Credit CLO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2016-6A</w:t>
            </w:r>
            <w:r>
              <w:rPr>
                <w:rFonts w:ascii="Arial" w:cs="Arial" w:eastAsia="Arial" w:hAnsi="Arial"/>
                <w:sz w:val="19"/>
                <w:szCs w:val="19"/>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($3,500 par, due 4/2033)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5/23/2022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+ 3.52%</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3,145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2,919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MidOcean Credit CLO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2018-9A</w:t>
            </w:r>
            <w:r>
              <w:rPr>
                <w:rFonts w:ascii="Arial" w:cs="Arial" w:eastAsia="Arial" w:hAnsi="Arial"/>
                <w:sz w:val="20"/>
                <w:szCs w:val="20"/>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($1,100 par, due 7/2031)</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6/1/2022</w:t>
            </w: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+ 6.05%</w:t>
            </w:r>
          </w:p>
        </w:tc>
        <w:tc>
          <w:tcPr>
            <w:tcW w:w="1720" w:type="dxa"/>
            <w:vAlign w:val="bottom"/>
          </w:tcPr>
          <w:p>
            <w:pPr>
              <w:jc w:val="right"/>
              <w:spacing w:after="0"/>
              <w:rPr>
                <w:sz w:val="20"/>
                <w:szCs w:val="20"/>
                <w:color w:val="auto"/>
              </w:rPr>
            </w:pPr>
            <w:r>
              <w:rPr>
                <w:rFonts w:ascii="Arial" w:cs="Arial" w:eastAsia="Arial" w:hAnsi="Arial"/>
                <w:sz w:val="13"/>
                <w:szCs w:val="13"/>
                <w:color w:val="auto"/>
              </w:rPr>
              <w:t>8.76%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818</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08"/>
        </w:trPr>
        <w:tc>
          <w:tcPr>
            <w:tcW w:w="24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Octagon 57 LLC,</w:t>
            </w:r>
          </w:p>
        </w:tc>
        <w:tc>
          <w:tcPr>
            <w:tcW w:w="29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w w:val="97"/>
              </w:rPr>
              <w:t>Structured Product ($1,000 par, due 10/2034)</w:t>
            </w:r>
          </w:p>
        </w:tc>
        <w:tc>
          <w:tcPr>
            <w:tcW w:w="8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5/24/2022</w:t>
            </w: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L + 6.60%</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9.11%</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852</w:t>
            </w:r>
          </w:p>
        </w:tc>
        <w:tc>
          <w:tcPr>
            <w:tcW w:w="9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5"/>
        </w:trPr>
        <w:tc>
          <w:tcPr>
            <w:tcW w:w="24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2021-1A</w:t>
            </w:r>
            <w:r>
              <w:rPr>
                <w:rFonts w:ascii="Arial" w:cs="Arial" w:eastAsia="Arial" w:hAnsi="Arial"/>
                <w:sz w:val="20"/>
                <w:szCs w:val="20"/>
                <w:color w:val="auto"/>
                <w:vertAlign w:val="superscript"/>
              </w:rPr>
              <w:t>(3)(4)(10)</w:t>
            </w:r>
          </w:p>
        </w:tc>
        <w:tc>
          <w:tcPr>
            <w:tcW w:w="2920" w:type="dxa"/>
            <w:vAlign w:val="bottom"/>
            <w:gridSpan w:val="2"/>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Octagon Investment Partners 18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2018-18A</w:t>
            </w:r>
            <w:r>
              <w:rPr>
                <w:rFonts w:ascii="Arial" w:cs="Arial" w:eastAsia="Arial" w:hAnsi="Arial"/>
                <w:sz w:val="19"/>
                <w:szCs w:val="19"/>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4/2031)</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7/26/2022</w:t>
            </w: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+ 2.70%</w:t>
            </w:r>
          </w:p>
        </w:tc>
        <w:tc>
          <w:tcPr>
            <w:tcW w:w="1720" w:type="dxa"/>
            <w:vAlign w:val="bottom"/>
          </w:tcPr>
          <w:p>
            <w:pPr>
              <w:jc w:val="right"/>
              <w:spacing w:after="0"/>
              <w:rPr>
                <w:sz w:val="20"/>
                <w:szCs w:val="20"/>
                <w:color w:val="auto"/>
              </w:rPr>
            </w:pPr>
            <w:r>
              <w:rPr>
                <w:rFonts w:ascii="Arial" w:cs="Arial" w:eastAsia="Arial" w:hAnsi="Arial"/>
                <w:sz w:val="13"/>
                <w:szCs w:val="13"/>
                <w:color w:val="auto"/>
              </w:rPr>
              <w:t>5.44%</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856</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Octagon Investment Partners 38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2018-1A</w:t>
            </w:r>
            <w:r>
              <w:rPr>
                <w:rFonts w:ascii="Arial" w:cs="Arial" w:eastAsia="Arial" w:hAnsi="Arial"/>
                <w:sz w:val="20"/>
                <w:szCs w:val="20"/>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($2,800 par, due 7/2030)</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9/20/2022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+ 2.95%</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2,438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2,430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Park Avenue Institutional Advisers</w:t>
            </w:r>
          </w:p>
        </w:tc>
        <w:tc>
          <w:tcPr>
            <w:tcW w:w="2920" w:type="dxa"/>
            <w:vAlign w:val="bottom"/>
            <w:gridSpan w:val="2"/>
            <w:vMerge w:val="restart"/>
          </w:tcPr>
          <w:p>
            <w:pPr>
              <w:ind w:left="340"/>
              <w:spacing w:after="0"/>
              <w:rPr>
                <w:sz w:val="20"/>
                <w:szCs w:val="20"/>
                <w:color w:val="auto"/>
              </w:rPr>
            </w:pPr>
            <w:r>
              <w:rPr>
                <w:rFonts w:ascii="Arial" w:cs="Arial" w:eastAsia="Arial" w:hAnsi="Arial"/>
                <w:sz w:val="13"/>
                <w:szCs w:val="13"/>
                <w:color w:val="auto"/>
                <w:w w:val="97"/>
              </w:rPr>
              <w:t>Structured Product ($1,000 par, due 10/2031)</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9/23/2022</w:t>
            </w:r>
          </w:p>
        </w:tc>
        <w:tc>
          <w:tcPr>
            <w:tcW w:w="8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auto"/>
              </w:rPr>
              <w:t>L + 3.33%</w:t>
            </w:r>
          </w:p>
        </w:tc>
        <w:tc>
          <w:tcPr>
            <w:tcW w:w="1720" w:type="dxa"/>
            <w:vAlign w:val="bottom"/>
            <w:vMerge w:val="restart"/>
          </w:tcPr>
          <w:p>
            <w:pPr>
              <w:jc w:val="right"/>
              <w:spacing w:after="0"/>
              <w:rPr>
                <w:sz w:val="20"/>
                <w:szCs w:val="20"/>
                <w:color w:val="auto"/>
              </w:rPr>
            </w:pPr>
            <w:r>
              <w:rPr>
                <w:rFonts w:ascii="Arial" w:cs="Arial" w:eastAsia="Arial" w:hAnsi="Arial"/>
                <w:sz w:val="13"/>
                <w:szCs w:val="13"/>
                <w:color w:val="auto"/>
              </w:rPr>
              <w:t>6.04%</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857</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856</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6"/>
        </w:trPr>
        <w:tc>
          <w:tcPr>
            <w:tcW w:w="240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CLO Ltd, Series 2018-1A</w:t>
            </w:r>
            <w:r>
              <w:rPr>
                <w:rFonts w:ascii="Arial" w:cs="Arial" w:eastAsia="Arial" w:hAnsi="Arial"/>
                <w:sz w:val="20"/>
                <w:szCs w:val="20"/>
                <w:color w:val="auto"/>
                <w:vertAlign w:val="superscript"/>
              </w:rPr>
              <w:t>(3)(4)(10)</w:t>
            </w:r>
          </w:p>
        </w:tc>
        <w:tc>
          <w:tcPr>
            <w:tcW w:w="29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Pikes Peak CLO,</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2021-9A</w:t>
            </w:r>
            <w:r>
              <w:rPr>
                <w:rFonts w:ascii="Arial" w:cs="Arial" w:eastAsia="Arial" w:hAnsi="Arial"/>
                <w:sz w:val="19"/>
                <w:szCs w:val="19"/>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97"/>
              </w:rPr>
              <w:t>Structured Product ($2,000 par, due 10/2034)</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8/31/2022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+ 6.58%</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1,778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1,679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2"/>
                <w:szCs w:val="12"/>
                <w:color w:val="auto"/>
              </w:rPr>
              <w:t>RR Ltd, Series 2020-8A</w:t>
            </w:r>
            <w:r>
              <w:rPr>
                <w:rFonts w:ascii="Arial" w:cs="Arial" w:eastAsia="Arial" w:hAnsi="Arial"/>
                <w:sz w:val="17"/>
                <w:szCs w:val="17"/>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4/2033)</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8/22/2022</w:t>
            </w:r>
          </w:p>
        </w:tc>
        <w:tc>
          <w:tcPr>
            <w:tcW w:w="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+ 6.40%</w:t>
            </w:r>
          </w:p>
        </w:tc>
        <w:tc>
          <w:tcPr>
            <w:tcW w:w="1720" w:type="dxa"/>
            <w:vAlign w:val="bottom"/>
          </w:tcPr>
          <w:p>
            <w:pPr>
              <w:jc w:val="right"/>
              <w:spacing w:after="0"/>
              <w:rPr>
                <w:sz w:val="20"/>
                <w:szCs w:val="20"/>
                <w:color w:val="auto"/>
              </w:rPr>
            </w:pPr>
            <w:r>
              <w:rPr>
                <w:rFonts w:ascii="Arial" w:cs="Arial" w:eastAsia="Arial" w:hAnsi="Arial"/>
                <w:sz w:val="13"/>
                <w:szCs w:val="13"/>
                <w:color w:val="auto"/>
              </w:rPr>
              <w:t>8.91%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862</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Shackelton CLO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2015-7RA</w:t>
            </w:r>
            <w:r>
              <w:rPr>
                <w:rFonts w:ascii="Arial" w:cs="Arial" w:eastAsia="Arial" w:hAnsi="Arial"/>
                <w:sz w:val="19"/>
                <w:szCs w:val="19"/>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($1,000 par, due 7/2031)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5/23/2022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+ 3.33%</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888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845</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Signal Peak CLO LLC,</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2018-5A</w:t>
            </w:r>
            <w:r>
              <w:rPr>
                <w:rFonts w:ascii="Arial" w:cs="Arial" w:eastAsia="Arial" w:hAnsi="Arial"/>
                <w:sz w:val="20"/>
                <w:szCs w:val="20"/>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4/2031)</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8/9/2022</w:t>
            </w:r>
          </w:p>
        </w:tc>
        <w:tc>
          <w:tcPr>
            <w:tcW w:w="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+ 5.65%</w:t>
            </w:r>
          </w:p>
        </w:tc>
        <w:tc>
          <w:tcPr>
            <w:tcW w:w="1720" w:type="dxa"/>
            <w:vAlign w:val="bottom"/>
          </w:tcPr>
          <w:p>
            <w:pPr>
              <w:jc w:val="right"/>
              <w:spacing w:after="0"/>
              <w:rPr>
                <w:sz w:val="20"/>
                <w:szCs w:val="20"/>
                <w:color w:val="auto"/>
              </w:rPr>
            </w:pPr>
            <w:r>
              <w:rPr>
                <w:rFonts w:ascii="Arial" w:cs="Arial" w:eastAsia="Arial" w:hAnsi="Arial"/>
                <w:sz w:val="13"/>
                <w:szCs w:val="13"/>
                <w:color w:val="auto"/>
              </w:rPr>
              <w:t>8.43%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888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829</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shd w:val="clear" w:color="auto" w:fill="CCEEFF"/>
          </w:tcPr>
          <w:p>
            <w:pPr>
              <w:spacing w:after="0" w:line="108" w:lineRule="exact"/>
              <w:rPr>
                <w:sz w:val="20"/>
                <w:szCs w:val="20"/>
                <w:color w:val="auto"/>
              </w:rPr>
            </w:pPr>
            <w:r>
              <w:rPr>
                <w:rFonts w:ascii="Arial" w:cs="Arial" w:eastAsia="Arial" w:hAnsi="Arial"/>
                <w:sz w:val="12"/>
                <w:szCs w:val="12"/>
                <w:color w:val="auto"/>
              </w:rPr>
              <w:t>Southwick Park CLO Ltd,</w:t>
            </w:r>
          </w:p>
        </w:tc>
        <w:tc>
          <w:tcPr>
            <w:tcW w:w="29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Structured Product ($1,000 par, due 7/2032)</w:t>
            </w:r>
          </w:p>
        </w:tc>
        <w:tc>
          <w:tcPr>
            <w:tcW w:w="82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5/25/2022</w:t>
            </w: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ind w:left="80"/>
              <w:spacing w:after="0"/>
              <w:rPr>
                <w:sz w:val="20"/>
                <w:szCs w:val="20"/>
                <w:color w:val="auto"/>
              </w:rPr>
            </w:pPr>
            <w:r>
              <w:rPr>
                <w:rFonts w:ascii="Arial" w:cs="Arial" w:eastAsia="Arial" w:hAnsi="Arial"/>
                <w:sz w:val="13"/>
                <w:szCs w:val="13"/>
                <w:color w:val="auto"/>
              </w:rPr>
              <w:t>L + 6.25%</w:t>
            </w: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843</w:t>
            </w:r>
          </w:p>
        </w:tc>
        <w:tc>
          <w:tcPr>
            <w:tcW w:w="9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6"/>
        </w:trPr>
        <w:tc>
          <w:tcPr>
            <w:tcW w:w="240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3"/>
                <w:szCs w:val="13"/>
                <w:color w:val="auto"/>
              </w:rPr>
              <w:t>Series 2019-4A</w:t>
            </w:r>
            <w:r>
              <w:rPr>
                <w:rFonts w:ascii="Arial" w:cs="Arial" w:eastAsia="Arial" w:hAnsi="Arial"/>
                <w:sz w:val="20"/>
                <w:szCs w:val="20"/>
                <w:color w:val="auto"/>
                <w:vertAlign w:val="superscript"/>
              </w:rPr>
              <w:t>(3)(4)(10)</w:t>
            </w:r>
          </w:p>
        </w:tc>
        <w:tc>
          <w:tcPr>
            <w:tcW w:w="2920" w:type="dxa"/>
            <w:vAlign w:val="bottom"/>
            <w:gridSpan w:val="2"/>
            <w:vMerge w:val="continue"/>
            <w:shd w:val="clear" w:color="auto" w:fill="CCEEFF"/>
          </w:tcPr>
          <w:p>
            <w:pPr>
              <w:spacing w:after="0"/>
              <w:rPr>
                <w:sz w:val="15"/>
                <w:szCs w:val="15"/>
                <w:color w:val="auto"/>
              </w:rPr>
            </w:pPr>
          </w:p>
        </w:tc>
        <w:tc>
          <w:tcPr>
            <w:tcW w:w="820" w:type="dxa"/>
            <w:vAlign w:val="bottom"/>
            <w:gridSpan w:val="3"/>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Stewart Park CLO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tcPr>
          <w:p>
            <w:pPr>
              <w:ind w:left="140"/>
              <w:spacing w:after="0" w:line="166" w:lineRule="exact"/>
              <w:rPr>
                <w:sz w:val="20"/>
                <w:szCs w:val="20"/>
                <w:color w:val="auto"/>
              </w:rPr>
            </w:pPr>
            <w:r>
              <w:rPr>
                <w:rFonts w:ascii="Arial" w:cs="Arial" w:eastAsia="Arial" w:hAnsi="Arial"/>
                <w:sz w:val="13"/>
                <w:szCs w:val="13"/>
                <w:color w:val="auto"/>
              </w:rPr>
              <w:t>Series 2015-1A</w:t>
            </w:r>
            <w:r>
              <w:rPr>
                <w:rFonts w:ascii="Arial" w:cs="Arial" w:eastAsia="Arial" w:hAnsi="Arial"/>
                <w:sz w:val="19"/>
                <w:szCs w:val="19"/>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($1,000 par, due 1/2030)</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7/25/2022</w:t>
            </w: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+ 2.60%</w:t>
            </w:r>
          </w:p>
        </w:tc>
        <w:tc>
          <w:tcPr>
            <w:tcW w:w="1720" w:type="dxa"/>
            <w:vAlign w:val="bottom"/>
          </w:tcPr>
          <w:p>
            <w:pPr>
              <w:jc w:val="right"/>
              <w:spacing w:after="0"/>
              <w:rPr>
                <w:sz w:val="20"/>
                <w:szCs w:val="20"/>
                <w:color w:val="auto"/>
              </w:rPr>
            </w:pPr>
            <w:r>
              <w:rPr>
                <w:rFonts w:ascii="Arial" w:cs="Arial" w:eastAsia="Arial" w:hAnsi="Arial"/>
                <w:sz w:val="13"/>
                <w:szCs w:val="13"/>
                <w:color w:val="auto"/>
              </w:rPr>
              <w:t>5.11%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889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865</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Voya CLO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00" w:type="dxa"/>
            <w:vAlign w:val="bottom"/>
            <w:gridSpan w:val="2"/>
            <w:shd w:val="clear" w:color="auto" w:fill="CCEEFF"/>
          </w:tcPr>
          <w:p>
            <w:pPr>
              <w:ind w:left="140"/>
              <w:spacing w:after="0" w:line="180" w:lineRule="exact"/>
              <w:rPr>
                <w:sz w:val="20"/>
                <w:szCs w:val="20"/>
                <w:color w:val="auto"/>
              </w:rPr>
            </w:pPr>
            <w:r>
              <w:rPr>
                <w:rFonts w:ascii="Arial" w:cs="Arial" w:eastAsia="Arial" w:hAnsi="Arial"/>
                <w:sz w:val="13"/>
                <w:szCs w:val="13"/>
                <w:color w:val="auto"/>
              </w:rPr>
              <w:t>Series 2018-3A</w:t>
            </w:r>
            <w:r>
              <w:rPr>
                <w:rFonts w:ascii="Arial" w:cs="Arial" w:eastAsia="Arial" w:hAnsi="Arial"/>
                <w:sz w:val="20"/>
                <w:szCs w:val="20"/>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w w:val="97"/>
              </w:rPr>
              <w:t>Structured Product ($2,750 par, due 10/2031)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6/22/2022</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+ 5.75%</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2,369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2,151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08"/>
        </w:trPr>
        <w:tc>
          <w:tcPr>
            <w:tcW w:w="2400" w:type="dxa"/>
            <w:vAlign w:val="bottom"/>
            <w:gridSpan w:val="2"/>
          </w:tcPr>
          <w:p>
            <w:pPr>
              <w:spacing w:after="0" w:line="108" w:lineRule="exact"/>
              <w:rPr>
                <w:sz w:val="20"/>
                <w:szCs w:val="20"/>
                <w:color w:val="auto"/>
              </w:rPr>
            </w:pPr>
            <w:r>
              <w:rPr>
                <w:rFonts w:ascii="Arial" w:cs="Arial" w:eastAsia="Arial" w:hAnsi="Arial"/>
                <w:sz w:val="12"/>
                <w:szCs w:val="12"/>
                <w:color w:val="auto"/>
              </w:rPr>
              <w:t>Whitebox CLO I Ltd,</w:t>
            </w:r>
          </w:p>
        </w:tc>
        <w:tc>
          <w:tcPr>
            <w:tcW w:w="2920" w:type="dxa"/>
            <w:vAlign w:val="bottom"/>
            <w:gridSpan w:val="2"/>
            <w:vMerge w:val="restart"/>
          </w:tcPr>
          <w:p>
            <w:pPr>
              <w:ind w:left="340"/>
              <w:spacing w:after="0"/>
              <w:rPr>
                <w:sz w:val="20"/>
                <w:szCs w:val="20"/>
                <w:color w:val="auto"/>
              </w:rPr>
            </w:pPr>
            <w:r>
              <w:rPr>
                <w:rFonts w:ascii="Arial" w:cs="Arial" w:eastAsia="Arial" w:hAnsi="Arial"/>
                <w:sz w:val="13"/>
                <w:szCs w:val="13"/>
                <w:color w:val="auto"/>
                <w:w w:val="97"/>
              </w:rPr>
              <w:t>Structured Product ($1,125 par, due 10/2034)</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7/12/2022</w:t>
            </w:r>
          </w:p>
        </w:tc>
        <w:tc>
          <w:tcPr>
            <w:tcW w:w="80" w:type="dxa"/>
            <w:vAlign w:val="bottom"/>
          </w:tcPr>
          <w:p>
            <w:pPr>
              <w:spacing w:after="0"/>
              <w:rPr>
                <w:sz w:val="9"/>
                <w:szCs w:val="9"/>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color w:val="auto"/>
              </w:rPr>
              <w:t>L + 3.35%</w:t>
            </w:r>
          </w:p>
        </w:tc>
        <w:tc>
          <w:tcPr>
            <w:tcW w:w="1720" w:type="dxa"/>
            <w:vAlign w:val="bottom"/>
            <w:vMerge w:val="restart"/>
          </w:tcPr>
          <w:p>
            <w:pPr>
              <w:jc w:val="right"/>
              <w:spacing w:after="0"/>
              <w:rPr>
                <w:sz w:val="20"/>
                <w:szCs w:val="20"/>
                <w:color w:val="auto"/>
              </w:rPr>
            </w:pPr>
            <w:r>
              <w:rPr>
                <w:rFonts w:ascii="Arial" w:cs="Arial" w:eastAsia="Arial" w:hAnsi="Arial"/>
                <w:sz w:val="13"/>
                <w:szCs w:val="13"/>
                <w:color w:val="auto"/>
              </w:rPr>
              <w:t>6.13%</w:t>
            </w:r>
          </w:p>
        </w:tc>
        <w:tc>
          <w:tcPr>
            <w:tcW w:w="720" w:type="dxa"/>
            <w:vAlign w:val="bottom"/>
            <w:gridSpan w:val="2"/>
            <w:vMerge w:val="restart"/>
          </w:tcPr>
          <w:p>
            <w:pPr>
              <w:jc w:val="right"/>
              <w:spacing w:after="0"/>
              <w:rPr>
                <w:sz w:val="20"/>
                <w:szCs w:val="20"/>
                <w:color w:val="auto"/>
              </w:rPr>
            </w:pPr>
            <w:r>
              <w:rPr>
                <w:rFonts w:ascii="Arial" w:cs="Arial" w:eastAsia="Arial" w:hAnsi="Arial"/>
                <w:sz w:val="13"/>
                <w:szCs w:val="13"/>
                <w:color w:val="auto"/>
              </w:rPr>
              <w:t>1,003</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1,021</w:t>
            </w:r>
          </w:p>
        </w:tc>
        <w:tc>
          <w:tcPr>
            <w:tcW w:w="90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6"/>
        </w:trPr>
        <w:tc>
          <w:tcPr>
            <w:tcW w:w="2400" w:type="dxa"/>
            <w:vAlign w:val="bottom"/>
            <w:gridSpan w:val="2"/>
          </w:tcPr>
          <w:p>
            <w:pPr>
              <w:ind w:left="140"/>
              <w:spacing w:after="0" w:line="176" w:lineRule="exact"/>
              <w:rPr>
                <w:sz w:val="20"/>
                <w:szCs w:val="20"/>
                <w:color w:val="auto"/>
              </w:rPr>
            </w:pPr>
            <w:r>
              <w:rPr>
                <w:rFonts w:ascii="Arial" w:cs="Arial" w:eastAsia="Arial" w:hAnsi="Arial"/>
                <w:sz w:val="13"/>
                <w:szCs w:val="13"/>
                <w:color w:val="auto"/>
              </w:rPr>
              <w:t>Series 2020-2A</w:t>
            </w:r>
            <w:r>
              <w:rPr>
                <w:rFonts w:ascii="Arial" w:cs="Arial" w:eastAsia="Arial" w:hAnsi="Arial"/>
                <w:sz w:val="20"/>
                <w:szCs w:val="20"/>
                <w:color w:val="auto"/>
                <w:vertAlign w:val="superscript"/>
              </w:rPr>
              <w:t>(3)(4)(10)</w:t>
            </w:r>
          </w:p>
        </w:tc>
        <w:tc>
          <w:tcPr>
            <w:tcW w:w="292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2400" w:type="dxa"/>
            <w:vAlign w:val="bottom"/>
            <w:gridSpan w:val="2"/>
            <w:shd w:val="clear" w:color="auto" w:fill="CCEEFF"/>
          </w:tcPr>
          <w:p>
            <w:pPr>
              <w:spacing w:after="0" w:line="118" w:lineRule="exact"/>
              <w:rPr>
                <w:sz w:val="20"/>
                <w:szCs w:val="20"/>
                <w:color w:val="auto"/>
              </w:rPr>
            </w:pPr>
            <w:r>
              <w:rPr>
                <w:rFonts w:ascii="Arial" w:cs="Arial" w:eastAsia="Arial" w:hAnsi="Arial"/>
                <w:sz w:val="13"/>
                <w:szCs w:val="13"/>
                <w:color w:val="auto"/>
              </w:rPr>
              <w:t>Wind River CLO Ltd,</w:t>
            </w:r>
          </w:p>
        </w:tc>
        <w:tc>
          <w:tcPr>
            <w:tcW w:w="3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400" w:type="dxa"/>
            <w:vAlign w:val="bottom"/>
            <w:gridSpan w:val="2"/>
            <w:shd w:val="clear" w:color="auto" w:fill="CCEEFF"/>
          </w:tcPr>
          <w:p>
            <w:pPr>
              <w:ind w:left="140"/>
              <w:spacing w:after="0" w:line="166" w:lineRule="exact"/>
              <w:rPr>
                <w:sz w:val="20"/>
                <w:szCs w:val="20"/>
                <w:color w:val="auto"/>
              </w:rPr>
            </w:pPr>
            <w:r>
              <w:rPr>
                <w:rFonts w:ascii="Arial" w:cs="Arial" w:eastAsia="Arial" w:hAnsi="Arial"/>
                <w:sz w:val="13"/>
                <w:szCs w:val="13"/>
                <w:color w:val="auto"/>
              </w:rPr>
              <w:t>Series 2014-2A</w:t>
            </w:r>
            <w:r>
              <w:rPr>
                <w:rFonts w:ascii="Arial" w:cs="Arial" w:eastAsia="Arial" w:hAnsi="Arial"/>
                <w:sz w:val="19"/>
                <w:szCs w:val="19"/>
                <w:color w:val="auto"/>
                <w:vertAlign w:val="superscript"/>
              </w:rPr>
              <w:t>(3)(4)(10)</w:t>
            </w:r>
          </w:p>
        </w:tc>
        <w:tc>
          <w:tcPr>
            <w:tcW w:w="29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Structured Product ($1,500 par, due 1/2031)</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6/23/2022</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L + 2.90%</w:t>
            </w:r>
          </w:p>
        </w:tc>
        <w:tc>
          <w:tcPr>
            <w:tcW w:w="1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1,290</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18"/>
        </w:trPr>
        <w:tc>
          <w:tcPr>
            <w:tcW w:w="2400" w:type="dxa"/>
            <w:vAlign w:val="bottom"/>
            <w:gridSpan w:val="2"/>
          </w:tcPr>
          <w:p>
            <w:pPr>
              <w:spacing w:after="0" w:line="118" w:lineRule="exact"/>
              <w:rPr>
                <w:sz w:val="20"/>
                <w:szCs w:val="20"/>
                <w:color w:val="auto"/>
              </w:rPr>
            </w:pPr>
            <w:r>
              <w:rPr>
                <w:rFonts w:ascii="Arial" w:cs="Arial" w:eastAsia="Arial" w:hAnsi="Arial"/>
                <w:sz w:val="13"/>
                <w:szCs w:val="13"/>
                <w:color w:val="auto"/>
              </w:rPr>
              <w:t>Wind River CLO Ltd,</w:t>
            </w: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400" w:type="dxa"/>
            <w:vAlign w:val="bottom"/>
            <w:gridSpan w:val="2"/>
          </w:tcPr>
          <w:p>
            <w:pPr>
              <w:ind w:left="140"/>
              <w:spacing w:after="0" w:line="180" w:lineRule="exact"/>
              <w:rPr>
                <w:sz w:val="20"/>
                <w:szCs w:val="20"/>
                <w:color w:val="auto"/>
              </w:rPr>
            </w:pPr>
            <w:r>
              <w:rPr>
                <w:rFonts w:ascii="Arial" w:cs="Arial" w:eastAsia="Arial" w:hAnsi="Arial"/>
                <w:sz w:val="13"/>
                <w:szCs w:val="13"/>
                <w:color w:val="auto"/>
              </w:rPr>
              <w:t>Series 2017-1A</w:t>
            </w:r>
            <w:r>
              <w:rPr>
                <w:rFonts w:ascii="Arial" w:cs="Arial" w:eastAsia="Arial" w:hAnsi="Arial"/>
                <w:sz w:val="20"/>
                <w:szCs w:val="20"/>
                <w:color w:val="auto"/>
                <w:vertAlign w:val="superscript"/>
              </w:rPr>
              <w:t>(3)(4)(10)</w:t>
            </w:r>
          </w:p>
        </w:tc>
        <w:tc>
          <w:tcPr>
            <w:tcW w:w="2920" w:type="dxa"/>
            <w:vAlign w:val="bottom"/>
            <w:gridSpan w:val="2"/>
          </w:tcPr>
          <w:p>
            <w:pPr>
              <w:ind w:left="340"/>
              <w:spacing w:after="0"/>
              <w:rPr>
                <w:sz w:val="20"/>
                <w:szCs w:val="20"/>
                <w:color w:val="auto"/>
              </w:rPr>
            </w:pPr>
            <w:r>
              <w:rPr>
                <w:rFonts w:ascii="Arial" w:cs="Arial" w:eastAsia="Arial" w:hAnsi="Arial"/>
                <w:sz w:val="13"/>
                <w:szCs w:val="13"/>
                <w:color w:val="auto"/>
              </w:rPr>
              <w:t>Structured Product ($3,000 par, due 4/2036)</w:t>
            </w:r>
          </w:p>
        </w:tc>
        <w:tc>
          <w:tcPr>
            <w:tcW w:w="820" w:type="dxa"/>
            <w:vAlign w:val="bottom"/>
            <w:gridSpan w:val="3"/>
          </w:tcPr>
          <w:p>
            <w:pPr>
              <w:jc w:val="right"/>
              <w:ind w:right="60"/>
              <w:spacing w:after="0"/>
              <w:rPr>
                <w:sz w:val="20"/>
                <w:szCs w:val="20"/>
                <w:color w:val="auto"/>
              </w:rPr>
            </w:pPr>
            <w:r>
              <w:rPr>
                <w:rFonts w:ascii="Arial" w:cs="Arial" w:eastAsia="Arial" w:hAnsi="Arial"/>
                <w:sz w:val="13"/>
                <w:szCs w:val="13"/>
                <w:color w:val="auto"/>
              </w:rPr>
              <w:t>7/14/2022</w:t>
            </w:r>
          </w:p>
        </w:tc>
        <w:tc>
          <w:tcPr>
            <w:tcW w:w="8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color w:val="auto"/>
              </w:rPr>
              <w:t>L + 3.72%</w:t>
            </w:r>
          </w:p>
        </w:tc>
        <w:tc>
          <w:tcPr>
            <w:tcW w:w="1720" w:type="dxa"/>
            <w:vAlign w:val="bottom"/>
          </w:tcPr>
          <w:p>
            <w:pPr>
              <w:jc w:val="right"/>
              <w:spacing w:after="0"/>
              <w:rPr>
                <w:sz w:val="20"/>
                <w:szCs w:val="20"/>
                <w:color w:val="auto"/>
              </w:rPr>
            </w:pPr>
            <w:r>
              <w:rPr>
                <w:rFonts w:ascii="Arial" w:cs="Arial" w:eastAsia="Arial" w:hAnsi="Arial"/>
                <w:sz w:val="13"/>
                <w:szCs w:val="13"/>
                <w:color w:val="auto"/>
              </w:rPr>
              <w:t>6.46%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2,591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2,649</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54,520</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51,962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line="136" w:lineRule="exact"/>
              <w:rPr>
                <w:sz w:val="20"/>
                <w:szCs w:val="20"/>
                <w:color w:val="auto"/>
              </w:rPr>
            </w:pPr>
            <w:r>
              <w:rPr>
                <w:rFonts w:ascii="Arial" w:cs="Arial" w:eastAsia="Arial" w:hAnsi="Arial"/>
                <w:sz w:val="13"/>
                <w:szCs w:val="13"/>
                <w:b w:val="1"/>
                <w:bCs w:val="1"/>
                <w:color w:val="auto"/>
              </w:rPr>
              <w:t>Total Equity and Other</w:t>
            </w: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4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193,718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216,311</w:t>
            </w:r>
          </w:p>
        </w:tc>
        <w:tc>
          <w:tcPr>
            <w:tcW w:w="80" w:type="dxa"/>
            <w:vAlign w:val="bottom"/>
            <w:vMerge w:val="restart"/>
          </w:tcPr>
          <w:p>
            <w:pPr>
              <w:spacing w:after="0"/>
              <w:rPr>
                <w:sz w:val="10"/>
                <w:szCs w:val="10"/>
                <w:color w:val="auto"/>
              </w:rPr>
            </w:pPr>
          </w:p>
        </w:tc>
        <w:tc>
          <w:tcPr>
            <w:tcW w:w="60" w:type="dxa"/>
            <w:vAlign w:val="bottom"/>
            <w:vMerge w:val="restart"/>
          </w:tcPr>
          <w:p>
            <w:pPr>
              <w:spacing w:after="0"/>
              <w:rPr>
                <w:sz w:val="10"/>
                <w:szCs w:val="10"/>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16.4%</w:t>
            </w:r>
          </w:p>
        </w:tc>
        <w:tc>
          <w:tcPr>
            <w:tcW w:w="0" w:type="dxa"/>
            <w:vAlign w:val="bottom"/>
          </w:tcPr>
          <w:p>
            <w:pPr>
              <w:spacing w:after="0"/>
              <w:rPr>
                <w:sz w:val="1"/>
                <w:szCs w:val="1"/>
                <w:color w:val="auto"/>
              </w:rPr>
            </w:pPr>
          </w:p>
        </w:tc>
      </w:tr>
      <w:tr>
        <w:trPr>
          <w:trHeight w:val="182"/>
        </w:trPr>
        <w:tc>
          <w:tcPr>
            <w:tcW w:w="2400" w:type="dxa"/>
            <w:vAlign w:val="bottom"/>
            <w:gridSpan w:val="2"/>
          </w:tcPr>
          <w:p>
            <w:pPr>
              <w:ind w:left="140"/>
              <w:spacing w:after="0"/>
              <w:rPr>
                <w:sz w:val="20"/>
                <w:szCs w:val="20"/>
                <w:color w:val="auto"/>
              </w:rPr>
            </w:pPr>
            <w:r>
              <w:rPr>
                <w:rFonts w:ascii="Arial" w:cs="Arial" w:eastAsia="Arial" w:hAnsi="Arial"/>
                <w:sz w:val="13"/>
                <w:szCs w:val="13"/>
                <w:b w:val="1"/>
                <w:bCs w:val="1"/>
                <w:color w:val="auto"/>
              </w:rPr>
              <w:t>Investments</w:t>
            </w:r>
          </w:p>
        </w:tc>
        <w:tc>
          <w:tcPr>
            <w:tcW w:w="3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w:t>
            </w:r>
          </w:p>
        </w:tc>
        <w:tc>
          <w:tcPr>
            <w:tcW w:w="3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9"/>
              </w:rPr>
              <w:t>$</w:t>
            </w:r>
            <w:r>
              <w:rPr>
                <w:rFonts w:ascii="Arial" w:cs="Arial" w:eastAsia="Arial" w:hAnsi="Arial"/>
                <w:sz w:val="13"/>
                <w:szCs w:val="13"/>
                <w:color w:val="auto"/>
                <w:w w:val="89"/>
              </w:rPr>
              <w:t>2,792,773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2,806,063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211.2%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320" w:top="675" w:right="339" w:bottom="1440" w:gutter="0" w:footer="0" w:header="0"/>
        </w:sect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675"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90"/>
              </w:rPr>
              <w:t>Interest Rate Swaps as of September 30, 2022</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00" w:type="dxa"/>
            <w:vAlign w:val="bottom"/>
          </w:tcPr>
          <w:p>
            <w:pPr>
              <w:spacing w:after="0"/>
              <w:rPr>
                <w:sz w:val="10"/>
                <w:szCs w:val="10"/>
                <w:color w:val="auto"/>
              </w:rPr>
            </w:pPr>
          </w:p>
        </w:tc>
        <w:tc>
          <w:tcPr>
            <w:tcW w:w="68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Upfront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w w:val="98"/>
              </w:rPr>
              <w:t>Change 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Market</w:t>
            </w:r>
          </w:p>
        </w:tc>
        <w:tc>
          <w:tcPr>
            <w:tcW w:w="9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8"/>
              </w:rPr>
              <w:t>(Payments)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Receives</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Pays</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Receipts</w:t>
            </w: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Gains / (Losses)</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Interest rate swap</w:t>
            </w:r>
            <w:r>
              <w:rPr>
                <w:rFonts w:ascii="Arial" w:cs="Arial" w:eastAsia="Arial" w:hAnsi="Arial"/>
                <w:sz w:val="24"/>
                <w:szCs w:val="24"/>
                <w:color w:val="auto"/>
                <w:vertAlign w:val="superscript"/>
              </w:rPr>
              <w:t>(a)</w:t>
            </w: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L + 1.99%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1/22/2023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(a)(e)</w:t>
            </w:r>
          </w:p>
        </w:tc>
        <w:tc>
          <w:tcPr>
            <w:tcW w:w="2420" w:type="dxa"/>
            <w:vAlign w:val="bottom"/>
            <w:gridSpan w:val="3"/>
          </w:tcPr>
          <w:p>
            <w:pPr>
              <w:jc w:val="center"/>
              <w:ind w:left="1370"/>
              <w:spacing w:after="0"/>
              <w:rPr>
                <w:sz w:val="20"/>
                <w:szCs w:val="20"/>
                <w:color w:val="auto"/>
              </w:rPr>
            </w:pPr>
            <w:r>
              <w:rPr>
                <w:rFonts w:ascii="Arial" w:cs="Arial" w:eastAsia="Arial" w:hAnsi="Arial"/>
                <w:sz w:val="18"/>
                <w:szCs w:val="18"/>
                <w:color w:val="auto"/>
                <w:w w:val="93"/>
              </w:rPr>
              <w:t>L + 2.28%</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3.875%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11/1/2024</w:t>
            </w: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320" w:type="dxa"/>
            <w:vAlign w:val="bottom"/>
            <w:gridSpan w:val="2"/>
            <w:shd w:val="clear" w:color="auto" w:fill="CCEEFF"/>
          </w:tcPr>
          <w:p>
            <w:pPr>
              <w:jc w:val="center"/>
              <w:ind w:left="1470"/>
              <w:spacing w:after="0"/>
              <w:rPr>
                <w:sz w:val="20"/>
                <w:szCs w:val="20"/>
                <w:color w:val="auto"/>
              </w:rPr>
            </w:pPr>
            <w:r>
              <w:rPr>
                <w:rFonts w:ascii="Arial" w:cs="Arial" w:eastAsia="Arial" w:hAnsi="Arial"/>
                <w:sz w:val="18"/>
                <w:szCs w:val="18"/>
                <w:color w:val="auto"/>
                <w:w w:val="93"/>
              </w:rPr>
              <w:t>4.50%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L + 2.37%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320" w:type="dxa"/>
            <w:vAlign w:val="bottom"/>
            <w:gridSpan w:val="2"/>
          </w:tcPr>
          <w:p>
            <w:pPr>
              <w:jc w:val="center"/>
              <w:ind w:left="1470"/>
              <w:spacing w:after="0"/>
              <w:rPr>
                <w:sz w:val="20"/>
                <w:szCs w:val="20"/>
                <w:color w:val="auto"/>
              </w:rPr>
            </w:pPr>
            <w:r>
              <w:rPr>
                <w:rFonts w:ascii="Arial" w:cs="Arial" w:eastAsia="Arial" w:hAnsi="Arial"/>
                <w:sz w:val="18"/>
                <w:szCs w:val="18"/>
                <w:color w:val="auto"/>
                <w:w w:val="93"/>
              </w:rPr>
              <w:t>4.50%</w:t>
            </w:r>
          </w:p>
        </w:tc>
        <w:tc>
          <w:tcPr>
            <w:tcW w:w="1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 + 1.59%</w:t>
            </w:r>
          </w:p>
        </w:tc>
        <w:tc>
          <w:tcPr>
            <w:tcW w:w="8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320" w:type="dxa"/>
            <w:vAlign w:val="bottom"/>
            <w:gridSpan w:val="2"/>
            <w:shd w:val="clear" w:color="auto" w:fill="CCEEFF"/>
          </w:tcPr>
          <w:p>
            <w:pPr>
              <w:jc w:val="center"/>
              <w:ind w:left="1470"/>
              <w:spacing w:after="0"/>
              <w:rPr>
                <w:sz w:val="20"/>
                <w:szCs w:val="20"/>
                <w:color w:val="auto"/>
              </w:rPr>
            </w:pPr>
            <w:r>
              <w:rPr>
                <w:rFonts w:ascii="Arial" w:cs="Arial" w:eastAsia="Arial" w:hAnsi="Arial"/>
                <w:sz w:val="18"/>
                <w:szCs w:val="18"/>
                <w:color w:val="auto"/>
                <w:w w:val="93"/>
              </w:rPr>
              <w:t>4.50%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L + 1.60%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420" w:type="dxa"/>
            <w:vAlign w:val="bottom"/>
            <w:gridSpan w:val="3"/>
          </w:tcPr>
          <w:p>
            <w:pPr>
              <w:jc w:val="center"/>
              <w:ind w:left="1370"/>
              <w:spacing w:after="0"/>
              <w:rPr>
                <w:sz w:val="20"/>
                <w:szCs w:val="20"/>
                <w:color w:val="auto"/>
              </w:rPr>
            </w:pPr>
            <w:r>
              <w:rPr>
                <w:rFonts w:ascii="Arial" w:cs="Arial" w:eastAsia="Arial" w:hAnsi="Arial"/>
                <w:sz w:val="18"/>
                <w:szCs w:val="18"/>
                <w:color w:val="auto"/>
                <w:w w:val="93"/>
              </w:rPr>
              <w:t>L + 2.11%</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420" w:type="dxa"/>
            <w:vAlign w:val="bottom"/>
            <w:gridSpan w:val="3"/>
            <w:shd w:val="clear" w:color="auto" w:fill="CCEEFF"/>
          </w:tcPr>
          <w:p>
            <w:pPr>
              <w:jc w:val="center"/>
              <w:ind w:left="1370"/>
              <w:spacing w:after="0"/>
              <w:rPr>
                <w:sz w:val="20"/>
                <w:szCs w:val="20"/>
                <w:color w:val="auto"/>
              </w:rPr>
            </w:pPr>
            <w:r>
              <w:rPr>
                <w:rFonts w:ascii="Arial" w:cs="Arial" w:eastAsia="Arial" w:hAnsi="Arial"/>
                <w:sz w:val="18"/>
                <w:szCs w:val="18"/>
                <w:color w:val="auto"/>
                <w:w w:val="93"/>
              </w:rPr>
              <w:t>L + 2.11%</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4.50%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2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(a)(b)</w:t>
            </w:r>
          </w:p>
        </w:tc>
        <w:tc>
          <w:tcPr>
            <w:tcW w:w="2420" w:type="dxa"/>
            <w:vAlign w:val="bottom"/>
            <w:gridSpan w:val="3"/>
          </w:tcPr>
          <w:p>
            <w:pPr>
              <w:jc w:val="center"/>
              <w:ind w:left="1370"/>
              <w:spacing w:after="0"/>
              <w:rPr>
                <w:sz w:val="20"/>
                <w:szCs w:val="20"/>
                <w:color w:val="auto"/>
              </w:rPr>
            </w:pPr>
            <w:r>
              <w:rPr>
                <w:rFonts w:ascii="Arial" w:cs="Arial" w:eastAsia="Arial" w:hAnsi="Arial"/>
                <w:sz w:val="18"/>
                <w:szCs w:val="18"/>
                <w:color w:val="auto"/>
                <w:w w:val="93"/>
              </w:rPr>
              <w:t>L + 2.11%</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8/1/2022</w:t>
            </w:r>
          </w:p>
        </w:tc>
        <w:tc>
          <w:tcPr>
            <w:tcW w:w="14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w:t>
            </w:r>
          </w:p>
        </w:tc>
        <w:tc>
          <w:tcPr>
            <w:tcW w:w="15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L</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0.16%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7/30/2022</w:t>
            </w: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152,500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r>
              <w:rPr>
                <w:rFonts w:ascii="Arial" w:cs="Arial" w:eastAsia="Arial" w:hAnsi="Arial"/>
                <w:sz w:val="26"/>
                <w:szCs w:val="26"/>
                <w:color w:val="auto"/>
                <w:vertAlign w:val="superscript"/>
              </w:rPr>
              <w:t>(a)(c)(d)</w:t>
            </w:r>
          </w:p>
        </w:tc>
        <w:tc>
          <w:tcPr>
            <w:tcW w:w="2320" w:type="dxa"/>
            <w:vAlign w:val="bottom"/>
            <w:gridSpan w:val="2"/>
            <w:shd w:val="clear" w:color="auto" w:fill="CCEEFF"/>
          </w:tcPr>
          <w:p>
            <w:pPr>
              <w:jc w:val="center"/>
              <w:ind w:left="1470"/>
              <w:spacing w:after="0"/>
              <w:rPr>
                <w:sz w:val="20"/>
                <w:szCs w:val="20"/>
                <w:color w:val="auto"/>
              </w:rPr>
            </w:pPr>
            <w:r>
              <w:rPr>
                <w:rFonts w:ascii="Arial" w:cs="Arial" w:eastAsia="Arial" w:hAnsi="Arial"/>
                <w:sz w:val="18"/>
                <w:szCs w:val="18"/>
                <w:color w:val="auto"/>
                <w:w w:val="91"/>
              </w:rPr>
              <w:t>3.875%</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L + 2.25%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11/1/2024</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(16,878)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(20,874)</w:t>
            </w:r>
          </w:p>
        </w:tc>
        <w:tc>
          <w:tcPr>
            <w:tcW w:w="0" w:type="dxa"/>
            <w:vAlign w:val="bottom"/>
          </w:tcPr>
          <w:p>
            <w:pPr>
              <w:spacing w:after="0"/>
              <w:rPr>
                <w:sz w:val="1"/>
                <w:szCs w:val="1"/>
                <w:color w:val="auto"/>
              </w:rPr>
            </w:pPr>
          </w:p>
        </w:tc>
      </w:tr>
      <w:tr>
        <w:trPr>
          <w:trHeight w:val="216"/>
        </w:trPr>
        <w:tc>
          <w:tcPr>
            <w:tcW w:w="3280" w:type="dxa"/>
            <w:vAlign w:val="bottom"/>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(a)(c)(d)</w:t>
            </w:r>
          </w:p>
        </w:tc>
        <w:tc>
          <w:tcPr>
            <w:tcW w:w="2320" w:type="dxa"/>
            <w:vAlign w:val="bottom"/>
            <w:gridSpan w:val="2"/>
          </w:tcPr>
          <w:p>
            <w:pPr>
              <w:jc w:val="center"/>
              <w:ind w:left="1470"/>
              <w:spacing w:after="0"/>
              <w:rPr>
                <w:sz w:val="20"/>
                <w:szCs w:val="20"/>
                <w:color w:val="auto"/>
              </w:rPr>
            </w:pPr>
            <w:r>
              <w:rPr>
                <w:rFonts w:ascii="Arial" w:cs="Arial" w:eastAsia="Arial" w:hAnsi="Arial"/>
                <w:sz w:val="18"/>
                <w:szCs w:val="18"/>
                <w:color w:val="auto"/>
                <w:w w:val="91"/>
              </w:rPr>
              <w:t>3.875%</w:t>
            </w:r>
          </w:p>
        </w:tc>
        <w:tc>
          <w:tcPr>
            <w:tcW w:w="1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 + 2.46%</w:t>
            </w:r>
          </w:p>
        </w:tc>
        <w:tc>
          <w:tcPr>
            <w:tcW w:w="880" w:type="dxa"/>
            <w:vAlign w:val="bottom"/>
          </w:tcPr>
          <w:p>
            <w:pPr>
              <w:jc w:val="right"/>
              <w:spacing w:after="0"/>
              <w:rPr>
                <w:sz w:val="20"/>
                <w:szCs w:val="20"/>
                <w:color w:val="auto"/>
              </w:rPr>
            </w:pPr>
            <w:r>
              <w:rPr>
                <w:rFonts w:ascii="Arial" w:cs="Arial" w:eastAsia="Arial" w:hAnsi="Arial"/>
                <w:sz w:val="18"/>
                <w:szCs w:val="18"/>
                <w:color w:val="auto"/>
              </w:rPr>
              <w:t>11/1/2024</w:t>
            </w: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Interest rate swap</w:t>
            </w:r>
            <w:r>
              <w:rPr>
                <w:rFonts w:ascii="Arial" w:cs="Arial" w:eastAsia="Arial" w:hAnsi="Arial"/>
                <w:sz w:val="25"/>
                <w:szCs w:val="25"/>
                <w:color w:val="auto"/>
                <w:vertAlign w:val="superscript"/>
              </w:rPr>
              <w:t>(a)(c)</w:t>
            </w:r>
          </w:p>
        </w:tc>
        <w:tc>
          <w:tcPr>
            <w:tcW w:w="2320" w:type="dxa"/>
            <w:vAlign w:val="bottom"/>
            <w:gridSpan w:val="2"/>
            <w:shd w:val="clear" w:color="auto" w:fill="CCEEFF"/>
          </w:tcPr>
          <w:p>
            <w:pPr>
              <w:jc w:val="center"/>
              <w:ind w:left="1470"/>
              <w:spacing w:after="0"/>
              <w:rPr>
                <w:sz w:val="20"/>
                <w:szCs w:val="20"/>
                <w:color w:val="auto"/>
              </w:rPr>
            </w:pPr>
            <w:r>
              <w:rPr>
                <w:rFonts w:ascii="Arial" w:cs="Arial" w:eastAsia="Arial" w:hAnsi="Arial"/>
                <w:sz w:val="18"/>
                <w:szCs w:val="18"/>
                <w:color w:val="auto"/>
                <w:w w:val="93"/>
              </w:rPr>
              <w:t>2.50%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L + 1.91%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8/1/2026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(38,361)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(28,122)</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(58,262)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 collateral</w:t>
            </w:r>
          </w:p>
        </w:tc>
        <w:tc>
          <w:tcPr>
            <w:tcW w:w="15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61,592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Pr>
          <w:p>
            <w:pPr>
              <w:ind w:left="360"/>
              <w:spacing w:after="0"/>
              <w:rPr>
                <w:sz w:val="20"/>
                <w:szCs w:val="20"/>
                <w:color w:val="auto"/>
              </w:rPr>
            </w:pPr>
            <w:r>
              <w:rPr>
                <w:rFonts w:ascii="Arial" w:cs="Arial" w:eastAsia="Arial" w:hAnsi="Arial"/>
                <w:sz w:val="18"/>
                <w:szCs w:val="18"/>
                <w:b w:val="1"/>
                <w:bCs w:val="1"/>
                <w:color w:val="auto"/>
              </w:rPr>
              <w:t>Total derivatives</w:t>
            </w:r>
          </w:p>
        </w:tc>
        <w:tc>
          <w:tcPr>
            <w:tcW w:w="1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802,500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(59,580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20" w:hanging="563"/>
        <w:spacing w:after="0"/>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3" w:lineRule="exact"/>
        <w:rPr>
          <w:rFonts w:ascii="Arial" w:cs="Arial" w:eastAsia="Arial" w:hAnsi="Arial"/>
          <w:sz w:val="18"/>
          <w:szCs w:val="18"/>
          <w:color w:val="auto"/>
        </w:rPr>
      </w:pPr>
    </w:p>
    <w:p>
      <w:pPr>
        <w:ind w:left="1020" w:hanging="563"/>
        <w:spacing w:after="0"/>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Interest rate swap was terminated or matured during the period.</w:t>
      </w:r>
    </w:p>
    <w:p>
      <w:pPr>
        <w:spacing w:after="0" w:line="9" w:lineRule="exact"/>
        <w:rPr>
          <w:rFonts w:ascii="Arial" w:cs="Arial" w:eastAsia="Arial" w:hAnsi="Arial"/>
          <w:sz w:val="18"/>
          <w:szCs w:val="18"/>
          <w:color w:val="auto"/>
        </w:rPr>
      </w:pPr>
    </w:p>
    <w:p>
      <w:pPr>
        <w:ind w:left="1020" w:right="200" w:hanging="563"/>
        <w:spacing w:after="0" w:line="250"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Instrument is used in a hedge accounting relationship. The associated change in fair value is recorded along with the change in fair value of the hedged item within interest expense.</w:t>
      </w:r>
    </w:p>
    <w:p>
      <w:pPr>
        <w:ind w:left="1020" w:right="180" w:hanging="563"/>
        <w:spacing w:after="0" w:line="250"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$2.5 million in aggregate notional value of these instruments is no longer designated as instruments in a hedge accounting relationship. The associated change in fair value of the de-designated portion is recorded within unrealized gain/(loss).</w:t>
      </w:r>
    </w:p>
    <w:p>
      <w:pPr>
        <w:ind w:left="1020" w:right="20" w:hanging="563"/>
        <w:spacing w:after="0" w:line="250"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fair market value of this instrument is presented net with the $2.5 million in aggregate notional value of instruments no longer designated as instruments in a hedge accounting relationship.</w:t>
      </w: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right="140" w:hanging="452"/>
        <w:spacing w:after="0" w:line="265"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2022.</w:t>
      </w:r>
    </w:p>
    <w:p>
      <w:pPr>
        <w:spacing w:after="0" w:line="1" w:lineRule="exact"/>
        <w:rPr>
          <w:rFonts w:ascii="Arial" w:cs="Arial" w:eastAsia="Arial" w:hAnsi="Arial"/>
          <w:sz w:val="17"/>
          <w:szCs w:val="17"/>
          <w:color w:val="auto"/>
        </w:rPr>
      </w:pPr>
    </w:p>
    <w:p>
      <w:pPr>
        <w:ind w:left="460" w:right="80" w:hanging="452"/>
        <w:spacing w:after="0" w:line="265"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12.5% of total assets as of September 30, 2022.</w:t>
      </w:r>
    </w:p>
    <w:p>
      <w:pPr>
        <w:ind w:left="460" w:right="20" w:hanging="452"/>
        <w:spacing w:after="0" w:line="273"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67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460" w:right="120" w:hanging="452"/>
        <w:spacing w:after="0" w:line="263"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a portfolio company, as the Company owns more than 5% of a portfolio company’s outstanding voting securities. Transactions during the nine months ended September 30, 2022 in which the Company was an Affiliated Person of a portfolio company are as follows: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nine months ended September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51"/>
              <w:spacing w:after="0"/>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51"/>
              <w:spacing w:after="0"/>
              <w:rPr>
                <w:sz w:val="20"/>
                <w:szCs w:val="20"/>
                <w:color w:val="auto"/>
              </w:rPr>
            </w:pPr>
            <w:r>
              <w:rPr>
                <w:rFonts w:ascii="Arial" w:cs="Arial" w:eastAsia="Arial" w:hAnsi="Arial"/>
                <w:sz w:val="13"/>
                <w:szCs w:val="13"/>
                <w:b w:val="1"/>
                <w:bCs w:val="1"/>
                <w:color w:val="auto"/>
                <w:w w:val="96"/>
              </w:rPr>
              <w:t>Value at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Net Change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Value at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December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rPr>
                <w:sz w:val="20"/>
                <w:szCs w:val="20"/>
                <w:color w:val="auto"/>
              </w:rPr>
            </w:pPr>
            <w:r>
              <w:rPr>
                <w:rFonts w:ascii="Arial" w:cs="Arial" w:eastAsia="Arial" w:hAnsi="Arial"/>
                <w:sz w:val="13"/>
                <w:szCs w:val="13"/>
                <w:b w:val="1"/>
                <w:bCs w:val="1"/>
                <w:color w:val="auto"/>
              </w:rPr>
              <w:t>Gross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88"/>
              <w:spacing w:after="0"/>
              <w:rPr>
                <w:sz w:val="20"/>
                <w:szCs w:val="20"/>
                <w:color w:val="auto"/>
              </w:rPr>
            </w:pPr>
            <w:r>
              <w:rPr>
                <w:rFonts w:ascii="Arial" w:cs="Arial" w:eastAsia="Arial" w:hAnsi="Arial"/>
                <w:sz w:val="13"/>
                <w:szCs w:val="13"/>
                <w:b w:val="1"/>
                <w:bCs w:val="1"/>
                <w:color w:val="auto"/>
              </w:rPr>
              <w:t>Gross</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In Unrealized</w:t>
            </w:r>
          </w:p>
        </w:tc>
        <w:tc>
          <w:tcPr>
            <w:tcW w:w="10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2"/>
              </w:rPr>
              <w:t>September 30,</w:t>
            </w:r>
          </w:p>
        </w:tc>
        <w:tc>
          <w:tcPr>
            <w:tcW w:w="620" w:type="dxa"/>
            <w:vAlign w:val="bottom"/>
            <w:gridSpan w:val="3"/>
          </w:tcPr>
          <w:p>
            <w:pPr>
              <w:jc w:val="center"/>
              <w:ind w:left="10"/>
              <w:spacing w:after="0"/>
              <w:rPr>
                <w:sz w:val="20"/>
                <w:szCs w:val="20"/>
                <w:color w:val="auto"/>
              </w:rPr>
            </w:pPr>
            <w:r>
              <w:rPr>
                <w:rFonts w:ascii="Arial" w:cs="Arial" w:eastAsia="Arial" w:hAnsi="Arial"/>
                <w:sz w:val="13"/>
                <w:szCs w:val="13"/>
                <w:b w:val="1"/>
                <w:bCs w:val="1"/>
                <w:color w:val="auto"/>
                <w:w w:val="98"/>
              </w:rPr>
              <w:t>Dividend</w:t>
            </w:r>
          </w:p>
        </w:tc>
        <w:tc>
          <w:tcPr>
            <w:tcW w:w="180" w:type="dxa"/>
            <w:vAlign w:val="bottom"/>
          </w:tcPr>
          <w:p>
            <w:pPr>
              <w:spacing w:after="0"/>
              <w:rPr>
                <w:sz w:val="12"/>
                <w:szCs w:val="12"/>
                <w:color w:val="auto"/>
              </w:rPr>
            </w:pPr>
          </w:p>
        </w:tc>
        <w:tc>
          <w:tcPr>
            <w:tcW w:w="480" w:type="dxa"/>
            <w:vAlign w:val="bottom"/>
            <w:gridSpan w:val="3"/>
          </w:tcPr>
          <w:p>
            <w:pPr>
              <w:spacing w:after="0"/>
              <w:rPr>
                <w:sz w:val="20"/>
                <w:szCs w:val="20"/>
                <w:color w:val="auto"/>
              </w:rPr>
            </w:pPr>
            <w:r>
              <w:rPr>
                <w:rFonts w:ascii="Arial" w:cs="Arial" w:eastAsia="Arial" w:hAnsi="Arial"/>
                <w:sz w:val="13"/>
                <w:szCs w:val="13"/>
                <w:b w:val="1"/>
                <w:bCs w:val="1"/>
                <w:color w:val="auto"/>
                <w:w w:val="97"/>
              </w:rPr>
              <w:t>Interest</w:t>
            </w:r>
          </w:p>
        </w:tc>
      </w:tr>
      <w:tr>
        <w:trPr>
          <w:trHeight w:val="161"/>
        </w:trPr>
        <w:tc>
          <w:tcPr>
            <w:tcW w:w="580" w:type="dxa"/>
            <w:vAlign w:val="bottom"/>
          </w:tcPr>
          <w:p>
            <w:pPr>
              <w:spacing w:after="0"/>
              <w:rPr>
                <w:sz w:val="20"/>
                <w:szCs w:val="20"/>
                <w:color w:val="auto"/>
              </w:rPr>
            </w:pPr>
            <w:r>
              <w:rPr>
                <w:rFonts w:ascii="Arial" w:cs="Arial" w:eastAsia="Arial" w:hAnsi="Arial"/>
                <w:sz w:val="13"/>
                <w:szCs w:val="13"/>
                <w:b w:val="1"/>
                <w:bCs w:val="1"/>
                <w:color w:val="auto"/>
                <w:w w:val="94"/>
              </w:rPr>
              <w:t>Company</w:t>
            </w:r>
          </w:p>
        </w:tc>
        <w:tc>
          <w:tcPr>
            <w:tcW w:w="3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1"/>
              <w:spacing w:after="0"/>
              <w:rPr>
                <w:sz w:val="20"/>
                <w:szCs w:val="20"/>
                <w:color w:val="auto"/>
              </w:rPr>
            </w:pPr>
            <w:r>
              <w:rPr>
                <w:rFonts w:ascii="Arial" w:cs="Arial" w:eastAsia="Arial" w:hAnsi="Arial"/>
                <w:sz w:val="13"/>
                <w:szCs w:val="13"/>
                <w:b w:val="1"/>
                <w:bCs w:val="1"/>
                <w:color w:val="auto"/>
                <w:w w:val="96"/>
              </w:rPr>
              <w:t>2021</w:t>
            </w:r>
          </w:p>
        </w:tc>
        <w:tc>
          <w:tcPr>
            <w:tcW w:w="180" w:type="dxa"/>
            <w:vAlign w:val="bottom"/>
          </w:tcPr>
          <w:p>
            <w:pPr>
              <w:spacing w:after="0"/>
              <w:rPr>
                <w:sz w:val="14"/>
                <w:szCs w:val="14"/>
                <w:color w:val="auto"/>
              </w:rPr>
            </w:pPr>
          </w:p>
        </w:tc>
        <w:tc>
          <w:tcPr>
            <w:tcW w:w="68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w w:val="94"/>
              </w:rPr>
              <w:t>Additions</w:t>
            </w:r>
            <w:r>
              <w:rPr>
                <w:rFonts w:ascii="Arial" w:cs="Arial" w:eastAsia="Arial" w:hAnsi="Arial"/>
                <w:sz w:val="18"/>
                <w:szCs w:val="18"/>
                <w:b w:val="1"/>
                <w:bCs w:val="1"/>
                <w:color w:val="auto"/>
                <w:w w:val="94"/>
                <w:vertAlign w:val="superscript"/>
              </w:rPr>
              <w:t>(a)</w:t>
            </w:r>
          </w:p>
        </w:tc>
        <w:tc>
          <w:tcPr>
            <w:tcW w:w="180" w:type="dxa"/>
            <w:vAlign w:val="bottom"/>
          </w:tcPr>
          <w:p>
            <w:pPr>
              <w:spacing w:after="0"/>
              <w:rPr>
                <w:sz w:val="14"/>
                <w:szCs w:val="14"/>
                <w:color w:val="auto"/>
              </w:rPr>
            </w:pPr>
          </w:p>
        </w:tc>
        <w:tc>
          <w:tcPr>
            <w:tcW w:w="1000" w:type="dxa"/>
            <w:vAlign w:val="bottom"/>
            <w:gridSpan w:val="3"/>
          </w:tcPr>
          <w:p>
            <w:pPr>
              <w:spacing w:after="0" w:line="162" w:lineRule="exact"/>
              <w:rPr>
                <w:sz w:val="20"/>
                <w:szCs w:val="20"/>
                <w:color w:val="auto"/>
              </w:rPr>
            </w:pPr>
            <w:r>
              <w:rPr>
                <w:rFonts w:ascii="Arial" w:cs="Arial" w:eastAsia="Arial" w:hAnsi="Arial"/>
                <w:sz w:val="12"/>
                <w:szCs w:val="12"/>
                <w:b w:val="1"/>
                <w:bCs w:val="1"/>
                <w:color w:val="auto"/>
              </w:rPr>
              <w:t>Reductions</w:t>
            </w:r>
            <w:r>
              <w:rPr>
                <w:rFonts w:ascii="Arial" w:cs="Arial" w:eastAsia="Arial" w:hAnsi="Arial"/>
                <w:sz w:val="18"/>
                <w:szCs w:val="18"/>
                <w:b w:val="1"/>
                <w:bCs w:val="1"/>
                <w:color w:val="auto"/>
                <w:vertAlign w:val="superscript"/>
              </w:rPr>
              <w:t>(b)</w:t>
            </w:r>
          </w:p>
        </w:tc>
        <w:tc>
          <w:tcPr>
            <w:tcW w:w="1000" w:type="dxa"/>
            <w:vAlign w:val="bottom"/>
            <w:gridSpan w:val="3"/>
          </w:tcPr>
          <w:p>
            <w:pPr>
              <w:ind w:left="60"/>
              <w:spacing w:after="0"/>
              <w:rPr>
                <w:sz w:val="20"/>
                <w:szCs w:val="20"/>
                <w:color w:val="auto"/>
              </w:rPr>
            </w:pPr>
            <w:r>
              <w:rPr>
                <w:rFonts w:ascii="Arial" w:cs="Arial" w:eastAsia="Arial" w:hAnsi="Arial"/>
                <w:sz w:val="13"/>
                <w:szCs w:val="13"/>
                <w:b w:val="1"/>
                <w:bCs w:val="1"/>
                <w:color w:val="auto"/>
              </w:rPr>
              <w:t>Gain/(Loss)</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Gain/(Loss)</w:t>
            </w:r>
          </w:p>
        </w:tc>
        <w:tc>
          <w:tcPr>
            <w:tcW w:w="640" w:type="dxa"/>
            <w:vAlign w:val="bottom"/>
            <w:gridSpan w:val="3"/>
          </w:tcPr>
          <w:p>
            <w:pPr>
              <w:ind w:left="80"/>
              <w:spacing w:after="0"/>
              <w:rPr>
                <w:sz w:val="20"/>
                <w:szCs w:val="20"/>
                <w:color w:val="auto"/>
              </w:rPr>
            </w:pPr>
            <w:r>
              <w:rPr>
                <w:rFonts w:ascii="Arial" w:cs="Arial" w:eastAsia="Arial" w:hAnsi="Arial"/>
                <w:sz w:val="13"/>
                <w:szCs w:val="13"/>
                <w:b w:val="1"/>
                <w:bCs w:val="1"/>
                <w:color w:val="auto"/>
                <w:w w:val="91"/>
              </w:rPr>
              <w:t>Transfers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1"/>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Income</w:t>
            </w:r>
          </w:p>
        </w:tc>
        <w:tc>
          <w:tcPr>
            <w:tcW w:w="18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r>
      <w:tr>
        <w:trPr>
          <w:trHeight w:val="20"/>
        </w:trPr>
        <w:tc>
          <w:tcPr>
            <w:tcW w:w="5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36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MD America Energy, LLC</w:t>
            </w:r>
            <w:r>
              <w:rPr>
                <w:rFonts w:ascii="Arial" w:cs="Arial" w:eastAsia="Arial" w:hAnsi="Arial"/>
                <w:sz w:val="10"/>
                <w:szCs w:val="10"/>
                <w:color w:val="auto"/>
              </w:rPr>
              <w:t>(c)</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27,017</w:t>
            </w:r>
          </w:p>
        </w:tc>
        <w:tc>
          <w:tcPr>
            <w:tcW w:w="30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(12,667)</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(14,350)</w:t>
            </w:r>
          </w:p>
        </w:tc>
        <w:tc>
          <w:tcPr>
            <w:tcW w:w="1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13,673</w:t>
            </w:r>
          </w:p>
        </w:tc>
        <w:tc>
          <w:tcPr>
            <w:tcW w:w="300" w:type="dxa"/>
            <w:vAlign w:val="bottom"/>
            <w:gridSpan w:val="2"/>
            <w:shd w:val="clear" w:color="auto" w:fill="CCEEFF"/>
          </w:tcPr>
          <w:p>
            <w:pPr>
              <w:jc w:val="right"/>
              <w:ind w:right="89"/>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00"/>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61"/>
              <w:spacing w:after="0" w:line="142"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133</w:t>
            </w:r>
          </w:p>
        </w:tc>
      </w:tr>
      <w:tr>
        <w:trPr>
          <w:trHeight w:val="156"/>
        </w:trPr>
        <w:tc>
          <w:tcPr>
            <w:tcW w:w="360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27,017</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ind w:left="34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(12,667</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w w:val="84"/>
              </w:rPr>
              <w:t>)</w:t>
            </w:r>
          </w:p>
        </w:tc>
        <w:tc>
          <w:tcPr>
            <w:tcW w:w="2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(14,350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w w:val="83"/>
              </w:rPr>
              <w:t>13,673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133</w:t>
            </w:r>
          </w:p>
        </w:tc>
        <w:tc>
          <w:tcPr>
            <w:tcW w:w="40" w:type="dxa"/>
            <w:vAlign w:val="bottom"/>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20" w:right="100" w:hanging="563"/>
        <w:spacing w:after="0" w:line="258" w:lineRule="auto"/>
        <w:tabs>
          <w:tab w:leader="none" w:pos="10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20" w:right="200" w:hanging="563"/>
        <w:spacing w:after="0" w:line="250" w:lineRule="auto"/>
        <w:tabs>
          <w:tab w:leader="none" w:pos="10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1" w:lineRule="exact"/>
        <w:rPr>
          <w:rFonts w:ascii="Arial" w:cs="Arial" w:eastAsia="Arial" w:hAnsi="Arial"/>
          <w:sz w:val="18"/>
          <w:szCs w:val="18"/>
          <w:color w:val="auto"/>
        </w:rPr>
      </w:pPr>
    </w:p>
    <w:p>
      <w:pPr>
        <w:ind w:left="1020" w:hanging="563"/>
        <w:spacing w:after="0"/>
        <w:tabs>
          <w:tab w:leader="none" w:pos="10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Includes investment in SMPA Holdings, LLC of 15,000 common equity units.</w:t>
      </w:r>
    </w:p>
    <w:p>
      <w:pPr>
        <w:spacing w:after="0" w:line="237" w:lineRule="exact"/>
        <w:rPr>
          <w:rFonts w:ascii="Arial" w:cs="Arial" w:eastAsia="Arial" w:hAnsi="Arial"/>
          <w:sz w:val="18"/>
          <w:szCs w:val="18"/>
          <w:color w:val="auto"/>
        </w:rPr>
      </w:pPr>
    </w:p>
    <w:p>
      <w:pPr>
        <w:ind w:left="460" w:right="160" w:hanging="452"/>
        <w:spacing w:after="0" w:line="30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2022 in which the Company was an Affiliated Person of and was deemed to Control a portfolio company are as follows: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nine months ended September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0"/>
              <w:spacing w:after="0"/>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50"/>
              <w:spacing w:after="0"/>
              <w:rPr>
                <w:sz w:val="20"/>
                <w:szCs w:val="20"/>
                <w:color w:val="auto"/>
              </w:rPr>
            </w:pPr>
            <w:r>
              <w:rPr>
                <w:rFonts w:ascii="Arial" w:cs="Arial" w:eastAsia="Arial" w:hAnsi="Arial"/>
                <w:sz w:val="13"/>
                <w:szCs w:val="13"/>
                <w:b w:val="1"/>
                <w:bCs w:val="1"/>
                <w:color w:val="auto"/>
                <w:w w:val="92"/>
              </w:rPr>
              <w:t>Value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9"/>
              </w:rPr>
              <w:t>Net Change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Value at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5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December 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89"/>
              <w:spacing w:after="0"/>
              <w:rPr>
                <w:sz w:val="20"/>
                <w:szCs w:val="20"/>
                <w:color w:val="auto"/>
              </w:rPr>
            </w:pPr>
            <w:r>
              <w:rPr>
                <w:rFonts w:ascii="Arial" w:cs="Arial" w:eastAsia="Arial" w:hAnsi="Arial"/>
                <w:sz w:val="13"/>
                <w:szCs w:val="13"/>
                <w:b w:val="1"/>
                <w:bCs w:val="1"/>
                <w:color w:val="auto"/>
              </w:rPr>
              <w:t>Gross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Gross</w:t>
            </w:r>
          </w:p>
        </w:tc>
        <w:tc>
          <w:tcPr>
            <w:tcW w:w="9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In Unrealized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29"/>
              <w:spacing w:after="0"/>
              <w:rPr>
                <w:sz w:val="20"/>
                <w:szCs w:val="20"/>
                <w:color w:val="auto"/>
              </w:rPr>
            </w:pPr>
            <w:r>
              <w:rPr>
                <w:rFonts w:ascii="Arial" w:cs="Arial" w:eastAsia="Arial" w:hAnsi="Arial"/>
                <w:sz w:val="13"/>
                <w:szCs w:val="13"/>
                <w:b w:val="1"/>
                <w:bCs w:val="1"/>
                <w:color w:val="auto"/>
                <w:w w:val="90"/>
              </w:rPr>
              <w:t>Realized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4"/>
              </w:rPr>
              <w:t>September 30,</w:t>
            </w:r>
          </w:p>
        </w:tc>
        <w:tc>
          <w:tcPr>
            <w:tcW w:w="100" w:type="dxa"/>
            <w:vAlign w:val="bottom"/>
          </w:tcPr>
          <w:p>
            <w:pPr>
              <w:spacing w:after="0"/>
              <w:rPr>
                <w:sz w:val="12"/>
                <w:szCs w:val="12"/>
                <w:color w:val="auto"/>
              </w:rPr>
            </w:pPr>
          </w:p>
        </w:tc>
        <w:tc>
          <w:tcPr>
            <w:tcW w:w="620" w:type="dxa"/>
            <w:vAlign w:val="bottom"/>
            <w:gridSpan w:val="3"/>
          </w:tcPr>
          <w:p>
            <w:pPr>
              <w:ind w:left="40"/>
              <w:spacing w:after="0"/>
              <w:rPr>
                <w:sz w:val="20"/>
                <w:szCs w:val="20"/>
                <w:color w:val="auto"/>
              </w:rPr>
            </w:pPr>
            <w:r>
              <w:rPr>
                <w:rFonts w:ascii="Arial" w:cs="Arial" w:eastAsia="Arial" w:hAnsi="Arial"/>
                <w:sz w:val="13"/>
                <w:szCs w:val="13"/>
                <w:b w:val="1"/>
                <w:bCs w:val="1"/>
                <w:color w:val="auto"/>
              </w:rPr>
              <w:t>Other</w:t>
            </w: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w w:val="97"/>
              </w:rPr>
              <w:t>Interest</w:t>
            </w:r>
          </w:p>
        </w:tc>
      </w:tr>
      <w:tr>
        <w:trPr>
          <w:trHeight w:val="161"/>
        </w:trPr>
        <w:tc>
          <w:tcPr>
            <w:tcW w:w="580" w:type="dxa"/>
            <w:vAlign w:val="bottom"/>
          </w:tcPr>
          <w:p>
            <w:pPr>
              <w:spacing w:after="0"/>
              <w:rPr>
                <w:sz w:val="20"/>
                <w:szCs w:val="20"/>
                <w:color w:val="auto"/>
              </w:rPr>
            </w:pPr>
            <w:r>
              <w:rPr>
                <w:rFonts w:ascii="Arial" w:cs="Arial" w:eastAsia="Arial" w:hAnsi="Arial"/>
                <w:sz w:val="13"/>
                <w:szCs w:val="13"/>
                <w:b w:val="1"/>
                <w:bCs w:val="1"/>
                <w:color w:val="auto"/>
                <w:w w:val="94"/>
              </w:rPr>
              <w:t>Company</w:t>
            </w:r>
          </w:p>
        </w:tc>
        <w:tc>
          <w:tcPr>
            <w:tcW w:w="3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0"/>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4"/>
                <w:szCs w:val="14"/>
                <w:color w:val="auto"/>
              </w:rPr>
            </w:pPr>
          </w:p>
        </w:tc>
        <w:tc>
          <w:tcPr>
            <w:tcW w:w="68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w w:val="94"/>
              </w:rPr>
              <w:t>Additions</w:t>
            </w:r>
            <w:r>
              <w:rPr>
                <w:rFonts w:ascii="Arial" w:cs="Arial" w:eastAsia="Arial" w:hAnsi="Arial"/>
                <w:sz w:val="18"/>
                <w:szCs w:val="18"/>
                <w:b w:val="1"/>
                <w:bCs w:val="1"/>
                <w:color w:val="auto"/>
                <w:w w:val="94"/>
                <w:vertAlign w:val="superscript"/>
              </w:rPr>
              <w:t>(a)</w:t>
            </w:r>
          </w:p>
        </w:tc>
        <w:tc>
          <w:tcPr>
            <w:tcW w:w="200" w:type="dxa"/>
            <w:vAlign w:val="bottom"/>
          </w:tcPr>
          <w:p>
            <w:pPr>
              <w:spacing w:after="0"/>
              <w:rPr>
                <w:sz w:val="14"/>
                <w:szCs w:val="14"/>
                <w:color w:val="auto"/>
              </w:rPr>
            </w:pPr>
          </w:p>
        </w:tc>
        <w:tc>
          <w:tcPr>
            <w:tcW w:w="920" w:type="dxa"/>
            <w:vAlign w:val="bottom"/>
            <w:gridSpan w:val="3"/>
          </w:tcPr>
          <w:p>
            <w:pPr>
              <w:spacing w:after="0" w:line="162" w:lineRule="exact"/>
              <w:rPr>
                <w:sz w:val="20"/>
                <w:szCs w:val="20"/>
                <w:color w:val="auto"/>
              </w:rPr>
            </w:pPr>
            <w:r>
              <w:rPr>
                <w:rFonts w:ascii="Arial" w:cs="Arial" w:eastAsia="Arial" w:hAnsi="Arial"/>
                <w:sz w:val="12"/>
                <w:szCs w:val="12"/>
                <w:b w:val="1"/>
                <w:bCs w:val="1"/>
                <w:color w:val="auto"/>
              </w:rPr>
              <w:t>Reductions</w:t>
            </w:r>
            <w:r>
              <w:rPr>
                <w:rFonts w:ascii="Arial" w:cs="Arial" w:eastAsia="Arial" w:hAnsi="Arial"/>
                <w:sz w:val="18"/>
                <w:szCs w:val="18"/>
                <w:b w:val="1"/>
                <w:bCs w:val="1"/>
                <w:color w:val="auto"/>
                <w:vertAlign w:val="superscript"/>
              </w:rPr>
              <w:t>(b)</w:t>
            </w:r>
          </w:p>
        </w:tc>
        <w:tc>
          <w:tcPr>
            <w:tcW w:w="10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7"/>
              </w:rPr>
              <w:t>Gain/(Loss)</w:t>
            </w:r>
          </w:p>
        </w:tc>
        <w:tc>
          <w:tcPr>
            <w:tcW w:w="780" w:type="dxa"/>
            <w:vAlign w:val="bottom"/>
            <w:gridSpan w:val="3"/>
          </w:tcPr>
          <w:p>
            <w:pPr>
              <w:ind w:left="100"/>
              <w:spacing w:after="0"/>
              <w:rPr>
                <w:sz w:val="20"/>
                <w:szCs w:val="20"/>
                <w:color w:val="auto"/>
              </w:rPr>
            </w:pPr>
            <w:r>
              <w:rPr>
                <w:rFonts w:ascii="Arial" w:cs="Arial" w:eastAsia="Arial" w:hAnsi="Arial"/>
                <w:sz w:val="13"/>
                <w:szCs w:val="13"/>
                <w:b w:val="1"/>
                <w:bCs w:val="1"/>
                <w:color w:val="auto"/>
                <w:w w:val="92"/>
              </w:rPr>
              <w:t>Gain/(Loss)</w:t>
            </w:r>
          </w:p>
        </w:tc>
        <w:tc>
          <w:tcPr>
            <w:tcW w:w="2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Transfers</w:t>
            </w:r>
          </w:p>
        </w:tc>
        <w:tc>
          <w:tcPr>
            <w:tcW w:w="140" w:type="dxa"/>
            <w:vAlign w:val="bottom"/>
          </w:tcPr>
          <w:p>
            <w:pPr>
              <w:spacing w:after="0"/>
              <w:rPr>
                <w:sz w:val="14"/>
                <w:szCs w:val="14"/>
                <w:color w:val="auto"/>
              </w:rPr>
            </w:pPr>
          </w:p>
        </w:tc>
        <w:tc>
          <w:tcPr>
            <w:tcW w:w="700" w:type="dxa"/>
            <w:vAlign w:val="bottom"/>
          </w:tcPr>
          <w:p>
            <w:pPr>
              <w:jc w:val="center"/>
              <w:ind w:right="70"/>
              <w:spacing w:after="0"/>
              <w:rPr>
                <w:sz w:val="20"/>
                <w:szCs w:val="20"/>
                <w:color w:val="auto"/>
              </w:rPr>
            </w:pPr>
            <w:r>
              <w:rPr>
                <w:rFonts w:ascii="Arial" w:cs="Arial" w:eastAsia="Arial" w:hAnsi="Arial"/>
                <w:sz w:val="13"/>
                <w:szCs w:val="13"/>
                <w:b w:val="1"/>
                <w:bCs w:val="1"/>
                <w:color w:val="auto"/>
                <w:w w:val="96"/>
              </w:rPr>
              <w:t>2022</w:t>
            </w:r>
          </w:p>
        </w:tc>
        <w:tc>
          <w:tcPr>
            <w:tcW w:w="100" w:type="dxa"/>
            <w:vAlign w:val="bottom"/>
          </w:tcPr>
          <w:p>
            <w:pPr>
              <w:spacing w:after="0"/>
              <w:rPr>
                <w:sz w:val="14"/>
                <w:szCs w:val="14"/>
                <w:color w:val="auto"/>
              </w:rPr>
            </w:pPr>
          </w:p>
        </w:tc>
        <w:tc>
          <w:tcPr>
            <w:tcW w:w="72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Income</w:t>
            </w:r>
          </w:p>
        </w:tc>
        <w:tc>
          <w:tcPr>
            <w:tcW w:w="48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r>
      <w:tr>
        <w:trPr>
          <w:trHeight w:val="20"/>
        </w:trPr>
        <w:tc>
          <w:tcPr>
            <w:tcW w:w="5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IRGSE</w:t>
            </w:r>
          </w:p>
        </w:tc>
        <w:tc>
          <w:tcPr>
            <w:tcW w:w="3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Holding Corp.</w:t>
            </w:r>
          </w:p>
        </w:tc>
        <w:tc>
          <w:tcPr>
            <w:tcW w:w="120" w:type="dxa"/>
            <w:vAlign w:val="bottom"/>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59,779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38"/>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7,990</w:t>
            </w:r>
          </w:p>
        </w:tc>
        <w:tc>
          <w:tcPr>
            <w:tcW w:w="18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70,269</w:t>
            </w:r>
          </w:p>
        </w:tc>
        <w:tc>
          <w:tcPr>
            <w:tcW w:w="240" w:type="dxa"/>
            <w:vAlign w:val="bottom"/>
            <w:gridSpan w:val="2"/>
            <w:shd w:val="clear" w:color="auto" w:fill="CCEEFF"/>
          </w:tcPr>
          <w:p>
            <w:pPr>
              <w:jc w:val="right"/>
              <w:ind w:right="21"/>
              <w:spacing w:after="0" w:line="142"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3</w:t>
            </w:r>
          </w:p>
        </w:tc>
        <w:tc>
          <w:tcPr>
            <w:tcW w:w="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98"/>
              </w:rPr>
              <w:t>$ 3,520</w:t>
            </w:r>
          </w:p>
        </w:tc>
      </w:tr>
      <w:tr>
        <w:trPr>
          <w:trHeight w:val="156"/>
        </w:trPr>
        <w:tc>
          <w:tcPr>
            <w:tcW w:w="3620" w:type="dxa"/>
            <w:vAlign w:val="bottom"/>
            <w:gridSpan w:val="2"/>
          </w:tcPr>
          <w:p>
            <w:pPr>
              <w:spacing w:after="0" w:line="149" w:lineRule="exact"/>
              <w:rPr>
                <w:sz w:val="20"/>
                <w:szCs w:val="20"/>
                <w:color w:val="auto"/>
              </w:rPr>
            </w:pPr>
            <w:r>
              <w:rPr>
                <w:rFonts w:ascii="Arial" w:cs="Arial" w:eastAsia="Arial" w:hAnsi="Arial"/>
                <w:sz w:val="14"/>
                <w:szCs w:val="14"/>
                <w:color w:val="auto"/>
              </w:rPr>
              <w:t>Mississippi Resources, LLC</w:t>
            </w:r>
          </w:p>
        </w:tc>
        <w:tc>
          <w:tcPr>
            <w:tcW w:w="12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(1,553)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r>
      <w:tr>
        <w:trPr>
          <w:trHeight w:val="148"/>
        </w:trPr>
        <w:tc>
          <w:tcPr>
            <w:tcW w:w="3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59,779</w:t>
            </w: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2,500</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w w:val="76"/>
              </w:rPr>
              <w:t>(1,553)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20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70,269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0"/>
                <w:szCs w:val="10"/>
                <w:b w:val="1"/>
                <w:bCs w:val="1"/>
                <w:color w:val="auto"/>
                <w:w w:val="71"/>
              </w:rPr>
              <w:t>$</w:t>
            </w:r>
          </w:p>
        </w:tc>
        <w:tc>
          <w:tcPr>
            <w:tcW w:w="2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200" w:type="dxa"/>
            <w:vAlign w:val="bottom"/>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9"/>
              </w:rPr>
              <w:t>$ 3,520</w:t>
            </w:r>
          </w:p>
        </w:tc>
        <w:tc>
          <w:tcPr>
            <w:tcW w:w="40" w:type="dxa"/>
            <w:vAlign w:val="bottom"/>
            <w:shd w:val="clear" w:color="auto" w:fill="CCEEFF"/>
          </w:tcPr>
          <w:p>
            <w:pPr>
              <w:spacing w:after="0"/>
              <w:rPr>
                <w:sz w:val="12"/>
                <w:szCs w:val="12"/>
                <w:color w:val="auto"/>
              </w:rPr>
            </w:pPr>
          </w:p>
        </w:tc>
      </w:tr>
      <w:tr>
        <w:trPr>
          <w:trHeight w:val="20"/>
        </w:trPr>
        <w:tc>
          <w:tcPr>
            <w:tcW w:w="5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20" w:right="100" w:hanging="563"/>
        <w:spacing w:after="0" w:line="258"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20" w:right="200" w:hanging="563"/>
        <w:spacing w:after="0" w:line="255"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216" w:lineRule="exact"/>
        <w:rPr>
          <w:rFonts w:ascii="Arial" w:cs="Arial" w:eastAsia="Arial" w:hAnsi="Arial"/>
          <w:sz w:val="18"/>
          <w:szCs w:val="18"/>
          <w:color w:val="auto"/>
        </w:rPr>
      </w:pPr>
    </w:p>
    <w:p>
      <w:pPr>
        <w:ind w:left="460" w:right="660" w:hanging="452"/>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September 30, 2022, the estimated cost basis of investments for U.S. federal tax purposes was $2,807,880, resulting in estimated gross unrealized gains and losses of $117,489 and $109,905,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67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460" w:right="220" w:hanging="452"/>
        <w:spacing w:after="0" w:line="255"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460" w:right="6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This investment is non-income producing.</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or a portion of this security was acquired in a transaction exempt from registration under the Securities Act, and may be deemed to be “restricted securities” under the Securities Act. As of September 30, 2022, the aggregate fair value of these securities is $70,609 or 5.3% of the Company’s net assets.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Investment is on non-accrual status as of September 30, 2022.</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675" w:right="4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2021 Annual Report incorporated by reference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jc w:val="both"/>
        <w:ind w:right="300" w:firstLine="449"/>
        <w:spacing w:after="0" w:line="311"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54" w:lineRule="exact"/>
        <w:rPr>
          <w:sz w:val="20"/>
          <w:szCs w:val="20"/>
          <w:color w:val="auto"/>
        </w:rPr>
      </w:pPr>
    </w:p>
    <w:p>
      <w:pPr>
        <w:ind w:left="1020" w:hanging="450"/>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20" w:hanging="450"/>
        <w:spacing w:after="0" w:line="286" w:lineRule="auto"/>
        <w:tabs>
          <w:tab w:leader="none" w:pos="10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1020" w:right="100" w:hanging="450"/>
        <w:spacing w:after="0" w:line="25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540" w:firstLine="449"/>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67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w:t>
      </w:r>
    </w:p>
    <w:p>
      <w:pPr>
        <w:spacing w:after="0" w:line="165"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92" w:lineRule="exact"/>
        <w:rPr>
          <w:sz w:val="20"/>
          <w:szCs w:val="20"/>
          <w:color w:val="auto"/>
        </w:rPr>
      </w:pPr>
    </w:p>
    <w:p>
      <w:pPr>
        <w:ind w:left="1020" w:hanging="450"/>
        <w:spacing w:after="0"/>
        <w:tabs>
          <w:tab w:leader="none" w:pos="10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“required majority” of our directors have determined that any such sale would be in the best interests of us and our stockholders;</w:t>
      </w:r>
    </w:p>
    <w:p>
      <w:pPr>
        <w:spacing w:after="0" w:line="142" w:lineRule="exact"/>
        <w:rPr>
          <w:rFonts w:ascii="Arial" w:cs="Arial" w:eastAsia="Arial" w:hAnsi="Arial"/>
          <w:sz w:val="17"/>
          <w:szCs w:val="17"/>
          <w:color w:val="auto"/>
        </w:rPr>
      </w:pPr>
    </w:p>
    <w:p>
      <w:pPr>
        <w:ind w:left="1020" w:right="140" w:hanging="450"/>
        <w:spacing w:after="0" w:line="257"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020" w:hanging="450"/>
        <w:spacing w:after="0"/>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number of shares to be issued does not exceed 25% of our then-outstanding common stock immediately prior to each such offering.</w:t>
      </w:r>
    </w:p>
    <w:p>
      <w:pPr>
        <w:spacing w:after="0" w:line="248"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4"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46"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1020" w:hanging="450"/>
        <w:spacing w:after="0" w:line="277"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1020" w:hanging="450"/>
        <w:spacing w:after="0" w:line="277"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1020" w:right="460" w:hanging="450"/>
        <w:spacing w:after="0" w:line="277"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675"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9"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66"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net asset value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two headings and accompanying tables explain and provide hypothetical examples on the impact of a public offering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at a price less than net asset value on two different types of investors:</w:t>
      </w:r>
    </w:p>
    <w:p>
      <w:pPr>
        <w:spacing w:after="0" w:line="116" w:lineRule="exact"/>
        <w:rPr>
          <w:sz w:val="20"/>
          <w:szCs w:val="20"/>
          <w:color w:val="auto"/>
        </w:rPr>
      </w:pPr>
    </w:p>
    <w:p>
      <w:pPr>
        <w:ind w:left="1020" w:hanging="450"/>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 and</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w:t>
      </w:r>
    </w:p>
    <w:p>
      <w:pPr>
        <w:spacing w:after="0" w:line="248"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 placement of common stock at a price less than net asset value to a third party in a private placement would have an impact substantially similar to the impact on existing stockholders who do not purchase any shares in the public offering described below.</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67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w:t>
      </w:r>
    </w:p>
    <w:p>
      <w:pPr>
        <w:spacing w:after="0" w:line="184" w:lineRule="exact"/>
        <w:rPr>
          <w:sz w:val="20"/>
          <w:szCs w:val="20"/>
          <w:color w:val="auto"/>
        </w:rPr>
      </w:pPr>
    </w:p>
    <w:p>
      <w:pPr>
        <w:ind w:right="240" w:firstLine="449"/>
        <w:spacing w:after="0" w:line="286" w:lineRule="auto"/>
        <w:rPr>
          <w:sz w:val="20"/>
          <w:szCs w:val="20"/>
          <w:color w:val="auto"/>
        </w:rPr>
      </w:pPr>
      <w:r>
        <w:rPr>
          <w:rFonts w:ascii="Arial" w:cs="Arial" w:eastAsia="Arial" w:hAnsi="Arial"/>
          <w:sz w:val="16"/>
          <w:szCs w:val="16"/>
          <w:color w:val="auto"/>
        </w:rPr>
        <w:t>The examples below assume that the issuer has 75.8 million shares outstanding, $2.6 billion in total assets and $1.3 billion in total liabilities (all figures correspond to actual data for us as of December 31, 2021). The net asset value and net asset value per share are thus $1.3 billion and $16.84 per share as of December 31, 2021. The chart illustrates the dilutive effect on Stockholder A of (a) an offering of 3.8 million shares of common stock (5% of the outstanding shares) at $16.00 per share after offering expenses and commissions (a 5% discount from net asset value per share), (b) an offering of</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7.6 million shares of common stock (10% of the outstanding shares) at $15.16 per share after offering expenses and commissions (a 10% discount from net asset value per share), (c) an offering of 15.2 million shares of common stock (20% of the outstanding shares) at $13.47 per share after offering expenses and commissions (a 20% discount from net asset value per share), and (d) an offering of 18.9 million shares of common stock (25% of the outstanding shares) at $12.63 per share after offering expenses and commissions (a 25% discount from net asset value per share). The prospectus pursuant to which any discounted offering is made will include a chart based on the actual number of shares of common stock in such offering and the actual discount to the most recently determined net asset value. It is not possible to predict the level of market price decline that may occur.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0"/>
              </w:rPr>
              <w:t>Example 1</w:t>
            </w:r>
          </w:p>
        </w:tc>
        <w:tc>
          <w:tcPr>
            <w:tcW w:w="60" w:type="dxa"/>
            <w:vAlign w:val="bottom"/>
          </w:tcPr>
          <w:p>
            <w:pPr>
              <w:spacing w:after="0"/>
              <w:rPr>
                <w:sz w:val="12"/>
                <w:szCs w:val="12"/>
                <w:color w:val="auto"/>
              </w:rPr>
            </w:pPr>
          </w:p>
        </w:tc>
        <w:tc>
          <w:tcPr>
            <w:tcW w:w="142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90"/>
              </w:rPr>
              <w:t>Example 2</w:t>
            </w:r>
          </w:p>
        </w:tc>
        <w:tc>
          <w:tcPr>
            <w:tcW w:w="60" w:type="dxa"/>
            <w:vAlign w:val="bottom"/>
          </w:tcPr>
          <w:p>
            <w:pPr>
              <w:spacing w:after="0"/>
              <w:rPr>
                <w:sz w:val="12"/>
                <w:szCs w:val="12"/>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w w:val="87"/>
              </w:rPr>
              <w:t>Example 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87"/>
              </w:rPr>
              <w:t>Example 4</w:t>
            </w:r>
          </w:p>
        </w:tc>
      </w:tr>
      <w:tr>
        <w:trPr>
          <w:trHeight w:val="120"/>
        </w:trPr>
        <w:tc>
          <w:tcPr>
            <w:tcW w:w="4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18"/>
              <w:spacing w:after="0" w:line="121" w:lineRule="exact"/>
              <w:rPr>
                <w:sz w:val="20"/>
                <w:szCs w:val="20"/>
                <w:color w:val="auto"/>
              </w:rPr>
            </w:pPr>
            <w:r>
              <w:rPr>
                <w:rFonts w:ascii="Arial" w:cs="Arial" w:eastAsia="Arial" w:hAnsi="Arial"/>
                <w:sz w:val="12"/>
                <w:szCs w:val="12"/>
                <w:b w:val="1"/>
                <w:bCs w:val="1"/>
                <w:color w:val="auto"/>
                <w:w w:val="93"/>
              </w:rPr>
              <w:t>5% Offering at</w:t>
            </w: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2"/>
                <w:szCs w:val="12"/>
                <w:b w:val="1"/>
                <w:bCs w:val="1"/>
                <w:color w:val="auto"/>
                <w:w w:val="93"/>
              </w:rPr>
              <w:t>10% Offering at</w:t>
            </w: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spacing w:after="0" w:line="121" w:lineRule="exact"/>
              <w:rPr>
                <w:sz w:val="20"/>
                <w:szCs w:val="20"/>
                <w:color w:val="auto"/>
              </w:rPr>
            </w:pPr>
            <w:r>
              <w:rPr>
                <w:rFonts w:ascii="Arial" w:cs="Arial" w:eastAsia="Arial" w:hAnsi="Arial"/>
                <w:sz w:val="12"/>
                <w:szCs w:val="12"/>
                <w:b w:val="1"/>
                <w:bCs w:val="1"/>
                <w:color w:val="auto"/>
                <w:w w:val="93"/>
              </w:rPr>
              <w:t>20% Offering at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18"/>
              <w:spacing w:after="0" w:line="121" w:lineRule="exact"/>
              <w:rPr>
                <w:sz w:val="20"/>
                <w:szCs w:val="20"/>
                <w:color w:val="auto"/>
              </w:rPr>
            </w:pPr>
            <w:r>
              <w:rPr>
                <w:rFonts w:ascii="Arial" w:cs="Arial" w:eastAsia="Arial" w:hAnsi="Arial"/>
                <w:sz w:val="12"/>
                <w:szCs w:val="12"/>
                <w:b w:val="1"/>
                <w:bCs w:val="1"/>
                <w:color w:val="auto"/>
                <w:w w:val="93"/>
              </w:rPr>
              <w:t>25% Offering at</w:t>
            </w:r>
          </w:p>
        </w:tc>
        <w:tc>
          <w:tcPr>
            <w:tcW w:w="180" w:type="dxa"/>
            <w:vAlign w:val="bottom"/>
          </w:tcPr>
          <w:p>
            <w:pPr>
              <w:spacing w:after="0"/>
              <w:rPr>
                <w:sz w:val="10"/>
                <w:szCs w:val="10"/>
                <w:color w:val="auto"/>
              </w:rPr>
            </w:pPr>
          </w:p>
        </w:tc>
      </w:tr>
      <w:tr>
        <w:trPr>
          <w:trHeight w:val="143"/>
        </w:trPr>
        <w:tc>
          <w:tcPr>
            <w:tcW w:w="4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Prior to</w:t>
            </w:r>
          </w:p>
        </w:tc>
        <w:tc>
          <w:tcPr>
            <w:tcW w:w="60" w:type="dxa"/>
            <w:vAlign w:val="bottom"/>
          </w:tcPr>
          <w:p>
            <w:pPr>
              <w:spacing w:after="0"/>
              <w:rPr>
                <w:sz w:val="12"/>
                <w:szCs w:val="12"/>
                <w:color w:val="auto"/>
              </w:rPr>
            </w:pPr>
          </w:p>
        </w:tc>
        <w:tc>
          <w:tcPr>
            <w:tcW w:w="1500" w:type="dxa"/>
            <w:vAlign w:val="bottom"/>
            <w:gridSpan w:val="4"/>
          </w:tcPr>
          <w:p>
            <w:pPr>
              <w:jc w:val="center"/>
              <w:ind w:right="380"/>
              <w:spacing w:after="0"/>
              <w:rPr>
                <w:sz w:val="20"/>
                <w:szCs w:val="20"/>
                <w:color w:val="auto"/>
              </w:rPr>
            </w:pPr>
            <w:r>
              <w:rPr>
                <w:rFonts w:ascii="Arial" w:cs="Arial" w:eastAsia="Arial" w:hAnsi="Arial"/>
                <w:sz w:val="12"/>
                <w:szCs w:val="12"/>
                <w:b w:val="1"/>
                <w:bCs w:val="1"/>
                <w:color w:val="auto"/>
                <w:w w:val="88"/>
              </w:rPr>
              <w:t>5% Discount</w:t>
            </w:r>
          </w:p>
        </w:tc>
        <w:tc>
          <w:tcPr>
            <w:tcW w:w="60" w:type="dxa"/>
            <w:vAlign w:val="bottom"/>
          </w:tcPr>
          <w:p>
            <w:pPr>
              <w:spacing w:after="0"/>
              <w:rPr>
                <w:sz w:val="12"/>
                <w:szCs w:val="12"/>
                <w:color w:val="auto"/>
              </w:rPr>
            </w:pPr>
          </w:p>
        </w:tc>
        <w:tc>
          <w:tcPr>
            <w:tcW w:w="1420" w:type="dxa"/>
            <w:vAlign w:val="bottom"/>
            <w:gridSpan w:val="4"/>
          </w:tcPr>
          <w:p>
            <w:pPr>
              <w:jc w:val="center"/>
              <w:ind w:right="360"/>
              <w:spacing w:after="0"/>
              <w:rPr>
                <w:sz w:val="20"/>
                <w:szCs w:val="20"/>
                <w:color w:val="auto"/>
              </w:rPr>
            </w:pPr>
            <w:r>
              <w:rPr>
                <w:rFonts w:ascii="Arial" w:cs="Arial" w:eastAsia="Arial" w:hAnsi="Arial"/>
                <w:sz w:val="12"/>
                <w:szCs w:val="12"/>
                <w:b w:val="1"/>
                <w:bCs w:val="1"/>
                <w:color w:val="auto"/>
                <w:w w:val="88"/>
              </w:rPr>
              <w:t>10% Discount</w:t>
            </w:r>
          </w:p>
        </w:tc>
        <w:tc>
          <w:tcPr>
            <w:tcW w:w="60" w:type="dxa"/>
            <w:vAlign w:val="bottom"/>
          </w:tcPr>
          <w:p>
            <w:pPr>
              <w:spacing w:after="0"/>
              <w:rPr>
                <w:sz w:val="12"/>
                <w:szCs w:val="12"/>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w w:val="88"/>
              </w:rPr>
              <w:t>20% Discount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2"/>
                <w:szCs w:val="12"/>
                <w:b w:val="1"/>
                <w:bCs w:val="1"/>
                <w:color w:val="auto"/>
                <w:w w:val="91"/>
              </w:rPr>
              <w:t>25% Discount</w:t>
            </w:r>
          </w:p>
        </w:tc>
      </w:tr>
      <w:tr>
        <w:trPr>
          <w:trHeight w:val="120"/>
        </w:trPr>
        <w:tc>
          <w:tcPr>
            <w:tcW w:w="4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320"/>
              <w:spacing w:after="0" w:line="121" w:lineRule="exact"/>
              <w:rPr>
                <w:sz w:val="20"/>
                <w:szCs w:val="20"/>
                <w:color w:val="auto"/>
              </w:rPr>
            </w:pPr>
            <w:r>
              <w:rPr>
                <w:rFonts w:ascii="Arial" w:cs="Arial" w:eastAsia="Arial" w:hAnsi="Arial"/>
                <w:sz w:val="12"/>
                <w:szCs w:val="12"/>
                <w:b w:val="1"/>
                <w:bCs w:val="1"/>
                <w:color w:val="auto"/>
                <w:w w:val="85"/>
              </w:rPr>
              <w:t>Sale Below</w:t>
            </w: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300"/>
              <w:spacing w:after="0" w:line="121" w:lineRule="exact"/>
              <w:rPr>
                <w:sz w:val="20"/>
                <w:szCs w:val="20"/>
                <w:color w:val="auto"/>
              </w:rPr>
            </w:pPr>
            <w:r>
              <w:rPr>
                <w:rFonts w:ascii="Arial" w:cs="Arial" w:eastAsia="Arial" w:hAnsi="Arial"/>
                <w:sz w:val="12"/>
                <w:szCs w:val="12"/>
                <w:b w:val="1"/>
                <w:bCs w:val="1"/>
                <w:color w:val="auto"/>
                <w:w w:val="85"/>
              </w:rPr>
              <w:t>Following</w:t>
            </w:r>
          </w:p>
        </w:tc>
        <w:tc>
          <w:tcPr>
            <w:tcW w:w="400" w:type="dxa"/>
            <w:vAlign w:val="bottom"/>
            <w:tcBorders>
              <w:top w:val="single" w:sz="8" w:color="auto"/>
            </w:tcBorders>
          </w:tcPr>
          <w:p>
            <w:pPr>
              <w:jc w:val="right"/>
              <w:ind w:right="78"/>
              <w:spacing w:after="0" w:line="121" w:lineRule="exact"/>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220"/>
              <w:spacing w:after="0" w:line="121" w:lineRule="exact"/>
              <w:rPr>
                <w:sz w:val="20"/>
                <w:szCs w:val="20"/>
                <w:color w:val="auto"/>
              </w:rPr>
            </w:pPr>
            <w:r>
              <w:rPr>
                <w:rFonts w:ascii="Arial" w:cs="Arial" w:eastAsia="Arial" w:hAnsi="Arial"/>
                <w:sz w:val="12"/>
                <w:szCs w:val="12"/>
                <w:b w:val="1"/>
                <w:bCs w:val="1"/>
                <w:color w:val="auto"/>
                <w:w w:val="85"/>
              </w:rPr>
              <w:t>Following</w:t>
            </w:r>
          </w:p>
        </w:tc>
        <w:tc>
          <w:tcPr>
            <w:tcW w:w="400" w:type="dxa"/>
            <w:vAlign w:val="bottom"/>
            <w:tcBorders>
              <w:top w:val="single" w:sz="8" w:color="auto"/>
            </w:tcBorders>
          </w:tcPr>
          <w:p>
            <w:pPr>
              <w:jc w:val="right"/>
              <w:ind w:right="78"/>
              <w:spacing w:after="0" w:line="121" w:lineRule="exact"/>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300"/>
              <w:spacing w:after="0" w:line="121" w:lineRule="exact"/>
              <w:rPr>
                <w:sz w:val="20"/>
                <w:szCs w:val="20"/>
                <w:color w:val="auto"/>
              </w:rPr>
            </w:pPr>
            <w:r>
              <w:rPr>
                <w:rFonts w:ascii="Arial" w:cs="Arial" w:eastAsia="Arial" w:hAnsi="Arial"/>
                <w:sz w:val="12"/>
                <w:szCs w:val="12"/>
                <w:b w:val="1"/>
                <w:bCs w:val="1"/>
                <w:color w:val="auto"/>
                <w:w w:val="85"/>
              </w:rPr>
              <w:t>Following</w:t>
            </w:r>
          </w:p>
        </w:tc>
        <w:tc>
          <w:tcPr>
            <w:tcW w:w="400" w:type="dxa"/>
            <w:vAlign w:val="bottom"/>
            <w:tcBorders>
              <w:top w:val="single" w:sz="8" w:color="auto"/>
            </w:tcBorders>
          </w:tcPr>
          <w:p>
            <w:pPr>
              <w:jc w:val="right"/>
              <w:ind w:right="78"/>
              <w:spacing w:after="0" w:line="121"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300"/>
              <w:spacing w:after="0" w:line="121" w:lineRule="exact"/>
              <w:rPr>
                <w:sz w:val="20"/>
                <w:szCs w:val="20"/>
                <w:color w:val="auto"/>
              </w:rPr>
            </w:pPr>
            <w:r>
              <w:rPr>
                <w:rFonts w:ascii="Arial" w:cs="Arial" w:eastAsia="Arial" w:hAnsi="Arial"/>
                <w:sz w:val="12"/>
                <w:szCs w:val="12"/>
                <w:b w:val="1"/>
                <w:bCs w:val="1"/>
                <w:color w:val="auto"/>
                <w:w w:val="85"/>
              </w:rPr>
              <w:t>Following</w:t>
            </w:r>
          </w:p>
        </w:tc>
        <w:tc>
          <w:tcPr>
            <w:tcW w:w="380" w:type="dxa"/>
            <w:vAlign w:val="bottom"/>
            <w:tcBorders>
              <w:top w:val="single" w:sz="8" w:color="auto"/>
            </w:tcBorders>
          </w:tcPr>
          <w:p>
            <w:pPr>
              <w:jc w:val="right"/>
              <w:ind w:right="78"/>
              <w:spacing w:after="0" w:line="121" w:lineRule="exact"/>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0"/>
                <w:szCs w:val="10"/>
                <w:color w:val="auto"/>
              </w:rPr>
            </w:pPr>
          </w:p>
        </w:tc>
      </w:tr>
      <w:tr>
        <w:trPr>
          <w:trHeight w:val="143"/>
        </w:trPr>
        <w:tc>
          <w:tcPr>
            <w:tcW w:w="4280" w:type="dxa"/>
            <w:vAlign w:val="bottom"/>
          </w:tcPr>
          <w:p>
            <w:pPr>
              <w:spacing w:after="0"/>
              <w:rPr>
                <w:sz w:val="12"/>
                <w:szCs w:val="12"/>
                <w:color w:val="auto"/>
              </w:rPr>
            </w:pPr>
          </w:p>
        </w:tc>
        <w:tc>
          <w:tcPr>
            <w:tcW w:w="980" w:type="dxa"/>
            <w:vAlign w:val="bottom"/>
            <w:gridSpan w:val="4"/>
          </w:tcPr>
          <w:p>
            <w:pPr>
              <w:ind w:left="20"/>
              <w:spacing w:after="0"/>
              <w:rPr>
                <w:sz w:val="20"/>
                <w:szCs w:val="20"/>
                <w:color w:val="auto"/>
              </w:rPr>
            </w:pPr>
            <w:r>
              <w:rPr>
                <w:rFonts w:ascii="Arial" w:cs="Arial" w:eastAsia="Arial" w:hAnsi="Arial"/>
                <w:sz w:val="12"/>
                <w:szCs w:val="12"/>
                <w:b w:val="1"/>
                <w:bCs w:val="1"/>
                <w:color w:val="auto"/>
              </w:rPr>
              <w:t>net asset value</w:t>
            </w:r>
          </w:p>
        </w:tc>
        <w:tc>
          <w:tcPr>
            <w:tcW w:w="60" w:type="dxa"/>
            <w:vAlign w:val="bottom"/>
          </w:tcPr>
          <w:p>
            <w:pPr>
              <w:spacing w:after="0"/>
              <w:rPr>
                <w:sz w:val="12"/>
                <w:szCs w:val="12"/>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Sale</w:t>
            </w:r>
          </w:p>
        </w:tc>
        <w:tc>
          <w:tcPr>
            <w:tcW w:w="7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Change</w:t>
            </w:r>
          </w:p>
        </w:tc>
        <w:tc>
          <w:tcPr>
            <w:tcW w:w="60" w:type="dxa"/>
            <w:vAlign w:val="bottom"/>
          </w:tcPr>
          <w:p>
            <w:pPr>
              <w:spacing w:after="0"/>
              <w:rPr>
                <w:sz w:val="12"/>
                <w:szCs w:val="12"/>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Sale</w:t>
            </w:r>
          </w:p>
        </w:tc>
        <w:tc>
          <w:tcPr>
            <w:tcW w:w="7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Change</w:t>
            </w:r>
          </w:p>
        </w:tc>
        <w:tc>
          <w:tcPr>
            <w:tcW w:w="60" w:type="dxa"/>
            <w:vAlign w:val="bottom"/>
          </w:tcPr>
          <w:p>
            <w:pPr>
              <w:spacing w:after="0"/>
              <w:rPr>
                <w:sz w:val="12"/>
                <w:szCs w:val="12"/>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Sale</w:t>
            </w:r>
          </w:p>
        </w:tc>
        <w:tc>
          <w:tcPr>
            <w:tcW w:w="6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6"/>
              </w:rPr>
              <w:t>Change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Sale</w:t>
            </w:r>
          </w:p>
        </w:tc>
        <w:tc>
          <w:tcPr>
            <w:tcW w:w="5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6"/>
              </w:rPr>
              <w:t>Change</w:t>
            </w:r>
          </w:p>
        </w:tc>
      </w:tr>
      <w:tr>
        <w:trPr>
          <w:trHeight w:val="128"/>
        </w:trPr>
        <w:tc>
          <w:tcPr>
            <w:tcW w:w="42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Offering Price</w:t>
            </w:r>
          </w:p>
        </w:tc>
        <w:tc>
          <w:tcPr>
            <w:tcW w:w="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Price per Share to Public</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16.84</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15.95</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14.18</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13.29</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Proceeds per Share to Issuer</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16.00</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15.16</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13.47</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12.63</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b w:val="1"/>
                <w:bCs w:val="1"/>
                <w:color w:val="auto"/>
              </w:rPr>
              <w:t>Decrease/Increase to Net Asset Value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Offered</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3,788,577</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7,577,154</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86"/>
              </w:rPr>
              <w:t>15,154,308</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82"/>
              </w:rPr>
              <w:t>18,942,886</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Total Shares Outstanding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5"/>
              </w:rPr>
              <w:t>75,771,542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82"/>
              </w:rPr>
              <w:t>79,560,119</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82"/>
              </w:rPr>
              <w:t>83,348,696</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86"/>
              </w:rPr>
              <w:t>90,925,850</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82"/>
              </w:rPr>
              <w:t>94,714,428</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Asset Value per Share</w:t>
            </w:r>
          </w:p>
        </w:tc>
        <w:tc>
          <w:tcPr>
            <w:tcW w:w="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16.84</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16.80</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(0.25%)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16.69</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(0.92%)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16.28</w:t>
            </w: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(3.34%)</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16.00</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(5.01%)</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b w:val="1"/>
                <w:bCs w:val="1"/>
                <w:color w:val="auto"/>
              </w:rPr>
              <w:t>Dilution to Nonparticipating Stockholder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Shares Held by Stockholder A</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75,772</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75,772</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0.00%</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75,772</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0.00%</w:t>
            </w: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75,772</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75,772</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0.00%</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Percentage Held by Stockholder A</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0.10%</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0.10%</w:t>
            </w: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(4.76%)</w:t>
            </w:r>
          </w:p>
        </w:tc>
        <w:tc>
          <w:tcPr>
            <w:tcW w:w="6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0.09%</w:t>
            </w: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(9.09%)</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0.08%</w:t>
            </w: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8"/>
              </w:rPr>
              <w:t>(16.67%)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0.08%</w:t>
            </w:r>
          </w:p>
        </w:tc>
        <w:tc>
          <w:tcPr>
            <w:tcW w:w="5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w w:val="94"/>
              </w:rPr>
              <w:t>(20.00%)</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Net Asset Value Held by Stockholder A</w:t>
            </w:r>
          </w:p>
        </w:tc>
        <w:tc>
          <w:tcPr>
            <w:tcW w:w="1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1,275,848</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1,272,824</w:t>
            </w:r>
          </w:p>
        </w:tc>
        <w:tc>
          <w:tcPr>
            <w:tcW w:w="2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(0.24%)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1,264,268</w:t>
            </w:r>
          </w:p>
        </w:tc>
        <w:tc>
          <w:tcPr>
            <w:tcW w:w="1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(0.91%)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6"/>
              </w:rPr>
              <w:t>1,233,346</w:t>
            </w:r>
          </w:p>
        </w:tc>
        <w:tc>
          <w:tcPr>
            <w:tcW w:w="6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(3.33%)</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3"/>
              </w:rPr>
              <w:t>1,212,084</w:t>
            </w:r>
          </w:p>
        </w:tc>
        <w:tc>
          <w:tcPr>
            <w:tcW w:w="56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(5.00%)</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Total Investment by Stockholder A (Assumed to be $16.84 per Share)</w:t>
            </w:r>
          </w:p>
        </w:tc>
        <w:tc>
          <w:tcPr>
            <w:tcW w:w="100" w:type="dxa"/>
            <w:vAlign w:val="bottom"/>
            <w:gridSpan w:val="2"/>
          </w:tcPr>
          <w:p>
            <w:pPr>
              <w:ind w:left="20"/>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1,275,848</w:t>
            </w:r>
          </w:p>
        </w:tc>
        <w:tc>
          <w:tcPr>
            <w:tcW w:w="2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3"/>
              </w:rPr>
              <w:t>1,275,848</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1,275,848</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6"/>
              </w:rPr>
              <w:t>1,275,848</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w w:val="93"/>
              </w:rPr>
              <w:t>1,275,848</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Total Dilution to Stockholder A (Total Net Asset Value Less Total Investment)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(3,023)</w:t>
            </w: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(11,579)</w:t>
            </w: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(42,501)</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(63,763)</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21"/>
        </w:trPr>
        <w:tc>
          <w:tcPr>
            <w:tcW w:w="4280" w:type="dxa"/>
            <w:vAlign w:val="bottom"/>
          </w:tcPr>
          <w:p>
            <w:pPr>
              <w:spacing w:after="0" w:line="121" w:lineRule="exact"/>
              <w:rPr>
                <w:sz w:val="20"/>
                <w:szCs w:val="20"/>
                <w:color w:val="auto"/>
              </w:rPr>
            </w:pPr>
            <w:r>
              <w:rPr>
                <w:rFonts w:ascii="Arial" w:cs="Arial" w:eastAsia="Arial" w:hAnsi="Arial"/>
                <w:sz w:val="13"/>
                <w:szCs w:val="13"/>
                <w:color w:val="auto"/>
                <w:w w:val="90"/>
              </w:rPr>
              <w:t>Investment per Share Held by Stockholder A (Assumed to be $16.84 per Share on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9"/>
        </w:trPr>
        <w:tc>
          <w:tcPr>
            <w:tcW w:w="4280" w:type="dxa"/>
            <w:vAlign w:val="bottom"/>
          </w:tcPr>
          <w:p>
            <w:pPr>
              <w:ind w:left="140"/>
              <w:spacing w:after="0"/>
              <w:rPr>
                <w:sz w:val="20"/>
                <w:szCs w:val="20"/>
                <w:color w:val="auto"/>
              </w:rPr>
            </w:pPr>
            <w:r>
              <w:rPr>
                <w:rFonts w:ascii="Arial" w:cs="Arial" w:eastAsia="Arial" w:hAnsi="Arial"/>
                <w:sz w:val="13"/>
                <w:szCs w:val="13"/>
                <w:color w:val="auto"/>
              </w:rPr>
              <w:t>Shares Held Prior to Sale)</w:t>
            </w:r>
          </w:p>
        </w:tc>
        <w:tc>
          <w:tcPr>
            <w:tcW w:w="100" w:type="dxa"/>
            <w:vAlign w:val="bottom"/>
            <w:gridSpan w:val="2"/>
          </w:tcPr>
          <w:p>
            <w:pPr>
              <w:ind w:left="20"/>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16.84</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16.84</w:t>
            </w:r>
          </w:p>
        </w:tc>
        <w:tc>
          <w:tcPr>
            <w:tcW w:w="22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16.84</w:t>
            </w:r>
          </w:p>
        </w:tc>
        <w:tc>
          <w:tcPr>
            <w:tcW w:w="16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16.84</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0.00%</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16.84</w:t>
            </w:r>
          </w:p>
        </w:tc>
        <w:tc>
          <w:tcPr>
            <w:tcW w:w="560" w:type="dxa"/>
            <w:vAlign w:val="bottom"/>
            <w:gridSpan w:val="2"/>
          </w:tcPr>
          <w:p>
            <w:pPr>
              <w:jc w:val="right"/>
              <w:ind w:right="80"/>
              <w:spacing w:after="0"/>
              <w:rPr>
                <w:sz w:val="20"/>
                <w:szCs w:val="20"/>
                <w:color w:val="auto"/>
              </w:rPr>
            </w:pPr>
            <w:r>
              <w:rPr>
                <w:rFonts w:ascii="Arial" w:cs="Arial" w:eastAsia="Arial" w:hAnsi="Arial"/>
                <w:sz w:val="13"/>
                <w:szCs w:val="13"/>
                <w:color w:val="auto"/>
              </w:rPr>
              <w:t>0.00%</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Asset Value per Share Held by Stockholder A</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16.80</w:t>
            </w: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16.69</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16.28</w:t>
            </w: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16.00</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21"/>
        </w:trPr>
        <w:tc>
          <w:tcPr>
            <w:tcW w:w="4280" w:type="dxa"/>
            <w:vAlign w:val="bottom"/>
          </w:tcPr>
          <w:p>
            <w:pPr>
              <w:spacing w:after="0" w:line="121" w:lineRule="exact"/>
              <w:rPr>
                <w:sz w:val="20"/>
                <w:szCs w:val="20"/>
                <w:color w:val="auto"/>
              </w:rPr>
            </w:pPr>
            <w:r>
              <w:rPr>
                <w:rFonts w:ascii="Arial" w:cs="Arial" w:eastAsia="Arial" w:hAnsi="Arial"/>
                <w:sz w:val="13"/>
                <w:szCs w:val="13"/>
                <w:color w:val="auto"/>
                <w:w w:val="99"/>
              </w:rPr>
              <w:t>Dilution per Share Held by Stockholder A (Net Asset Value per Share Less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9"/>
        </w:trPr>
        <w:tc>
          <w:tcPr>
            <w:tcW w:w="4280" w:type="dxa"/>
            <w:vAlign w:val="bottom"/>
          </w:tcPr>
          <w:p>
            <w:pPr>
              <w:ind w:left="140"/>
              <w:spacing w:after="0"/>
              <w:rPr>
                <w:sz w:val="20"/>
                <w:szCs w:val="20"/>
                <w:color w:val="auto"/>
              </w:rPr>
            </w:pPr>
            <w:r>
              <w:rPr>
                <w:rFonts w:ascii="Arial" w:cs="Arial" w:eastAsia="Arial" w:hAnsi="Arial"/>
                <w:sz w:val="13"/>
                <w:szCs w:val="13"/>
                <w:color w:val="auto"/>
              </w:rPr>
              <w:t>Investment per Share)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(0.04)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(0.15)</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(0.56)</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(0.84)</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1"/>
        </w:trPr>
        <w:tc>
          <w:tcPr>
            <w:tcW w:w="42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89"/>
              </w:rPr>
              <w:t>Percentage Dilution to Stockholder A (Dilution per Share Divided by Investment per</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9"/>
        </w:trPr>
        <w:tc>
          <w:tcPr>
            <w:tcW w:w="42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Share)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(0.25%)</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(0.92%)</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(5.01%)</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Our existing stockholders who participate in an offering below net asset value or who buy additional shares in the secondary market at the same or lower price as we obtain in the offering (after expenses and commissions)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67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w:t>
      </w:r>
    </w:p>
    <w:p>
      <w:pPr>
        <w:spacing w:after="0" w:line="168"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15.2 million shares) rather than its 0.10% proportionate share and (b) 150% of such percentage (i.e., 0.15% of an offering of 15.2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gridSpan w:val="4"/>
          </w:tcPr>
          <w:p>
            <w:pPr>
              <w:ind w:left="200"/>
              <w:spacing w:after="0"/>
              <w:rPr>
                <w:sz w:val="20"/>
                <w:szCs w:val="20"/>
                <w:color w:val="auto"/>
              </w:rPr>
            </w:pPr>
            <w:r>
              <w:rPr>
                <w:rFonts w:ascii="Arial" w:cs="Arial" w:eastAsia="Arial" w:hAnsi="Arial"/>
                <w:sz w:val="14"/>
                <w:szCs w:val="14"/>
                <w:b w:val="1"/>
                <w:bCs w:val="1"/>
                <w:color w:val="auto"/>
              </w:rPr>
              <w:t>50% Participation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8"/>
              </w:rPr>
              <w:t>Following</w:t>
            </w:r>
          </w:p>
        </w:tc>
        <w:tc>
          <w:tcPr>
            <w:tcW w:w="460" w:type="dxa"/>
            <w:vAlign w:val="bottom"/>
            <w:tcBorders>
              <w:top w:val="single" w:sz="8" w:color="auto"/>
            </w:tcBorders>
          </w:tcPr>
          <w:p>
            <w:pPr>
              <w:jc w:val="right"/>
              <w:ind w:right="8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8"/>
              </w:rPr>
              <w:t>Following</w:t>
            </w:r>
          </w:p>
        </w:tc>
        <w:tc>
          <w:tcPr>
            <w:tcW w:w="460" w:type="dxa"/>
            <w:vAlign w:val="bottom"/>
            <w:tcBorders>
              <w:top w:val="single" w:sz="8" w:color="auto"/>
            </w:tcBorders>
          </w:tcPr>
          <w:p>
            <w:pPr>
              <w:jc w:val="right"/>
              <w:ind w:right="85"/>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720" w:type="dxa"/>
            <w:vAlign w:val="bottom"/>
            <w:gridSpan w:val="4"/>
          </w:tcPr>
          <w:p>
            <w:pPr>
              <w:ind w:left="160"/>
              <w:spacing w:after="0"/>
              <w:rPr>
                <w:sz w:val="20"/>
                <w:szCs w:val="20"/>
                <w:color w:val="auto"/>
              </w:rPr>
            </w:pPr>
            <w:r>
              <w:rPr>
                <w:rFonts w:ascii="Arial" w:cs="Arial" w:eastAsia="Arial" w:hAnsi="Arial"/>
                <w:sz w:val="14"/>
                <w:szCs w:val="14"/>
                <w:b w:val="1"/>
                <w:bCs w:val="1"/>
                <w:color w:val="auto"/>
              </w:rPr>
              <w:t>Below net asset value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Sale</w:t>
            </w: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55"/>
        </w:trPr>
        <w:tc>
          <w:tcPr>
            <w:tcW w:w="53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Offering Price</w:t>
            </w:r>
          </w:p>
        </w:tc>
        <w:tc>
          <w:tcPr>
            <w:tcW w:w="1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320"/>
              <w:spacing w:after="0" w:line="162" w:lineRule="exact"/>
              <w:rPr>
                <w:sz w:val="20"/>
                <w:szCs w:val="20"/>
                <w:color w:val="auto"/>
              </w:rPr>
            </w:pPr>
            <w:r>
              <w:rPr>
                <w:rFonts w:ascii="Arial" w:cs="Arial" w:eastAsia="Arial" w:hAnsi="Arial"/>
                <w:sz w:val="15"/>
                <w:szCs w:val="15"/>
                <w:color w:val="auto"/>
              </w:rPr>
              <w:t>Price per Share to Public</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14.18</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rPr>
              <w:t>14.18</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Net Proceeds per Share to Issuer</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13.47</w:t>
            </w: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13.47</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line="162" w:lineRule="exact"/>
              <w:rPr>
                <w:sz w:val="20"/>
                <w:szCs w:val="20"/>
                <w:color w:val="auto"/>
              </w:rPr>
            </w:pPr>
            <w:r>
              <w:rPr>
                <w:rFonts w:ascii="Arial" w:cs="Arial" w:eastAsia="Arial" w:hAnsi="Arial"/>
                <w:sz w:val="15"/>
                <w:szCs w:val="15"/>
                <w:b w:val="1"/>
                <w:bCs w:val="1"/>
                <w:color w:val="auto"/>
              </w:rPr>
              <w:t>Decrease/Increase to Net Asset 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Shares Offered</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w w:val="90"/>
              </w:rPr>
              <w:t>15,154,308</w:t>
            </w: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w w:val="90"/>
              </w:rPr>
              <w:t>15,154,308</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320"/>
              <w:spacing w:after="0" w:line="162" w:lineRule="exact"/>
              <w:rPr>
                <w:sz w:val="20"/>
                <w:szCs w:val="20"/>
                <w:color w:val="auto"/>
              </w:rPr>
            </w:pPr>
            <w:r>
              <w:rPr>
                <w:rFonts w:ascii="Arial" w:cs="Arial" w:eastAsia="Arial" w:hAnsi="Arial"/>
                <w:sz w:val="15"/>
                <w:szCs w:val="15"/>
                <w:color w:val="auto"/>
              </w:rPr>
              <w:t>Total Shares Outstanding</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color w:val="auto"/>
              </w:rPr>
              <w:t>75,771,542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w w:val="90"/>
              </w:rPr>
              <w:t>90,925,850</w:t>
            </w:r>
          </w:p>
        </w:tc>
        <w:tc>
          <w:tcPr>
            <w:tcW w:w="7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20.00%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420"/>
              <w:spacing w:after="0" w:line="162" w:lineRule="exact"/>
              <w:rPr>
                <w:sz w:val="20"/>
                <w:szCs w:val="20"/>
                <w:color w:val="auto"/>
              </w:rPr>
            </w:pPr>
            <w:r>
              <w:rPr>
                <w:rFonts w:ascii="Arial" w:cs="Arial" w:eastAsia="Arial" w:hAnsi="Arial"/>
                <w:sz w:val="15"/>
                <w:szCs w:val="15"/>
                <w:color w:val="auto"/>
                <w:w w:val="90"/>
              </w:rPr>
              <w:t>90,925,850</w:t>
            </w:r>
          </w:p>
        </w:tc>
        <w:tc>
          <w:tcPr>
            <w:tcW w:w="6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20.00%</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Net Asset Value per Share</w:t>
            </w:r>
          </w:p>
        </w:tc>
        <w:tc>
          <w:tcPr>
            <w:tcW w:w="32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16.84</w:t>
            </w:r>
          </w:p>
        </w:tc>
        <w:tc>
          <w:tcPr>
            <w:tcW w:w="2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16.28</w:t>
            </w:r>
          </w:p>
        </w:tc>
        <w:tc>
          <w:tcPr>
            <w:tcW w:w="78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(3.34)%</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16.28</w:t>
            </w:r>
          </w:p>
        </w:tc>
        <w:tc>
          <w:tcPr>
            <w:tcW w:w="6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162"/>
        </w:trPr>
        <w:tc>
          <w:tcPr>
            <w:tcW w:w="5380" w:type="dxa"/>
            <w:vAlign w:val="bottom"/>
          </w:tcPr>
          <w:p>
            <w:pPr>
              <w:spacing w:after="0" w:line="162" w:lineRule="exact"/>
              <w:rPr>
                <w:sz w:val="20"/>
                <w:szCs w:val="20"/>
                <w:color w:val="auto"/>
              </w:rPr>
            </w:pPr>
            <w:r>
              <w:rPr>
                <w:rFonts w:ascii="Arial" w:cs="Arial" w:eastAsia="Arial" w:hAnsi="Arial"/>
                <w:sz w:val="15"/>
                <w:szCs w:val="15"/>
                <w:b w:val="1"/>
                <w:bCs w:val="1"/>
                <w:color w:val="auto"/>
                <w:w w:val="97"/>
              </w:rPr>
              <w:t>Dilution/Accretion to Participating Stockholder Shares Held by Stockholder 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Shares Held by Stockholder A</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75,772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83,349</w:t>
            </w: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10.00%</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98,503</w:t>
            </w:r>
          </w:p>
        </w:tc>
        <w:tc>
          <w:tcPr>
            <w:tcW w:w="6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30.00%</w:t>
            </w:r>
          </w:p>
        </w:tc>
        <w:tc>
          <w:tcPr>
            <w:tcW w:w="0" w:type="dxa"/>
            <w:vAlign w:val="bottom"/>
          </w:tcPr>
          <w:p>
            <w:pPr>
              <w:spacing w:after="0"/>
              <w:rPr>
                <w:sz w:val="1"/>
                <w:szCs w:val="1"/>
                <w:color w:val="auto"/>
              </w:rPr>
            </w:pPr>
          </w:p>
        </w:tc>
      </w:tr>
      <w:tr>
        <w:trPr>
          <w:trHeight w:val="162"/>
        </w:trPr>
        <w:tc>
          <w:tcPr>
            <w:tcW w:w="5380" w:type="dxa"/>
            <w:vAlign w:val="bottom"/>
          </w:tcPr>
          <w:p>
            <w:pPr>
              <w:ind w:left="320"/>
              <w:spacing w:after="0" w:line="162" w:lineRule="exact"/>
              <w:rPr>
                <w:sz w:val="20"/>
                <w:szCs w:val="20"/>
                <w:color w:val="auto"/>
              </w:rPr>
            </w:pPr>
            <w:r>
              <w:rPr>
                <w:rFonts w:ascii="Arial" w:cs="Arial" w:eastAsia="Arial" w:hAnsi="Arial"/>
                <w:sz w:val="15"/>
                <w:szCs w:val="15"/>
                <w:color w:val="auto"/>
              </w:rPr>
              <w:t>Percentage Held by Stockholder 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0.10%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0.09%</w:t>
            </w:r>
          </w:p>
        </w:tc>
        <w:tc>
          <w:tcPr>
            <w:tcW w:w="78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(8.33)%</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jc w:val="right"/>
              <w:ind w:right="300"/>
              <w:spacing w:after="0" w:line="162" w:lineRule="exact"/>
              <w:rPr>
                <w:sz w:val="20"/>
                <w:szCs w:val="20"/>
                <w:color w:val="auto"/>
              </w:rPr>
            </w:pPr>
            <w:r>
              <w:rPr>
                <w:rFonts w:ascii="Arial" w:cs="Arial" w:eastAsia="Arial" w:hAnsi="Arial"/>
                <w:sz w:val="15"/>
                <w:szCs w:val="15"/>
                <w:color w:val="auto"/>
              </w:rPr>
              <w:t>0.11%</w:t>
            </w:r>
          </w:p>
        </w:tc>
        <w:tc>
          <w:tcPr>
            <w:tcW w:w="6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8.33%</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Total Net Asset Value Held by Stockholder A</w:t>
            </w:r>
          </w:p>
        </w:tc>
        <w:tc>
          <w:tcPr>
            <w:tcW w:w="32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1,275,848</w:t>
            </w:r>
          </w:p>
        </w:tc>
        <w:tc>
          <w:tcPr>
            <w:tcW w:w="2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1,356,680</w:t>
            </w:r>
          </w:p>
        </w:tc>
        <w:tc>
          <w:tcPr>
            <w:tcW w:w="7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6.34%</w:t>
            </w: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1,603,348</w:t>
            </w:r>
          </w:p>
        </w:tc>
        <w:tc>
          <w:tcPr>
            <w:tcW w:w="6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25.67%</w:t>
            </w:r>
          </w:p>
        </w:tc>
        <w:tc>
          <w:tcPr>
            <w:tcW w:w="0" w:type="dxa"/>
            <w:vAlign w:val="bottom"/>
          </w:tcPr>
          <w:p>
            <w:pPr>
              <w:spacing w:after="0"/>
              <w:rPr>
                <w:sz w:val="1"/>
                <w:szCs w:val="1"/>
                <w:color w:val="auto"/>
              </w:rPr>
            </w:pPr>
          </w:p>
        </w:tc>
      </w:tr>
      <w:tr>
        <w:trPr>
          <w:trHeight w:val="149"/>
        </w:trPr>
        <w:tc>
          <w:tcPr>
            <w:tcW w:w="5380" w:type="dxa"/>
            <w:vAlign w:val="bottom"/>
          </w:tcPr>
          <w:p>
            <w:pPr>
              <w:ind w:left="320"/>
              <w:spacing w:after="0" w:line="149" w:lineRule="exact"/>
              <w:rPr>
                <w:sz w:val="20"/>
                <w:szCs w:val="20"/>
                <w:color w:val="auto"/>
              </w:rPr>
            </w:pPr>
            <w:r>
              <w:rPr>
                <w:rFonts w:ascii="Arial" w:cs="Arial" w:eastAsia="Arial" w:hAnsi="Arial"/>
                <w:sz w:val="15"/>
                <w:szCs w:val="15"/>
                <w:color w:val="auto"/>
                <w:w w:val="95"/>
              </w:rPr>
              <w:t>Total Investment by Stockholder A (Assumed to be $17.16 per Share on 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460"/>
              <w:spacing w:after="0"/>
              <w:rPr>
                <w:sz w:val="20"/>
                <w:szCs w:val="20"/>
                <w:color w:val="auto"/>
              </w:rPr>
            </w:pPr>
            <w:r>
              <w:rPr>
                <w:rFonts w:ascii="Arial" w:cs="Arial" w:eastAsia="Arial" w:hAnsi="Arial"/>
                <w:sz w:val="15"/>
                <w:szCs w:val="15"/>
                <w:color w:val="auto"/>
              </w:rPr>
              <w:t>Held Prior to Sale)</w:t>
            </w:r>
          </w:p>
        </w:tc>
        <w:tc>
          <w:tcPr>
            <w:tcW w:w="32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1,275,848</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1,383,300</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1,598,204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320"/>
              <w:spacing w:after="0" w:line="149" w:lineRule="exact"/>
              <w:rPr>
                <w:sz w:val="20"/>
                <w:szCs w:val="20"/>
                <w:color w:val="auto"/>
              </w:rPr>
            </w:pPr>
            <w:r>
              <w:rPr>
                <w:rFonts w:ascii="Arial" w:cs="Arial" w:eastAsia="Arial" w:hAnsi="Arial"/>
                <w:sz w:val="15"/>
                <w:szCs w:val="15"/>
                <w:color w:val="auto"/>
              </w:rPr>
              <w:t>Total Dilution/Accretion to Stockholder A (Total Net Asset Value Less Total</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Investment)</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(26,620)</w:t>
            </w: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5,144</w:t>
            </w: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380" w:type="dxa"/>
            <w:vAlign w:val="bottom"/>
          </w:tcPr>
          <w:p>
            <w:pPr>
              <w:ind w:left="320"/>
              <w:spacing w:after="0" w:line="149" w:lineRule="exact"/>
              <w:rPr>
                <w:sz w:val="20"/>
                <w:szCs w:val="20"/>
                <w:color w:val="auto"/>
              </w:rPr>
            </w:pPr>
            <w:r>
              <w:rPr>
                <w:rFonts w:ascii="Arial" w:cs="Arial" w:eastAsia="Arial" w:hAnsi="Arial"/>
                <w:sz w:val="15"/>
                <w:szCs w:val="15"/>
                <w:color w:val="auto"/>
                <w:w w:val="95"/>
              </w:rPr>
              <w:t>Investment per Share Held by Stockholder A (Assumed to be $17.16 per Share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460"/>
              <w:spacing w:after="0"/>
              <w:rPr>
                <w:sz w:val="20"/>
                <w:szCs w:val="20"/>
                <w:color w:val="auto"/>
              </w:rPr>
            </w:pPr>
            <w:r>
              <w:rPr>
                <w:rFonts w:ascii="Arial" w:cs="Arial" w:eastAsia="Arial" w:hAnsi="Arial"/>
                <w:sz w:val="15"/>
                <w:szCs w:val="15"/>
                <w:color w:val="auto"/>
              </w:rPr>
              <w:t>on Shares Held Prior to Sale)</w:t>
            </w:r>
          </w:p>
        </w:tc>
        <w:tc>
          <w:tcPr>
            <w:tcW w:w="32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16.84</w:t>
            </w: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16.60</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(1.45)%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16.22</w:t>
            </w:r>
          </w:p>
        </w:tc>
        <w:tc>
          <w:tcPr>
            <w:tcW w:w="680" w:type="dxa"/>
            <w:vAlign w:val="bottom"/>
            <w:gridSpan w:val="2"/>
          </w:tcPr>
          <w:p>
            <w:pPr>
              <w:jc w:val="right"/>
              <w:ind w:right="40"/>
              <w:spacing w:after="0"/>
              <w:rPr>
                <w:sz w:val="20"/>
                <w:szCs w:val="20"/>
                <w:color w:val="auto"/>
              </w:rPr>
            </w:pPr>
            <w:r>
              <w:rPr>
                <w:rFonts w:ascii="Arial" w:cs="Arial" w:eastAsia="Arial" w:hAnsi="Arial"/>
                <w:sz w:val="15"/>
                <w:szCs w:val="15"/>
                <w:color w:val="auto"/>
              </w:rPr>
              <w:t>(3.65)%</w:t>
            </w:r>
          </w:p>
        </w:tc>
        <w:tc>
          <w:tcPr>
            <w:tcW w:w="0" w:type="dxa"/>
            <w:vAlign w:val="bottom"/>
          </w:tcPr>
          <w:p>
            <w:pPr>
              <w:spacing w:after="0"/>
              <w:rPr>
                <w:sz w:val="1"/>
                <w:szCs w:val="1"/>
                <w:color w:val="auto"/>
              </w:rPr>
            </w:pPr>
          </w:p>
        </w:tc>
      </w:tr>
      <w:tr>
        <w:trPr>
          <w:trHeight w:val="162"/>
        </w:trPr>
        <w:tc>
          <w:tcPr>
            <w:tcW w:w="538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Net Asset Value per Share Held by Stockholder A</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16.28</w:t>
            </w: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420"/>
              <w:spacing w:after="0" w:line="162" w:lineRule="exact"/>
              <w:rPr>
                <w:sz w:val="20"/>
                <w:szCs w:val="20"/>
                <w:color w:val="auto"/>
              </w:rPr>
            </w:pPr>
            <w:r>
              <w:rPr>
                <w:rFonts w:ascii="Arial" w:cs="Arial" w:eastAsia="Arial" w:hAnsi="Arial"/>
                <w:sz w:val="15"/>
                <w:szCs w:val="15"/>
                <w:color w:val="auto"/>
              </w:rPr>
              <w:t>16.28</w:t>
            </w: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ind w:left="320"/>
              <w:spacing w:after="0" w:line="149" w:lineRule="exact"/>
              <w:rPr>
                <w:sz w:val="20"/>
                <w:szCs w:val="20"/>
                <w:color w:val="auto"/>
              </w:rPr>
            </w:pPr>
            <w:r>
              <w:rPr>
                <w:rFonts w:ascii="Arial" w:cs="Arial" w:eastAsia="Arial" w:hAnsi="Arial"/>
                <w:sz w:val="15"/>
                <w:szCs w:val="15"/>
                <w:color w:val="auto"/>
                <w:w w:val="95"/>
              </w:rPr>
              <w:t>Dilution/Accretion per Share Held by Stockholder A (Net Asset Value per Share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460"/>
              <w:spacing w:after="0"/>
              <w:rPr>
                <w:sz w:val="20"/>
                <w:szCs w:val="20"/>
                <w:color w:val="auto"/>
              </w:rPr>
            </w:pPr>
            <w:r>
              <w:rPr>
                <w:rFonts w:ascii="Arial" w:cs="Arial" w:eastAsia="Arial" w:hAnsi="Arial"/>
                <w:sz w:val="15"/>
                <w:szCs w:val="15"/>
                <w:color w:val="auto"/>
              </w:rPr>
              <w:t>Less Investment per Share)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5"/>
                <w:szCs w:val="15"/>
                <w:color w:val="auto"/>
              </w:rPr>
              <w:t>(0.32)</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5"/>
                <w:szCs w:val="15"/>
                <w:color w:val="auto"/>
              </w:rPr>
              <w:t>0.05</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380" w:type="dxa"/>
            <w:vAlign w:val="bottom"/>
            <w:shd w:val="clear" w:color="auto" w:fill="CCEEFF"/>
          </w:tcPr>
          <w:p>
            <w:pPr>
              <w:ind w:left="320"/>
              <w:spacing w:after="0" w:line="149" w:lineRule="exact"/>
              <w:rPr>
                <w:sz w:val="20"/>
                <w:szCs w:val="20"/>
                <w:color w:val="auto"/>
              </w:rPr>
            </w:pPr>
            <w:r>
              <w:rPr>
                <w:rFonts w:ascii="Arial" w:cs="Arial" w:eastAsia="Arial" w:hAnsi="Arial"/>
                <w:sz w:val="15"/>
                <w:szCs w:val="15"/>
                <w:color w:val="auto"/>
                <w:w w:val="97"/>
              </w:rPr>
              <w:t>Percentage Dilution/Accretion to Stockholder A (Dilution per Share Divided by</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CEEFF"/>
          </w:tcPr>
          <w:p>
            <w:pPr>
              <w:ind w:left="460"/>
              <w:spacing w:after="0"/>
              <w:rPr>
                <w:sz w:val="20"/>
                <w:szCs w:val="20"/>
                <w:color w:val="auto"/>
              </w:rPr>
            </w:pPr>
            <w:r>
              <w:rPr>
                <w:rFonts w:ascii="Arial" w:cs="Arial" w:eastAsia="Arial" w:hAnsi="Arial"/>
                <w:sz w:val="15"/>
                <w:szCs w:val="15"/>
                <w:color w:val="auto"/>
              </w:rPr>
              <w:t>Investment per Share)</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(1.92)%</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0.32%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67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23" w:lineRule="exact"/>
        <w:rPr>
          <w:sz w:val="20"/>
          <w:szCs w:val="20"/>
          <w:color w:val="auto"/>
        </w:rPr>
      </w:pPr>
    </w:p>
    <w:p>
      <w:pPr>
        <w:ind w:right="60" w:firstLine="449"/>
        <w:spacing w:after="0" w:line="267" w:lineRule="auto"/>
        <w:rPr>
          <w:sz w:val="20"/>
          <w:szCs w:val="20"/>
          <w:color w:val="auto"/>
        </w:rPr>
      </w:pPr>
      <w:r>
        <w:rPr>
          <w:rFonts w:ascii="Arial" w:cs="Arial" w:eastAsia="Arial" w:hAnsi="Arial"/>
          <w:sz w:val="17"/>
          <w:szCs w:val="17"/>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3"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The example assumes that the issuer has 75.8 million shares outstanding, $2.6 billion in total assets and $1.3 billion in total liabilities. The current net asset value and NAV per share are thus $1.3 billion and $16.84 per share. The chart illustrates the dilutive effect on Stockholder A of (a) an offering of 3.8 million shares of common stock (5% of the outstanding shares) at $16.00 per share after offering expenses and commissions (a 5% discount from NAV per share), (b) an offering of 7.6 million shares of common stock (10% of the outstanding shares) at $15.16 per share after offering expenses and commissions (a 10% discount from NAV per share), (c) an offering of 15.2 million shares of common stock (20% of the outstanding shares) at $13.47 per share after offering expenses and commissions (a 20% discount from NAV per share), and (d) an offering of 18.9 million shares of common stock (25% of the outstanding shares) at $12.63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w:t>
      </w:r>
    </w:p>
    <w:p>
      <w:pPr>
        <w:spacing w:after="0" w:line="166"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4"/>
                <w:szCs w:val="14"/>
                <w:b w:val="1"/>
                <w:bCs w:val="1"/>
                <w:color w:val="auto"/>
                <w:w w:val="92"/>
              </w:rPr>
              <w:t>Example 1</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b w:val="1"/>
                <w:bCs w:val="1"/>
                <w:color w:val="auto"/>
                <w:w w:val="95"/>
              </w:rPr>
              <w:t>Example 2</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316"/>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296"/>
              <w:spacing w:after="0"/>
              <w:rPr>
                <w:sz w:val="20"/>
                <w:szCs w:val="20"/>
                <w:color w:val="auto"/>
              </w:rPr>
            </w:pPr>
            <w:r>
              <w:rPr>
                <w:rFonts w:ascii="Arial" w:cs="Arial" w:eastAsia="Arial" w:hAnsi="Arial"/>
                <w:sz w:val="14"/>
                <w:szCs w:val="14"/>
                <w:b w:val="1"/>
                <w:bCs w:val="1"/>
                <w:color w:val="auto"/>
                <w:w w:val="92"/>
              </w:rPr>
              <w:t>Example 4</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19"/>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5% Offering at 5%</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10% Offering at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20% Offering at</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tcPr>
          <w:p>
            <w:pPr>
              <w:jc w:val="center"/>
              <w:ind w:right="4"/>
              <w:spacing w:after="0" w:line="119" w:lineRule="exact"/>
              <w:rPr>
                <w:sz w:val="20"/>
                <w:szCs w:val="20"/>
                <w:color w:val="auto"/>
              </w:rPr>
            </w:pPr>
            <w:r>
              <w:rPr>
                <w:rFonts w:ascii="Arial" w:cs="Arial" w:eastAsia="Arial" w:hAnsi="Arial"/>
                <w:sz w:val="13"/>
                <w:szCs w:val="13"/>
                <w:b w:val="1"/>
                <w:bCs w:val="1"/>
                <w:color w:val="auto"/>
              </w:rPr>
              <w:t>25% Offering at</w:t>
            </w:r>
          </w:p>
        </w:tc>
        <w:tc>
          <w:tcPr>
            <w:tcW w:w="260" w:type="dxa"/>
            <w:vAlign w:val="bottom"/>
          </w:tcPr>
          <w:p>
            <w:pPr>
              <w:spacing w:after="0"/>
              <w:rPr>
                <w:sz w:val="10"/>
                <w:szCs w:val="10"/>
                <w:color w:val="auto"/>
              </w:rPr>
            </w:pPr>
          </w:p>
        </w:tc>
      </w:tr>
      <w:tr>
        <w:trPr>
          <w:trHeight w:val="17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Prior to</w:t>
            </w:r>
          </w:p>
        </w:tc>
        <w:tc>
          <w:tcPr>
            <w:tcW w:w="100" w:type="dxa"/>
            <w:vAlign w:val="bottom"/>
          </w:tcPr>
          <w:p>
            <w:pPr>
              <w:spacing w:after="0"/>
              <w:rPr>
                <w:sz w:val="14"/>
                <w:szCs w:val="14"/>
                <w:color w:val="auto"/>
              </w:rPr>
            </w:pPr>
          </w:p>
        </w:tc>
        <w:tc>
          <w:tcPr>
            <w:tcW w:w="1080" w:type="dxa"/>
            <w:vAlign w:val="bottom"/>
            <w:gridSpan w:val="2"/>
          </w:tcPr>
          <w:p>
            <w:pPr>
              <w:jc w:val="center"/>
              <w:ind w:left="316"/>
              <w:spacing w:after="0"/>
              <w:rPr>
                <w:sz w:val="20"/>
                <w:szCs w:val="20"/>
                <w:color w:val="auto"/>
              </w:rPr>
            </w:pPr>
            <w:r>
              <w:rPr>
                <w:rFonts w:ascii="Arial" w:cs="Arial" w:eastAsia="Arial" w:hAnsi="Arial"/>
                <w:sz w:val="14"/>
                <w:szCs w:val="14"/>
                <w:b w:val="1"/>
                <w:bCs w:val="1"/>
                <w:color w:val="auto"/>
                <w:w w:val="93"/>
              </w:rPr>
              <w:t>Discount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10% Discount</w:t>
            </w:r>
          </w:p>
        </w:tc>
        <w:tc>
          <w:tcPr>
            <w:tcW w:w="100" w:type="dxa"/>
            <w:vAlign w:val="bottom"/>
          </w:tcPr>
          <w:p>
            <w:pPr>
              <w:spacing w:after="0"/>
              <w:rPr>
                <w:sz w:val="14"/>
                <w:szCs w:val="14"/>
                <w:color w:val="auto"/>
              </w:rPr>
            </w:pPr>
          </w:p>
        </w:tc>
        <w:tc>
          <w:tcPr>
            <w:tcW w:w="19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18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25% Discount</w:t>
            </w:r>
          </w:p>
        </w:tc>
      </w:tr>
      <w:tr>
        <w:trPr>
          <w:trHeight w:val="119"/>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89"/>
              </w:rPr>
              <w:t>Sale</w:t>
            </w: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Following</w:t>
            </w:r>
          </w:p>
        </w:tc>
        <w:tc>
          <w:tcPr>
            <w:tcW w:w="48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4"/>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r>
      <w:tr>
        <w:trPr>
          <w:trHeight w:val="171"/>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Below NAV</w:t>
            </w:r>
          </w:p>
        </w:tc>
        <w:tc>
          <w:tcPr>
            <w:tcW w:w="1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Sale</w:t>
            </w:r>
          </w:p>
        </w:tc>
        <w:tc>
          <w:tcPr>
            <w:tcW w:w="8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Change</w:t>
            </w: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Offering Price</w:t>
            </w: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13.29</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Proceeds per Share to</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Issuer</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12.63</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198"/>
        </w:trPr>
        <w:tc>
          <w:tcPr>
            <w:tcW w:w="208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Decrease/Increase to Net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Asset Value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75,771,542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79,560,119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83,348,696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90,925,850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94,714,428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Shares Offered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3,788,577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7,577,154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15,154,308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18,942,886</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Asset Value per Share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r>
      <w:tr>
        <w:trPr>
          <w:trHeight w:val="198"/>
        </w:trPr>
        <w:tc>
          <w:tcPr>
            <w:tcW w:w="208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Dilution/Accretion to New</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4"/>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Investor 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w w:val="98"/>
              </w:rPr>
              <w:t>Shares Held by Investor A</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18,943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Percentage Held by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Investor 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left="296"/>
              <w:spacing w:after="0"/>
              <w:rPr>
                <w:sz w:val="20"/>
                <w:szCs w:val="20"/>
                <w:color w:val="auto"/>
              </w:rPr>
            </w:pPr>
            <w:r>
              <w:rPr>
                <w:rFonts w:ascii="Arial" w:cs="Arial" w:eastAsia="Arial" w:hAnsi="Arial"/>
                <w:sz w:val="18"/>
                <w:szCs w:val="18"/>
                <w:color w:val="auto"/>
                <w:w w:val="90"/>
              </w:rPr>
              <w:t>0.02%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Net Asset Value Held</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 Investor A</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63,641</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126,426</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246,668</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303,019</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Total Investment by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Investor A (At Price to</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Public)</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63,800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120,884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214,904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251,841</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Dilution/Accretion to</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Investor A (Total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Value Less Total</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31,764</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51,179</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w w:val="96"/>
              </w:rPr>
              <w:t>Investment per Share Held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by Investor 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16.84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15.95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13.29</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Asset Value per Share</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Held by Investor A</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Dilution/Accretion per</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w w:val="93"/>
              </w:rPr>
              <w:t>Share Held by Investor 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(Net Asset Value per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2080" w:type="dxa"/>
            <w:vAlign w:val="bottom"/>
          </w:tcPr>
          <w:p>
            <w:pPr>
              <w:ind w:left="180"/>
              <w:spacing w:after="0"/>
              <w:rPr>
                <w:sz w:val="20"/>
                <w:szCs w:val="20"/>
                <w:color w:val="auto"/>
              </w:rPr>
            </w:pPr>
            <w:r>
              <w:rPr>
                <w:rFonts w:ascii="Arial" w:cs="Arial" w:eastAsia="Arial" w:hAnsi="Arial"/>
                <w:sz w:val="18"/>
                <w:szCs w:val="18"/>
                <w:color w:val="auto"/>
              </w:rPr>
              <w:t>Share Less Investment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208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r>
    </w:tbl>
    <w:p>
      <w:pPr>
        <w:sectPr>
          <w:pgSz w:w="11900" w:h="16838" w:orient="portrait"/>
          <w:cols w:equalWidth="0" w:num="1">
            <w:col w:w="11240"/>
          </w:cols>
          <w:pgMar w:left="320" w:top="675" w:right="339" w:bottom="433"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Percentage</w:t>
            </w: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Dilution/Accretion to</w:t>
            </w: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Investor A (Dilution per</w:t>
            </w: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8"/>
                <w:szCs w:val="18"/>
                <w:color w:val="auto"/>
              </w:rPr>
              <w:t>Share Divided by</w:t>
            </w:r>
          </w:p>
        </w:tc>
        <w:tc>
          <w:tcPr>
            <w:tcW w:w="2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Investment per Share)</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(0.25)%</w:t>
            </w:r>
          </w:p>
        </w:tc>
        <w:tc>
          <w:tcPr>
            <w:tcW w:w="2500" w:type="dxa"/>
            <w:vAlign w:val="bottom"/>
          </w:tcPr>
          <w:p>
            <w:pPr>
              <w:jc w:val="right"/>
              <w:ind w:right="630"/>
              <w:spacing w:after="0"/>
              <w:rPr>
                <w:sz w:val="20"/>
                <w:szCs w:val="20"/>
                <w:color w:val="auto"/>
              </w:rPr>
            </w:pPr>
            <w:r>
              <w:rPr>
                <w:rFonts w:ascii="Arial" w:cs="Arial" w:eastAsia="Arial" w:hAnsi="Arial"/>
                <w:sz w:val="18"/>
                <w:szCs w:val="18"/>
                <w:color w:val="auto"/>
              </w:rPr>
              <w:t>4.59%</w:t>
            </w:r>
          </w:p>
        </w:tc>
        <w:tc>
          <w:tcPr>
            <w:tcW w:w="2000" w:type="dxa"/>
            <w:vAlign w:val="bottom"/>
          </w:tcPr>
          <w:p>
            <w:pPr>
              <w:jc w:val="right"/>
              <w:ind w:right="630"/>
              <w:spacing w:after="0"/>
              <w:rPr>
                <w:sz w:val="20"/>
                <w:szCs w:val="20"/>
                <w:color w:val="auto"/>
              </w:rPr>
            </w:pPr>
            <w:r>
              <w:rPr>
                <w:rFonts w:ascii="Arial" w:cs="Arial" w:eastAsia="Arial" w:hAnsi="Arial"/>
                <w:sz w:val="18"/>
                <w:szCs w:val="18"/>
                <w:color w:val="auto"/>
              </w:rPr>
              <w:t>14.78%</w:t>
            </w:r>
          </w:p>
        </w:tc>
        <w:tc>
          <w:tcPr>
            <w:tcW w:w="1280" w:type="dxa"/>
            <w:vAlign w:val="bottom"/>
          </w:tcPr>
          <w:p>
            <w:pPr>
              <w:jc w:val="right"/>
              <w:spacing w:after="0"/>
              <w:rPr>
                <w:sz w:val="20"/>
                <w:szCs w:val="20"/>
                <w:color w:val="auto"/>
              </w:rPr>
            </w:pPr>
            <w:r>
              <w:rPr>
                <w:rFonts w:ascii="Arial" w:cs="Arial" w:eastAsia="Arial" w:hAnsi="Arial"/>
                <w:sz w:val="18"/>
                <w:szCs w:val="18"/>
                <w:color w:val="auto"/>
              </w:rPr>
              <w:t>20.32%</w:t>
            </w:r>
          </w:p>
        </w:tc>
      </w:tr>
      <w:tr>
        <w:trPr>
          <w:trHeight w:val="364"/>
        </w:trPr>
        <w:tc>
          <w:tcPr>
            <w:tcW w:w="3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00" w:type="dxa"/>
            <w:vAlign w:val="bottom"/>
          </w:tcPr>
          <w:p>
            <w:pPr>
              <w:jc w:val="right"/>
              <w:ind w:right="2050"/>
              <w:spacing w:after="0"/>
              <w:rPr>
                <w:sz w:val="20"/>
                <w:szCs w:val="20"/>
                <w:color w:val="auto"/>
              </w:rPr>
            </w:pPr>
            <w:r>
              <w:rPr>
                <w:rFonts w:ascii="Arial" w:cs="Arial" w:eastAsia="Arial" w:hAnsi="Arial"/>
                <w:sz w:val="18"/>
                <w:szCs w:val="18"/>
                <w:color w:val="auto"/>
              </w:rPr>
              <w:t>47</w:t>
            </w:r>
          </w:p>
        </w:tc>
        <w:tc>
          <w:tcPr>
            <w:tcW w:w="20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-916305</wp:posOffset>
            </wp:positionV>
            <wp:extent cx="7132320" cy="685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information under the heading “Dividend Reinvestment Plan” in Part I, Item I of our 2021 Annual Report is incorporated by reference in this prospectus.</w:t>
      </w:r>
    </w:p>
    <w:p>
      <w:pPr>
        <w:spacing w:after="0" w:line="170"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66"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American Stock Transfer &amp; Trust Company, LLC, Transfer Agency—Sixth Street Specialty Lending, 6201 15th Avenue, Brooklyn, NY 11219.</w:t>
      </w:r>
    </w:p>
    <w:p>
      <w:pPr>
        <w:spacing w:after="0" w:line="170"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320" w:top="675"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2" w:lineRule="exact"/>
        <w:rPr>
          <w:sz w:val="20"/>
          <w:szCs w:val="20"/>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020" w:right="80" w:hanging="450"/>
        <w:spacing w:after="0" w:line="277"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persons who are “controlled foreign corporations;”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the alternative minimum tax or any state, local or foreign tax consequences.</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6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For purposes of this discussion under the heading “Material U.S. Federal Income Tax Considerations,” a “U.S. stockholder” is a beneficial owner of shares of our common stock or preferred stock that is, for U.S. federal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67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income tax purposes, an individual who is a citizen or resident of the United States or a domestic corporation or otherwise subject to U.S. federal income tax on a net income basis in respect of our stock.</w:t>
      </w:r>
    </w:p>
    <w:p>
      <w:pPr>
        <w:spacing w:after="0" w:line="170"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1020" w:hanging="450"/>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1020" w:right="400" w:hanging="450"/>
        <w:spacing w:after="0" w:line="277" w:lineRule="auto"/>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maintain diversified holdings so that, subject to certain exceptions and cure periods, at the end of each quarter of our taxable year:</w:t>
      </w:r>
    </w:p>
    <w:p>
      <w:pPr>
        <w:spacing w:after="0" w:line="142" w:lineRule="exact"/>
        <w:rPr>
          <w:rFonts w:ascii="Arial" w:cs="Arial" w:eastAsia="Arial" w:hAnsi="Arial"/>
          <w:sz w:val="17"/>
          <w:szCs w:val="17"/>
          <w:color w:val="auto"/>
        </w:rPr>
      </w:pPr>
    </w:p>
    <w:p>
      <w:pPr>
        <w:ind w:left="1460" w:right="120" w:hanging="329"/>
        <w:spacing w:after="0" w:line="259"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92" w:lineRule="exact"/>
        <w:rPr>
          <w:rFonts w:ascii="Arial" w:cs="Arial" w:eastAsia="Arial" w:hAnsi="Arial"/>
          <w:sz w:val="18"/>
          <w:szCs w:val="18"/>
          <w:color w:val="auto"/>
        </w:rPr>
      </w:pPr>
    </w:p>
    <w:p>
      <w:pPr>
        <w:jc w:val="both"/>
        <w:ind w:left="1460" w:right="180" w:hanging="329"/>
        <w:spacing w:after="0" w:line="286" w:lineRule="auto"/>
        <w:tabs>
          <w:tab w:leader="none" w:pos="14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5"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70" w:lineRule="exact"/>
        <w:rPr>
          <w:sz w:val="20"/>
          <w:szCs w:val="20"/>
          <w:color w:val="auto"/>
        </w:rPr>
      </w:pPr>
    </w:p>
    <w:p>
      <w:pPr>
        <w:ind w:left="1020" w:hanging="450"/>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1020" w:right="500" w:hanging="450"/>
        <w:spacing w:after="0" w:line="277" w:lineRule="auto"/>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675"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92" w:lineRule="exact"/>
        <w:rPr>
          <w:sz w:val="20"/>
          <w:szCs w:val="20"/>
          <w:color w:val="auto"/>
        </w:rPr>
      </w:pPr>
    </w:p>
    <w:p>
      <w:pPr>
        <w:ind w:left="1020" w:right="20" w:hanging="450"/>
        <w:spacing w:after="0" w:line="311" w:lineRule="auto"/>
        <w:tabs>
          <w:tab w:leader="none" w:pos="10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4" w:lineRule="exact"/>
        <w:rPr>
          <w:rFonts w:ascii="Arial" w:cs="Arial" w:eastAsia="Arial" w:hAnsi="Arial"/>
          <w:sz w:val="16"/>
          <w:szCs w:val="16"/>
          <w:color w:val="auto"/>
        </w:rPr>
      </w:pPr>
    </w:p>
    <w:p>
      <w:pPr>
        <w:ind w:left="1020" w:right="160" w:hanging="450"/>
        <w:spacing w:after="0" w:line="277" w:lineRule="auto"/>
        <w:tabs>
          <w:tab w:leader="none" w:pos="10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6"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5" w:lineRule="exact"/>
        <w:rPr>
          <w:sz w:val="20"/>
          <w:szCs w:val="20"/>
          <w:color w:val="auto"/>
        </w:rPr>
      </w:pPr>
    </w:p>
    <w:p>
      <w:pPr>
        <w:ind w:right="440" w:firstLine="449"/>
        <w:spacing w:after="0" w:line="308" w:lineRule="auto"/>
        <w:rPr>
          <w:sz w:val="20"/>
          <w:szCs w:val="20"/>
          <w:color w:val="auto"/>
        </w:rPr>
      </w:pPr>
      <w:r>
        <w:rPr>
          <w:rFonts w:ascii="Arial" w:cs="Arial" w:eastAsia="Arial" w:hAnsi="Arial"/>
          <w:sz w:val="17"/>
          <w:szCs w:val="17"/>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320" w:firstLine="449"/>
        <w:spacing w:after="0" w:line="275" w:lineRule="auto"/>
        <w:rPr>
          <w:sz w:val="20"/>
          <w:szCs w:val="20"/>
          <w:color w:val="auto"/>
        </w:rPr>
      </w:pPr>
      <w:r>
        <w:rPr>
          <w:rFonts w:ascii="Arial" w:cs="Arial" w:eastAsia="Arial" w:hAnsi="Arial"/>
          <w:sz w:val="17"/>
          <w:szCs w:val="17"/>
          <w:color w:val="auto"/>
        </w:rPr>
        <w:t>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 currency options or futures contracts and the disposition of debt securities denominated in foreign currency, to the extent attributable to fluctuations in exchange rates between the acquisition and disposition dates, are also treated as ordinary income or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67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w:t>
      </w:r>
    </w:p>
    <w:p>
      <w:pPr>
        <w:spacing w:after="0" w:line="165"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1020" w:right="620" w:hanging="450"/>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1020" w:hanging="450"/>
        <w:spacing w:after="0" w:line="277" w:lineRule="auto"/>
        <w:tabs>
          <w:tab w:leader="none" w:pos="10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580" w:firstLine="449"/>
        <w:spacing w:after="0" w:line="308" w:lineRule="auto"/>
        <w:rPr>
          <w:sz w:val="20"/>
          <w:szCs w:val="20"/>
          <w:color w:val="auto"/>
        </w:rPr>
      </w:pPr>
      <w:r>
        <w:rPr>
          <w:rFonts w:ascii="Arial" w:cs="Arial" w:eastAsia="Arial" w:hAnsi="Arial"/>
          <w:sz w:val="17"/>
          <w:szCs w:val="17"/>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46" w:lineRule="exact"/>
        <w:rPr>
          <w:sz w:val="20"/>
          <w:szCs w:val="20"/>
          <w:color w:val="auto"/>
        </w:rPr>
      </w:pPr>
    </w:p>
    <w:p>
      <w:pPr>
        <w:jc w:val="both"/>
        <w:ind w:right="20" w:firstLine="449"/>
        <w:spacing w:after="0" w:line="311"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8"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4"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67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92"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w:t>
      </w:r>
    </w:p>
    <w:p>
      <w:pPr>
        <w:spacing w:after="0" w:line="177"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71"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65"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w:t>
      </w:r>
    </w:p>
    <w:p>
      <w:pPr>
        <w:spacing w:after="0" w:line="1" w:lineRule="exact"/>
        <w:rPr>
          <w:sz w:val="20"/>
          <w:szCs w:val="20"/>
          <w:color w:val="auto"/>
        </w:rPr>
      </w:pPr>
    </w:p>
    <w:p>
      <w:pPr>
        <w:ind w:right="60" w:firstLine="8"/>
        <w:spacing w:after="0" w:line="270" w:lineRule="auto"/>
        <w:tabs>
          <w:tab w:leader="none" w:pos="265" w:val="left"/>
        </w:tabs>
        <w:numPr>
          <w:ilvl w:val="0"/>
          <w:numId w:val="71"/>
        </w:numPr>
        <w:rPr>
          <w:rFonts w:ascii="Arial" w:cs="Arial" w:eastAsia="Arial" w:hAnsi="Arial"/>
          <w:sz w:val="17"/>
          <w:szCs w:val="17"/>
          <w:color w:val="auto"/>
        </w:rPr>
      </w:pPr>
      <w:r>
        <w:rPr>
          <w:rFonts w:ascii="Arial" w:cs="Arial" w:eastAsia="Arial" w:hAnsi="Arial"/>
          <w:sz w:val="17"/>
          <w:szCs w:val="17"/>
          <w:color w:val="auto"/>
        </w:rPr>
        <w:t>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67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8"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92"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320" w:top="675" w:right="3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96"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675"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675"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460" w:firstLine="449"/>
        <w:spacing w:after="0" w:line="286" w:lineRule="auto"/>
        <w:rPr>
          <w:sz w:val="20"/>
          <w:szCs w:val="20"/>
          <w:color w:val="auto"/>
        </w:rPr>
      </w:pPr>
      <w:r>
        <w:rPr>
          <w:rFonts w:ascii="Arial" w:cs="Arial" w:eastAsia="Arial" w:hAnsi="Arial"/>
          <w:sz w:val="17"/>
          <w:szCs w:val="17"/>
          <w:color w:val="auto"/>
        </w:rPr>
        <w:t>Under the terms of our restated certificate of incorporation, which was adopted on June 15, 2020, our authorized capital stock consists of 400,000,000 shares of common stock, par value $0.01 per share, of which 81,389,287 shares are outstanding as of January 12, 2023, and 100,000,000 shares of preferred stock, par value $0.01 per share, of which no shares are outstanding as of January 12, 2023.</w:t>
      </w:r>
    </w:p>
    <w:p>
      <w:pPr>
        <w:spacing w:after="0" w:line="165"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January 12, 2023: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5"/>
              </w:rPr>
              <w:t>Amount Held by Us or for Our</w:t>
            </w:r>
          </w:p>
        </w:tc>
        <w:tc>
          <w:tcPr>
            <w:tcW w:w="21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3220" w:type="dxa"/>
            <w:vAlign w:val="bottom"/>
            <w:vMerge w:val="restart"/>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Amount Authorized</w:t>
            </w:r>
          </w:p>
        </w:tc>
        <w:tc>
          <w:tcPr>
            <w:tcW w:w="3820" w:type="dxa"/>
            <w:vAlign w:val="bottom"/>
            <w:gridSpan w:val="3"/>
            <w:vMerge w:val="continue"/>
          </w:tcPr>
          <w:p>
            <w:pPr>
              <w:spacing w:after="0"/>
              <w:rPr>
                <w:sz w:val="12"/>
                <w:szCs w:val="12"/>
                <w:color w:val="auto"/>
              </w:rPr>
            </w:pPr>
          </w:p>
        </w:tc>
        <w:tc>
          <w:tcPr>
            <w:tcW w:w="21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Amount Held by Us or for Our</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3220" w:type="dxa"/>
            <w:vAlign w:val="bottom"/>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Account</w:t>
            </w:r>
          </w:p>
        </w:tc>
        <w:tc>
          <w:tcPr>
            <w:tcW w:w="108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Account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400,000,000</w:t>
            </w:r>
          </w:p>
        </w:tc>
        <w:tc>
          <w:tcPr>
            <w:tcW w:w="38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664,250</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81,389,287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20" w:firstLine="449"/>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67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1020" w:hanging="56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1020" w:right="420" w:hanging="563"/>
        <w:spacing w:after="0" w:line="277" w:lineRule="auto"/>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1020" w:hanging="56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1020" w:hanging="563"/>
        <w:spacing w:after="0"/>
        <w:tabs>
          <w:tab w:leader="none" w:pos="1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9"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78"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4"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67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4"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Under the Investment Advisory Agreement, we have, to the extent permitted by applicable law, indemnified the Adviser and certain of its affiliates, as described under “Management Agreements—Indemnification” in Part I, Item 1 of our 2021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0" w:firstLine="449"/>
        <w:spacing w:after="0" w:line="290"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6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1020" w:right="80" w:hanging="450"/>
        <w:spacing w:after="0" w:line="277"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1020" w:right="240" w:hanging="450"/>
        <w:spacing w:after="0" w:line="277"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1020" w:right="80" w:hanging="450"/>
        <w:spacing w:after="0" w:line="277" w:lineRule="auto"/>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1020" w:right="20" w:hanging="450"/>
        <w:spacing w:after="0" w:line="277" w:lineRule="auto"/>
        <w:tabs>
          <w:tab w:leader="none" w:pos="10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675"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020" w:hanging="450"/>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1020" w:hanging="450"/>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1020" w:hanging="450"/>
        <w:spacing w:after="0" w:line="286" w:lineRule="auto"/>
        <w:tabs>
          <w:tab w:leader="none" w:pos="10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1020" w:right="240" w:hanging="450"/>
        <w:spacing w:after="0" w:line="263"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67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020" w:right="180" w:hanging="450"/>
        <w:spacing w:after="0" w:line="286" w:lineRule="auto"/>
        <w:tabs>
          <w:tab w:leader="none" w:pos="10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5"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1020" w:right="280" w:hanging="450"/>
        <w:spacing w:after="0" w:line="277" w:lineRule="auto"/>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right="720" w:firstLine="449"/>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67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64"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2" w:lineRule="exact"/>
        <w:rPr>
          <w:sz w:val="20"/>
          <w:szCs w:val="20"/>
          <w:color w:val="auto"/>
        </w:rPr>
      </w:pPr>
    </w:p>
    <w:p>
      <w:pPr>
        <w:ind w:left="1020" w:right="120" w:hanging="450"/>
        <w:spacing w:after="0" w:line="277" w:lineRule="auto"/>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75" w:lineRule="exact"/>
        <w:rPr>
          <w:rFonts w:ascii="Arial" w:cs="Arial" w:eastAsia="Arial" w:hAnsi="Arial"/>
          <w:sz w:val="18"/>
          <w:szCs w:val="18"/>
          <w:color w:val="auto"/>
        </w:rPr>
      </w:pPr>
    </w:p>
    <w:p>
      <w:pPr>
        <w:ind w:left="1020" w:right="80" w:hanging="450"/>
        <w:spacing w:after="0" w:line="342" w:lineRule="auto"/>
        <w:tabs>
          <w:tab w:leader="none" w:pos="10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1020" w:hanging="4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020" w:right="220" w:hanging="4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1020" w:hanging="4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020" w:hanging="4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020" w:right="20" w:hanging="4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20" w:right="60" w:hanging="450"/>
        <w:spacing w:after="0" w:line="277" w:lineRule="auto"/>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320" w:top="675" w:right="4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1"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20" w:right="320" w:hanging="450"/>
        <w:spacing w:after="0" w:line="277"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1020" w:right="100" w:hanging="450"/>
        <w:spacing w:after="0" w:line="277"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 and the market on which they may be traded if they are transferable;</w:t>
      </w:r>
    </w:p>
    <w:p>
      <w:pPr>
        <w:spacing w:after="0" w:line="142" w:lineRule="exact"/>
        <w:rPr>
          <w:rFonts w:ascii="Arial" w:cs="Arial" w:eastAsia="Arial" w:hAnsi="Arial"/>
          <w:sz w:val="17"/>
          <w:szCs w:val="17"/>
          <w:color w:val="auto"/>
        </w:rPr>
      </w:pPr>
    </w:p>
    <w:p>
      <w:pPr>
        <w:ind w:left="1020" w:hanging="450"/>
        <w:spacing w:after="0"/>
        <w:tabs>
          <w:tab w:leader="none" w:pos="10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1020" w:right="80" w:hanging="450"/>
        <w:spacing w:after="0" w:line="277"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1020" w:right="260" w:hanging="450"/>
        <w:spacing w:after="0" w:line="277"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1020" w:right="280" w:hanging="450"/>
        <w:spacing w:after="0" w:line="277"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240" w:firstLine="449"/>
        <w:spacing w:after="0" w:line="301" w:lineRule="auto"/>
        <w:rPr>
          <w:sz w:val="20"/>
          <w:szCs w:val="20"/>
          <w:color w:val="auto"/>
        </w:rPr>
      </w:pPr>
      <w:r>
        <w:rPr>
          <w:rFonts w:ascii="Arial" w:cs="Arial" w:eastAsia="Arial" w:hAnsi="Arial"/>
          <w:sz w:val="16"/>
          <w:szCs w:val="16"/>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5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675"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675"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020" w:hanging="450"/>
        <w:spacing w:after="0" w:line="277"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020" w:right="160" w:hanging="450"/>
        <w:spacing w:after="0" w:line="263"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9" w:lineRule="exact"/>
        <w:rPr>
          <w:rFonts w:ascii="Arial" w:cs="Arial" w:eastAsia="Arial" w:hAnsi="Arial"/>
          <w:sz w:val="18"/>
          <w:szCs w:val="18"/>
          <w:color w:val="auto"/>
        </w:rPr>
      </w:pPr>
    </w:p>
    <w:p>
      <w:pPr>
        <w:jc w:val="both"/>
        <w:ind w:left="1020" w:right="140" w:hanging="450"/>
        <w:spacing w:after="0" w:line="263"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9"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675" w:right="3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100" w:firstLine="449"/>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675" w:right="3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140" w:firstLine="449"/>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Computershare Trust Company, N.A., as successor to Wells Fargo Bank, National Association, a financial institution acting as trustee on your behalf, and is subject to and governed by the Trust Indenture Act of 1939, as amended. The debt securities will be issued under an indenture dated January 22, 2018 between us and Wells Fargo Bank, National Association.</w:t>
      </w:r>
    </w:p>
    <w:p>
      <w:pPr>
        <w:spacing w:after="0" w:line="17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Subject to the provisions of the indenture,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84"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5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1020" w:hanging="4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20" w:right="320" w:hanging="450"/>
        <w:spacing w:after="0" w:line="277" w:lineRule="auto"/>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20" w:right="520" w:hanging="450"/>
        <w:spacing w:after="0" w:line="277" w:lineRule="auto"/>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1020" w:right="160" w:hanging="450"/>
        <w:spacing w:after="0" w:line="263" w:lineRule="auto"/>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20" w:right="220" w:hanging="450"/>
        <w:spacing w:after="0" w:line="277" w:lineRule="auto"/>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675"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020" w:hanging="4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20" w:right="660" w:hanging="450"/>
        <w:spacing w:after="0" w:line="277"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U.S. federal income tax considerations relating to original issue discount;</w:t>
      </w:r>
    </w:p>
    <w:p>
      <w:pPr>
        <w:spacing w:after="0" w:line="75" w:lineRule="exact"/>
        <w:rPr>
          <w:rFonts w:ascii="Arial" w:cs="Arial" w:eastAsia="Arial" w:hAnsi="Arial"/>
          <w:sz w:val="18"/>
          <w:szCs w:val="18"/>
          <w:color w:val="auto"/>
        </w:rPr>
      </w:pPr>
    </w:p>
    <w:p>
      <w:pPr>
        <w:ind w:left="1020" w:right="200" w:hanging="450"/>
        <w:spacing w:after="0" w:line="342" w:lineRule="auto"/>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20" w:hanging="4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2022 Quarterly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320" w:top="675"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80" w:firstLine="449"/>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67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4"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8" w:lineRule="exact"/>
        <w:rPr>
          <w:sz w:val="20"/>
          <w:szCs w:val="20"/>
          <w:color w:val="auto"/>
        </w:rPr>
      </w:pPr>
    </w:p>
    <w:p>
      <w:pPr>
        <w:ind w:right="700" w:firstLine="449"/>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1020" w:right="540" w:hanging="450"/>
        <w:spacing w:after="0" w:line="277"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 including upon any redemption date or required repurchase date.</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1020" w:right="100" w:hanging="450"/>
        <w:spacing w:after="0" w:line="277"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1020" w:right="60" w:hanging="450"/>
        <w:spacing w:after="0" w:line="263"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w:t>
      </w:r>
    </w:p>
    <w:p>
      <w:pPr>
        <w:spacing w:after="0" w:line="89" w:lineRule="exact"/>
        <w:rPr>
          <w:rFonts w:ascii="Arial" w:cs="Arial" w:eastAsia="Arial" w:hAnsi="Arial"/>
          <w:sz w:val="18"/>
          <w:szCs w:val="18"/>
          <w:color w:val="auto"/>
        </w:rPr>
      </w:pPr>
    </w:p>
    <w:p>
      <w:pPr>
        <w:ind w:left="1020" w:right="200" w:hanging="450"/>
        <w:spacing w:after="0" w:line="277" w:lineRule="auto"/>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1020" w:right="20" w:hanging="450"/>
        <w:spacing w:after="0" w:line="286" w:lineRule="auto"/>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w:t>
      </w:r>
    </w:p>
    <w:p>
      <w:pPr>
        <w:spacing w:after="0" w:line="1" w:lineRule="exact"/>
        <w:rPr>
          <w:rFonts w:ascii="Arial" w:cs="Arial" w:eastAsia="Arial" w:hAnsi="Arial"/>
          <w:sz w:val="16"/>
          <w:szCs w:val="16"/>
          <w:color w:val="auto"/>
        </w:rPr>
      </w:pPr>
    </w:p>
    <w:p>
      <w:pPr>
        <w:ind w:left="1020"/>
        <w:spacing w:after="0"/>
        <w:rPr>
          <w:rFonts w:ascii="Arial" w:cs="Arial" w:eastAsia="Arial" w:hAnsi="Arial"/>
          <w:sz w:val="16"/>
          <w:szCs w:val="16"/>
          <w:color w:val="auto"/>
        </w:rPr>
      </w:pPr>
      <w:r>
        <w:rPr>
          <w:rFonts w:ascii="Arial" w:cs="Arial" w:eastAsia="Arial" w:hAnsi="Arial"/>
          <w:sz w:val="18"/>
          <w:szCs w:val="18"/>
          <w:color w:val="auto"/>
        </w:rPr>
        <w:t>(i) resulting in such indebtedness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67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020" w:right="280"/>
        <w:spacing w:after="0" w:line="257" w:lineRule="auto"/>
        <w:rPr>
          <w:sz w:val="20"/>
          <w:szCs w:val="20"/>
          <w:color w:val="auto"/>
        </w:rPr>
      </w:pPr>
      <w:r>
        <w:rPr>
          <w:rFonts w:ascii="Arial" w:cs="Arial" w:eastAsia="Arial" w:hAnsi="Arial"/>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3" w:lineRule="exact"/>
        <w:rPr>
          <w:sz w:val="20"/>
          <w:szCs w:val="20"/>
          <w:color w:val="auto"/>
        </w:rPr>
      </w:pPr>
    </w:p>
    <w:p>
      <w:pPr>
        <w:ind w:left="1020" w:right="160" w:hanging="450"/>
        <w:spacing w:after="0" w:line="342" w:lineRule="auto"/>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29" w:lineRule="exact"/>
        <w:rPr>
          <w:rFonts w:ascii="Arial" w:cs="Arial" w:eastAsia="Arial" w:hAnsi="Arial"/>
          <w:sz w:val="16"/>
          <w:szCs w:val="16"/>
          <w:color w:val="auto"/>
        </w:rPr>
      </w:pPr>
    </w:p>
    <w:p>
      <w:pPr>
        <w:ind w:left="1020" w:hanging="450"/>
        <w:spacing w:after="0"/>
        <w:tabs>
          <w:tab w:leader="none" w:pos="10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5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6"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20" w:hanging="450"/>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1020" w:right="180" w:hanging="450"/>
        <w:spacing w:after="0" w:line="342"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1020" w:hanging="450"/>
        <w:spacing w:after="0"/>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1020" w:right="260" w:hanging="450"/>
        <w:spacing w:after="0" w:line="277" w:lineRule="auto"/>
        <w:tabs>
          <w:tab w:leader="none" w:pos="10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20" w:top="675" w:right="3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020" w:hanging="450"/>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329"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58"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9" w:lineRule="exact"/>
        <w:rPr>
          <w:sz w:val="20"/>
          <w:szCs w:val="20"/>
          <w:color w:val="auto"/>
        </w:rPr>
      </w:pPr>
    </w:p>
    <w:p>
      <w:pPr>
        <w:ind w:left="1020" w:right="100" w:hanging="450"/>
        <w:spacing w:after="0" w:line="277"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75" w:lineRule="exact"/>
        <w:rPr>
          <w:rFonts w:ascii="Arial" w:cs="Arial" w:eastAsia="Arial" w:hAnsi="Arial"/>
          <w:sz w:val="18"/>
          <w:szCs w:val="18"/>
          <w:color w:val="auto"/>
        </w:rPr>
      </w:pPr>
    </w:p>
    <w:p>
      <w:pPr>
        <w:ind w:left="1020" w:right="500" w:hanging="450"/>
        <w:spacing w:after="0" w:line="277"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no Default or Event of Default shall have happened and be continuing.</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jc w:val="both"/>
        <w:ind w:left="1020" w:right="160" w:hanging="450"/>
        <w:spacing w:after="0" w:line="263"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9" w:lineRule="exact"/>
        <w:rPr>
          <w:rFonts w:ascii="Arial" w:cs="Arial" w:eastAsia="Arial" w:hAnsi="Arial"/>
          <w:sz w:val="18"/>
          <w:szCs w:val="18"/>
          <w:color w:val="auto"/>
        </w:rPr>
      </w:pPr>
    </w:p>
    <w:p>
      <w:pPr>
        <w:ind w:left="1020" w:hanging="450"/>
        <w:spacing w:after="0" w:line="275" w:lineRule="auto"/>
        <w:tabs>
          <w:tab w:leader="none" w:pos="10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5540" w:right="4840" w:hanging="4970"/>
        <w:spacing w:after="0" w:line="535" w:lineRule="auto"/>
        <w:tabs>
          <w:tab w:leader="none" w:pos="1025" w:val="left"/>
        </w:tabs>
        <w:numPr>
          <w:ilvl w:val="0"/>
          <w:numId w:val="91"/>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interest on a debt security; 72</w:t>
      </w:r>
    </w:p>
    <w:p>
      <w:pPr>
        <w:sectPr>
          <w:pgSz w:w="11900" w:h="16838" w:orient="portrait"/>
          <w:cols w:equalWidth="0" w:num="1">
            <w:col w:w="11220"/>
          </w:cols>
          <w:pgMar w:left="320" w:top="675" w:right="3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020" w:hanging="450"/>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change the place (except as otherwise described in the prospectus or prospectus supplement) or currency of payment on a debt security;</w:t>
      </w:r>
    </w:p>
    <w:p>
      <w:pPr>
        <w:spacing w:after="0" w:line="153" w:lineRule="exact"/>
        <w:rPr>
          <w:rFonts w:ascii="Arial" w:cs="Arial" w:eastAsia="Arial" w:hAnsi="Arial"/>
          <w:sz w:val="16"/>
          <w:szCs w:val="16"/>
          <w:color w:val="auto"/>
        </w:rPr>
      </w:pPr>
    </w:p>
    <w:p>
      <w:pPr>
        <w:ind w:left="1020" w:hanging="450"/>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1020" w:hanging="450"/>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20" w:right="180" w:hanging="450"/>
        <w:spacing w:after="0" w:line="277" w:lineRule="auto"/>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20" w:right="140" w:hanging="450"/>
        <w:spacing w:after="0" w:line="277" w:lineRule="auto"/>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200" w:firstLine="449"/>
        <w:spacing w:after="0" w:line="279" w:lineRule="auto"/>
        <w:rPr>
          <w:sz w:val="20"/>
          <w:szCs w:val="20"/>
          <w:color w:val="auto"/>
        </w:rPr>
      </w:pPr>
      <w:r>
        <w:rPr>
          <w:rFonts w:ascii="Arial" w:cs="Arial" w:eastAsia="Arial" w:hAnsi="Arial"/>
          <w:sz w:val="17"/>
          <w:szCs w:val="17"/>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20" w:hanging="450"/>
        <w:spacing w:after="0"/>
        <w:tabs>
          <w:tab w:leader="none" w:pos="10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53" w:lineRule="exact"/>
        <w:rPr>
          <w:rFonts w:ascii="Arial" w:cs="Arial" w:eastAsia="Arial" w:hAnsi="Arial"/>
          <w:sz w:val="16"/>
          <w:szCs w:val="16"/>
          <w:color w:val="auto"/>
        </w:rPr>
      </w:pPr>
    </w:p>
    <w:p>
      <w:pPr>
        <w:ind w:left="1020" w:right="60" w:hanging="450"/>
        <w:spacing w:after="0" w:line="342" w:lineRule="auto"/>
        <w:tabs>
          <w:tab w:leader="none" w:pos="102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20" w:right="300" w:hanging="450"/>
        <w:spacing w:after="0" w:line="277" w:lineRule="auto"/>
        <w:tabs>
          <w:tab w:leader="none" w:pos="10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67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020" w:right="300" w:hanging="450"/>
        <w:spacing w:after="0" w:line="277" w:lineRule="auto"/>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1020" w:hanging="450"/>
        <w:spacing w:after="0"/>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1020" w:hanging="450"/>
        <w:spacing w:after="0" w:line="263" w:lineRule="auto"/>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8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3" w:lineRule="exact"/>
        <w:rPr>
          <w:sz w:val="20"/>
          <w:szCs w:val="20"/>
          <w:color w:val="auto"/>
        </w:rPr>
      </w:pPr>
    </w:p>
    <w:p>
      <w:pPr>
        <w:ind w:left="1020" w:right="80" w:hanging="450"/>
        <w:spacing w:after="0" w:line="286" w:lineRule="auto"/>
        <w:tabs>
          <w:tab w:leader="none" w:pos="10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1020" w:right="180" w:hanging="450"/>
        <w:spacing w:after="0" w:line="263" w:lineRule="auto"/>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9" w:lineRule="exact"/>
        <w:rPr>
          <w:rFonts w:ascii="Arial" w:cs="Arial" w:eastAsia="Arial" w:hAnsi="Arial"/>
          <w:sz w:val="18"/>
          <w:szCs w:val="18"/>
          <w:color w:val="auto"/>
        </w:rPr>
      </w:pPr>
    </w:p>
    <w:p>
      <w:pPr>
        <w:ind w:left="1020" w:right="120" w:hanging="450"/>
        <w:spacing w:after="0" w:line="277" w:lineRule="auto"/>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675" w:right="3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200" w:firstLine="449"/>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20" w:right="100" w:hanging="450"/>
        <w:spacing w:after="0" w:line="286" w:lineRule="auto"/>
        <w:tabs>
          <w:tab w:leader="none" w:pos="10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20" w:right="20" w:hanging="450"/>
        <w:spacing w:after="0" w:line="296" w:lineRule="auto"/>
        <w:tabs>
          <w:tab w:leader="none" w:pos="10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66" w:lineRule="exact"/>
        <w:rPr>
          <w:rFonts w:ascii="Arial" w:cs="Arial" w:eastAsia="Arial" w:hAnsi="Arial"/>
          <w:sz w:val="16"/>
          <w:szCs w:val="16"/>
          <w:color w:val="auto"/>
        </w:rPr>
      </w:pPr>
    </w:p>
    <w:p>
      <w:pPr>
        <w:ind w:left="1020" w:right="120" w:hanging="450"/>
        <w:spacing w:after="0" w:line="277" w:lineRule="auto"/>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675"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right="220" w:firstLine="449"/>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20" w:right="160" w:hanging="450"/>
        <w:spacing w:after="0" w:line="259" w:lineRule="auto"/>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1020" w:hanging="450"/>
        <w:spacing w:after="0"/>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67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61"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Computershare Trust Company, N.A., as successor to Wells Fargo Bank, National Association, will serve as the trustee under the indenture. This document and the related documents do not provide a comprehensive description of the rights, benefits, protections, immunities, indemnities, and privileges of the trustee. Rather, the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61"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6" w:lineRule="exact"/>
        <w:rPr>
          <w:sz w:val="20"/>
          <w:szCs w:val="20"/>
          <w:color w:val="auto"/>
        </w:rPr>
      </w:pPr>
    </w:p>
    <w:p>
      <w:pPr>
        <w:ind w:right="720" w:firstLine="449"/>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320" w:top="675"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66"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2" w:lineRule="exact"/>
        <w:rPr>
          <w:sz w:val="20"/>
          <w:szCs w:val="20"/>
          <w:color w:val="auto"/>
        </w:rPr>
      </w:pPr>
    </w:p>
    <w:p>
      <w:pPr>
        <w:ind w:right="580" w:firstLine="449"/>
        <w:spacing w:after="0" w:line="263"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4"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67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Participants will be the responsibility of DTC, and disbursement of such payments to the Beneficial Owners will be the responsibility of Direct and Indirect Participants.</w:t>
      </w:r>
    </w:p>
    <w:p>
      <w:pPr>
        <w:spacing w:after="0" w:line="170"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675" w:right="35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American Stock Transfer &amp; Trust Company, LLC serves as our transfer agent, distribution paying agent and registrar. The principal business address of State Street Bank and Trust Company is 1 Lincoln Street, Boston, Massachusetts 02111. The principal business address of American Stock Transfer &amp; Trust Company, LLC is 6201 15th Avenue, Brooklyn, NY 11219.</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The aggregate amount of brokerage commissions paid by us during the three most recent completed fiscal years is less than $0.4 million. 80</w:t>
      </w:r>
    </w:p>
    <w:p>
      <w:pPr>
        <w:sectPr>
          <w:pgSz w:w="11900" w:h="16838" w:orient="portrait"/>
          <w:cols w:equalWidth="0" w:num="1">
            <w:col w:w="11200"/>
          </w:cols>
          <w:pgMar w:left="320" w:top="675" w:right="37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49"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85"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85"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675"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70"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4"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78"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78"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80"/>
          </w:cols>
          <w:pgMar w:left="320" w:top="675" w:right="3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20" w:firstLine="449"/>
        <w:spacing w:after="0" w:line="296" w:lineRule="auto"/>
        <w:rPr>
          <w:sz w:val="20"/>
          <w:szCs w:val="20"/>
          <w:color w:val="auto"/>
        </w:rPr>
      </w:pPr>
      <w:r>
        <w:rPr>
          <w:rFonts w:ascii="Arial" w:cs="Arial" w:eastAsia="Arial" w:hAnsi="Arial"/>
          <w:sz w:val="16"/>
          <w:szCs w:val="16"/>
          <w:color w:val="auto"/>
        </w:rPr>
        <w:t>The consolidated financial statements of Sixth Street Specialty Lending, Inc. (and subsidiaries) as of December 31, 2021 and 2020, and for each of the years in the three-year period ended December 31, 2021 and the Senior Securities table covering the last ten fiscal years ended December 31, 2021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w:t>
      </w:r>
    </w:p>
    <w:p>
      <w:pPr>
        <w:spacing w:after="0" w:line="17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675"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83" w:lineRule="exact"/>
        <w:rPr>
          <w:sz w:val="20"/>
          <w:szCs w:val="20"/>
          <w:color w:val="auto"/>
        </w:rPr>
      </w:pPr>
    </w:p>
    <w:p>
      <w:pPr>
        <w:ind w:left="1020" w:right="120" w:hanging="450"/>
        <w:spacing w:after="0" w:line="263" w:lineRule="auto"/>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77">
        <w:r>
          <w:rPr>
            <w:rFonts w:ascii="Arial" w:cs="Arial" w:eastAsia="Arial" w:hAnsi="Arial"/>
            <w:sz w:val="18"/>
            <w:szCs w:val="18"/>
            <w:u w:val="single" w:color="auto"/>
            <w:color w:val="0000EE"/>
          </w:rPr>
          <w:t>Form 10-K for the fiscal year ended December 31, 2021</w:t>
        </w:r>
      </w:hyperlink>
      <w:r>
        <w:rPr>
          <w:rFonts w:ascii="Arial" w:cs="Arial" w:eastAsia="Arial" w:hAnsi="Arial"/>
          <w:sz w:val="18"/>
          <w:szCs w:val="18"/>
          <w:color w:val="auto"/>
        </w:rPr>
        <w:t xml:space="preserve">, filed with the SEC on February 17, 2022, including the information specifically incorporated by reference into the Form 10-K from our Definitive Proxy Statement on Schedule 14A relating to our 2022 Annual Meeting of Stockholders, </w:t>
      </w:r>
      <w:hyperlink r:id="rId178">
        <w:r>
          <w:rPr>
            <w:rFonts w:ascii="Arial" w:cs="Arial" w:eastAsia="Arial" w:hAnsi="Arial"/>
            <w:sz w:val="18"/>
            <w:szCs w:val="18"/>
            <w:u w:val="single" w:color="auto"/>
            <w:color w:val="0000EE"/>
          </w:rPr>
          <w:t>filed with the SEC on April 13, 2022</w:t>
        </w:r>
      </w:hyperlink>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20" w:right="200" w:hanging="450"/>
        <w:spacing w:after="0" w:line="263" w:lineRule="auto"/>
        <w:tabs>
          <w:tab w:leader="none" w:pos="1020" w:val="left"/>
        </w:tabs>
        <w:numPr>
          <w:ilvl w:val="0"/>
          <w:numId w:val="99"/>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w:t>
      </w:r>
      <w:hyperlink r:id="rId179">
        <w:r>
          <w:rPr>
            <w:rFonts w:ascii="Arial" w:cs="Arial" w:eastAsia="Arial" w:hAnsi="Arial"/>
            <w:sz w:val="18"/>
            <w:szCs w:val="18"/>
            <w:u w:val="single" w:color="auto"/>
            <w:color w:val="0000EE"/>
          </w:rPr>
          <w:t>three months ended March 31, 2022</w:t>
        </w:r>
      </w:hyperlink>
      <w:r>
        <w:rPr>
          <w:rFonts w:ascii="Arial" w:cs="Arial" w:eastAsia="Arial" w:hAnsi="Arial"/>
          <w:sz w:val="18"/>
          <w:szCs w:val="18"/>
          <w:color w:val="auto"/>
        </w:rPr>
        <w:t xml:space="preserve">, filed with the SEC on May 4, 2022, for the three months </w:t>
      </w:r>
      <w:hyperlink r:id="rId180">
        <w:r>
          <w:rPr>
            <w:rFonts w:ascii="Arial" w:cs="Arial" w:eastAsia="Arial" w:hAnsi="Arial"/>
            <w:sz w:val="18"/>
            <w:szCs w:val="18"/>
            <w:u w:val="single" w:color="auto"/>
            <w:color w:val="0000EE"/>
          </w:rPr>
          <w:t>ended June 30, 2022, filed with the SEC on August 2, 2022</w:t>
        </w:r>
        <w:r>
          <w:rPr>
            <w:rFonts w:ascii="Arial" w:cs="Arial" w:eastAsia="Arial" w:hAnsi="Arial"/>
            <w:sz w:val="18"/>
            <w:szCs w:val="18"/>
            <w:color w:val="000000"/>
          </w:rPr>
          <w:t>, and for the</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three months ended September 30, 2022, filed with the SEC on</w:t>
        </w:r>
      </w:hyperlink>
      <w:r>
        <w:rPr>
          <w:rFonts w:ascii="Arial" w:cs="Arial" w:eastAsia="Arial" w:hAnsi="Arial"/>
          <w:sz w:val="18"/>
          <w:szCs w:val="18"/>
          <w:color w:val="0000EE"/>
        </w:rPr>
        <w:t xml:space="preserve"> </w:t>
      </w:r>
      <w:hyperlink r:id="rId180">
        <w:r>
          <w:rPr>
            <w:rFonts w:ascii="Arial" w:cs="Arial" w:eastAsia="Arial" w:hAnsi="Arial"/>
            <w:sz w:val="18"/>
            <w:szCs w:val="18"/>
            <w:u w:val="single" w:color="auto"/>
            <w:color w:val="0000EE"/>
          </w:rPr>
          <w:t>November 1, 2022</w:t>
        </w:r>
        <w:r>
          <w:rPr>
            <w:rFonts w:ascii="Arial" w:cs="Arial" w:eastAsia="Arial" w:hAnsi="Arial"/>
            <w:sz w:val="18"/>
            <w:szCs w:val="18"/>
            <w:color w:val="000000"/>
          </w:rPr>
          <w:t>; and</w:t>
        </w:r>
      </w:hyperlink>
    </w:p>
    <w:p>
      <w:pPr>
        <w:spacing w:after="0" w:line="89" w:lineRule="exact"/>
        <w:rPr>
          <w:rFonts w:ascii="Arial" w:cs="Arial" w:eastAsia="Arial" w:hAnsi="Arial"/>
          <w:sz w:val="18"/>
          <w:szCs w:val="18"/>
          <w:color w:val="0000EE"/>
        </w:rPr>
      </w:pPr>
    </w:p>
    <w:p>
      <w:pPr>
        <w:ind w:left="1020" w:hanging="450"/>
        <w:spacing w:after="0"/>
        <w:tabs>
          <w:tab w:leader="none" w:pos="10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181">
        <w:r>
          <w:rPr>
            <w:rFonts w:ascii="Arial" w:cs="Arial" w:eastAsia="Arial" w:hAnsi="Arial"/>
            <w:sz w:val="18"/>
            <w:szCs w:val="18"/>
            <w:u w:val="single" w:color="auto"/>
            <w:color w:val="0000EE"/>
          </w:rPr>
          <w:t>April 29, 2022</w:t>
        </w:r>
      </w:hyperlink>
      <w:r>
        <w:rPr>
          <w:rFonts w:ascii="Arial" w:cs="Arial" w:eastAsia="Arial" w:hAnsi="Arial"/>
          <w:sz w:val="18"/>
          <w:szCs w:val="18"/>
          <w:color w:val="auto"/>
        </w:rPr>
        <w:t xml:space="preserve">, </w:t>
      </w:r>
      <w:hyperlink r:id="rId182">
        <w:r>
          <w:rPr>
            <w:rFonts w:ascii="Arial" w:cs="Arial" w:eastAsia="Arial" w:hAnsi="Arial"/>
            <w:sz w:val="18"/>
            <w:szCs w:val="18"/>
            <w:u w:val="single" w:color="auto"/>
            <w:color w:val="0000EE"/>
          </w:rPr>
          <w:t>May 27,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83">
        <w:r>
          <w:rPr>
            <w:rFonts w:ascii="Arial" w:cs="Arial" w:eastAsia="Arial" w:hAnsi="Arial"/>
            <w:sz w:val="18"/>
            <w:szCs w:val="18"/>
            <w:u w:val="single" w:color="auto"/>
            <w:color w:val="0000EE"/>
          </w:rPr>
          <w:t>July 1, 2022</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449"/>
        <w:spacing w:after="0" w:line="255"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92" w:lineRule="exact"/>
        <w:rPr>
          <w:rFonts w:ascii="Arial" w:cs="Arial" w:eastAsia="Arial" w:hAnsi="Arial"/>
          <w:sz w:val="18"/>
          <w:szCs w:val="18"/>
          <w:color w:val="auto"/>
        </w:rPr>
      </w:pPr>
    </w:p>
    <w:p>
      <w:pPr>
        <w:jc w:val="both"/>
        <w:ind w:right="40" w:firstLine="449"/>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6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888 7th Avenue, 41st Floor</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IRTSLX@sixthstreet.com.</w:t>
      </w:r>
    </w:p>
    <w:p>
      <w:pPr>
        <w:spacing w:after="0" w:line="211" w:lineRule="exact"/>
        <w:rPr>
          <w:rFonts w:ascii="Arial" w:cs="Arial" w:eastAsia="Arial" w:hAnsi="Arial"/>
          <w:sz w:val="18"/>
          <w:szCs w:val="18"/>
          <w:color w:val="auto"/>
        </w:rPr>
      </w:pPr>
    </w:p>
    <w:p>
      <w:pPr>
        <w:ind w:firstLine="449"/>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12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675" w:right="35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340360</wp:posOffset>
            </wp:positionV>
            <wp:extent cx="1440180" cy="6261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14401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869315</wp:posOffset>
            </wp:positionV>
            <wp:extent cx="1474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23" w:lineRule="exact"/>
        <w:rPr>
          <w:sz w:val="20"/>
          <w:szCs w:val="20"/>
          <w:color w:val="auto"/>
        </w:rPr>
      </w:pPr>
    </w:p>
    <w:p>
      <w:pPr>
        <w:ind w:left="120"/>
        <w:spacing w:after="0"/>
        <w:tabs>
          <w:tab w:leader="none" w:pos="5100" w:val="left"/>
          <w:tab w:leader="none" w:pos="9760" w:val="left"/>
        </w:tabs>
        <w:rPr>
          <w:sz w:val="20"/>
          <w:szCs w:val="20"/>
          <w:color w:val="auto"/>
        </w:rPr>
      </w:pPr>
      <w:r>
        <w:rPr>
          <w:rFonts w:ascii="Arial" w:cs="Arial" w:eastAsia="Arial" w:hAnsi="Arial"/>
          <w:sz w:val="23"/>
          <w:szCs w:val="23"/>
          <w:b w:val="1"/>
          <w:bCs w:val="1"/>
          <w:color w:val="auto"/>
        </w:rPr>
        <w:t>BofA Securities</w:t>
      </w:r>
      <w:r>
        <w:rPr>
          <w:sz w:val="20"/>
          <w:szCs w:val="20"/>
          <w:color w:val="auto"/>
        </w:rPr>
        <w:tab/>
      </w:r>
      <w:r>
        <w:rPr>
          <w:rFonts w:ascii="Arial" w:cs="Arial" w:eastAsia="Arial" w:hAnsi="Arial"/>
          <w:sz w:val="23"/>
          <w:szCs w:val="23"/>
          <w:b w:val="1"/>
          <w:bCs w:val="1"/>
          <w:color w:val="auto"/>
        </w:rPr>
        <w:t>J.P. Morgan</w:t>
      </w:r>
      <w:r>
        <w:rPr>
          <w:sz w:val="20"/>
          <w:szCs w:val="20"/>
          <w:color w:val="auto"/>
        </w:rPr>
        <w:tab/>
      </w:r>
      <w:r>
        <w:rPr>
          <w:rFonts w:ascii="Arial" w:cs="Arial" w:eastAsia="Arial" w:hAnsi="Arial"/>
          <w:sz w:val="22"/>
          <w:szCs w:val="22"/>
          <w:b w:val="1"/>
          <w:bCs w:val="1"/>
          <w:color w:val="auto"/>
        </w:rPr>
        <w:t>SMBC Nikko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563880</wp:posOffset>
            </wp:positionV>
            <wp:extent cx="1474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557530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67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9ABB43"/>
    <w:multiLevelType w:val="hybridMultilevel"/>
    <w:lvl w:ilvl="0">
      <w:lvlJc w:val="left"/>
      <w:lvlText w:val="(%1)"/>
      <w:numFmt w:val="decimal"/>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1)"/>
      <w:numFmt w:val="decimal"/>
      <w:start w:val="1"/>
    </w:lvl>
  </w:abstractNum>
  <w:abstractNum w:abstractNumId="7">
    <w:nsid w:val="520EEDD1"/>
    <w:multiLevelType w:val="hybridMultilevel"/>
    <w:lvl w:ilvl="0">
      <w:lvlJc w:val="left"/>
      <w:lvlText w:val="(%1)"/>
      <w:numFmt w:val="decimal"/>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1"/>
    </w:lvl>
  </w:abstractNum>
  <w:abstractNum w:abstractNumId="13">
    <w:nsid w:val="39386575"/>
    <w:multiLevelType w:val="hybridMultilevel"/>
    <w:lvl w:ilvl="0">
      <w:lvlJc w:val="left"/>
      <w:lvlText w:val="(%1)"/>
      <w:numFmt w:val="decimal"/>
      <w:start w:val="1"/>
    </w:lvl>
  </w:abstractNum>
  <w:abstractNum w:abstractNumId="14">
    <w:nsid w:val="1CF10FD8"/>
    <w:multiLevelType w:val="hybridMultilevel"/>
    <w:lvl w:ilvl="0">
      <w:lvlJc w:val="left"/>
      <w:lvlText w:val="(%1)"/>
      <w:numFmt w:val="decimal"/>
      <w:start w:val="1"/>
    </w:lvl>
  </w:abstractNum>
  <w:abstractNum w:abstractNumId="15">
    <w:nsid w:val="180115BE"/>
    <w:multiLevelType w:val="hybridMultilevel"/>
    <w:lvl w:ilvl="0">
      <w:lvlJc w:val="left"/>
      <w:lvlText w:val="(%1)"/>
      <w:numFmt w:val="decimal"/>
      <w:start w:val="2"/>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1)"/>
      <w:numFmt w:val="decimal"/>
      <w:start w:val="1"/>
    </w:lvl>
  </w:abstractNum>
  <w:abstractNum w:abstractNumId="19">
    <w:nsid w:val="15B5AF5C"/>
    <w:multiLevelType w:val="hybridMultilevel"/>
    <w:lvl w:ilvl="0">
      <w:lvlJc w:val="left"/>
      <w:lvlText w:val="(%1)"/>
      <w:numFmt w:val="lowerRoman"/>
      <w:start w:val="1"/>
    </w:lvl>
  </w:abstractNum>
  <w:abstractNum w:abstractNumId="20">
    <w:nsid w:val="741226BB"/>
    <w:multiLevelType w:val="hybridMultilevel"/>
    <w:lvl w:ilvl="0">
      <w:lvlJc w:val="left"/>
      <w:lvlText w:val="(%1)"/>
      <w:numFmt w:val="lowerRoman"/>
      <w:start w:val="4"/>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lvl w:ilvl="1">
      <w:lvlJc w:val="left"/>
      <w:lvlText w:val="•"/>
      <w:numFmt w:val="bullet"/>
      <w:start w:val="1"/>
    </w:lvl>
  </w:abstractNum>
  <w:abstractNum w:abstractNumId="31">
    <w:nsid w:val="25A70BF7"/>
    <w:multiLevelType w:val="hybridMultilevel"/>
    <w:lvl w:ilvl="0">
      <w:lvlJc w:val="left"/>
      <w:lvlText w:val="•"/>
      <w:numFmt w:val="bullet"/>
      <w:start w:val="1"/>
    </w:lvl>
    <w:lvl w:ilvl="1">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1)"/>
      <w:numFmt w:val="decimal"/>
      <w:start w:val="2"/>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
      <w:numFmt w:val="bullet"/>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1)"/>
      <w:numFmt w:val="decimal"/>
      <w:start w:val="1"/>
    </w:lvl>
  </w:abstractNum>
  <w:abstractNum w:abstractNumId="42">
    <w:nsid w:val="799D0247"/>
    <w:multiLevelType w:val="hybridMultilevel"/>
    <w:lvl w:ilvl="0">
      <w:lvlJc w:val="left"/>
      <w:lvlText w:val="(%1)"/>
      <w:numFmt w:val="lowerRoman"/>
      <w:start w:val="1"/>
    </w:lvl>
  </w:abstractNum>
  <w:abstractNum w:abstractNumId="43">
    <w:nsid w:val="6B94764"/>
    <w:multiLevelType w:val="hybridMultilevel"/>
    <w:lvl w:ilvl="0">
      <w:lvlJc w:val="left"/>
      <w:lvlText w:val="(%1)"/>
      <w:numFmt w:val="lowerRoman"/>
      <w:start w:val="2"/>
    </w:lvl>
  </w:abstractNum>
  <w:abstractNum w:abstractNumId="44">
    <w:nsid w:val="42C296BD"/>
    <w:multiLevelType w:val="hybridMultilevel"/>
    <w:lvl w:ilvl="0">
      <w:lvlJc w:val="left"/>
      <w:lvlText w:val="(%1)"/>
      <w:numFmt w:val="decimal"/>
      <w:start w:val="7"/>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1)"/>
      <w:numFmt w:val="lowerRoman"/>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decimal"/>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start w:val="1"/>
    </w:lvl>
  </w:abstractNum>
  <w:abstractNum w:abstractNumId="53">
    <w:nsid w:val="BF72B14"/>
    <w:multiLevelType w:val="hybridMultilevel"/>
    <w:lvl w:ilvl="0">
      <w:lvlJc w:val="left"/>
      <w:lvlText w:val="%1"/>
      <w:numFmt w:val="decimal"/>
      <w:start w:val="1"/>
    </w:lvl>
    <w:lvl w:ilvl="1">
      <w:lvlJc w:val="left"/>
      <w:lvlText w:val="(%2)"/>
      <w:numFmt w:val="lowerLetter"/>
      <w:start w:val="1"/>
    </w:lvl>
  </w:abstractNum>
  <w:abstractNum w:abstractNumId="54">
    <w:nsid w:val="11447B73"/>
    <w:multiLevelType w:val="hybridMultilevel"/>
    <w:lvl w:ilvl="0">
      <w:lvlJc w:val="left"/>
      <w:lvlText w:val="(%1)"/>
      <w:numFmt w:val="decimal"/>
      <w:start w:val="1"/>
    </w:lvl>
    <w:lvl w:ilvl="1">
      <w:lvlJc w:val="left"/>
      <w:lvlText w:val="%2"/>
      <w:numFmt w:val="lowerLetter"/>
      <w:start w:val="1"/>
    </w:lvl>
  </w:abstractNum>
  <w:abstractNum w:abstractNumId="55">
    <w:nsid w:val="42963E5A"/>
    <w:multiLevelType w:val="hybridMultilevel"/>
    <w:lvl w:ilvl="0">
      <w:lvlJc w:val="left"/>
      <w:lvlText w:val="(%1)"/>
      <w:numFmt w:val="decimal"/>
      <w:start w:val="6"/>
    </w:lvl>
  </w:abstractNum>
  <w:abstractNum w:abstractNumId="56">
    <w:nsid w:val="A0382C5"/>
    <w:multiLevelType w:val="hybridMultilevel"/>
    <w:lvl w:ilvl="0">
      <w:lvlJc w:val="left"/>
      <w:lvlText w:val="%1"/>
      <w:numFmt w:val="decimal"/>
      <w:start w:val="1"/>
    </w:lvl>
    <w:lvl w:ilvl="1">
      <w:lvlJc w:val="left"/>
      <w:lvlText w:val="(%2)"/>
      <w:numFmt w:val="lowerLetter"/>
      <w:start w:val="1"/>
    </w:lvl>
  </w:abstractNum>
  <w:abstractNum w:abstractNumId="57">
    <w:nsid w:val="8F2B15E"/>
    <w:multiLevelType w:val="hybridMultilevel"/>
    <w:lvl w:ilvl="0">
      <w:lvlJc w:val="left"/>
      <w:lvlText w:val="(%1)"/>
      <w:numFmt w:val="decimal"/>
      <w:start w:val="7"/>
    </w:lvl>
    <w:lvl w:ilvl="1">
      <w:lvlJc w:val="left"/>
      <w:lvlText w:val="%2"/>
      <w:numFmt w:val="lowerLetter"/>
      <w:start w:val="1"/>
    </w:lvl>
  </w:abstractNum>
  <w:abstractNum w:abstractNumId="58">
    <w:nsid w:val="1A32234B"/>
    <w:multiLevelType w:val="hybridMultilevel"/>
    <w:lvl w:ilvl="0">
      <w:lvlJc w:val="left"/>
      <w:lvlText w:val="%1"/>
      <w:numFmt w:val="decimal"/>
      <w:start w:val="1"/>
    </w:lvl>
    <w:lvl w:ilvl="1">
      <w:lvlJc w:val="left"/>
      <w:lvlText w:val="(%2)"/>
      <w:numFmt w:val="lowerLetter"/>
      <w:start w:val="1"/>
    </w:lvl>
  </w:abstractNum>
  <w:abstractNum w:abstractNumId="59">
    <w:nsid w:val="3B0FD379"/>
    <w:multiLevelType w:val="hybridMultilevel"/>
    <w:lvl w:ilvl="0">
      <w:lvlJc w:val="left"/>
      <w:lvlText w:val="(%1)"/>
      <w:numFmt w:val="decimal"/>
      <w:start w:val="8"/>
    </w:lvl>
    <w:lvl w:ilvl="1">
      <w:lvlJc w:val="left"/>
      <w:lvlText w:val="%2"/>
      <w:numFmt w:val="lowerLetter"/>
      <w:start w:val="1"/>
    </w:lvl>
  </w:abstractNum>
  <w:abstractNum w:abstractNumId="60">
    <w:nsid w:val="68EB2F63"/>
    <w:multiLevelType w:val="hybridMultilevel"/>
    <w:lvl w:ilvl="0">
      <w:lvlJc w:val="left"/>
      <w:lvlText w:val="(%1)"/>
      <w:numFmt w:val="decimal"/>
      <w:start w:val="9"/>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
      <w:numFmt w:val="bullet"/>
      <w:start w:val="1"/>
    </w:lvl>
  </w:abstractNum>
  <w:abstractNum w:abstractNumId="65">
    <w:nsid w:val="7FFFCA11"/>
    <w:multiLevelType w:val="hybridMultilevel"/>
    <w:lvl w:ilvl="0">
      <w:lvlJc w:val="left"/>
      <w:lvlText w:val="•"/>
      <w:numFmt w:val="bullet"/>
      <w:start w:val="1"/>
    </w:lvl>
  </w:abstractNum>
  <w:abstractNum w:abstractNumId="66">
    <w:nsid w:val="1A27709E"/>
    <w:multiLevelType w:val="hybridMultilevel"/>
    <w:lvl w:ilvl="0">
      <w:lvlJc w:val="left"/>
      <w:lvlText w:val="•"/>
      <w:numFmt w:val="bullet"/>
      <w:start w:val="1"/>
    </w:lvl>
    <w:lvl w:ilvl="1">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lowerRoman"/>
      <w:start w:val="2"/>
    </w:lvl>
  </w:abstractNum>
  <w:abstractNum w:abstractNumId="71">
    <w:nsid w:val="6F6DD9AC"/>
    <w:multiLevelType w:val="hybridMultilevel"/>
    <w:lvl w:ilvl="0">
      <w:lvlJc w:val="left"/>
      <w:lvlText w:val="(%1)"/>
      <w:numFmt w:val="lowerRoman"/>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
      <w:numFmt w:val="bullet"/>
      <w:start w:val="1"/>
    </w:lvl>
  </w:abstractNum>
  <w:abstractNum w:abstractNumId="81">
    <w:nsid w:val="2DF6D648"/>
    <w:multiLevelType w:val="hybridMultilevel"/>
    <w:lvl w:ilvl="0">
      <w:lvlJc w:val="left"/>
      <w:lvlText w:val="•"/>
      <w:numFmt w:val="bullet"/>
      <w:start w:val="1"/>
    </w:lvl>
  </w:abstractNum>
  <w:abstractNum w:abstractNumId="82">
    <w:nsid w:val="46B7D447"/>
    <w:multiLevelType w:val="hybridMultilevel"/>
    <w:lvl w:ilvl="0">
      <w:lvlJc w:val="left"/>
      <w:lvlText w:val="•"/>
      <w:numFmt w:val="bullet"/>
      <w:start w:val="1"/>
    </w:lvl>
  </w:abstractNum>
  <w:abstractNum w:abstractNumId="83">
    <w:nsid w:val="4A2AC315"/>
    <w:multiLevelType w:val="hybridMultilevel"/>
    <w:lvl w:ilvl="0">
      <w:lvlJc w:val="left"/>
      <w:lvlText w:val="•"/>
      <w:numFmt w:val="bullet"/>
      <w:start w:val="1"/>
    </w:lvl>
  </w:abstractNum>
  <w:abstractNum w:abstractNumId="84">
    <w:nsid w:val="39EE015C"/>
    <w:multiLevelType w:val="hybridMultilevel"/>
    <w:lvl w:ilvl="0">
      <w:lvlJc w:val="left"/>
      <w:lvlText w:val="•"/>
      <w:numFmt w:val="bullet"/>
      <w:start w:val="1"/>
    </w:lvl>
  </w:abstractNum>
  <w:abstractNum w:abstractNumId="85">
    <w:nsid w:val="57FC4FBB"/>
    <w:multiLevelType w:val="hybridMultilevel"/>
    <w:lvl w:ilvl="0">
      <w:lvlJc w:val="left"/>
      <w:lvlText w:val="•"/>
      <w:numFmt w:val="bullet"/>
      <w:start w:val="1"/>
    </w:lvl>
  </w:abstractNum>
  <w:abstractNum w:abstractNumId="86">
    <w:nsid w:val="CC1016F"/>
    <w:multiLevelType w:val="hybridMultilevel"/>
    <w:lvl w:ilvl="0">
      <w:lvlJc w:val="left"/>
      <w:lvlText w:val="•"/>
      <w:numFmt w:val="bullet"/>
      <w:start w:val="1"/>
    </w:lvl>
  </w:abstractNum>
  <w:abstractNum w:abstractNumId="87">
    <w:nsid w:val="43F18422"/>
    <w:multiLevelType w:val="hybridMultilevel"/>
    <w:lvl w:ilvl="0">
      <w:lvlJc w:val="left"/>
      <w:lvlText w:val="•"/>
      <w:numFmt w:val="bullet"/>
      <w:start w:val="1"/>
    </w:lvl>
  </w:abstractNum>
  <w:abstractNum w:abstractNumId="88">
    <w:nsid w:val="60EF0119"/>
    <w:multiLevelType w:val="hybridMultilevel"/>
    <w:lvl w:ilvl="0">
      <w:lvlJc w:val="left"/>
      <w:lvlText w:val="•"/>
      <w:numFmt w:val="bullet"/>
      <w:start w:val="1"/>
    </w:lvl>
  </w:abstractNum>
  <w:abstractNum w:abstractNumId="89">
    <w:nsid w:val="26F324BA"/>
    <w:multiLevelType w:val="hybridMultilevel"/>
    <w:lvl w:ilvl="0">
      <w:lvlJc w:val="left"/>
      <w:lvlText w:val="•"/>
      <w:numFmt w:val="bullet"/>
      <w:start w:val="1"/>
    </w:lvl>
  </w:abstractNum>
  <w:abstractNum w:abstractNumId="90">
    <w:nsid w:val="7F01579B"/>
    <w:multiLevelType w:val="hybridMultilevel"/>
    <w:lvl w:ilvl="0">
      <w:lvlJc w:val="left"/>
      <w:lvlText w:val="•"/>
      <w:numFmt w:val="bullet"/>
      <w:start w:val="1"/>
    </w:lvl>
  </w:abstractNum>
  <w:abstractNum w:abstractNumId="91">
    <w:nsid w:val="49DA307D"/>
    <w:multiLevelType w:val="hybridMultilevel"/>
    <w:lvl w:ilvl="0">
      <w:lvlJc w:val="left"/>
      <w:lvlText w:val="•"/>
      <w:numFmt w:val="bullet"/>
      <w:start w:val="1"/>
    </w:lvl>
  </w:abstractNum>
  <w:abstractNum w:abstractNumId="92">
    <w:nsid w:val="7055A5F5"/>
    <w:multiLevelType w:val="hybridMultilevel"/>
    <w:lvl w:ilvl="0">
      <w:lvlJc w:val="left"/>
      <w:lvlText w:val="•"/>
      <w:numFmt w:val="bullet"/>
      <w:start w:val="1"/>
    </w:lvl>
  </w:abstractNum>
  <w:abstractNum w:abstractNumId="93">
    <w:nsid w:val="5FB8370B"/>
    <w:multiLevelType w:val="hybridMultilevel"/>
    <w:lvl w:ilvl="0">
      <w:lvlJc w:val="left"/>
      <w:lvlText w:val="•"/>
      <w:numFmt w:val="bullet"/>
      <w:start w:val="1"/>
    </w:lvl>
  </w:abstractNum>
  <w:abstractNum w:abstractNumId="94">
    <w:nsid w:val="50801EE1"/>
    <w:multiLevelType w:val="hybridMultilevel"/>
    <w:lvl w:ilvl="0">
      <w:lvlJc w:val="left"/>
      <w:lvlText w:val="•"/>
      <w:numFmt w:val="bullet"/>
      <w:start w:val="1"/>
    </w:lvl>
  </w:abstractNum>
  <w:abstractNum w:abstractNumId="95">
    <w:nsid w:val="488AC1A"/>
    <w:multiLevelType w:val="hybridMultilevel"/>
    <w:lvl w:ilvl="0">
      <w:lvlJc w:val="left"/>
      <w:lvlText w:val="•"/>
      <w:numFmt w:val="bullet"/>
      <w:start w:val="1"/>
    </w:lvl>
  </w:abstractNum>
  <w:abstractNum w:abstractNumId="96">
    <w:nsid w:val="5FB8011C"/>
    <w:multiLevelType w:val="hybridMultilevel"/>
    <w:lvl w:ilvl="0">
      <w:lvlJc w:val="left"/>
      <w:lvlText w:val="•"/>
      <w:numFmt w:val="bullet"/>
      <w:start w:val="1"/>
    </w:lvl>
  </w:abstractNum>
  <w:abstractNum w:abstractNumId="97">
    <w:nsid w:val="6AA78F7F"/>
    <w:multiLevelType w:val="hybridMultilevel"/>
    <w:lvl w:ilvl="0">
      <w:lvlJc w:val="left"/>
      <w:lvlText w:val="•"/>
      <w:numFmt w:val="bullet"/>
      <w:start w:val="1"/>
    </w:lvl>
  </w:abstractNum>
  <w:abstractNum w:abstractNumId="98">
    <w:nsid w:val="7672B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jpe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06" Type="http://schemas.openxmlformats.org/officeDocument/2006/relationships/image" Target="media/image89.png"/><Relationship Id="rId10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11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17" Type="http://schemas.openxmlformats.org/officeDocument/2006/relationships/image" Target="media/image100.png"/><Relationship Id="rId118" Type="http://schemas.openxmlformats.org/officeDocument/2006/relationships/image" Target="media/image101.png"/><Relationship Id="rId119" Type="http://schemas.openxmlformats.org/officeDocument/2006/relationships/image" Target="media/image102.png"/><Relationship Id="rId120" Type="http://schemas.openxmlformats.org/officeDocument/2006/relationships/image" Target="media/image103.png"/><Relationship Id="rId121" Type="http://schemas.openxmlformats.org/officeDocument/2006/relationships/image" Target="media/image104.png"/><Relationship Id="rId122" Type="http://schemas.openxmlformats.org/officeDocument/2006/relationships/image" Target="media/image105.png"/><Relationship Id="rId123" Type="http://schemas.openxmlformats.org/officeDocument/2006/relationships/image" Target="media/image106.png"/><Relationship Id="rId124" Type="http://schemas.openxmlformats.org/officeDocument/2006/relationships/image" Target="media/image107.png"/><Relationship Id="rId125" Type="http://schemas.openxmlformats.org/officeDocument/2006/relationships/image" Target="media/image108.png"/><Relationship Id="rId126" Type="http://schemas.openxmlformats.org/officeDocument/2006/relationships/image" Target="media/image109.png"/><Relationship Id="rId127" Type="http://schemas.openxmlformats.org/officeDocument/2006/relationships/image" Target="media/image110.png"/><Relationship Id="rId128" Type="http://schemas.openxmlformats.org/officeDocument/2006/relationships/image" Target="media/image111.png"/><Relationship Id="rId129" Type="http://schemas.openxmlformats.org/officeDocument/2006/relationships/image" Target="media/image112.png"/><Relationship Id="rId130" Type="http://schemas.openxmlformats.org/officeDocument/2006/relationships/image" Target="media/image113.png"/><Relationship Id="rId131" Type="http://schemas.openxmlformats.org/officeDocument/2006/relationships/image" Target="media/image114.png"/><Relationship Id="rId132"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163" Type="http://schemas.openxmlformats.org/officeDocument/2006/relationships/image" Target="media/image146.png"/><Relationship Id="rId164"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png"/><Relationship Id="rId174" Type="http://schemas.openxmlformats.org/officeDocument/2006/relationships/image" Target="media/image157.png"/><Relationship Id="rId175" Type="http://schemas.openxmlformats.org/officeDocument/2006/relationships/image" Target="media/image158.png"/><Relationship Id="rId176"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jpe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57" Type="http://schemas.openxmlformats.org/officeDocument/2006/relationships/hyperlink" Target="http://www.sec.gov/ix?doc=/Archives/edgar/data/1508655/000095017023003042/tslx-20221231.htm" TargetMode="External"/><Relationship Id="rId58" Type="http://schemas.openxmlformats.org/officeDocument/2006/relationships/hyperlink" Target="http://www.sec.gov/ix?doc=/Archives/edgar/data/1508655/000095017023018777/tslx-20230331.htm" TargetMode="External"/><Relationship Id="rId59" Type="http://schemas.openxmlformats.org/officeDocument/2006/relationships/hyperlink" Target="http://www.sec.gov/ix?doc=/Archives/edgar/data/1508655/000095017023038066/tslx-20230630.htm" TargetMode="External"/><Relationship Id="rId60" Type="http://schemas.openxmlformats.org/officeDocument/2006/relationships/hyperlink" Target="http://www.sec.gov/ix?doc=/Archives/edgar/data/1508655/000119312523144982/d509627d8k.htm" TargetMode="External"/><Relationship Id="rId61" Type="http://schemas.openxmlformats.org/officeDocument/2006/relationships/hyperlink" Target="http://www.sec.gov/ix?doc=/Archives/edgar/data/1508655/000119312523155431/d495066d8k.htm" TargetMode="External"/><Relationship Id="rId62" Type="http://schemas.openxmlformats.org/officeDocument/2006/relationships/hyperlink" Target="http://www.sec.gov/ix?doc=/Archives/edgar/data/1508655/000119312523165276/d509708d8k.htm" TargetMode="External"/><Relationship Id="rId63" Type="http://schemas.openxmlformats.org/officeDocument/2006/relationships/hyperlink" Target="http://www.sec.gov/ix?doc=/Archives/edgar/data/1508655/000119312523165451/d509555d8k.htm" TargetMode="External"/><Relationship Id="rId64" Type="http://schemas.openxmlformats.org/officeDocument/2006/relationships/hyperlink" Target="http://www.sec.gov/ix?doc=/Archives/edgar/data/1508655/000119312523187256/d513136d8k.htm" TargetMode="External"/><Relationship Id="rId65" Type="http://schemas.openxmlformats.org/officeDocument/2006/relationships/hyperlink" Target="http://www.sec.gov/ix?doc=/Archives/edgar/data/1508655/000119312523188221/d534568d8ka.htm" TargetMode="External"/><Relationship Id="rId66" Type="http://schemas.openxmlformats.org/officeDocument/2006/relationships/hyperlink" Target="http://www.sec.gov/Archives/edgar/data/1508655/000119312523100512/d498091ddef14a.htm" TargetMode="External"/><Relationship Id="rId177" Type="http://schemas.openxmlformats.org/officeDocument/2006/relationships/hyperlink" Target="http://www.sec.gov/Archives/edgar/data/1508655/000156459022005558/tslx-10k_20211231.htm" TargetMode="External"/><Relationship Id="rId178" Type="http://schemas.openxmlformats.org/officeDocument/2006/relationships/hyperlink" Target="http://www.sec.gov/Archives/edgar/data/1508655/000119312522104268/d423137ddef14a.htm" TargetMode="External"/><Relationship Id="rId179" Type="http://schemas.openxmlformats.org/officeDocument/2006/relationships/hyperlink" Target="http://www.sec.gov/Archives/edgar/data/1508655/000156459022017420/tslx-10q_20220331.htm" TargetMode="External"/><Relationship Id="rId180" Type="http://schemas.openxmlformats.org/officeDocument/2006/relationships/hyperlink" Target="http://www.sec.gov/Archives/edgar/data/1508655/000095017022020830/tslx-20220930.htm" TargetMode="External"/><Relationship Id="rId181" Type="http://schemas.openxmlformats.org/officeDocument/2006/relationships/hyperlink" Target="http://www.sec.gov/Archives/edgar/data/1508655/000119312522133581/d353862d8k.htm" TargetMode="External"/><Relationship Id="rId182" Type="http://schemas.openxmlformats.org/officeDocument/2006/relationships/hyperlink" Target="http://www.sec.gov/Archives/edgar/data/1508655/000119312522162469/d361714d8k.htm" TargetMode="External"/><Relationship Id="rId183" Type="http://schemas.openxmlformats.org/officeDocument/2006/relationships/hyperlink" Target="http://www.sec.gov/Archives/edgar/data/1508655/000119312522187202/d37646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2023-08-07T07:25:49Z</dcterms:created>
  <dcterms:modified xsi:type="dcterms:W3CDTF">2023-08-07T07:25:49Z</dcterms:modified>
</cp:coreProperties>
</file>