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12/16/2011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80" w:type="dxa"/>
            <w:vAlign w:val="bottom"/>
            <w:gridSpan w:val="2"/>
            <w:vMerge w:val="restart"/>
          </w:tcPr>
          <w:p>
            <w:pPr>
              <w:ind w:left="640"/>
              <w:spacing w:after="0"/>
              <w:rPr>
                <w:sz w:val="20"/>
                <w:szCs w:val="20"/>
                <w:color w:val="auto"/>
              </w:rPr>
            </w:pPr>
            <w:r>
              <w:rPr>
                <w:rFonts w:ascii="Arial" w:cs="Arial" w:eastAsia="Arial" w:hAnsi="Arial"/>
                <w:sz w:val="18"/>
                <w:szCs w:val="18"/>
                <w:color w:val="0000FF"/>
              </w:rPr>
              <w:t>12/16/2011</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240"/>
              <w:spacing w:after="0"/>
              <w:rPr>
                <w:sz w:val="20"/>
                <w:szCs w:val="20"/>
                <w:color w:val="auto"/>
              </w:rPr>
            </w:pPr>
            <w:r>
              <w:rPr>
                <w:rFonts w:ascii="Arial" w:cs="Arial" w:eastAsia="Arial" w:hAnsi="Arial"/>
                <w:sz w:val="18"/>
                <w:szCs w:val="18"/>
                <w:color w:val="0000FF"/>
              </w:rPr>
              <w:t>10.5</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982.3</w:t>
            </w:r>
          </w:p>
        </w:tc>
        <w:tc>
          <w:tcPr>
            <w:tcW w:w="1300" w:type="dxa"/>
            <w:vAlign w:val="bottom"/>
            <w:gridSpan w:val="3"/>
            <w:vMerge w:val="restart"/>
          </w:tcPr>
          <w:p>
            <w:pPr>
              <w:ind w:left="440"/>
              <w:spacing w:after="0"/>
              <w:rPr>
                <w:sz w:val="20"/>
                <w:szCs w:val="20"/>
                <w:color w:val="auto"/>
              </w:rPr>
            </w:pPr>
            <w:r>
              <w:rPr>
                <w:rFonts w:ascii="Arial" w:cs="Arial" w:eastAsia="Arial" w:hAnsi="Arial"/>
                <w:sz w:val="18"/>
                <w:szCs w:val="18"/>
                <w:color w:val="0000FF"/>
              </w:rPr>
              <w:t>146.2</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7,975 shares of Common Stock of the Issuer, including 146.2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12/20/2011</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2019-12-17T04:56:53Z</dcterms:created>
  <dcterms:modified xsi:type="dcterms:W3CDTF">2019-12-17T04:56:53Z</dcterms:modified>
</cp:coreProperties>
</file>