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31, 2016</w:t>
      </w:r>
    </w:p>
    <w:p>
      <w:pPr>
        <w:spacing w:after="0" w:line="1"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Securities Act File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N-2</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6"/>
          <w:szCs w:val="16"/>
          <w:b w:val="1"/>
          <w:bCs w:val="1"/>
          <w:i w:val="1"/>
          <w:iCs w:val="1"/>
          <w:color w:val="auto"/>
        </w:rPr>
        <w:t>UNDER</w:t>
      </w:r>
    </w:p>
    <w:tbl>
      <w:tblPr>
        <w:tblLayout w:type="fixed"/>
        <w:tblInd w:w="4380" w:type="dxa"/>
        <w:tblCellMar>
          <w:top w:w="0" w:type="dxa"/>
          <w:left w:w="0" w:type="dxa"/>
          <w:bottom w:w="0" w:type="dxa"/>
          <w:right w:w="0" w:type="dxa"/>
        </w:tblCellMar>
      </w:tblPr>
      <w:tr>
        <w:trPr>
          <w:trHeight w:val="177"/>
        </w:trPr>
        <w:tc>
          <w:tcPr>
            <w:tcW w:w="4600" w:type="dxa"/>
            <w:vAlign w:val="bottom"/>
          </w:tcPr>
          <w:p>
            <w:pPr>
              <w:jc w:val="center"/>
              <w:ind w:right="2219"/>
              <w:spacing w:after="0" w:line="178" w:lineRule="exact"/>
              <w:rPr>
                <w:sz w:val="20"/>
                <w:szCs w:val="20"/>
                <w:color w:val="auto"/>
              </w:rPr>
            </w:pPr>
            <w:r>
              <w:rPr>
                <w:rFonts w:ascii="Arial" w:cs="Arial" w:eastAsia="Arial" w:hAnsi="Arial"/>
                <w:sz w:val="16"/>
                <w:szCs w:val="16"/>
                <w:b w:val="1"/>
                <w:bCs w:val="1"/>
                <w:i w:val="1"/>
                <w:iCs w:val="1"/>
                <w:color w:val="auto"/>
                <w:w w:val="97"/>
              </w:rPr>
              <w:t>THE SECURITIES ACT OF 1933</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4600" w:type="dxa"/>
            <w:vAlign w:val="bottom"/>
          </w:tcPr>
          <w:p>
            <w:pPr>
              <w:jc w:val="center"/>
              <w:ind w:right="2199"/>
              <w:spacing w:after="0"/>
              <w:rPr>
                <w:sz w:val="20"/>
                <w:szCs w:val="20"/>
                <w:color w:val="auto"/>
              </w:rPr>
            </w:pPr>
            <w:r>
              <w:rPr>
                <w:rFonts w:ascii="Arial" w:cs="Arial" w:eastAsia="Arial" w:hAnsi="Arial"/>
                <w:sz w:val="16"/>
                <w:szCs w:val="16"/>
                <w:b w:val="1"/>
                <w:bCs w:val="1"/>
                <w:color w:val="auto"/>
                <w:w w:val="92"/>
              </w:rPr>
              <w:t>Pre-Effective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4600" w:type="dxa"/>
            <w:vAlign w:val="bottom"/>
          </w:tcPr>
          <w:p>
            <w:pPr>
              <w:jc w:val="center"/>
              <w:ind w:right="2219"/>
              <w:spacing w:after="0"/>
              <w:rPr>
                <w:sz w:val="20"/>
                <w:szCs w:val="20"/>
                <w:color w:val="auto"/>
              </w:rPr>
            </w:pPr>
            <w:r>
              <w:rPr>
                <w:rFonts w:ascii="Arial" w:cs="Arial" w:eastAsia="Arial" w:hAnsi="Arial"/>
                <w:sz w:val="16"/>
                <w:szCs w:val="16"/>
                <w:b w:val="1"/>
                <w:bCs w:val="1"/>
                <w:color w:val="auto"/>
                <w:w w:val="91"/>
              </w:rPr>
              <w:t>Post-Effective Amendment No.</w:t>
            </w:r>
          </w:p>
        </w:tc>
        <w:tc>
          <w:tcPr>
            <w:tcW w:w="2440" w:type="dxa"/>
            <w:vAlign w:val="bottom"/>
          </w:tcPr>
          <w:p>
            <w:pPr>
              <w:ind w:left="2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138430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TPG Specialty Lending,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301 Commerce Street, Suite 3300</w:t>
      </w:r>
    </w:p>
    <w:p>
      <w:pPr>
        <w:jc w:val="center"/>
        <w:spacing w:after="0" w:line="223" w:lineRule="auto"/>
        <w:rPr>
          <w:sz w:val="20"/>
          <w:szCs w:val="20"/>
          <w:color w:val="auto"/>
        </w:rPr>
      </w:pPr>
      <w:r>
        <w:rPr>
          <w:rFonts w:ascii="Arial" w:cs="Arial" w:eastAsia="Arial" w:hAnsi="Arial"/>
          <w:sz w:val="14"/>
          <w:szCs w:val="14"/>
          <w:b w:val="1"/>
          <w:bCs w:val="1"/>
          <w:color w:val="auto"/>
        </w:rPr>
        <w:t>Fort Worth, TX 76102</w:t>
      </w:r>
    </w:p>
    <w:p>
      <w:pPr>
        <w:jc w:val="center"/>
        <w:spacing w:after="0" w:line="222"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line="221" w:lineRule="auto"/>
        <w:rPr>
          <w:sz w:val="20"/>
          <w:szCs w:val="20"/>
          <w:color w:val="auto"/>
        </w:rPr>
      </w:pPr>
      <w:r>
        <w:rPr>
          <w:rFonts w:ascii="Arial" w:cs="Arial" w:eastAsia="Arial" w:hAnsi="Arial"/>
          <w:sz w:val="14"/>
          <w:szCs w:val="14"/>
          <w:b w:val="1"/>
          <w:bCs w:val="1"/>
          <w:color w:val="auto"/>
        </w:rPr>
        <w:t>(817) 871-4000</w:t>
      </w:r>
    </w:p>
    <w:p>
      <w:pPr>
        <w:jc w:val="center"/>
        <w:spacing w:after="0" w:line="222" w:lineRule="auto"/>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line="221" w:lineRule="auto"/>
        <w:rPr>
          <w:sz w:val="20"/>
          <w:szCs w:val="20"/>
          <w:color w:val="auto"/>
        </w:rPr>
      </w:pPr>
      <w:r>
        <w:rPr>
          <w:rFonts w:ascii="Arial" w:cs="Arial" w:eastAsia="Arial" w:hAnsi="Arial"/>
          <w:sz w:val="14"/>
          <w:szCs w:val="14"/>
          <w:b w:val="1"/>
          <w:bCs w:val="1"/>
          <w:color w:val="auto"/>
        </w:rPr>
        <w:t>David Stiepleman</w:t>
      </w:r>
    </w:p>
    <w:p>
      <w:pPr>
        <w:jc w:val="center"/>
        <w:spacing w:after="0" w:line="222" w:lineRule="auto"/>
        <w:rPr>
          <w:sz w:val="20"/>
          <w:szCs w:val="20"/>
          <w:color w:val="auto"/>
        </w:rPr>
      </w:pPr>
      <w:r>
        <w:rPr>
          <w:rFonts w:ascii="Arial" w:cs="Arial" w:eastAsia="Arial" w:hAnsi="Arial"/>
          <w:sz w:val="14"/>
          <w:szCs w:val="14"/>
          <w:b w:val="1"/>
          <w:bCs w:val="1"/>
          <w:color w:val="auto"/>
        </w:rPr>
        <w:t>c/o TPG Specialty Lending, Inc.</w:t>
      </w:r>
    </w:p>
    <w:p>
      <w:pPr>
        <w:jc w:val="center"/>
        <w:spacing w:after="0" w:line="221" w:lineRule="auto"/>
        <w:rPr>
          <w:sz w:val="20"/>
          <w:szCs w:val="20"/>
          <w:color w:val="auto"/>
        </w:rPr>
      </w:pPr>
      <w:r>
        <w:rPr>
          <w:rFonts w:ascii="Arial" w:cs="Arial" w:eastAsia="Arial" w:hAnsi="Arial"/>
          <w:sz w:val="14"/>
          <w:szCs w:val="14"/>
          <w:b w:val="1"/>
          <w:bCs w:val="1"/>
          <w:color w:val="auto"/>
        </w:rPr>
        <w:t>345 California Street, Suite 3300</w:t>
      </w:r>
    </w:p>
    <w:p>
      <w:pPr>
        <w:jc w:val="center"/>
        <w:spacing w:after="0" w:line="222" w:lineRule="auto"/>
        <w:rPr>
          <w:sz w:val="20"/>
          <w:szCs w:val="20"/>
          <w:color w:val="auto"/>
        </w:rPr>
      </w:pPr>
      <w:r>
        <w:rPr>
          <w:rFonts w:ascii="Arial" w:cs="Arial" w:eastAsia="Arial" w:hAnsi="Arial"/>
          <w:sz w:val="14"/>
          <w:szCs w:val="14"/>
          <w:b w:val="1"/>
          <w:bCs w:val="1"/>
          <w:color w:val="auto"/>
        </w:rPr>
        <w:t>San Francisco, CA 94104</w:t>
      </w: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145415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WITH COPIES TO:</w:t>
      </w:r>
    </w:p>
    <w:p>
      <w:pPr>
        <w:jc w:val="center"/>
        <w:spacing w:after="0" w:line="223" w:lineRule="auto"/>
        <w:rPr>
          <w:sz w:val="20"/>
          <w:szCs w:val="20"/>
          <w:color w:val="auto"/>
        </w:rPr>
      </w:pPr>
      <w:r>
        <w:rPr>
          <w:rFonts w:ascii="Arial" w:cs="Arial" w:eastAsia="Arial" w:hAnsi="Arial"/>
          <w:sz w:val="14"/>
          <w:szCs w:val="14"/>
          <w:b w:val="1"/>
          <w:bCs w:val="1"/>
          <w:color w:val="auto"/>
        </w:rPr>
        <w:t>Michael A. Gerstenzang, Esq.</w:t>
      </w:r>
    </w:p>
    <w:p>
      <w:pPr>
        <w:jc w:val="center"/>
        <w:spacing w:after="0" w:line="222" w:lineRule="auto"/>
        <w:rPr>
          <w:sz w:val="20"/>
          <w:szCs w:val="20"/>
          <w:color w:val="auto"/>
        </w:rPr>
      </w:pPr>
      <w:r>
        <w:rPr>
          <w:rFonts w:ascii="Arial" w:cs="Arial" w:eastAsia="Arial" w:hAnsi="Arial"/>
          <w:sz w:val="14"/>
          <w:szCs w:val="14"/>
          <w:b w:val="1"/>
          <w:bCs w:val="1"/>
          <w:color w:val="auto"/>
        </w:rPr>
        <w:t>Adam E. Fleisher, Esq.</w:t>
      </w:r>
    </w:p>
    <w:p>
      <w:pPr>
        <w:jc w:val="center"/>
        <w:spacing w:after="0" w:line="221" w:lineRule="auto"/>
        <w:rPr>
          <w:sz w:val="20"/>
          <w:szCs w:val="20"/>
          <w:color w:val="auto"/>
        </w:rPr>
      </w:pPr>
      <w:r>
        <w:rPr>
          <w:rFonts w:ascii="Arial" w:cs="Arial" w:eastAsia="Arial" w:hAnsi="Arial"/>
          <w:sz w:val="14"/>
          <w:szCs w:val="14"/>
          <w:b w:val="1"/>
          <w:bCs w:val="1"/>
          <w:color w:val="auto"/>
        </w:rPr>
        <w:t>Helena K. Grannis, Esq.</w:t>
      </w:r>
    </w:p>
    <w:p>
      <w:pPr>
        <w:jc w:val="center"/>
        <w:spacing w:after="0" w:line="222" w:lineRule="auto"/>
        <w:rPr>
          <w:sz w:val="20"/>
          <w:szCs w:val="20"/>
          <w:color w:val="auto"/>
        </w:rPr>
      </w:pPr>
      <w:r>
        <w:rPr>
          <w:rFonts w:ascii="Arial" w:cs="Arial" w:eastAsia="Arial" w:hAnsi="Arial"/>
          <w:sz w:val="14"/>
          <w:szCs w:val="14"/>
          <w:b w:val="1"/>
          <w:bCs w:val="1"/>
          <w:color w:val="auto"/>
        </w:rPr>
        <w:t>Cleary Gottlieb Steen &amp; Hamilton LLP</w:t>
      </w:r>
    </w:p>
    <w:p>
      <w:pPr>
        <w:jc w:val="center"/>
        <w:spacing w:after="0" w:line="221" w:lineRule="auto"/>
        <w:rPr>
          <w:sz w:val="20"/>
          <w:szCs w:val="20"/>
          <w:color w:val="auto"/>
        </w:rPr>
      </w:pPr>
      <w:r>
        <w:rPr>
          <w:rFonts w:ascii="Arial" w:cs="Arial" w:eastAsia="Arial" w:hAnsi="Arial"/>
          <w:sz w:val="14"/>
          <w:szCs w:val="14"/>
          <w:b w:val="1"/>
          <w:bCs w:val="1"/>
          <w:color w:val="auto"/>
        </w:rPr>
        <w:t>One Liberty Plaza</w:t>
      </w:r>
    </w:p>
    <w:p>
      <w:pPr>
        <w:jc w:val="center"/>
        <w:spacing w:after="0" w:line="222" w:lineRule="auto"/>
        <w:rPr>
          <w:sz w:val="20"/>
          <w:szCs w:val="20"/>
          <w:color w:val="auto"/>
        </w:rPr>
      </w:pPr>
      <w:r>
        <w:rPr>
          <w:rFonts w:ascii="Arial" w:cs="Arial" w:eastAsia="Arial" w:hAnsi="Arial"/>
          <w:sz w:val="14"/>
          <w:szCs w:val="14"/>
          <w:b w:val="1"/>
          <w:bCs w:val="1"/>
          <w:color w:val="auto"/>
        </w:rPr>
        <w:t>New York, NY 10006</w:t>
      </w:r>
    </w:p>
    <w:p>
      <w:pPr>
        <w:jc w:val="center"/>
        <w:spacing w:after="0" w:line="221" w:lineRule="auto"/>
        <w:rPr>
          <w:sz w:val="20"/>
          <w:szCs w:val="20"/>
          <w:color w:val="auto"/>
        </w:rPr>
      </w:pPr>
      <w:r>
        <w:rPr>
          <w:rFonts w:ascii="Arial" w:cs="Arial" w:eastAsia="Arial" w:hAnsi="Arial"/>
          <w:sz w:val="14"/>
          <w:szCs w:val="14"/>
          <w:b w:val="1"/>
          <w:bCs w:val="1"/>
          <w:color w:val="auto"/>
        </w:rPr>
        <w:t>Telephone: (212) 225-2000</w:t>
      </w:r>
    </w:p>
    <w:p>
      <w:pPr>
        <w:jc w:val="center"/>
        <w:spacing w:after="0"/>
        <w:rPr>
          <w:sz w:val="20"/>
          <w:szCs w:val="20"/>
          <w:color w:val="auto"/>
        </w:rPr>
      </w:pPr>
      <w:r>
        <w:rPr>
          <w:rFonts w:ascii="Arial" w:cs="Arial" w:eastAsia="Arial" w:hAnsi="Arial"/>
          <w:sz w:val="14"/>
          <w:szCs w:val="14"/>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137160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Proposed Public Offering: </w:t>
      </w:r>
      <w:r>
        <w:rPr>
          <w:rFonts w:ascii="Arial" w:cs="Arial" w:eastAsia="Arial" w:hAnsi="Arial"/>
          <w:sz w:val="14"/>
          <w:szCs w:val="14"/>
          <w:color w:val="auto"/>
        </w:rPr>
        <w:t>From time to time after the effective date of this Registration Statement.</w:t>
      </w:r>
    </w:p>
    <w:p>
      <w:pPr>
        <w:spacing w:after="0" w:line="98" w:lineRule="exact"/>
        <w:rPr>
          <w:sz w:val="24"/>
          <w:szCs w:val="24"/>
          <w:color w:val="auto"/>
        </w:rPr>
      </w:pPr>
    </w:p>
    <w:p>
      <w:pPr>
        <w:ind w:right="40"/>
        <w:spacing w:after="0" w:line="168" w:lineRule="exact"/>
        <w:rPr>
          <w:sz w:val="20"/>
          <w:szCs w:val="20"/>
          <w:color w:val="auto"/>
        </w:rPr>
      </w:pPr>
      <w:r>
        <w:rPr>
          <w:rFonts w:ascii="Arial" w:cs="Arial" w:eastAsia="Arial" w:hAnsi="Arial"/>
          <w:sz w:val="14"/>
          <w:szCs w:val="14"/>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4"/>
          <w:szCs w:val="14"/>
          <w:color w:val="auto"/>
        </w:rPr>
        <w:t>☒</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It is proposed that this filing will become effective (check appropriate box):</w:t>
      </w:r>
    </w:p>
    <w:p>
      <w:pPr>
        <w:spacing w:after="0" w:line="42"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when declared effective pursuant to section 8(c)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144780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 UNDER THE SECURITIES ACT OF 1933</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628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628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4"/>
              </w:rPr>
              <w:t>Amount</w:t>
            </w:r>
          </w:p>
        </w:tc>
        <w:tc>
          <w:tcPr>
            <w:tcW w:w="170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740" w:type="dxa"/>
            <w:vAlign w:val="bottom"/>
            <w:tcBorders>
              <w:right w:val="single" w:sz="8" w:color="auto"/>
            </w:tcBorders>
            <w:vMerge w:val="continue"/>
          </w:tcPr>
          <w:p>
            <w:pPr>
              <w:spacing w:after="0"/>
              <w:rPr>
                <w:sz w:val="12"/>
                <w:szCs w:val="12"/>
                <w:color w:val="auto"/>
              </w:rPr>
            </w:pP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680" w:type="dxa"/>
            <w:vAlign w:val="bottom"/>
            <w:vMerge w:val="restart"/>
          </w:tcPr>
          <w:p>
            <w:pPr>
              <w:jc w:val="center"/>
              <w:ind w:left="30"/>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Borders>
              <w:right w:val="single" w:sz="8" w:color="auto"/>
            </w:tcBorders>
            <w:vMerge w:val="continue"/>
          </w:tcPr>
          <w:p>
            <w:pPr>
              <w:spacing w:after="0"/>
              <w:rPr>
                <w:sz w:val="12"/>
                <w:szCs w:val="12"/>
                <w:color w:val="auto"/>
              </w:rPr>
            </w:pPr>
          </w:p>
        </w:tc>
        <w:tc>
          <w:tcPr>
            <w:tcW w:w="174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7"/>
              </w:rPr>
              <w:t>Being</w:t>
            </w:r>
          </w:p>
        </w:tc>
        <w:tc>
          <w:tcPr>
            <w:tcW w:w="1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Being Registered</w:t>
            </w:r>
          </w:p>
        </w:tc>
        <w:tc>
          <w:tcPr>
            <w:tcW w:w="174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680" w:type="dxa"/>
            <w:vAlign w:val="bottom"/>
            <w:tcBorders>
              <w:bottom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2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 xml:space="preserve">Common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Preferred Stock, $0.01 par value per share </w:t>
            </w:r>
            <w:r>
              <w:rPr>
                <w:rFonts w:ascii="Arial" w:cs="Arial" w:eastAsia="Arial" w:hAnsi="Arial"/>
                <w:sz w:val="11"/>
                <w:szCs w:val="11"/>
                <w:color w:val="auto"/>
              </w:rPr>
              <w:t>(1)(2)</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Subscription Rights </w:t>
            </w:r>
            <w:r>
              <w:rPr>
                <w:rFonts w:ascii="Arial" w:cs="Arial" w:eastAsia="Arial" w:hAnsi="Arial"/>
                <w:sz w:val="11"/>
                <w:szCs w:val="11"/>
                <w:color w:val="auto"/>
              </w:rPr>
              <w:t>(1)</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Warrants </w:t>
            </w:r>
            <w:r>
              <w:rPr>
                <w:rFonts w:ascii="Arial" w:cs="Arial" w:eastAsia="Arial" w:hAnsi="Arial"/>
                <w:sz w:val="11"/>
                <w:szCs w:val="11"/>
                <w:color w:val="auto"/>
              </w:rPr>
              <w:t>(3)</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Debt Securities </w:t>
            </w:r>
            <w:r>
              <w:rPr>
                <w:rFonts w:ascii="Arial" w:cs="Arial" w:eastAsia="Arial" w:hAnsi="Arial"/>
                <w:sz w:val="11"/>
                <w:szCs w:val="11"/>
                <w:color w:val="auto"/>
              </w:rPr>
              <w:t>(2)(4)</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0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 xml:space="preserve">Total </w:t>
            </w:r>
            <w:r>
              <w:rPr>
                <w:rFonts w:ascii="Arial" w:cs="Arial" w:eastAsia="Arial" w:hAnsi="Arial"/>
                <w:sz w:val="11"/>
                <w:szCs w:val="11"/>
                <w:color w:val="auto"/>
              </w:rPr>
              <w:t>(5)</w:t>
            </w:r>
          </w:p>
        </w:tc>
        <w:tc>
          <w:tcPr>
            <w:tcW w:w="1740" w:type="dxa"/>
            <w:vAlign w:val="bottom"/>
            <w:tcBorders>
              <w:bottom w:val="single" w:sz="8" w:color="auto"/>
              <w:right w:val="single" w:sz="8" w:color="auto"/>
            </w:tcBorders>
          </w:tcPr>
          <w:p>
            <w:pPr>
              <w:spacing w:after="0"/>
              <w:rPr>
                <w:sz w:val="12"/>
                <w:szCs w:val="12"/>
                <w:color w:val="auto"/>
              </w:rPr>
            </w:pPr>
          </w:p>
        </w:tc>
        <w:tc>
          <w:tcPr>
            <w:tcW w:w="17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 xml:space="preserve">$750,000,000 </w:t>
            </w:r>
            <w:r>
              <w:rPr>
                <w:rFonts w:ascii="Arial" w:cs="Arial" w:eastAsia="Arial" w:hAnsi="Arial"/>
                <w:sz w:val="11"/>
                <w:szCs w:val="11"/>
                <w:color w:val="auto"/>
                <w:w w:val="89"/>
              </w:rPr>
              <w:t>(6)</w:t>
            </w:r>
          </w:p>
        </w:tc>
        <w:tc>
          <w:tcPr>
            <w:tcW w:w="1680" w:type="dxa"/>
            <w:vAlign w:val="bottom"/>
            <w:tcBorders>
              <w:bottom w:val="single" w:sz="8" w:color="auto"/>
            </w:tcBorders>
          </w:tcPr>
          <w:p>
            <w:pPr>
              <w:jc w:val="center"/>
              <w:ind w:left="10"/>
              <w:spacing w:after="0" w:line="142" w:lineRule="exact"/>
              <w:rPr>
                <w:sz w:val="20"/>
                <w:szCs w:val="20"/>
                <w:color w:val="auto"/>
              </w:rPr>
            </w:pPr>
            <w:r>
              <w:rPr>
                <w:rFonts w:ascii="Arial" w:cs="Arial" w:eastAsia="Arial" w:hAnsi="Arial"/>
                <w:sz w:val="14"/>
                <w:szCs w:val="14"/>
                <w:color w:val="auto"/>
                <w:w w:val="88"/>
              </w:rPr>
              <w:t xml:space="preserve">$75,525 </w:t>
            </w:r>
            <w:r>
              <w:rPr>
                <w:rFonts w:ascii="Arial" w:cs="Arial" w:eastAsia="Arial" w:hAnsi="Arial"/>
                <w:sz w:val="11"/>
                <w:szCs w:val="11"/>
                <w:color w:val="auto"/>
                <w:w w:val="88"/>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4"/>
          <w:szCs w:val="24"/>
          <w:color w:val="auto"/>
        </w:rPr>
      </w:pPr>
    </w:p>
    <w:p>
      <w:pPr>
        <w:ind w:left="340" w:right="200" w:hanging="332"/>
        <w:spacing w:after="0" w:line="230"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shares of common stock or preferred stock, or subscription rights to purchase shares of common stock as may be sold, from time to time.</w:t>
      </w:r>
    </w:p>
    <w:p>
      <w:pPr>
        <w:ind w:left="340" w:right="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such indeterminate number of shares of common stock, preferred stock or debt securities as may, from time to time, be issued upon conversion or exchange of other securities registered hereunder, to the extent any such securities are, by their terms, convertible or exchangeable for common stock, preferred stock or debt securities.</w:t>
      </w:r>
    </w:p>
    <w:p>
      <w:pPr>
        <w:ind w:left="340" w:right="12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Subject to Note 5 below, there is being registered hereunder an indeterminate number of warrants as may be sold, from time to time, representing rights to purchase common stock, preferred stock or debt securities.</w:t>
      </w:r>
    </w:p>
    <w:p>
      <w:pPr>
        <w:ind w:left="340" w:right="320" w:hanging="332"/>
        <w:spacing w:after="0" w:line="258" w:lineRule="auto"/>
        <w:tabs>
          <w:tab w:leader="none" w:pos="340" w:val="left"/>
        </w:tabs>
        <w:numPr>
          <w:ilvl w:val="0"/>
          <w:numId w:val="2"/>
        </w:numPr>
        <w:rPr>
          <w:rFonts w:ascii="Arial" w:cs="Arial" w:eastAsia="Arial" w:hAnsi="Arial"/>
          <w:sz w:val="12"/>
          <w:szCs w:val="12"/>
          <w:color w:val="auto"/>
        </w:rPr>
      </w:pPr>
      <w:r>
        <w:rPr>
          <w:rFonts w:ascii="Arial" w:cs="Arial" w:eastAsia="Arial" w:hAnsi="Arial"/>
          <w:sz w:val="12"/>
          <w:szCs w:val="12"/>
          <w:color w:val="auto"/>
        </w:rPr>
        <w:t>Subject to Note 5 below, there is being registered hereunder an indeterminate principal amount of debt securities as may be sold, from time to time. If any debt securities are issued at an original issue discount, then the offering price shall be in such greater principal amount as shall result in an aggregate price to investors not to exceed $750,000,000.</w:t>
      </w:r>
    </w:p>
    <w:p>
      <w:pPr>
        <w:ind w:left="3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 no event will the aggregate offering price of all securities issued from time to time pursuant to this registration statement by the Registrant exceed $750,000,000.</w:t>
      </w:r>
    </w:p>
    <w:p>
      <w:pPr>
        <w:ind w:left="340" w:right="140" w:hanging="332"/>
        <w:spacing w:after="0" w:line="22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pursuant to Rule 457(o) solely for the purpose of determining the registration fee. The proposed maximum offering price per security will be determined from time to time, by the Registrant in connection with the sale by the Registrant of the securities registered under this registration statement.</w:t>
      </w:r>
    </w:p>
    <w:p>
      <w:pPr>
        <w:ind w:left="340" w:hanging="332"/>
        <w:spacing w:after="0" w:line="225"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Prior to the initial filing of this registration statement, $500,000,000 aggregate principal amount of securities remained registered and unsold pursuant to a registration statement on Form N-2 (File No. 333-196969), which was initially filed by the Registrant on June 23, 2014. Pursuant to Rule 457(p), $64,400 of the total filing fee of $75,525 required in connection with the registration of $750,000,000 aggregate principal amount of securities under this registration statement is being offset against the $64,400 filing fee associated with the unsold securities registered under the registration statement on Form N-2 (File No. 333-196969), and an additional $11,125 is being paid in connection 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147320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21" w:lineRule="exact"/>
        <w:rPr>
          <w:sz w:val="24"/>
          <w:szCs w:val="24"/>
          <w:color w:val="auto"/>
        </w:rPr>
      </w:pPr>
    </w:p>
    <w:p>
      <w:pPr>
        <w:ind w:right="36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338"/>
        </w:rPr>
        <w:t>Subject to completion, dated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2955290</wp:posOffset>
            </wp:positionH>
            <wp:positionV relativeFrom="paragraph">
              <wp:posOffset>172085</wp:posOffset>
            </wp:positionV>
            <wp:extent cx="1346200" cy="660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620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Common Stock Preferred Stock Subscription Rights Warrants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As of December 31, 2015, our investment portfolio consisted of investments in 46 portfolio companies with an aggregate fair value of $1,485.7 million. We intend to continue to pursue an investment strategy focused on direct origination of loans to middle-market companies principally domiciled in the United States.</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are an externally managed, closed-end, non-diversified management investment company. TSL Advisers, LLC, or the Adviser, acts as our investment adviser and administrator. We and the Adviser are part of the TPG Special Situations Partners platform, which had over $16 billion of assets under management as of December 31, 2015. TPG Special Situations Partners is the special situations and credit platform of TPG, a leading global private investment firm founded in 1992 with over $74 billion of assets under management as of December 31, 2015.</w:t>
      </w:r>
    </w:p>
    <w:p>
      <w:pPr>
        <w:spacing w:after="0" w:line="18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15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Substantially all of our debt investments have variable interest rates that reset periodically based on interest rate benchmarks such as the London Interbank Offered Rate, the Federal Funds Effective Rate or the Prime Rate. As a result, significant increases in such interest rate benchmarks in the future would make it more difficult for these borrowers to service their obligations under the debt investments that we hold.</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w:t>
      </w:r>
    </w:p>
    <w:p>
      <w:pPr>
        <w:spacing w:after="0" w:line="18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w:t>
      </w:r>
    </w:p>
    <w:p>
      <w:pPr>
        <w:spacing w:after="0" w:line="18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w:t>
      </w:r>
    </w:p>
    <w:p>
      <w:pPr>
        <w:spacing w:after="0" w:line="158"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Our common stock is traded on the New York Stock Exchange, or NYSE, under the symbol “TSLX.” On March 30, 2016, the last reported sales price of our common stock on the NYSE was $16.15 per share. The net asset value per share of our common stock at December 31, 2015 (the last date prior to the date of this prospectus for which we reported net asset value) was $15.15.</w:t>
      </w:r>
    </w:p>
    <w:p>
      <w:pPr>
        <w:spacing w:after="0" w:line="177"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beginning on page 22 of this prospectus.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our securities unless accompanied by a prospectus supplement.</w:t>
      </w:r>
    </w:p>
    <w:p>
      <w:pPr>
        <w:spacing w:after="0" w:line="22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Please read this prospectus and any accompanying prospectus supplements before investing and keep each for future reference. This prospectus and any accompanying prospectus supplements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301 Commerce Street, Suite 3300, Fort Worth, TX 76102, calling us at (817) 871-4000 or visiting our website at http://www.tpgspecialtylending.com. Information on our website is not incorporated into or a part of this prospectus or any prospectus supplement. The Securities and Exchange Commission also maintains a website at http://www.sec.gov that contains this information.</w:t>
      </w:r>
    </w:p>
    <w:p>
      <w:pPr>
        <w:spacing w:after="0" w:line="163"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The Securities and Exchange Commission has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208915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4200" w:type="dxa"/>
        <w:tblCellMar>
          <w:top w:w="0" w:type="dxa"/>
          <w:left w:w="0" w:type="dxa"/>
          <w:bottom w:w="0" w:type="dxa"/>
          <w:right w:w="0" w:type="dxa"/>
        </w:tblCellMar>
      </w:tblPr>
      <w:tr>
        <w:trPr>
          <w:trHeight w:val="234"/>
        </w:trPr>
        <w:tc>
          <w:tcPr>
            <w:tcW w:w="2400" w:type="dxa"/>
            <w:vAlign w:val="bottom"/>
          </w:tcPr>
          <w:p>
            <w:pPr>
              <w:spacing w:after="0"/>
              <w:rPr>
                <w:sz w:val="20"/>
                <w:szCs w:val="20"/>
                <w:color w:val="auto"/>
              </w:rPr>
            </w:pPr>
            <w:r>
              <w:rPr>
                <w:rFonts w:ascii="Arial" w:cs="Arial" w:eastAsia="Arial" w:hAnsi="Arial"/>
                <w:sz w:val="18"/>
                <w:szCs w:val="18"/>
                <w:b w:val="1"/>
                <w:bCs w:val="1"/>
                <w:color w:val="auto"/>
                <w:w w:val="93"/>
              </w:rPr>
              <w:t>The date of this prospectus is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 2016</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CROSS-REFERENCE SHEET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ITEM</w:t>
            </w:r>
          </w:p>
        </w:tc>
        <w:tc>
          <w:tcPr>
            <w:tcW w:w="540" w:type="dxa"/>
            <w:vAlign w:val="bottom"/>
          </w:tcPr>
          <w:p>
            <w:pPr>
              <w:spacing w:after="0"/>
              <w:rPr>
                <w:sz w:val="14"/>
                <w:szCs w:val="14"/>
                <w:color w:val="auto"/>
              </w:rPr>
            </w:pPr>
          </w:p>
        </w:tc>
        <w:tc>
          <w:tcPr>
            <w:tcW w:w="53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rPr>
              <w:t>CAPTION</w:t>
            </w:r>
          </w:p>
        </w:tc>
        <w:tc>
          <w:tcPr>
            <w:tcW w:w="4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LOCATION IN PROSPECTUS</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540" w:type="dxa"/>
            <w:vAlign w:val="bottom"/>
          </w:tcPr>
          <w:p>
            <w:pPr>
              <w:spacing w:after="0"/>
              <w:rPr>
                <w:sz w:val="16"/>
                <w:szCs w:val="16"/>
                <w:color w:val="auto"/>
              </w:rPr>
            </w:pPr>
          </w:p>
        </w:tc>
        <w:tc>
          <w:tcPr>
            <w:tcW w:w="5380" w:type="dxa"/>
            <w:vAlign w:val="bottom"/>
            <w:gridSpan w:val="2"/>
            <w:vMerge w:val="continue"/>
          </w:tcPr>
          <w:p>
            <w:pPr>
              <w:spacing w:after="0"/>
              <w:rPr>
                <w:sz w:val="16"/>
                <w:szCs w:val="16"/>
                <w:color w:val="auto"/>
              </w:rPr>
            </w:pPr>
          </w:p>
        </w:tc>
        <w:tc>
          <w:tcPr>
            <w:tcW w:w="4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1</w:t>
            </w:r>
          </w:p>
        </w:tc>
        <w:tc>
          <w:tcPr>
            <w:tcW w:w="540" w:type="dxa"/>
            <w:vAlign w:val="bottom"/>
          </w:tcPr>
          <w:p>
            <w:pPr>
              <w:spacing w:after="0"/>
              <w:rPr>
                <w:sz w:val="16"/>
                <w:szCs w:val="16"/>
                <w:color w:val="auto"/>
              </w:rPr>
            </w:pPr>
          </w:p>
        </w:tc>
        <w:tc>
          <w:tcPr>
            <w:tcW w:w="48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91"/>
              </w:rPr>
              <w:t>Outside Front Cover</w:t>
            </w:r>
          </w:p>
        </w:tc>
        <w:tc>
          <w:tcPr>
            <w:tcW w:w="560" w:type="dxa"/>
            <w:vAlign w:val="bottom"/>
          </w:tcPr>
          <w:p>
            <w:pPr>
              <w:spacing w:after="0"/>
              <w:rPr>
                <w:sz w:val="16"/>
                <w:szCs w:val="16"/>
                <w:color w:val="auto"/>
              </w:rPr>
            </w:pPr>
          </w:p>
        </w:tc>
        <w:tc>
          <w:tcPr>
            <w:tcW w:w="48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Outside Front Cover Page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2</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Cover Pages; Other Offering Information</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Inside Front and Outside Back Cover Pages</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7"/>
              </w:rPr>
              <w:t>Fee Table and Synopsis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Fees and Expenses; Available Information</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4</w:t>
            </w:r>
          </w:p>
        </w:tc>
        <w:tc>
          <w:tcPr>
            <w:tcW w:w="540" w:type="dxa"/>
            <w:vAlign w:val="bottom"/>
          </w:tcPr>
          <w:p>
            <w:pPr>
              <w:spacing w:after="0"/>
              <w:rPr>
                <w:sz w:val="19"/>
                <w:szCs w:val="19"/>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4"/>
              </w:rPr>
              <w:t>Financial Highlights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Selected Financial Data and Other Information; Selected Quarterly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Data; Management’s Discussion and Analysis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Financial Condition and Results of Operations; Senior Securities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3"/>
              </w:rPr>
              <w:t>Plan of Distribution</w:t>
            </w: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Plan of Distribution</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6</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Selling Shareholders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7</w:t>
            </w: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8"/>
              </w:rPr>
              <w:t>Use of Proceeds</w:t>
            </w:r>
          </w:p>
        </w:tc>
        <w:tc>
          <w:tcPr>
            <w:tcW w:w="4840" w:type="dxa"/>
            <w:vAlign w:val="bottom"/>
          </w:tcPr>
          <w:p>
            <w:pPr>
              <w:jc w:val="center"/>
              <w:spacing w:after="0"/>
              <w:rPr>
                <w:sz w:val="20"/>
                <w:szCs w:val="20"/>
                <w:color w:val="auto"/>
              </w:rPr>
            </w:pPr>
            <w:r>
              <w:rPr>
                <w:rFonts w:ascii="Arial" w:cs="Arial" w:eastAsia="Arial" w:hAnsi="Arial"/>
                <w:sz w:val="18"/>
                <w:szCs w:val="18"/>
                <w:color w:val="auto"/>
                <w:w w:val="87"/>
              </w:rPr>
              <w:t>Use of Proceeds</w:t>
            </w:r>
          </w:p>
        </w:tc>
        <w:tc>
          <w:tcPr>
            <w:tcW w:w="0" w:type="dxa"/>
            <w:vAlign w:val="bottom"/>
          </w:tcPr>
          <w:p>
            <w:pPr>
              <w:spacing w:after="0"/>
              <w:rPr>
                <w:sz w:val="1"/>
                <w:szCs w:val="1"/>
                <w:color w:val="auto"/>
              </w:rPr>
            </w:pPr>
          </w:p>
        </w:tc>
      </w:tr>
      <w:tr>
        <w:trPr>
          <w:trHeight w:val="220"/>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8</w:t>
            </w:r>
          </w:p>
        </w:tc>
        <w:tc>
          <w:tcPr>
            <w:tcW w:w="540" w:type="dxa"/>
            <w:vAlign w:val="bottom"/>
          </w:tcPr>
          <w:p>
            <w:pPr>
              <w:spacing w:after="0"/>
              <w:rPr>
                <w:sz w:val="19"/>
                <w:szCs w:val="19"/>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91"/>
              </w:rPr>
              <w:t>General Description of the Registrant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Outside Front Cover Page; Prospectus Summary; Risk Factors;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and Results of Operations; The Company; Portfolio Companies;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Regulation; Shares Eligible for Future Sale; Price Range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Common Stock and Distributions</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Management</w:t>
            </w:r>
          </w:p>
        </w:tc>
        <w:tc>
          <w:tcPr>
            <w:tcW w:w="4840" w:type="dxa"/>
            <w:vAlign w:val="bottom"/>
          </w:tcPr>
          <w:p>
            <w:pPr>
              <w:jc w:val="center"/>
              <w:spacing w:after="0"/>
              <w:rPr>
                <w:sz w:val="20"/>
                <w:szCs w:val="20"/>
                <w:color w:val="auto"/>
              </w:rPr>
            </w:pPr>
            <w:r>
              <w:rPr>
                <w:rFonts w:ascii="Arial" w:cs="Arial" w:eastAsia="Arial" w:hAnsi="Arial"/>
                <w:sz w:val="18"/>
                <w:szCs w:val="18"/>
                <w:color w:val="auto"/>
                <w:w w:val="89"/>
              </w:rPr>
              <w:t>Management; Management and Other Agreements; Custodian,</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Transfer and Dividend Paying Agent and Registrar</w:t>
            </w:r>
          </w:p>
        </w:tc>
        <w:tc>
          <w:tcPr>
            <w:tcW w:w="0" w:type="dxa"/>
            <w:vAlign w:val="bottom"/>
          </w:tcPr>
          <w:p>
            <w:pPr>
              <w:spacing w:after="0"/>
              <w:rPr>
                <w:sz w:val="1"/>
                <w:szCs w:val="1"/>
                <w:color w:val="auto"/>
              </w:rPr>
            </w:pPr>
          </w:p>
        </w:tc>
      </w:tr>
      <w:tr>
        <w:trPr>
          <w:trHeight w:val="216"/>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80"/>
              <w:spacing w:after="0"/>
              <w:rPr>
                <w:sz w:val="20"/>
                <w:szCs w:val="20"/>
                <w:color w:val="auto"/>
              </w:rPr>
            </w:pPr>
            <w:r>
              <w:rPr>
                <w:rFonts w:ascii="Arial" w:cs="Arial" w:eastAsia="Arial" w:hAnsi="Arial"/>
                <w:sz w:val="18"/>
                <w:szCs w:val="18"/>
                <w:color w:val="auto"/>
                <w:w w:val="91"/>
              </w:rPr>
              <w:t>Capital Stock, Long-Term Debt, and Other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Material U.S. Federal Income Tax Considerations; Description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Our Capital Stock; Description of Our Preferred Stock;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3"/>
              </w:rPr>
              <w:t>Description of Our Subscription Rights; Description of Our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Warrants; Description of Our Debt Securities; Dividend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Reinvestment Plan; Management’s Discussion and Analysis of</w:t>
            </w:r>
          </w:p>
        </w:tc>
        <w:tc>
          <w:tcPr>
            <w:tcW w:w="0" w:type="dxa"/>
            <w:vAlign w:val="bottom"/>
          </w:tcPr>
          <w:p>
            <w:pPr>
              <w:spacing w:after="0"/>
              <w:rPr>
                <w:sz w:val="1"/>
                <w:szCs w:val="1"/>
                <w:color w:val="auto"/>
              </w:rPr>
            </w:pPr>
          </w:p>
        </w:tc>
      </w:tr>
      <w:tr>
        <w:trPr>
          <w:trHeight w:val="216"/>
        </w:trPr>
        <w:tc>
          <w:tcPr>
            <w:tcW w:w="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1"/>
              </w:rPr>
              <w:t>Financial Condition and Results of Operations</w:t>
            </w:r>
          </w:p>
        </w:tc>
        <w:tc>
          <w:tcPr>
            <w:tcW w:w="0" w:type="dxa"/>
            <w:vAlign w:val="bottom"/>
          </w:tcPr>
          <w:p>
            <w:pPr>
              <w:spacing w:after="0"/>
              <w:rPr>
                <w:sz w:val="1"/>
                <w:szCs w:val="1"/>
                <w:color w:val="auto"/>
              </w:rPr>
            </w:pPr>
          </w:p>
        </w:tc>
      </w:tr>
      <w:tr>
        <w:trPr>
          <w:trHeight w:val="212"/>
        </w:trPr>
        <w:tc>
          <w:tcPr>
            <w:tcW w:w="6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Defaults and Arrears on Senior Securities</w:t>
            </w: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12</w:t>
            </w:r>
          </w:p>
        </w:tc>
        <w:tc>
          <w:tcPr>
            <w:tcW w:w="540" w:type="dxa"/>
            <w:vAlign w:val="bottom"/>
          </w:tcPr>
          <w:p>
            <w:pPr>
              <w:spacing w:after="0"/>
              <w:rPr>
                <w:sz w:val="20"/>
                <w:szCs w:val="20"/>
                <w:color w:val="auto"/>
              </w:rPr>
            </w:pPr>
          </w:p>
        </w:tc>
        <w:tc>
          <w:tcPr>
            <w:tcW w:w="53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Legal Proceedings</w:t>
            </w:r>
          </w:p>
        </w:tc>
        <w:tc>
          <w:tcPr>
            <w:tcW w:w="4840" w:type="dxa"/>
            <w:vAlign w:val="bottom"/>
          </w:tcPr>
          <w:p>
            <w:pPr>
              <w:jc w:val="center"/>
              <w:spacing w:after="0"/>
              <w:rPr>
                <w:sz w:val="20"/>
                <w:szCs w:val="20"/>
                <w:color w:val="auto"/>
              </w:rPr>
            </w:pPr>
            <w:r>
              <w:rPr>
                <w:rFonts w:ascii="Arial" w:cs="Arial" w:eastAsia="Arial" w:hAnsi="Arial"/>
                <w:sz w:val="18"/>
                <w:szCs w:val="18"/>
                <w:color w:val="auto"/>
                <w:w w:val="90"/>
              </w:rPr>
              <w:t>The Company</w:t>
            </w:r>
          </w:p>
        </w:tc>
        <w:tc>
          <w:tcPr>
            <w:tcW w:w="0" w:type="dxa"/>
            <w:vAlign w:val="bottom"/>
          </w:tcPr>
          <w:p>
            <w:pPr>
              <w:spacing w:after="0"/>
              <w:rPr>
                <w:sz w:val="1"/>
                <w:szCs w:val="1"/>
                <w:color w:val="auto"/>
              </w:rPr>
            </w:pPr>
          </w:p>
        </w:tc>
      </w:tr>
    </w:tbl>
    <w:p>
      <w:pPr>
        <w:ind w:left="1280" w:hanging="1272"/>
        <w:spacing w:after="0"/>
        <w:tabs>
          <w:tab w:leader="none" w:pos="12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Table of Contents of the Statement of Additional Information, or</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rPr>
              <w:t>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1"/>
              </w:rPr>
              <w:t>Cover Page of SAI</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15</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Table of Contents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Table of Contents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16</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General Information and History</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20"/>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17</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Objective and Policies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Management’s Discussion and Analysis of Financial Condition</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18</w:t>
            </w:r>
          </w:p>
        </w:tc>
        <w:tc>
          <w:tcPr>
            <w:tcW w:w="5140" w:type="dxa"/>
            <w:vAlign w:val="bottom"/>
          </w:tcPr>
          <w:p>
            <w:pPr>
              <w:spacing w:after="0"/>
              <w:rPr>
                <w:sz w:val="18"/>
                <w:szCs w:val="18"/>
                <w:color w:val="auto"/>
              </w:rPr>
            </w:pP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and Results of Operations; Senior Securities</w:t>
            </w:r>
          </w:p>
        </w:tc>
        <w:tc>
          <w:tcPr>
            <w:tcW w:w="0" w:type="dxa"/>
            <w:vAlign w:val="bottom"/>
          </w:tcPr>
          <w:p>
            <w:pPr>
              <w:spacing w:after="0"/>
              <w:rPr>
                <w:sz w:val="1"/>
                <w:szCs w:val="1"/>
                <w:color w:val="auto"/>
              </w:rPr>
            </w:pPr>
          </w:p>
        </w:tc>
      </w:tr>
      <w:tr>
        <w:trPr>
          <w:trHeight w:val="216"/>
        </w:trPr>
        <w:tc>
          <w:tcPr>
            <w:tcW w:w="960" w:type="dxa"/>
            <w:vAlign w:val="bottom"/>
            <w:vMerge w:val="continue"/>
          </w:tcPr>
          <w:p>
            <w:pPr>
              <w:spacing w:after="0"/>
              <w:rPr>
                <w:sz w:val="18"/>
                <w:szCs w:val="18"/>
                <w:color w:val="auto"/>
              </w:rPr>
            </w:pP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Management</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Management 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vMerge w:val="restart"/>
          </w:tcPr>
          <w:p>
            <w:pPr>
              <w:jc w:val="right"/>
              <w:ind w:right="690"/>
              <w:spacing w:after="0"/>
              <w:rPr>
                <w:sz w:val="20"/>
                <w:szCs w:val="20"/>
                <w:color w:val="auto"/>
              </w:rPr>
            </w:pPr>
            <w:r>
              <w:rPr>
                <w:rFonts w:ascii="Arial" w:cs="Arial" w:eastAsia="Arial" w:hAnsi="Arial"/>
                <w:sz w:val="18"/>
                <w:szCs w:val="18"/>
                <w:b w:val="1"/>
                <w:bCs w:val="1"/>
                <w:color w:val="auto"/>
                <w:w w:val="79"/>
              </w:rPr>
              <w:t>19</w:t>
            </w:r>
          </w:p>
        </w:tc>
        <w:tc>
          <w:tcPr>
            <w:tcW w:w="5140" w:type="dxa"/>
            <w:vAlign w:val="bottom"/>
          </w:tcPr>
          <w:p>
            <w:pPr>
              <w:spacing w:after="0"/>
              <w:rPr>
                <w:sz w:val="18"/>
                <w:szCs w:val="18"/>
                <w:color w:val="auto"/>
              </w:rPr>
            </w:pP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2"/>
              </w:rPr>
              <w:t>Regulation</w:t>
            </w:r>
          </w:p>
        </w:tc>
        <w:tc>
          <w:tcPr>
            <w:tcW w:w="0" w:type="dxa"/>
            <w:vAlign w:val="bottom"/>
          </w:tcPr>
          <w:p>
            <w:pPr>
              <w:spacing w:after="0"/>
              <w:rPr>
                <w:sz w:val="1"/>
                <w:szCs w:val="1"/>
                <w:color w:val="auto"/>
              </w:rPr>
            </w:pPr>
          </w:p>
        </w:tc>
      </w:tr>
      <w:tr>
        <w:trPr>
          <w:trHeight w:val="212"/>
        </w:trPr>
        <w:tc>
          <w:tcPr>
            <w:tcW w:w="960" w:type="dxa"/>
            <w:vAlign w:val="bottom"/>
            <w:vMerge w:val="continue"/>
          </w:tcPr>
          <w:p>
            <w:pPr>
              <w:spacing w:after="0"/>
              <w:rPr>
                <w:sz w:val="18"/>
                <w:szCs w:val="18"/>
                <w:color w:val="auto"/>
              </w:rPr>
            </w:pP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0"/>
              </w:rPr>
              <w:t>Control Persons and Principal Holders of Securities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Control Persons and Principal Stockholders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20</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Investment Advisory and Other Services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Management and Other Agreements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21</w:t>
            </w:r>
          </w:p>
        </w:tc>
        <w:tc>
          <w:tcPr>
            <w:tcW w:w="5140" w:type="dxa"/>
            <w:vAlign w:val="bottom"/>
          </w:tcPr>
          <w:p>
            <w:pPr>
              <w:jc w:val="center"/>
              <w:ind w:left="50"/>
              <w:spacing w:after="0"/>
              <w:rPr>
                <w:sz w:val="20"/>
                <w:szCs w:val="20"/>
                <w:color w:val="auto"/>
              </w:rPr>
            </w:pPr>
            <w:r>
              <w:rPr>
                <w:rFonts w:ascii="Arial" w:cs="Arial" w:eastAsia="Arial" w:hAnsi="Arial"/>
                <w:sz w:val="18"/>
                <w:szCs w:val="18"/>
                <w:color w:val="auto"/>
                <w:w w:val="92"/>
              </w:rPr>
              <w:t>Portfolio Managers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4"/>
              </w:rPr>
              <w:t>Not Applicable</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22</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91"/>
              </w:rPr>
              <w:t>Brokerage Allocation and Other Practices</w:t>
            </w:r>
          </w:p>
        </w:tc>
        <w:tc>
          <w:tcPr>
            <w:tcW w:w="5180" w:type="dxa"/>
            <w:vAlign w:val="bottom"/>
          </w:tcPr>
          <w:p>
            <w:pPr>
              <w:jc w:val="center"/>
              <w:ind w:left="530"/>
              <w:spacing w:after="0"/>
              <w:rPr>
                <w:sz w:val="20"/>
                <w:szCs w:val="20"/>
                <w:color w:val="auto"/>
              </w:rPr>
            </w:pPr>
            <w:r>
              <w:rPr>
                <w:rFonts w:ascii="Arial" w:cs="Arial" w:eastAsia="Arial" w:hAnsi="Arial"/>
                <w:sz w:val="18"/>
                <w:szCs w:val="18"/>
                <w:color w:val="auto"/>
                <w:w w:val="90"/>
              </w:rPr>
              <w:t>Brokerage Allocation and Other Practices</w:t>
            </w:r>
          </w:p>
        </w:tc>
        <w:tc>
          <w:tcPr>
            <w:tcW w:w="0" w:type="dxa"/>
            <w:vAlign w:val="bottom"/>
          </w:tcPr>
          <w:p>
            <w:pPr>
              <w:spacing w:after="0"/>
              <w:rPr>
                <w:sz w:val="1"/>
                <w:szCs w:val="1"/>
                <w:color w:val="auto"/>
              </w:rPr>
            </w:pPr>
          </w:p>
        </w:tc>
      </w:tr>
      <w:tr>
        <w:trPr>
          <w:trHeight w:val="216"/>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23</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5"/>
              </w:rPr>
              <w:t>Tax Status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90"/>
              </w:rPr>
              <w:t>Material U.S. Federal Income Tax Considerations</w:t>
            </w:r>
          </w:p>
        </w:tc>
        <w:tc>
          <w:tcPr>
            <w:tcW w:w="0" w:type="dxa"/>
            <w:vAlign w:val="bottom"/>
          </w:tcPr>
          <w:p>
            <w:pPr>
              <w:spacing w:after="0"/>
              <w:rPr>
                <w:sz w:val="1"/>
                <w:szCs w:val="1"/>
                <w:color w:val="auto"/>
              </w:rPr>
            </w:pPr>
          </w:p>
        </w:tc>
      </w:tr>
      <w:tr>
        <w:trPr>
          <w:trHeight w:val="234"/>
        </w:trPr>
        <w:tc>
          <w:tcPr>
            <w:tcW w:w="96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24</w:t>
            </w:r>
          </w:p>
        </w:tc>
        <w:tc>
          <w:tcPr>
            <w:tcW w:w="5140" w:type="dxa"/>
            <w:vAlign w:val="bottom"/>
          </w:tcPr>
          <w:p>
            <w:pPr>
              <w:jc w:val="center"/>
              <w:ind w:left="70"/>
              <w:spacing w:after="0"/>
              <w:rPr>
                <w:sz w:val="20"/>
                <w:szCs w:val="20"/>
                <w:color w:val="auto"/>
              </w:rPr>
            </w:pPr>
            <w:r>
              <w:rPr>
                <w:rFonts w:ascii="Arial" w:cs="Arial" w:eastAsia="Arial" w:hAnsi="Arial"/>
                <w:sz w:val="18"/>
                <w:szCs w:val="18"/>
                <w:color w:val="auto"/>
                <w:w w:val="89"/>
              </w:rPr>
              <w:t>Financial Statements</w:t>
            </w:r>
          </w:p>
        </w:tc>
        <w:tc>
          <w:tcPr>
            <w:tcW w:w="5180" w:type="dxa"/>
            <w:vAlign w:val="bottom"/>
          </w:tcPr>
          <w:p>
            <w:pPr>
              <w:jc w:val="center"/>
              <w:ind w:left="510"/>
              <w:spacing w:after="0"/>
              <w:rPr>
                <w:sz w:val="20"/>
                <w:szCs w:val="20"/>
                <w:color w:val="auto"/>
              </w:rPr>
            </w:pPr>
            <w:r>
              <w:rPr>
                <w:rFonts w:ascii="Arial" w:cs="Arial" w:eastAsia="Arial" w:hAnsi="Arial"/>
                <w:sz w:val="18"/>
                <w:szCs w:val="18"/>
                <w:color w:val="auto"/>
                <w:w w:val="89"/>
              </w:rPr>
              <w:t>Financial Statements</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have not authorized any dealer, salesman or other person to give any information or to make any representation other than those contained in this prospectus or any prospectus supplement to this prospectus.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Our business, financial condition, results of operations and prospects may have changed since then. We will update these documents to reflect material changes only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208280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3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19"/>
        </w:trPr>
        <w:tc>
          <w:tcPr>
            <w:tcW w:w="22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ABOUT THIS PROSPECTUS</w:t>
              </w:r>
            </w:hyperlink>
          </w:p>
        </w:tc>
        <w:tc>
          <w:tcPr>
            <w:tcW w:w="6680" w:type="dxa"/>
            <w:vAlign w:val="bottom"/>
            <w:gridSpan w:val="19"/>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8"/>
                <w:szCs w:val="18"/>
                <w:color w:val="auto"/>
              </w:rPr>
              <w:t>iii</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FEES AND EXPENSES</w:t>
              </w:r>
            </w:hyperlink>
          </w:p>
        </w:tc>
        <w:tc>
          <w:tcPr>
            <w:tcW w:w="7120" w:type="dxa"/>
            <w:vAlign w:val="bottom"/>
            <w:gridSpan w:val="2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4800" w:type="dxa"/>
            <w:vAlign w:val="bottom"/>
            <w:tcBorders>
              <w:bottom w:val="single" w:sz="8" w:color="0000EE"/>
            </w:tcBorders>
            <w:gridSpan w:val="25"/>
          </w:tcPr>
          <w:p>
            <w:pPr>
              <w:spacing w:after="0" w:line="196" w:lineRule="exact"/>
              <w:rPr>
                <w:rFonts w:ascii="Arial" w:cs="Arial" w:eastAsia="Arial" w:hAnsi="Arial"/>
                <w:sz w:val="18"/>
                <w:szCs w:val="18"/>
                <w:color w:val="0000EE"/>
                <w:w w:val="97"/>
              </w:rPr>
            </w:pPr>
            <w:hyperlink w:anchor="page24">
              <w:r>
                <w:rPr>
                  <w:rFonts w:ascii="Arial" w:cs="Arial" w:eastAsia="Arial" w:hAnsi="Arial"/>
                  <w:sz w:val="18"/>
                  <w:szCs w:val="18"/>
                  <w:color w:val="0000EE"/>
                  <w:w w:val="97"/>
                </w:rPr>
                <w:t>SELECTED FINANCIAL DATA AND OTHER INFORMATION</w:t>
              </w:r>
            </w:hyperlink>
          </w:p>
        </w:tc>
        <w:tc>
          <w:tcPr>
            <w:tcW w:w="41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540" w:type="dxa"/>
            <w:vAlign w:val="bottom"/>
            <w:tcBorders>
              <w:bottom w:val="single" w:sz="8" w:color="0000EE"/>
            </w:tcBorders>
            <w:gridSpan w:val="19"/>
          </w:tcPr>
          <w:p>
            <w:pPr>
              <w:spacing w:after="0" w:line="196" w:lineRule="exact"/>
              <w:rPr>
                <w:rFonts w:ascii="Arial" w:cs="Arial" w:eastAsia="Arial" w:hAnsi="Arial"/>
                <w:sz w:val="18"/>
                <w:szCs w:val="18"/>
                <w:color w:val="0000EE"/>
                <w:w w:val="97"/>
              </w:rPr>
            </w:pPr>
            <w:hyperlink w:anchor="page27">
              <w:r>
                <w:rPr>
                  <w:rFonts w:ascii="Arial" w:cs="Arial" w:eastAsia="Arial" w:hAnsi="Arial"/>
                  <w:sz w:val="18"/>
                  <w:szCs w:val="18"/>
                  <w:color w:val="0000EE"/>
                  <w:w w:val="97"/>
                </w:rPr>
                <w:t>SELECTED QUARTERLY FINANCIAL DATA</w:t>
              </w:r>
            </w:hyperlink>
          </w:p>
        </w:tc>
        <w:tc>
          <w:tcPr>
            <w:tcW w:w="538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28">
              <w:r>
                <w:rPr>
                  <w:rFonts w:ascii="Arial" w:cs="Arial" w:eastAsia="Arial" w:hAnsi="Arial"/>
                  <w:sz w:val="18"/>
                  <w:szCs w:val="18"/>
                  <w:color w:val="0000EE"/>
                  <w:w w:val="93"/>
                </w:rPr>
                <w:t>RISK FACTORS</w:t>
              </w:r>
            </w:hyperlink>
          </w:p>
        </w:tc>
        <w:tc>
          <w:tcPr>
            <w:tcW w:w="7640" w:type="dxa"/>
            <w:vAlign w:val="bottom"/>
            <w:gridSpan w:val="2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SPECIAL NOTE REGARDING FORWARD-LOOKING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53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USE OF PROCEEDS</w:t>
              </w:r>
            </w:hyperlink>
          </w:p>
        </w:tc>
        <w:tc>
          <w:tcPr>
            <w:tcW w:w="358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PRICE RANGE OF COMMON STOCK AND DISTRIBUTIONS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tcBorders>
              <w:bottom w:val="single" w:sz="8" w:color="0000EE"/>
            </w:tcBorders>
            <w:gridSpan w:val="30"/>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MANAGEMENT’S DISCUSSION AND ANALYSIS OF FINANCIAL CONDITION AND RESULTS OF OPERATIONS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SENIOR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THE COMPANY</w:t>
              </w:r>
            </w:hyperlink>
          </w:p>
        </w:tc>
        <w:tc>
          <w:tcPr>
            <w:tcW w:w="7200" w:type="dxa"/>
            <w:vAlign w:val="bottom"/>
            <w:gridSpan w:val="2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PORTFOLIO COMPANIES</w:t>
              </w:r>
            </w:hyperlink>
          </w:p>
        </w:tc>
        <w:tc>
          <w:tcPr>
            <w:tcW w:w="6860" w:type="dxa"/>
            <w:vAlign w:val="bottom"/>
            <w:gridSpan w:val="2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101</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MANAGEMENT</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MANAGEMENT AND OTHER AGREEMENTS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118</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28"/>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RELATED-PARTY TRANSACTIONS AND CERTAIN RELATIONSHIPS</w:t>
              </w:r>
            </w:hyperlink>
          </w:p>
        </w:tc>
        <w:tc>
          <w:tcPr>
            <w:tcW w:w="34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CONTROL PERSONS AND PRINCIPAL STOCKHOLDERS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131</w:t>
            </w:r>
          </w:p>
        </w:tc>
      </w:tr>
      <w:tr>
        <w:trPr>
          <w:trHeight w:val="196"/>
        </w:trPr>
        <w:tc>
          <w:tcPr>
            <w:tcW w:w="338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DETERMINATION OF NET ASSET VALUE</w:t>
              </w:r>
            </w:hyperlink>
          </w:p>
        </w:tc>
        <w:tc>
          <w:tcPr>
            <w:tcW w:w="1160" w:type="dxa"/>
            <w:vAlign w:val="bottom"/>
            <w:tcBorders>
              <w:top w:val="single" w:sz="8" w:color="0000EE"/>
            </w:tcBorders>
            <w:gridSpan w:val="7"/>
          </w:tcPr>
          <w:p>
            <w:pPr>
              <w:spacing w:after="0"/>
              <w:rPr>
                <w:sz w:val="17"/>
                <w:szCs w:val="17"/>
                <w:color w:val="auto"/>
              </w:rPr>
            </w:pPr>
          </w:p>
        </w:tc>
        <w:tc>
          <w:tcPr>
            <w:tcW w:w="438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DIVIDEND REINVESTMENT PLAN</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4880" w:type="dxa"/>
            <w:vAlign w:val="bottom"/>
            <w:tcBorders>
              <w:bottom w:val="single" w:sz="8" w:color="0000EE"/>
            </w:tcBorders>
            <w:gridSpan w:val="26"/>
          </w:tcPr>
          <w:p>
            <w:pPr>
              <w:spacing w:after="0" w:line="196" w:lineRule="exact"/>
              <w:rPr>
                <w:rFonts w:ascii="Arial" w:cs="Arial" w:eastAsia="Arial" w:hAnsi="Arial"/>
                <w:sz w:val="18"/>
                <w:szCs w:val="18"/>
                <w:color w:val="0000EE"/>
                <w:w w:val="96"/>
              </w:rPr>
            </w:pPr>
            <w:hyperlink w:anchor="page143">
              <w:r>
                <w:rPr>
                  <w:rFonts w:ascii="Arial" w:cs="Arial" w:eastAsia="Arial" w:hAnsi="Arial"/>
                  <w:sz w:val="18"/>
                  <w:szCs w:val="18"/>
                  <w:color w:val="0000EE"/>
                  <w:w w:val="96"/>
                </w:rPr>
                <w:t>MATERIAL U.S. FEDERAL INCOME TAX CONSIDERATIONS</w:t>
              </w:r>
            </w:hyperlink>
          </w:p>
        </w:tc>
        <w:tc>
          <w:tcPr>
            <w:tcW w:w="404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DESCRIPTION OF OUR SECURITIES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51">
              <w:r>
                <w:rPr>
                  <w:rFonts w:ascii="Arial" w:cs="Arial" w:eastAsia="Arial" w:hAnsi="Arial"/>
                  <w:sz w:val="18"/>
                  <w:szCs w:val="18"/>
                  <w:color w:val="0000EE"/>
                </w:rPr>
                <w:t>DESCRIPTION OF OUR CAPITAL STOCK</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64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DESCRIPTION OF OUR PREFERRED STOCK</w:t>
              </w:r>
            </w:hyperlink>
          </w:p>
        </w:tc>
        <w:tc>
          <w:tcPr>
            <w:tcW w:w="528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150</w:t>
            </w:r>
          </w:p>
        </w:tc>
      </w:tr>
      <w:tr>
        <w:trPr>
          <w:trHeight w:val="196"/>
        </w:trPr>
        <w:tc>
          <w:tcPr>
            <w:tcW w:w="390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157">
              <w:r>
                <w:rPr>
                  <w:rFonts w:ascii="Arial" w:cs="Arial" w:eastAsia="Arial" w:hAnsi="Arial"/>
                  <w:sz w:val="18"/>
                  <w:szCs w:val="18"/>
                  <w:color w:val="0000EE"/>
                  <w:w w:val="94"/>
                </w:rPr>
                <w:t>DESCRIPTION OF OUR SUBSCRIPTION RIGHTS</w:t>
              </w:r>
            </w:hyperlink>
          </w:p>
        </w:tc>
        <w:tc>
          <w:tcPr>
            <w:tcW w:w="502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r>
      <w:tr>
        <w:trPr>
          <w:trHeight w:val="196"/>
        </w:trPr>
        <w:tc>
          <w:tcPr>
            <w:tcW w:w="294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59">
              <w:r>
                <w:rPr>
                  <w:rFonts w:ascii="Arial" w:cs="Arial" w:eastAsia="Arial" w:hAnsi="Arial"/>
                  <w:sz w:val="18"/>
                  <w:szCs w:val="18"/>
                  <w:color w:val="0000EE"/>
                  <w:w w:val="94"/>
                </w:rPr>
                <w:t>DESCRIPTION OF OUR WARRANTS</w:t>
              </w:r>
            </w:hyperlink>
          </w:p>
        </w:tc>
        <w:tc>
          <w:tcPr>
            <w:tcW w:w="5980" w:type="dxa"/>
            <w:vAlign w:val="bottom"/>
            <w:gridSpan w:val="1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153</w:t>
            </w:r>
          </w:p>
        </w:tc>
      </w:tr>
      <w:tr>
        <w:trPr>
          <w:trHeight w:val="196"/>
        </w:trPr>
        <w:tc>
          <w:tcPr>
            <w:tcW w:w="34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161">
              <w:r>
                <w:rPr>
                  <w:rFonts w:ascii="Arial" w:cs="Arial" w:eastAsia="Arial" w:hAnsi="Arial"/>
                  <w:sz w:val="18"/>
                  <w:szCs w:val="18"/>
                  <w:color w:val="0000EE"/>
                  <w:w w:val="94"/>
                </w:rPr>
                <w:t>DESCRIPTION OF OUR DEBT SECURITIES</w:t>
              </w:r>
            </w:hyperlink>
          </w:p>
        </w:tc>
        <w:tc>
          <w:tcPr>
            <w:tcW w:w="54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155</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73">
              <w:r>
                <w:rPr>
                  <w:rFonts w:ascii="Arial" w:cs="Arial" w:eastAsia="Arial" w:hAnsi="Arial"/>
                  <w:sz w:val="18"/>
                  <w:szCs w:val="18"/>
                  <w:color w:val="0000EE"/>
                </w:rPr>
                <w:t>SHARES ELIGIBLE FOR FUTURE SALE</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167</w:t>
            </w:r>
          </w:p>
        </w:tc>
      </w:tr>
      <w:tr>
        <w:trPr>
          <w:trHeight w:val="196"/>
        </w:trPr>
        <w:tc>
          <w:tcPr>
            <w:tcW w:w="31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4">
              <w:r>
                <w:rPr>
                  <w:rFonts w:ascii="Arial" w:cs="Arial" w:eastAsia="Arial" w:hAnsi="Arial"/>
                  <w:sz w:val="18"/>
                  <w:szCs w:val="18"/>
                  <w:color w:val="0000EE"/>
                </w:rPr>
                <w:t>REGULATION</w:t>
              </w:r>
            </w:hyperlink>
          </w:p>
        </w:tc>
        <w:tc>
          <w:tcPr>
            <w:tcW w:w="5740" w:type="dxa"/>
            <w:vAlign w:val="bottom"/>
            <w:gridSpan w:val="1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168</w:t>
            </w:r>
          </w:p>
        </w:tc>
      </w:tr>
      <w:tr>
        <w:trPr>
          <w:trHeight w:val="20"/>
        </w:trPr>
        <w:tc>
          <w:tcPr>
            <w:tcW w:w="7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100" w:type="dxa"/>
            <w:vAlign w:val="bottom"/>
            <w:gridSpan w:val="1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CUSTODIAN, TRANSFER AND DIVIDEND PAYING AGENT AND REGISTRAR</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624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BROKERAGE ALLOCATION AND OTHER PRACTICES</w:t>
              </w:r>
            </w:hyperlink>
          </w:p>
        </w:tc>
        <w:tc>
          <w:tcPr>
            <w:tcW w:w="268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174</w:t>
            </w:r>
          </w:p>
        </w:tc>
      </w:tr>
      <w:tr>
        <w:trPr>
          <w:trHeight w:val="196"/>
        </w:trPr>
        <w:tc>
          <w:tcPr>
            <w:tcW w:w="20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181">
              <w:r>
                <w:rPr>
                  <w:rFonts w:ascii="Arial" w:cs="Arial" w:eastAsia="Arial" w:hAnsi="Arial"/>
                  <w:sz w:val="18"/>
                  <w:szCs w:val="18"/>
                  <w:color w:val="0000EE"/>
                  <w:w w:val="97"/>
                </w:rPr>
                <w:t>PLAN OF DISTRIBUTION</w:t>
              </w:r>
            </w:hyperlink>
          </w:p>
        </w:tc>
        <w:tc>
          <w:tcPr>
            <w:tcW w:w="2320" w:type="dxa"/>
            <w:vAlign w:val="bottom"/>
            <w:tcBorders>
              <w:top w:val="single" w:sz="8" w:color="0000EE"/>
            </w:tcBorders>
            <w:gridSpan w:val="12"/>
          </w:tcPr>
          <w:p>
            <w:pPr>
              <w:spacing w:after="0"/>
              <w:rPr>
                <w:sz w:val="17"/>
                <w:szCs w:val="17"/>
                <w:color w:val="auto"/>
              </w:rPr>
            </w:pPr>
          </w:p>
        </w:tc>
        <w:tc>
          <w:tcPr>
            <w:tcW w:w="454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LEGAL MATTERS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7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183">
              <w:r>
                <w:rPr>
                  <w:rFonts w:ascii="Arial" w:cs="Arial" w:eastAsia="Arial" w:hAnsi="Arial"/>
                  <w:sz w:val="18"/>
                  <w:szCs w:val="18"/>
                  <w:color w:val="0000EE"/>
                  <w:w w:val="90"/>
                </w:rPr>
                <w:t>EXPERTS</w:t>
              </w:r>
            </w:hyperlink>
          </w:p>
        </w:tc>
        <w:tc>
          <w:tcPr>
            <w:tcW w:w="680" w:type="dxa"/>
            <w:vAlign w:val="bottom"/>
            <w:tcBorders>
              <w:top w:val="single" w:sz="8" w:color="0000EE"/>
            </w:tcBorders>
            <w:gridSpan w:val="5"/>
          </w:tcPr>
          <w:p>
            <w:pPr>
              <w:spacing w:after="0"/>
              <w:rPr>
                <w:sz w:val="17"/>
                <w:szCs w:val="17"/>
                <w:color w:val="auto"/>
              </w:rPr>
            </w:pPr>
          </w:p>
        </w:tc>
        <w:tc>
          <w:tcPr>
            <w:tcW w:w="7460" w:type="dxa"/>
            <w:vAlign w:val="bottom"/>
            <w:gridSpan w:val="2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w:anchor="page183">
              <w:r>
                <w:rPr>
                  <w:rFonts w:ascii="Arial" w:cs="Arial" w:eastAsia="Arial" w:hAnsi="Arial"/>
                  <w:sz w:val="18"/>
                  <w:szCs w:val="18"/>
                  <w:color w:val="0000EE"/>
                  <w:w w:val="99"/>
                </w:rPr>
                <w:t>AVAILABLE INFORMATION</w:t>
              </w:r>
            </w:hyperlink>
          </w:p>
        </w:tc>
        <w:tc>
          <w:tcPr>
            <w:tcW w:w="6640" w:type="dxa"/>
            <w:vAlign w:val="bottom"/>
            <w:gridSpan w:val="1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8920" w:type="dxa"/>
            <w:vAlign w:val="bottom"/>
            <w:gridSpan w:val="30"/>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INDEX TO CONSOLIDATED FINANCIAL STATEMENTS</w:t>
              </w:r>
            </w:hyperlink>
          </w:p>
        </w:tc>
        <w:tc>
          <w:tcPr>
            <w:tcW w:w="240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Securities and Exchange Commission, or SEC, using the “shelf” registration process. Under the shelf registration process, which constitutes a delayed offering in reliance on Rule 415 under the Securities Act of 1933, as amended, or the Securities Act, we may offer, from time to time, in one or more offerings,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read this prospectus and the accompanying prospectus supplement before you make an investment decision.</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64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6465" cy="62642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200" w:right="60" w:firstLine="443"/>
        <w:spacing w:after="0" w:line="259" w:lineRule="auto"/>
        <w:rPr>
          <w:sz w:val="20"/>
          <w:szCs w:val="20"/>
          <w:color w:val="auto"/>
        </w:rPr>
      </w:pPr>
      <w:r>
        <w:rPr>
          <w:rFonts w:ascii="Arial" w:cs="Arial" w:eastAsia="Arial" w:hAnsi="Arial"/>
          <w:sz w:val="18"/>
          <w:szCs w:val="18"/>
          <w:color w:val="auto"/>
        </w:rPr>
        <w:t>This summary highlights some of the information in this prospectus. It is not complete and may not contain all of the information that you may want to consider. You should read this entire prospectus and any accompanying prospectus supplement carefully. In particular, you should read the more detailed information set forth under “Risk Factors” and the consolidated financial statements and the related notes included elsewhere in this prospectus and any accompanying prospectus supplement.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the prospectus, except where the context suggests otherwise, references to:</w:t>
      </w:r>
    </w:p>
    <w:p>
      <w:pPr>
        <w:spacing w:after="0" w:line="131" w:lineRule="exact"/>
        <w:rPr>
          <w:sz w:val="20"/>
          <w:szCs w:val="20"/>
          <w:color w:val="auto"/>
        </w:rPr>
      </w:pPr>
    </w:p>
    <w:p>
      <w:pPr>
        <w:ind w:left="1060" w:right="4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“TSLX,” “TPG Specialty Lending,” “we,” “us,” “our,” the “Company,” and the “Registrant” refer to TPG Specialty Lending, Inc., a Delaware corporation, and its consolidated subsidiaries;</w:t>
      </w:r>
    </w:p>
    <w:p>
      <w:pPr>
        <w:spacing w:after="0" w:line="75" w:lineRule="exact"/>
        <w:rPr>
          <w:rFonts w:ascii="Arial" w:cs="Arial" w:eastAsia="Arial" w:hAnsi="Arial"/>
          <w:sz w:val="18"/>
          <w:szCs w:val="18"/>
          <w:color w:val="auto"/>
        </w:rPr>
      </w:pPr>
    </w:p>
    <w:p>
      <w:pPr>
        <w:ind w:left="1060" w:right="50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consolidated subsidiaries of TPG Specialty Lending, Inc. refers to TC Lending, LLC, TPG SL SPV, LLC and TSL MR, LLC, each a Delaware limited liability company;</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“Adviser” refers to TSL Advisers, LLC, a Delaware limited liability company;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“TSSP” refers to TPG Special Situations Partners, LLC;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“TPG” refers to TPG Global, LLC and its affiliates.</w:t>
      </w:r>
    </w:p>
    <w:p>
      <w:pPr>
        <w:spacing w:after="0" w:line="225"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w:t>
      </w:r>
    </w:p>
    <w:p>
      <w:pPr>
        <w:spacing w:after="0" w:line="181" w:lineRule="exact"/>
        <w:rPr>
          <w:sz w:val="20"/>
          <w:szCs w:val="20"/>
          <w:color w:val="auto"/>
        </w:rPr>
      </w:pPr>
    </w:p>
    <w:p>
      <w:pPr>
        <w:ind w:left="200" w:right="20" w:firstLine="443"/>
        <w:spacing w:after="0" w:line="277" w:lineRule="auto"/>
        <w:rPr>
          <w:sz w:val="20"/>
          <w:szCs w:val="20"/>
          <w:color w:val="auto"/>
        </w:rPr>
      </w:pPr>
      <w:r>
        <w:rPr>
          <w:rFonts w:ascii="Arial" w:cs="Arial" w:eastAsia="Arial" w:hAnsi="Arial"/>
          <w:sz w:val="18"/>
          <w:szCs w:val="18"/>
          <w:color w:val="auto"/>
        </w:rPr>
        <w:t>Unless indicated otherwise or the context suggests otherwise, all information in this prospectus gives effect to our stock split in the form of a stock dividend on December 5, 2013.</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December 31, 2015, we have originated more than $4.3 billion aggregate principal amount of investments and retained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 billion aggregate principal amount of these investments on our balance sheet prior to any subsequent exits and repayments. We seek to generate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current income primarily in U.S.-domiciled middle-market companies through direct originations of senior secured loans and, to a lesser extent,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originations of mezzanine and unsecured loans and investments in corporate bonds and equity securities. By “middle-market companies,” we mean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companies that have annual earnings before interest, income taxes, depreciation and amortization, or EBITDA, which we believe is a useful proxy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cash flow, of $10 million to $250 million, although we may invest in larger or smaller companies on occasion. As of December 31, 2015, our core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portfolio companies, which exclude certain investments that fall outside of our typical borrower profile and represent 87% of our total investments based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fair value, had weighted average annual revenue of $128 million and weighted average annual EBITDA of $33 million.</w:t>
      </w:r>
    </w:p>
    <w:p>
      <w:pPr>
        <w:spacing w:after="0" w:line="211" w:lineRule="exact"/>
        <w:rPr>
          <w:sz w:val="20"/>
          <w:szCs w:val="20"/>
          <w:color w:val="auto"/>
        </w:rPr>
      </w:pPr>
    </w:p>
    <w:p>
      <w:pPr>
        <w:ind w:left="200" w:right="140" w:firstLine="443"/>
        <w:spacing w:after="0" w:line="342" w:lineRule="auto"/>
        <w:rPr>
          <w:sz w:val="20"/>
          <w:szCs w:val="20"/>
          <w:color w:val="auto"/>
        </w:rPr>
      </w:pPr>
      <w:r>
        <w:rPr>
          <w:rFonts w:ascii="Arial" w:cs="Arial" w:eastAsia="Arial" w:hAnsi="Arial"/>
          <w:sz w:val="16"/>
          <w:szCs w:val="16"/>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24" w:lineRule="exact"/>
        <w:rPr>
          <w:sz w:val="20"/>
          <w:szCs w:val="20"/>
          <w:color w:val="auto"/>
        </w:rPr>
      </w:pPr>
    </w:p>
    <w:p>
      <w:pPr>
        <w:ind w:left="200" w:right="280" w:firstLine="443"/>
        <w:spacing w:after="0" w:line="342" w:lineRule="auto"/>
        <w:rPr>
          <w:sz w:val="20"/>
          <w:szCs w:val="20"/>
          <w:color w:val="auto"/>
        </w:rPr>
      </w:pPr>
      <w:r>
        <w:rPr>
          <w:rFonts w:ascii="Arial" w:cs="Arial" w:eastAsia="Arial" w:hAnsi="Arial"/>
          <w:sz w:val="16"/>
          <w:szCs w:val="16"/>
          <w:color w:val="auto"/>
        </w:rPr>
        <w:t>In conducting our investment activities, we believe that we benefit from the significant scale and resources of our Adviser and its affiliates. We have operated as a BDC since we began our investment activities in July 2011, and we are currently one of the largest BDCs by total assets.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8" w:lineRule="exact"/>
        <w:rPr>
          <w:sz w:val="20"/>
          <w:szCs w:val="20"/>
          <w:color w:val="auto"/>
        </w:rPr>
      </w:pPr>
    </w:p>
    <w:p>
      <w:pPr>
        <w:ind w:left="200" w:right="20" w:firstLine="443"/>
        <w:spacing w:after="0" w:line="259" w:lineRule="auto"/>
        <w:rPr>
          <w:sz w:val="20"/>
          <w:szCs w:val="20"/>
          <w:color w:val="auto"/>
        </w:rPr>
      </w:pPr>
      <w:r>
        <w:rPr>
          <w:rFonts w:ascii="Arial" w:cs="Arial" w:eastAsia="Arial" w:hAnsi="Arial"/>
          <w:sz w:val="18"/>
          <w:szCs w:val="18"/>
          <w:color w:val="auto"/>
        </w:rPr>
        <w:t>As of December 31, 2015, based on fair value our portfolio consisted of 88.2% first-lien debt investments, 8.1% second-lien debt investments, 1.9% mezzanine and unsecured debt investments and 1.8% equity and other investments. Approximately 95.3% of our debt investments based on fair value as of December 31, 2015 are floating rate in nature (when including investment specific hedges), with 94.2% of these subject to interest rate floors, which we believe helps act as a portfolio-wide hedge against inflation.</w:t>
      </w:r>
    </w:p>
    <w:p>
      <w:pPr>
        <w:spacing w:after="0" w:line="187" w:lineRule="exact"/>
        <w:rPr>
          <w:sz w:val="20"/>
          <w:szCs w:val="20"/>
          <w:color w:val="auto"/>
        </w:rPr>
      </w:pPr>
    </w:p>
    <w:p>
      <w:pPr>
        <w:ind w:left="200" w:right="440" w:firstLine="443"/>
        <w:spacing w:after="0" w:line="291" w:lineRule="auto"/>
        <w:rPr>
          <w:sz w:val="20"/>
          <w:szCs w:val="20"/>
          <w:color w:val="auto"/>
        </w:rPr>
      </w:pPr>
      <w:r>
        <w:rPr>
          <w:rFonts w:ascii="Arial" w:cs="Arial" w:eastAsia="Arial" w:hAnsi="Arial"/>
          <w:sz w:val="16"/>
          <w:szCs w:val="16"/>
          <w:color w:val="auto"/>
        </w:rPr>
        <w:t>As of December 31, 2015, we had investments in 46 portfolio companies with an aggregate fair value of $1,485.7 million. For the year ended December 31, 2015, we made new investment commitments of $718.7 million, including $631.6 million in 20 new portfolio companies and</w:t>
      </w:r>
    </w:p>
    <w:p>
      <w:pPr>
        <w:ind w:left="200" w:right="40"/>
        <w:spacing w:after="0" w:line="261" w:lineRule="auto"/>
        <w:rPr>
          <w:sz w:val="20"/>
          <w:szCs w:val="20"/>
          <w:color w:val="auto"/>
        </w:rPr>
      </w:pPr>
      <w:r>
        <w:rPr>
          <w:rFonts w:ascii="Arial" w:cs="Arial" w:eastAsia="Arial" w:hAnsi="Arial"/>
          <w:sz w:val="18"/>
          <w:szCs w:val="18"/>
          <w:color w:val="auto"/>
        </w:rPr>
        <w:t>$87.1 million in 14 existing portfolio companies. For this period, we had $385.2 million aggregate principal amount in exits and repayments, resulting in a net portfolio increase of $278.8 million aggregate principal amount.</w:t>
      </w:r>
    </w:p>
    <w:p>
      <w:pPr>
        <w:spacing w:after="0" w:line="184" w:lineRule="exact"/>
        <w:rPr>
          <w:sz w:val="20"/>
          <w:szCs w:val="20"/>
          <w:color w:val="auto"/>
        </w:rPr>
      </w:pPr>
    </w:p>
    <w:p>
      <w:pPr>
        <w:ind w:left="200" w:right="440" w:firstLine="443"/>
        <w:spacing w:after="0" w:line="291" w:lineRule="auto"/>
        <w:rPr>
          <w:sz w:val="20"/>
          <w:szCs w:val="20"/>
          <w:color w:val="auto"/>
        </w:rPr>
      </w:pPr>
      <w:r>
        <w:rPr>
          <w:rFonts w:ascii="Arial" w:cs="Arial" w:eastAsia="Arial" w:hAnsi="Arial"/>
          <w:sz w:val="16"/>
          <w:szCs w:val="16"/>
          <w:color w:val="auto"/>
        </w:rPr>
        <w:t>As of December 31, 2014, we had investments in 34 portfolio companies with an aggregate fair value of $1,263.5 million. For the year ended December 31, 2014, we made new investment commitments of $884.4 million, including $805.7 million in 20 new portfolio companies and</w:t>
      </w:r>
    </w:p>
    <w:p>
      <w:pPr>
        <w:ind w:left="200"/>
        <w:spacing w:after="0" w:line="261" w:lineRule="auto"/>
        <w:rPr>
          <w:sz w:val="20"/>
          <w:szCs w:val="20"/>
          <w:color w:val="auto"/>
        </w:rPr>
      </w:pPr>
      <w:r>
        <w:rPr>
          <w:rFonts w:ascii="Arial" w:cs="Arial" w:eastAsia="Arial" w:hAnsi="Arial"/>
          <w:sz w:val="18"/>
          <w:szCs w:val="18"/>
          <w:color w:val="auto"/>
        </w:rPr>
        <w:t>$78.7 million in seven existing portfolio companies. For this period, we had $518.4 million aggregate principal amount in exits and repayments, resulting in a net portfolio increase of $296.5 million aggregate principal amount.</w:t>
      </w:r>
    </w:p>
    <w:p>
      <w:pPr>
        <w:spacing w:after="0" w:line="184" w:lineRule="exact"/>
        <w:rPr>
          <w:sz w:val="20"/>
          <w:szCs w:val="20"/>
          <w:color w:val="auto"/>
        </w:rPr>
      </w:pPr>
    </w:p>
    <w:p>
      <w:pPr>
        <w:ind w:left="200" w:right="180" w:firstLine="443"/>
        <w:spacing w:after="0" w:line="277" w:lineRule="auto"/>
        <w:rPr>
          <w:sz w:val="20"/>
          <w:szCs w:val="20"/>
          <w:color w:val="auto"/>
        </w:rPr>
      </w:pPr>
      <w:r>
        <w:rPr>
          <w:rFonts w:ascii="Arial" w:cs="Arial" w:eastAsia="Arial" w:hAnsi="Arial"/>
          <w:sz w:val="18"/>
          <w:szCs w:val="18"/>
          <w:color w:val="auto"/>
        </w:rPr>
        <w:t>As of December 31, 2015, the average investment size in each of our portfolio companies was approximately $32 million based on fair value. As of December 31, 2015, the largest single investment based on fair value represented 4.9% of our total investment portfolio.</w:t>
      </w:r>
    </w:p>
    <w:p>
      <w:pPr>
        <w:spacing w:after="0" w:line="170" w:lineRule="exact"/>
        <w:rPr>
          <w:sz w:val="20"/>
          <w:szCs w:val="20"/>
          <w:color w:val="auto"/>
        </w:rPr>
      </w:pPr>
    </w:p>
    <w:p>
      <w:pPr>
        <w:ind w:left="200" w:right="40" w:firstLine="443"/>
        <w:spacing w:after="0" w:line="342" w:lineRule="auto"/>
        <w:rPr>
          <w:sz w:val="20"/>
          <w:szCs w:val="20"/>
          <w:color w:val="auto"/>
        </w:rPr>
      </w:pPr>
      <w:r>
        <w:rPr>
          <w:rFonts w:ascii="Arial" w:cs="Arial" w:eastAsia="Arial" w:hAnsi="Arial"/>
          <w:sz w:val="16"/>
          <w:szCs w:val="16"/>
          <w:color w:val="auto"/>
        </w:rPr>
        <w:t>As of December 31, 2015, our portfolio was invested across 20 different industries. The largest industries in our portfolio as of December 31, 2015 were business services and healthcare, which represented, as a percentage of our portfolio, 21.2%, and 18.0%, respectively, based on fair value.</w:t>
      </w:r>
    </w:p>
    <w:p>
      <w:pPr>
        <w:spacing w:after="0" w:line="124" w:lineRule="exact"/>
        <w:rPr>
          <w:sz w:val="20"/>
          <w:szCs w:val="20"/>
          <w:color w:val="auto"/>
        </w:rPr>
      </w:pPr>
    </w:p>
    <w:p>
      <w:pPr>
        <w:ind w:left="200" w:right="120" w:firstLine="443"/>
        <w:spacing w:after="0" w:line="276" w:lineRule="auto"/>
        <w:rPr>
          <w:sz w:val="20"/>
          <w:szCs w:val="20"/>
          <w:color w:val="auto"/>
        </w:rPr>
      </w:pPr>
      <w:r>
        <w:rPr>
          <w:rFonts w:ascii="Arial" w:cs="Arial" w:eastAsia="Arial" w:hAnsi="Arial"/>
          <w:sz w:val="17"/>
          <w:szCs w:val="17"/>
          <w:color w:val="auto"/>
        </w:rPr>
        <w:t>Since we began investing in 2011 through December 31, 2015, our exited investments have resulted in an aggregate cash flow realized gross internal rate of return to us of 16.3% (based on cash invested of $1.2 billion and total proceeds from these exited investments of $1.5 billion). Ninety percent of these exited investments resulted in an aggregate cash flow realized gross internal rate of return to us of 10% or greater. For a description of how we calculate gross internal rates of return, see “Management’s Discussion and Analysis of Financial Condition and Results of Operations—Results of Operations—Aggregate Cash Flow Realized Gross Internal Rate of Return.”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Structure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TPG Specialty Lending, Inc. is a Delaware corporation formed on July 21, 2010. TSL Advisers, LLC is our external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466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54667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80" w:firstLine="443"/>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Our Adviser</w:t>
      </w:r>
    </w:p>
    <w:p>
      <w:pPr>
        <w:spacing w:after="0" w:line="121" w:lineRule="exact"/>
        <w:rPr>
          <w:sz w:val="20"/>
          <w:szCs w:val="20"/>
          <w:color w:val="auto"/>
        </w:rPr>
      </w:pPr>
    </w:p>
    <w:p>
      <w:pPr>
        <w:ind w:left="200" w:right="160" w:firstLine="443"/>
        <w:spacing w:after="0" w:line="277"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Investment Advisers Act of 1940, as amended, or the Advisers Act.</w:t>
      </w:r>
    </w:p>
    <w:p>
      <w:pPr>
        <w:spacing w:after="0" w:line="17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93" w:lineRule="exact"/>
        <w:rPr>
          <w:sz w:val="20"/>
          <w:szCs w:val="20"/>
          <w:color w:val="auto"/>
        </w:rPr>
      </w:pPr>
    </w:p>
    <w:p>
      <w:pPr>
        <w:ind w:left="200" w:right="20" w:firstLine="443"/>
        <w:spacing w:after="0" w:line="291" w:lineRule="auto"/>
        <w:rPr>
          <w:sz w:val="20"/>
          <w:szCs w:val="20"/>
          <w:color w:val="auto"/>
        </w:rPr>
      </w:pPr>
      <w:r>
        <w:rPr>
          <w:rFonts w:ascii="Arial" w:cs="Arial" w:eastAsia="Arial" w:hAnsi="Arial"/>
          <w:sz w:val="16"/>
          <w:szCs w:val="16"/>
          <w:color w:val="auto"/>
        </w:rPr>
        <w:t>TSSP, with over $16 billion of assets under management as of December 31, 2015,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As of December 31, 2015, twenty six (26) of these personnel were dedicated to our business, including 18 investment professionals.</w:t>
      </w:r>
    </w:p>
    <w:p>
      <w:pPr>
        <w:spacing w:after="0" w:line="167"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TPG is a leading global private investment firm founded in 1992 with over $74 billion of assets under management as of December 31, 2015, and offices in San Francisco, Fort Worth, New York and throughout the world. In addition to TSSP, TPG’s investment business includes discrete investment platforms focused on a 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66" w:lineRule="exact"/>
        <w:rPr>
          <w:sz w:val="20"/>
          <w:szCs w:val="20"/>
          <w:color w:val="auto"/>
        </w:rPr>
      </w:pPr>
    </w:p>
    <w:p>
      <w:pPr>
        <w:jc w:val="both"/>
        <w:ind w:left="200" w:right="180" w:firstLine="443"/>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47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5947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200" w:right="940" w:firstLine="443"/>
        <w:spacing w:after="0" w:line="342" w:lineRule="auto"/>
        <w:rPr>
          <w:sz w:val="20"/>
          <w:szCs w:val="20"/>
          <w:color w:val="auto"/>
        </w:rPr>
      </w:pPr>
      <w:r>
        <w:rPr>
          <w:rFonts w:ascii="Arial" w:cs="Arial" w:eastAsia="Arial" w:hAnsi="Arial"/>
          <w:sz w:val="16"/>
          <w:szCs w:val="16"/>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24"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i w:val="1"/>
          <w:iCs w:val="1"/>
          <w:color w:val="auto"/>
        </w:rPr>
        <w:t xml:space="preserve">Limited availability of capital for middle-market companies. </w:t>
      </w:r>
      <w:r>
        <w:rPr>
          <w:rFonts w:ascii="Arial" w:cs="Arial" w:eastAsia="Arial" w:hAnsi="Arial"/>
          <w:sz w:val="17"/>
          <w:szCs w:val="17"/>
          <w:color w:val="auto"/>
        </w:rPr>
        <w:t>We believe that certain structural changes in the market have reduced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Federal Deposit Insurance Corporation, or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82" w:lineRule="exact"/>
        <w:rPr>
          <w:sz w:val="20"/>
          <w:szCs w:val="20"/>
          <w:color w:val="auto"/>
        </w:rPr>
      </w:pPr>
    </w:p>
    <w:p>
      <w:pPr>
        <w:ind w:left="200" w:right="180" w:firstLine="443"/>
        <w:spacing w:after="0" w:line="257" w:lineRule="auto"/>
        <w:rPr>
          <w:sz w:val="20"/>
          <w:szCs w:val="20"/>
          <w:color w:val="auto"/>
        </w:rPr>
      </w:pPr>
      <w:r>
        <w:rPr>
          <w:rFonts w:ascii="Arial" w:cs="Arial" w:eastAsia="Arial" w:hAnsi="Arial"/>
          <w:sz w:val="18"/>
          <w:szCs w:val="18"/>
          <w:i w:val="1"/>
          <w:iCs w:val="1"/>
          <w:color w:val="auto"/>
        </w:rPr>
        <w:t xml:space="preserve">Strong demand for debt capital. </w:t>
      </w:r>
      <w:r>
        <w:rPr>
          <w:rFonts w:ascii="Arial" w:cs="Arial" w:eastAsia="Arial" w:hAnsi="Arial"/>
          <w:sz w:val="18"/>
          <w:szCs w:val="18"/>
          <w:color w:val="auto"/>
        </w:rPr>
        <w:t>We believe middle-market companies will continue to require access to debt capital to refinance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growth and finance acquisitions. In addition, we believe the large amount of uninvested capital held by funds of private equity firms, estimated by Preqin Ltd., an alternative assets industry data and research company, at $1.31 trillion as of December 2015,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left="200" w:right="260" w:firstLine="443"/>
        <w:spacing w:after="0" w:line="293" w:lineRule="auto"/>
        <w:rPr>
          <w:sz w:val="20"/>
          <w:szCs w:val="20"/>
          <w:color w:val="auto"/>
        </w:rPr>
      </w:pPr>
      <w:r>
        <w:rPr>
          <w:rFonts w:ascii="Arial" w:cs="Arial" w:eastAsia="Arial" w:hAnsi="Arial"/>
          <w:sz w:val="16"/>
          <w:szCs w:val="16"/>
          <w:i w:val="1"/>
          <w:iCs w:val="1"/>
          <w:color w:val="auto"/>
        </w:rPr>
        <w:t xml:space="preserve">Attractive investment dynamics. </w:t>
      </w:r>
      <w:r>
        <w:rPr>
          <w:rFonts w:ascii="Arial" w:cs="Arial" w:eastAsia="Arial" w:hAnsi="Arial"/>
          <w:sz w:val="16"/>
          <w:szCs w:val="16"/>
          <w:color w:val="auto"/>
        </w:rPr>
        <w:t>An imbalance between the supply of, and demand for, middle-market debt capital creates attractive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65"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 xml:space="preserve">Conservative capital structures. </w:t>
      </w:r>
      <w:r>
        <w:rPr>
          <w:rFonts w:ascii="Arial" w:cs="Arial" w:eastAsia="Arial" w:hAnsi="Arial"/>
          <w:sz w:val="18"/>
          <w:szCs w:val="18"/>
          <w:color w:val="auto"/>
        </w:rPr>
        <w:t>Following the credit crisis, which we define broadly as occurring between mid-2007 and mid-2009, borrowers</w:t>
      </w:r>
      <w:r>
        <w:rPr>
          <w:rFonts w:ascii="Arial" w:cs="Arial" w:eastAsia="Arial" w:hAnsi="Arial"/>
          <w:sz w:val="18"/>
          <w:szCs w:val="18"/>
          <w:i w:val="1"/>
          <w:iCs w:val="1"/>
          <w:color w:val="auto"/>
        </w:rPr>
        <w:t xml:space="preserve"> </w:t>
      </w:r>
      <w:r>
        <w:rPr>
          <w:rFonts w:ascii="Arial" w:cs="Arial" w:eastAsia="Arial" w:hAnsi="Arial"/>
          <w:sz w:val="18"/>
          <w:szCs w:val="18"/>
          <w:color w:val="auto"/>
        </w:rPr>
        <w:t>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jc w:val="both"/>
        <w:ind w:left="200" w:right="20" w:firstLine="443"/>
        <w:spacing w:after="0" w:line="259" w:lineRule="auto"/>
        <w:rPr>
          <w:sz w:val="20"/>
          <w:szCs w:val="20"/>
          <w:color w:val="auto"/>
        </w:rPr>
      </w:pPr>
      <w:r>
        <w:rPr>
          <w:rFonts w:ascii="Arial" w:cs="Arial" w:eastAsia="Arial" w:hAnsi="Arial"/>
          <w:sz w:val="18"/>
          <w:szCs w:val="18"/>
          <w:i w:val="1"/>
          <w:iCs w:val="1"/>
          <w:color w:val="auto"/>
        </w:rPr>
        <w:t xml:space="preserve">Specialized lending requirements. </w:t>
      </w:r>
      <w:r>
        <w:rPr>
          <w:rFonts w:ascii="Arial" w:cs="Arial" w:eastAsia="Arial" w:hAnsi="Arial"/>
          <w:sz w:val="18"/>
          <w:szCs w:val="18"/>
          <w:color w:val="auto"/>
        </w:rPr>
        <w:t>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left="200" w:firstLine="443"/>
        <w:spacing w:after="0" w:line="277" w:lineRule="auto"/>
        <w:rPr>
          <w:sz w:val="20"/>
          <w:szCs w:val="20"/>
          <w:color w:val="auto"/>
        </w:rPr>
      </w:pPr>
      <w:r>
        <w:rPr>
          <w:rFonts w:ascii="Arial" w:cs="Arial" w:eastAsia="Arial" w:hAnsi="Arial"/>
          <w:sz w:val="18"/>
          <w:szCs w:val="18"/>
          <w:i w:val="1"/>
          <w:iCs w:val="1"/>
          <w:color w:val="auto"/>
        </w:rPr>
        <w:t xml:space="preserve">Desirability of partnering with BDCs. </w:t>
      </w:r>
      <w:r>
        <w:rPr>
          <w:rFonts w:ascii="Arial" w:cs="Arial" w:eastAsia="Arial" w:hAnsi="Arial"/>
          <w:sz w:val="18"/>
          <w:szCs w:val="18"/>
          <w:color w:val="auto"/>
        </w:rPr>
        <w:t>We believe middle-market companies see advantages in raising capital from BDCs. BDCs have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attractive financing structures, including unitranche loans and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459" w:right="3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6465" cy="635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“one-stop” financings and can provide a valuable combination of flexibility to develop loans that reflect each borrower’s distinct situation, long-term relationship focus and reliability as a potential source of future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left="200" w:firstLine="443"/>
        <w:spacing w:after="0" w:line="257" w:lineRule="auto"/>
        <w:rPr>
          <w:sz w:val="20"/>
          <w:szCs w:val="20"/>
          <w:color w:val="auto"/>
        </w:rPr>
      </w:pPr>
      <w:r>
        <w:rPr>
          <w:rFonts w:ascii="Arial" w:cs="Arial" w:eastAsia="Arial" w:hAnsi="Arial"/>
          <w:sz w:val="18"/>
          <w:szCs w:val="18"/>
          <w:i w:val="1"/>
          <w:iCs w:val="1"/>
          <w:color w:val="auto"/>
        </w:rPr>
        <w:t xml:space="preserve">Leading platform and access to proprietary deal flow. </w:t>
      </w:r>
      <w:r>
        <w:rPr>
          <w:rFonts w:ascii="Arial" w:cs="Arial" w:eastAsia="Arial" w:hAnsi="Arial"/>
          <w:sz w:val="18"/>
          <w:szCs w:val="18"/>
          <w:color w:val="auto"/>
        </w:rPr>
        <w:t>The substantial majority of our investments are not intermediated and are originated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the assistance of investment banks or other traditional Wall Street sources. Our Adviser has a dedicated team of 18 investment professionals responsible for originating, 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8" w:lineRule="exact"/>
        <w:rPr>
          <w:sz w:val="20"/>
          <w:szCs w:val="20"/>
          <w:color w:val="auto"/>
        </w:rPr>
      </w:pPr>
    </w:p>
    <w:p>
      <w:pPr>
        <w:ind w:left="200" w:firstLine="443"/>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i w:val="1"/>
          <w:iCs w:val="1"/>
          <w:color w:val="auto"/>
        </w:rPr>
        <w:t xml:space="preserve">Disciplined investment and underwriting process. </w:t>
      </w:r>
      <w:r>
        <w:rPr>
          <w:rFonts w:ascii="Arial" w:cs="Arial" w:eastAsia="Arial" w:hAnsi="Arial"/>
          <w:sz w:val="16"/>
          <w:szCs w:val="16"/>
          <w:color w:val="auto"/>
        </w:rPr>
        <w:t>Through our Adviser, we seek to achieve the highest risk-adjusted returns available as opposed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10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1060" w:right="40" w:hanging="323"/>
        <w:spacing w:after="0" w:line="25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Risk pricing. </w:t>
      </w:r>
      <w:r>
        <w:rPr>
          <w:rFonts w:ascii="Arial" w:cs="Arial" w:eastAsia="Arial" w:hAnsi="Arial"/>
          <w:sz w:val="18"/>
          <w:szCs w:val="18"/>
          <w:color w:val="auto"/>
        </w:rPr>
        <w:t>The risk profile of our portfolio evolves across credit cycles as credit tightens and loosens. During periods when risk premiums</w:t>
      </w:r>
      <w:r>
        <w:rPr>
          <w:rFonts w:ascii="Arial" w:cs="Arial" w:eastAsia="Arial" w:hAnsi="Arial"/>
          <w:sz w:val="18"/>
          <w:szCs w:val="18"/>
          <w:i w:val="1"/>
          <w:iCs w:val="1"/>
          <w:color w:val="auto"/>
        </w:rPr>
        <w:t xml:space="preserve"> </w:t>
      </w:r>
      <w:r>
        <w:rPr>
          <w:rFonts w:ascii="Arial" w:cs="Arial" w:eastAsia="Arial" w:hAnsi="Arial"/>
          <w:sz w:val="18"/>
          <w:szCs w:val="18"/>
          <w:color w:val="auto"/>
        </w:rPr>
        <w:t>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1060" w:right="760" w:hanging="323"/>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Disciplined four-tiered investment framework. </w:t>
      </w:r>
      <w:r>
        <w:rPr>
          <w:rFonts w:ascii="Arial" w:cs="Arial" w:eastAsia="Arial" w:hAnsi="Arial"/>
          <w:sz w:val="18"/>
          <w:szCs w:val="18"/>
          <w:color w:val="auto"/>
        </w:rPr>
        <w:t>Through our Adviser, we perform detailed company-specific analysis focusing on a</w:t>
      </w:r>
      <w:r>
        <w:rPr>
          <w:rFonts w:ascii="Arial" w:cs="Arial" w:eastAsia="Arial" w:hAnsi="Arial"/>
          <w:sz w:val="18"/>
          <w:szCs w:val="18"/>
          <w:i w:val="1"/>
          <w:iCs w:val="1"/>
          <w:color w:val="auto"/>
        </w:rPr>
        <w:t xml:space="preserve"> </w:t>
      </w:r>
      <w:r>
        <w:rPr>
          <w:rFonts w:ascii="Arial" w:cs="Arial" w:eastAsia="Arial" w:hAnsi="Arial"/>
          <w:sz w:val="18"/>
          <w:szCs w:val="18"/>
          <w:color w:val="auto"/>
        </w:rPr>
        <w:t>four-tiered investment framework:</w:t>
      </w:r>
    </w:p>
    <w:p>
      <w:pPr>
        <w:spacing w:after="0" w:line="75"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business and sector selection;</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investment structuring;</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deal dynamics; and</w:t>
      </w:r>
    </w:p>
    <w:p>
      <w:pPr>
        <w:spacing w:after="0" w:line="130" w:lineRule="exact"/>
        <w:rPr>
          <w:rFonts w:ascii="Arial" w:cs="Arial" w:eastAsia="Arial" w:hAnsi="Arial"/>
          <w:sz w:val="18"/>
          <w:szCs w:val="18"/>
          <w:color w:val="auto"/>
        </w:rPr>
      </w:pPr>
    </w:p>
    <w:p>
      <w:pPr>
        <w:ind w:left="1620" w:hanging="437"/>
        <w:spacing w:after="0"/>
        <w:tabs>
          <w:tab w:leader="none" w:pos="1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130"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Robust and active investment management.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21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6465" cy="56210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20" w:firstLine="443"/>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5,000 investment opportunities our Investment Team reviewed since our inception through December 31, 2015.</w:t>
      </w:r>
    </w:p>
    <w:p>
      <w:pPr>
        <w:spacing w:after="0" w:line="170"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6"/>
          <w:szCs w:val="16"/>
          <w:color w:val="auto"/>
        </w:rPr>
        <w:t>Since we began investing in 2011, we have invested approximately $2.9 billion. As of December 31, 2015, we had a portfolio of investments in 46 portfolio companies with an aggregate fair value of $1,485.7 million that we believe exhibits strong credit quality and broad industry composition. As of December 31, 2015, 95.3% of our debt investments based on fair value bore interest at floating rates (when including investment specific hedges), with 94.2% of these subject to interest rate floors, and 88.2% of the fair value of our portfolio was invested in first-lien debt investments. We believe this portfolio will allow us to generate meaningful investment income, and consequently dividend income, for our stockholders.</w:t>
      </w:r>
    </w:p>
    <w:p>
      <w:pPr>
        <w:spacing w:after="0" w:line="165" w:lineRule="exact"/>
        <w:rPr>
          <w:sz w:val="20"/>
          <w:szCs w:val="20"/>
          <w:color w:val="auto"/>
        </w:rPr>
      </w:pPr>
    </w:p>
    <w:p>
      <w:pPr>
        <w:ind w:left="200" w:firstLine="443"/>
        <w:spacing w:after="0" w:line="253" w:lineRule="auto"/>
        <w:rPr>
          <w:sz w:val="20"/>
          <w:szCs w:val="20"/>
          <w:color w:val="auto"/>
        </w:rPr>
      </w:pPr>
      <w:r>
        <w:rPr>
          <w:rFonts w:ascii="Arial" w:cs="Arial" w:eastAsia="Arial" w:hAnsi="Arial"/>
          <w:sz w:val="18"/>
          <w:szCs w:val="18"/>
          <w:i w:val="1"/>
          <w:iCs w:val="1"/>
          <w:color w:val="auto"/>
        </w:rPr>
        <w:t xml:space="preserve">Experienced management team. </w:t>
      </w:r>
      <w:r>
        <w:rPr>
          <w:rFonts w:ascii="Arial" w:cs="Arial" w:eastAsia="Arial" w:hAnsi="Arial"/>
          <w:sz w:val="18"/>
          <w:szCs w:val="18"/>
          <w:color w:val="auto"/>
        </w:rPr>
        <w:t>The eight managing directors of TSSP on the Adviser’s team have deep experience identifying and executing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97" w:lineRule="exact"/>
        <w:rPr>
          <w:sz w:val="20"/>
          <w:szCs w:val="20"/>
          <w:color w:val="auto"/>
        </w:rPr>
      </w:pPr>
    </w:p>
    <w:p>
      <w:pPr>
        <w:ind w:left="200" w:right="100" w:firstLine="443"/>
        <w:spacing w:after="0" w:line="264" w:lineRule="auto"/>
        <w:rPr>
          <w:sz w:val="20"/>
          <w:szCs w:val="20"/>
          <w:color w:val="auto"/>
        </w:rPr>
      </w:pPr>
      <w:r>
        <w:rPr>
          <w:rFonts w:ascii="Arial" w:cs="Arial" w:eastAsia="Arial" w:hAnsi="Arial"/>
          <w:sz w:val="18"/>
          <w:szCs w:val="18"/>
          <w:i w:val="1"/>
          <w:iCs w:val="1"/>
          <w:color w:val="auto"/>
        </w:rPr>
        <w:t xml:space="preserve">Aligned investment professionals. </w:t>
      </w:r>
      <w:r>
        <w:rPr>
          <w:rFonts w:ascii="Arial" w:cs="Arial" w:eastAsia="Arial" w:hAnsi="Arial"/>
          <w:sz w:val="18"/>
          <w:szCs w:val="18"/>
          <w:color w:val="auto"/>
        </w:rPr>
        <w:t>We believe our investment professionals are aligned with our investment objective. The compensation 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121" w:lineRule="exact"/>
        <w:rPr>
          <w:sz w:val="20"/>
          <w:szCs w:val="20"/>
          <w:color w:val="auto"/>
        </w:rPr>
      </w:pPr>
    </w:p>
    <w:p>
      <w:pPr>
        <w:ind w:left="200" w:right="220" w:firstLine="443"/>
        <w:spacing w:after="0" w:line="342" w:lineRule="auto"/>
        <w:rPr>
          <w:sz w:val="20"/>
          <w:szCs w:val="20"/>
          <w:color w:val="auto"/>
        </w:rPr>
      </w:pPr>
      <w:r>
        <w:rPr>
          <w:rFonts w:ascii="Arial" w:cs="Arial" w:eastAsia="Arial" w:hAnsi="Arial"/>
          <w:sz w:val="16"/>
          <w:szCs w:val="16"/>
          <w:color w:val="auto"/>
        </w:rPr>
        <w:t>The Adviser manages our investment activities under the direction of our board of directors, or the Board. A majority of our Board members are not “interested persons” of us, the Adviser and our respective affiliates, as such term is defined under Section 2(a)(19) of the 1940 Act.</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BDC, we are required to comply with numerous regulatory requirements:</w:t>
      </w:r>
    </w:p>
    <w:p>
      <w:pPr>
        <w:spacing w:after="0" w:line="131" w:lineRule="exact"/>
        <w:rPr>
          <w:sz w:val="20"/>
          <w:szCs w:val="20"/>
          <w:color w:val="auto"/>
        </w:rPr>
      </w:pPr>
    </w:p>
    <w:p>
      <w:pPr>
        <w:ind w:left="1060" w:right="40" w:hanging="323"/>
        <w:spacing w:after="0" w:line="25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Leverage. </w:t>
      </w:r>
      <w:r>
        <w:rPr>
          <w:rFonts w:ascii="Arial" w:cs="Arial" w:eastAsia="Arial" w:hAnsi="Arial"/>
          <w:sz w:val="18"/>
          <w:szCs w:val="18"/>
          <w:color w:val="auto"/>
        </w:rPr>
        <w:t>Regulations under the 1940 Act limit our ability to use borrowing, also known as leverage, in significant respects. With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exceptions, we are currently only allowed to borrow amounts, including by issuing debt securities or preferred stock, where our asset coverage, as defined in the 1940 Act, equals at least 200% after the borrowing. See “Regulation.” The asset coverage rule may change over time. For example, legislation introduced in the U.S. House of Representatives, if passed, would modify this section of the 1940 Act and increase the amount of debt that BDCs may incur.</w:t>
      </w:r>
    </w:p>
    <w:p>
      <w:pPr>
        <w:spacing w:after="0" w:line="93" w:lineRule="exact"/>
        <w:rPr>
          <w:rFonts w:ascii="Arial" w:cs="Arial" w:eastAsia="Arial" w:hAnsi="Arial"/>
          <w:sz w:val="18"/>
          <w:szCs w:val="18"/>
          <w:color w:val="auto"/>
        </w:rPr>
      </w:pPr>
    </w:p>
    <w:p>
      <w:pPr>
        <w:ind w:left="1060" w:right="420" w:hanging="323"/>
        <w:spacing w:after="0" w:line="277"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Investment Allocation. </w:t>
      </w:r>
      <w:r>
        <w:rPr>
          <w:rFonts w:ascii="Arial" w:cs="Arial" w:eastAsia="Arial" w:hAnsi="Arial"/>
          <w:sz w:val="18"/>
          <w:szCs w:val="18"/>
          <w:color w:val="auto"/>
        </w:rPr>
        <w:t>As a BDC, we are required to invest at least 70% of our total assets in qualifying assets, which generally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of “eligible portfolio companies,” cash, cash</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24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646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equivalents, U.S. government securities and high-quality debt instruments maturing in one year or less from the time of investment. “Eligible portfolio companies” are defined in the 1940 Act as:</w:t>
      </w:r>
    </w:p>
    <w:p>
      <w:pPr>
        <w:spacing w:after="0" w:line="76" w:lineRule="exact"/>
        <w:rPr>
          <w:sz w:val="20"/>
          <w:szCs w:val="20"/>
          <w:color w:val="auto"/>
        </w:rPr>
      </w:pPr>
    </w:p>
    <w:p>
      <w:pPr>
        <w:ind w:left="1620" w:hanging="437"/>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private domestic operating companies;</w:t>
      </w:r>
    </w:p>
    <w:p>
      <w:pPr>
        <w:spacing w:after="0" w:line="130" w:lineRule="exact"/>
        <w:rPr>
          <w:rFonts w:ascii="Arial" w:cs="Arial" w:eastAsia="Arial" w:hAnsi="Arial"/>
          <w:sz w:val="18"/>
          <w:szCs w:val="18"/>
          <w:color w:val="auto"/>
        </w:rPr>
      </w:pPr>
    </w:p>
    <w:p>
      <w:pPr>
        <w:ind w:left="1620" w:right="20" w:hanging="437"/>
        <w:spacing w:after="0" w:line="342" w:lineRule="auto"/>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public domestic operating companies whose securities are not listed on a national securities exchange (e.g., the NYSE Amex Equities and The NASDAQ Global Market) or registered under the Securities Exchange Act of 1934, as amended, or the Exchange Act; and</w:t>
      </w:r>
    </w:p>
    <w:p>
      <w:pPr>
        <w:spacing w:after="0" w:line="29" w:lineRule="exact"/>
        <w:rPr>
          <w:rFonts w:ascii="Arial" w:cs="Arial" w:eastAsia="Arial" w:hAnsi="Arial"/>
          <w:sz w:val="16"/>
          <w:szCs w:val="16"/>
          <w:color w:val="auto"/>
        </w:rPr>
      </w:pPr>
    </w:p>
    <w:p>
      <w:pPr>
        <w:ind w:left="1620" w:hanging="437"/>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 domestic operating companies having a market capitalization of less than $250 million.</w:t>
      </w:r>
    </w:p>
    <w:p>
      <w:pPr>
        <w:spacing w:after="0" w:line="225" w:lineRule="exact"/>
        <w:rPr>
          <w:sz w:val="20"/>
          <w:szCs w:val="20"/>
          <w:color w:val="auto"/>
        </w:rPr>
      </w:pPr>
    </w:p>
    <w:p>
      <w:pPr>
        <w:ind w:left="200" w:right="40" w:firstLine="443"/>
        <w:spacing w:after="0" w:line="277" w:lineRule="auto"/>
        <w:rPr>
          <w:sz w:val="20"/>
          <w:szCs w:val="20"/>
          <w:color w:val="auto"/>
        </w:rPr>
      </w:pPr>
      <w:r>
        <w:rPr>
          <w:rFonts w:ascii="Arial" w:cs="Arial" w:eastAsia="Arial" w:hAnsi="Arial"/>
          <w:sz w:val="18"/>
          <w:szCs w:val="18"/>
          <w:color w:val="auto"/>
        </w:rPr>
        <w:t>Public domestic operating companies whose securities are quoted on the over-the-counter bulletin board and through OTC Markets Group, Inc. are not listed on a national securities exchange and, as a result, are eligible portfolio companies.</w:t>
      </w:r>
    </w:p>
    <w:p>
      <w:pPr>
        <w:spacing w:after="0" w:line="76" w:lineRule="exact"/>
        <w:rPr>
          <w:sz w:val="20"/>
          <w:szCs w:val="20"/>
          <w:color w:val="auto"/>
        </w:rPr>
      </w:pPr>
    </w:p>
    <w:p>
      <w:pPr>
        <w:ind w:left="1060" w:right="40" w:hanging="323"/>
        <w:spacing w:after="0" w:line="26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RIC Status. </w:t>
      </w:r>
      <w:r>
        <w:rPr>
          <w:rFonts w:ascii="Arial" w:cs="Arial" w:eastAsia="Arial" w:hAnsi="Arial"/>
          <w:sz w:val="18"/>
          <w:szCs w:val="18"/>
          <w:color w:val="auto"/>
        </w:rPr>
        <w:t>We have elected to be treated as a RIC for U.S. federal income tax purposes. To maintain our status as a RIC and to avoid having</w:t>
      </w:r>
      <w:r>
        <w:rPr>
          <w:rFonts w:ascii="Arial" w:cs="Arial" w:eastAsia="Arial" w:hAnsi="Arial"/>
          <w:sz w:val="18"/>
          <w:szCs w:val="18"/>
          <w:i w:val="1"/>
          <w:iCs w:val="1"/>
          <w:color w:val="auto"/>
        </w:rPr>
        <w:t xml:space="preserve"> </w:t>
      </w:r>
      <w:r>
        <w:rPr>
          <w:rFonts w:ascii="Arial" w:cs="Arial" w:eastAsia="Arial" w:hAnsi="Arial"/>
          <w:sz w:val="18"/>
          <w:szCs w:val="18"/>
          <w:color w:val="auto"/>
        </w:rPr>
        <w:t>our earnings subject to corporate-level U.S. federal income taxation, we must satisfy certain source of income, asset diversification and distribution requirements.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“Material U.S. Federal Income Tax Considerations.”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Leverage</w:t>
      </w:r>
    </w:p>
    <w:p>
      <w:pPr>
        <w:spacing w:after="0" w:line="121" w:lineRule="exact"/>
        <w:rPr>
          <w:sz w:val="20"/>
          <w:szCs w:val="20"/>
          <w:color w:val="auto"/>
        </w:rPr>
      </w:pPr>
    </w:p>
    <w:p>
      <w:pPr>
        <w:ind w:left="200" w:right="60" w:firstLine="443"/>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“Risk Factors—Risks Related to Our Business and Structure—We borrow money, which magnifies the potential for gain or loss and increases the risk of investing in us”; “Risk Factors—Risks Related to Our Business and Structure—Regulations governing our operation as a BDC affect our ability to, and the way in which we, raise additional capital”; “The Company—General”; and “Regulation.”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Interests</w:t>
      </w:r>
    </w:p>
    <w:p>
      <w:pPr>
        <w:spacing w:after="0" w:line="121" w:lineRule="exact"/>
        <w:rPr>
          <w:sz w:val="20"/>
          <w:szCs w:val="20"/>
          <w:color w:val="auto"/>
        </w:rPr>
      </w:pPr>
    </w:p>
    <w:p>
      <w:pPr>
        <w:ind w:left="200" w:firstLine="443"/>
        <w:spacing w:after="0" w:line="270" w:lineRule="auto"/>
        <w:rPr>
          <w:sz w:val="20"/>
          <w:szCs w:val="20"/>
          <w:color w:val="auto"/>
        </w:rPr>
      </w:pPr>
      <w:r>
        <w:rPr>
          <w:rFonts w:ascii="Arial" w:cs="Arial" w:eastAsia="Arial" w:hAnsi="Arial"/>
          <w:sz w:val="17"/>
          <w:szCs w:val="17"/>
          <w:color w:val="auto"/>
        </w:rPr>
        <w:t>Members of the Adviser’s senior management and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then determine an appropriate size for our investment.</w:t>
      </w:r>
    </w:p>
    <w:p>
      <w:pPr>
        <w:spacing w:after="0" w:line="178" w:lineRule="exact"/>
        <w:rPr>
          <w:sz w:val="20"/>
          <w:szCs w:val="20"/>
          <w:color w:val="auto"/>
        </w:rPr>
      </w:pPr>
    </w:p>
    <w:p>
      <w:pPr>
        <w:ind w:left="200" w:right="260" w:firstLine="443"/>
        <w:spacing w:after="0" w:line="302" w:lineRule="auto"/>
        <w:rPr>
          <w:sz w:val="20"/>
          <w:szCs w:val="20"/>
          <w:color w:val="auto"/>
        </w:rPr>
      </w:pPr>
      <w:r>
        <w:rPr>
          <w:rFonts w:ascii="Arial" w:cs="Arial" w:eastAsia="Arial" w:hAnsi="Arial"/>
          <w:sz w:val="16"/>
          <w:szCs w:val="16"/>
          <w:color w:val="auto"/>
        </w:rPr>
        <w:t>We may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60"/>
          </w:cols>
          <w:pgMar w:left="240" w:top="459" w:right="3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531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6465" cy="6153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of these opportunities may be required to be offered to, or may be otherwise suitable for, other TPG funds or investment vehicles, including TSSP funds and investment vehicles, in which case the scope of opportunities otherwise available to us may be adversely affected or reduced.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88" w:lineRule="exact"/>
        <w:rPr>
          <w:sz w:val="20"/>
          <w:szCs w:val="20"/>
          <w:color w:val="auto"/>
        </w:rPr>
      </w:pPr>
    </w:p>
    <w:p>
      <w:pPr>
        <w:ind w:left="200" w:right="120" w:firstLine="443"/>
        <w:spacing w:after="0" w:line="279" w:lineRule="auto"/>
        <w:rPr>
          <w:sz w:val="20"/>
          <w:szCs w:val="20"/>
          <w:color w:val="auto"/>
        </w:rPr>
      </w:pPr>
      <w:r>
        <w:rPr>
          <w:rFonts w:ascii="Arial" w:cs="Arial" w:eastAsia="Arial" w:hAnsi="Arial"/>
          <w:sz w:val="17"/>
          <w:szCs w:val="17"/>
          <w:color w:val="auto"/>
        </w:rPr>
        <w:t>Our Adviser and its affiliates may face conflicts in allocating investment opportunities between us and other TSSP and TPG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Exemptive Relief</w:t>
      </w:r>
    </w:p>
    <w:p>
      <w:pPr>
        <w:spacing w:after="0" w:line="121"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200" w:firstLine="443"/>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“Related-Party Transactions and Certain Relationships—Exemptive Relief.”</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140" w:firstLine="443"/>
        <w:spacing w:after="0" w:line="291" w:lineRule="auto"/>
        <w:rPr>
          <w:sz w:val="20"/>
          <w:szCs w:val="20"/>
          <w:color w:val="auto"/>
        </w:rPr>
      </w:pPr>
      <w:r>
        <w:rPr>
          <w:rFonts w:ascii="Arial" w:cs="Arial" w:eastAsia="Arial" w:hAnsi="Arial"/>
          <w:sz w:val="16"/>
          <w:szCs w:val="16"/>
          <w:color w:val="auto"/>
        </w:rPr>
        <w:t>On November 3, 2014, our Board of Directors approved a stock repurchase plan, which we refer to as the Company 10b5-1 Plan, to acquire up to $50 million in the aggregate of our common stock at prices below our net asset value per share, in accordance with the guidelines specified in</w:t>
      </w:r>
    </w:p>
    <w:p>
      <w:pPr>
        <w:ind w:left="200" w:right="260"/>
        <w:spacing w:after="0" w:line="255" w:lineRule="auto"/>
        <w:rPr>
          <w:sz w:val="20"/>
          <w:szCs w:val="20"/>
          <w:color w:val="auto"/>
        </w:rPr>
      </w:pPr>
      <w:r>
        <w:rPr>
          <w:rFonts w:ascii="Arial" w:cs="Arial" w:eastAsia="Arial" w:hAnsi="Arial"/>
          <w:sz w:val="18"/>
          <w:szCs w:val="18"/>
          <w:color w:val="auto"/>
        </w:rPr>
        <w:t>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90" w:lineRule="exact"/>
        <w:rPr>
          <w:sz w:val="20"/>
          <w:szCs w:val="20"/>
          <w:color w:val="auto"/>
        </w:rPr>
      </w:pPr>
    </w:p>
    <w:p>
      <w:pPr>
        <w:ind w:left="200" w:firstLine="443"/>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459" w:right="3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350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646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360" w:firstLine="443"/>
        <w:spacing w:after="0" w:line="342" w:lineRule="auto"/>
        <w:rPr>
          <w:sz w:val="20"/>
          <w:szCs w:val="20"/>
          <w:color w:val="auto"/>
        </w:rPr>
      </w:pPr>
      <w:r>
        <w:rPr>
          <w:rFonts w:ascii="Arial" w:cs="Arial" w:eastAsia="Arial" w:hAnsi="Arial"/>
          <w:sz w:val="16"/>
          <w:szCs w:val="16"/>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24" w:lineRule="exact"/>
        <w:rPr>
          <w:sz w:val="20"/>
          <w:szCs w:val="20"/>
          <w:color w:val="auto"/>
        </w:rPr>
      </w:pPr>
    </w:p>
    <w:p>
      <w:pPr>
        <w:jc w:val="both"/>
        <w:ind w:left="200" w:right="440" w:firstLine="443"/>
        <w:spacing w:after="0" w:line="264" w:lineRule="auto"/>
        <w:rPr>
          <w:sz w:val="20"/>
          <w:szCs w:val="20"/>
          <w:color w:val="auto"/>
        </w:rPr>
      </w:pPr>
      <w:r>
        <w:rPr>
          <w:rFonts w:ascii="Arial" w:cs="Arial" w:eastAsia="Arial" w:hAnsi="Arial"/>
          <w:sz w:val="18"/>
          <w:szCs w:val="18"/>
          <w:color w:val="auto"/>
        </w:rPr>
        <w:t>On February 24, 2016, our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200" w:firstLine="443"/>
        <w:spacing w:after="0" w:line="312" w:lineRule="auto"/>
        <w:rPr>
          <w:sz w:val="20"/>
          <w:szCs w:val="20"/>
          <w:color w:val="auto"/>
        </w:rPr>
      </w:pPr>
      <w:r>
        <w:rPr>
          <w:rFonts w:ascii="Arial" w:cs="Arial" w:eastAsia="Arial" w:hAnsi="Arial"/>
          <w:sz w:val="16"/>
          <w:szCs w:val="16"/>
          <w:color w:val="auto"/>
        </w:rPr>
        <w:t>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for a description of these and other risks relating to our business and investments in our securities, including that:</w:t>
      </w:r>
    </w:p>
    <w:p>
      <w:pPr>
        <w:spacing w:after="0" w:line="52" w:lineRule="exact"/>
        <w:rPr>
          <w:sz w:val="20"/>
          <w:szCs w:val="20"/>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are dependent upon management personnel of the Adviser, TSSP, TPG and their affiliates for our future success;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governing our operation as a BDC affect our ability to, and the way in which we, raise additional capital;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borrow money, which magnifies the potential for gain or loss and increases the risk of investing in us;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indebtedness could adversely affect our business, financial conditions or results of operations;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legislation may allow us to incur additional leverage;</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highly competitive market for investment opportunities;</w:t>
      </w:r>
    </w:p>
    <w:p>
      <w:pPr>
        <w:spacing w:after="0" w:line="130" w:lineRule="exact"/>
        <w:rPr>
          <w:rFonts w:ascii="Arial" w:cs="Arial" w:eastAsia="Arial" w:hAnsi="Arial"/>
          <w:sz w:val="18"/>
          <w:szCs w:val="18"/>
          <w:color w:val="auto"/>
        </w:rPr>
      </w:pPr>
    </w:p>
    <w:p>
      <w:pPr>
        <w:ind w:left="1060" w:right="16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source investments, access financing or manage future growth effectively, we may be unable to achieve our investment objective;</w:t>
      </w:r>
    </w:p>
    <w:p>
      <w:pPr>
        <w:spacing w:after="0" w:line="75" w:lineRule="exact"/>
        <w:rPr>
          <w:rFonts w:ascii="Arial" w:cs="Arial" w:eastAsia="Arial" w:hAnsi="Arial"/>
          <w:sz w:val="18"/>
          <w:szCs w:val="18"/>
          <w:color w:val="auto"/>
        </w:rPr>
      </w:pPr>
    </w:p>
    <w:p>
      <w:pPr>
        <w:ind w:left="1060" w:right="24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to the Adviser;</w:t>
      </w:r>
    </w:p>
    <w:p>
      <w:pPr>
        <w:spacing w:after="0" w:line="75" w:lineRule="exact"/>
        <w:rPr>
          <w:rFonts w:ascii="Arial" w:cs="Arial" w:eastAsia="Arial" w:hAnsi="Arial"/>
          <w:sz w:val="18"/>
          <w:szCs w:val="18"/>
          <w:color w:val="auto"/>
        </w:rPr>
      </w:pPr>
    </w:p>
    <w:p>
      <w:pPr>
        <w:ind w:left="1060" w:right="60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the extent that we do not realize income or choose not to retain after-tax realized net capital gains, we will have a greater need for additional capital to fund our investments and operating expenses;</w:t>
      </w:r>
    </w:p>
    <w:p>
      <w:pPr>
        <w:spacing w:after="0" w:line="75" w:lineRule="exact"/>
        <w:rPr>
          <w:rFonts w:ascii="Arial" w:cs="Arial" w:eastAsia="Arial" w:hAnsi="Arial"/>
          <w:sz w:val="18"/>
          <w:szCs w:val="18"/>
          <w:color w:val="auto"/>
        </w:rPr>
      </w:pPr>
    </w:p>
    <w:p>
      <w:pPr>
        <w:ind w:left="1060" w:right="80" w:hanging="323"/>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and its affiliates, officers and employees may face certain conflicts of interest;</w:t>
      </w:r>
    </w:p>
    <w:p>
      <w:pPr>
        <w:spacing w:after="0" w:line="130" w:lineRule="exact"/>
        <w:rPr>
          <w:rFonts w:ascii="Arial" w:cs="Arial" w:eastAsia="Arial" w:hAnsi="Arial"/>
          <w:sz w:val="18"/>
          <w:szCs w:val="18"/>
          <w:color w:val="auto"/>
        </w:rPr>
      </w:pPr>
    </w:p>
    <w:p>
      <w:pPr>
        <w:ind w:left="1060" w:right="2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Adviser can resign on 60 days’ notice and we may not be able to find a suitable replacement within that time, resulting in a disruption in our operations and a loss of the benefits from our relationship with TSSP and TPG, and any new investment advisory agreement would require stockholder approval;</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failure to maintain our status as a BDC would reduce our operating flexibility;</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incur significant costs as a result of being a publicly traded company;</w:t>
      </w:r>
    </w:p>
    <w:p>
      <w:pPr>
        <w:spacing w:after="0" w:line="130" w:lineRule="exact"/>
        <w:rPr>
          <w:rFonts w:ascii="Arial" w:cs="Arial" w:eastAsia="Arial" w:hAnsi="Arial"/>
          <w:sz w:val="18"/>
          <w:szCs w:val="18"/>
          <w:color w:val="auto"/>
        </w:rPr>
      </w:pPr>
    </w:p>
    <w:p>
      <w:pPr>
        <w:ind w:left="1060" w:right="180" w:hanging="323"/>
        <w:spacing w:after="0" w:line="264"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015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6465" cy="6015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highly dependent on information systems and systems failures could significantly disrupt our business, which may, in turn, negatively affect the market price of our common stock and our ability to pay dividends;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Board may change our investment objective, operating policies and strategies without prior notice or stockholder approval;</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laws or regulations governing our operations may adversely affect our business;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risks associated with our investments in energy companies;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are very risky and highly speculative;</w:t>
      </w:r>
    </w:p>
    <w:p>
      <w:pPr>
        <w:spacing w:after="0" w:line="130" w:lineRule="exact"/>
        <w:rPr>
          <w:rFonts w:ascii="Arial" w:cs="Arial" w:eastAsia="Arial" w:hAnsi="Arial"/>
          <w:sz w:val="18"/>
          <w:szCs w:val="18"/>
          <w:color w:val="auto"/>
        </w:rPr>
      </w:pPr>
    </w:p>
    <w:p>
      <w:pPr>
        <w:ind w:left="1060" w:right="80" w:hanging="323"/>
        <w:spacing w:after="0" w:line="264"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86"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liquidity in our investments may adversely affect our business;</w:t>
      </w:r>
    </w:p>
    <w:p>
      <w:pPr>
        <w:spacing w:after="0" w:line="130" w:lineRule="exact"/>
        <w:rPr>
          <w:rFonts w:ascii="Arial" w:cs="Arial" w:eastAsia="Arial" w:hAnsi="Arial"/>
          <w:sz w:val="18"/>
          <w:szCs w:val="18"/>
          <w:color w:val="auto"/>
        </w:rPr>
      </w:pPr>
    </w:p>
    <w:p>
      <w:pPr>
        <w:ind w:left="1060" w:right="100" w:hanging="323"/>
        <w:spacing w:after="0" w:line="342" w:lineRule="auto"/>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29" w:lineRule="exact"/>
        <w:rPr>
          <w:rFonts w:ascii="Arial" w:cs="Arial" w:eastAsia="Arial" w:hAnsi="Arial"/>
          <w:sz w:val="16"/>
          <w:szCs w:val="16"/>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130" w:lineRule="exact"/>
        <w:rPr>
          <w:rFonts w:ascii="Arial" w:cs="Arial" w:eastAsia="Arial" w:hAnsi="Arial"/>
          <w:sz w:val="18"/>
          <w:szCs w:val="18"/>
          <w:color w:val="auto"/>
        </w:rPr>
      </w:pPr>
    </w:p>
    <w:p>
      <w:pPr>
        <w:ind w:left="106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originating loans to companies that are experiencing significant financial or business difficulties, we may be exposed to distressed lending risks;</w:t>
      </w:r>
    </w:p>
    <w:p>
      <w:pPr>
        <w:spacing w:after="0" w:line="75" w:lineRule="exact"/>
        <w:rPr>
          <w:rFonts w:ascii="Arial" w:cs="Arial" w:eastAsia="Arial" w:hAnsi="Arial"/>
          <w:sz w:val="18"/>
          <w:szCs w:val="18"/>
          <w:color w:val="auto"/>
        </w:rPr>
      </w:pPr>
    </w:p>
    <w:p>
      <w:pPr>
        <w:ind w:left="1060" w:right="100" w:hanging="323"/>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portfolio companies in some cases may incur debt or issue equity securities that rank equally with, or senior to, our investments in those companies;</w:t>
      </w:r>
    </w:p>
    <w:p>
      <w:pPr>
        <w:spacing w:after="0" w:line="75"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enter into transactions with our affiliates is restricted;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acquisitions or strategic investments that we pursue are subject to risks and uncertainties;</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investments in foreign companies may involve significant risks in addition to the risks inherent in U.S. investments;</w:t>
      </w:r>
    </w:p>
    <w:p>
      <w:pPr>
        <w:spacing w:after="0" w:line="130" w:lineRule="exact"/>
        <w:rPr>
          <w:rFonts w:ascii="Arial" w:cs="Arial" w:eastAsia="Arial" w:hAnsi="Arial"/>
          <w:sz w:val="18"/>
          <w:szCs w:val="18"/>
          <w:color w:val="auto"/>
        </w:rPr>
      </w:pPr>
    </w:p>
    <w:p>
      <w:pPr>
        <w:ind w:left="1060" w:right="340" w:hanging="323"/>
        <w:spacing w:after="0" w:line="259"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92"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is a risk that investors in our common stock may not receive dividends or that our dividends may not grow over time; and</w:t>
      </w:r>
    </w:p>
    <w:p>
      <w:pPr>
        <w:spacing w:after="0" w:line="130" w:lineRule="exact"/>
        <w:rPr>
          <w:rFonts w:ascii="Arial" w:cs="Arial" w:eastAsia="Arial" w:hAnsi="Arial"/>
          <w:sz w:val="18"/>
          <w:szCs w:val="18"/>
          <w:color w:val="auto"/>
        </w:rPr>
      </w:pPr>
    </w:p>
    <w:p>
      <w:pPr>
        <w:ind w:left="1060" w:hanging="323"/>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may fluctuate significantly.</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principal executive offices are located at 301 Commerce Street, Suite 3300, Fort Worth, TX 76102 and our telephone number is</w:t>
      </w:r>
    </w:p>
    <w:p>
      <w:pPr>
        <w:spacing w:after="0" w:line="23" w:lineRule="exact"/>
        <w:rPr>
          <w:sz w:val="20"/>
          <w:szCs w:val="20"/>
          <w:color w:val="auto"/>
        </w:rPr>
      </w:pPr>
    </w:p>
    <w:p>
      <w:pPr>
        <w:ind w:left="200" w:right="40" w:hanging="3"/>
        <w:spacing w:after="0" w:line="261"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871-4000. Our corporate website is located at http://www.tpgspecialtylending.com. Information on our website is not incorporated into or a part of this prospectus.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356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6465" cy="58356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200" w:right="60" w:firstLine="443"/>
        <w:spacing w:after="0" w:line="284" w:lineRule="auto"/>
        <w:rPr>
          <w:sz w:val="20"/>
          <w:szCs w:val="20"/>
          <w:color w:val="auto"/>
        </w:rPr>
      </w:pPr>
      <w:r>
        <w:rPr>
          <w:rFonts w:ascii="Arial" w:cs="Arial" w:eastAsia="Arial" w:hAnsi="Arial"/>
          <w:sz w:val="16"/>
          <w:szCs w:val="16"/>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w:t>
      </w:r>
    </w:p>
    <w:p>
      <w:pPr>
        <w:spacing w:after="0" w:line="5" w:lineRule="exact"/>
        <w:rPr>
          <w:sz w:val="20"/>
          <w:szCs w:val="20"/>
          <w:color w:val="auto"/>
        </w:rPr>
      </w:pPr>
    </w:p>
    <w:p>
      <w:pPr>
        <w:ind w:left="200" w:right="220" w:hanging="3"/>
        <w:spacing w:after="0" w:line="255" w:lineRule="auto"/>
        <w:tabs>
          <w:tab w:leader="none" w:pos="4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the prior approval of the majority of our outstanding voting securities or (c) under such other circumstances as the SEC may permit. Any such issuance of shares of our common stock below net asset value may be dilutive to the net asset value of our common stock. See “Risk Factors—Risks Related to Offerings Pursuant to This Prospectus.”</w:t>
      </w:r>
    </w:p>
    <w:p>
      <w:pPr>
        <w:spacing w:after="0" w:line="190" w:lineRule="exact"/>
        <w:rPr>
          <w:sz w:val="20"/>
          <w:szCs w:val="20"/>
          <w:color w:val="auto"/>
        </w:rPr>
      </w:pPr>
    </w:p>
    <w:p>
      <w:pPr>
        <w:ind w:left="200" w:right="100" w:firstLine="443"/>
        <w:spacing w:after="0" w:line="273" w:lineRule="auto"/>
        <w:rPr>
          <w:sz w:val="20"/>
          <w:szCs w:val="20"/>
          <w:color w:val="auto"/>
        </w:rPr>
      </w:pPr>
      <w:r>
        <w:rPr>
          <w:rFonts w:ascii="Arial" w:cs="Arial" w:eastAsia="Arial" w:hAnsi="Arial"/>
          <w:sz w:val="17"/>
          <w:szCs w:val="17"/>
          <w:color w:val="auto"/>
        </w:rPr>
        <w:t>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Set forth below is additional information regarding offerings of our securities:</w:t>
      </w:r>
    </w:p>
    <w:p>
      <w:pPr>
        <w:sectPr>
          <w:pgSz w:w="11900" w:h="16838" w:orient="portrait"/>
          <w:cols w:equalWidth="0" w:num="1">
            <w:col w:w="11260"/>
          </w:cols>
          <w:pgMar w:left="240" w:top="459" w:right="39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w:t>
      </w:r>
    </w:p>
    <w:p>
      <w:pPr>
        <w:spacing w:after="0" w:line="198"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ind w:left="4400" w:right="240"/>
        <w:spacing w:after="0" w:line="277" w:lineRule="auto"/>
        <w:rPr>
          <w:sz w:val="20"/>
          <w:szCs w:val="20"/>
          <w:color w:val="auto"/>
        </w:rPr>
      </w:pPr>
      <w:r>
        <w:rPr>
          <w:rFonts w:ascii="Arial" w:cs="Arial" w:eastAsia="Arial" w:hAnsi="Arial"/>
          <w:sz w:val="18"/>
          <w:szCs w:val="18"/>
          <w:color w:val="auto"/>
        </w:rPr>
        <w:t>Each supplement to this prospectus relating to an offering will more fully identify the use of the proceeds from such offering. See “Use of Proceeds.”</w:t>
      </w:r>
    </w:p>
    <w:p>
      <w:pPr>
        <w:sectPr>
          <w:pgSz w:w="11900" w:h="16838" w:orient="portrait"/>
          <w:cols w:equalWidth="0" w:num="1">
            <w:col w:w="11260"/>
          </w:cols>
          <w:pgMar w:left="240" w:top="459" w:right="399" w:bottom="1440" w:gutter="0" w:footer="0" w:header="0"/>
          <w:type w:val="continuous"/>
        </w:sectPr>
      </w:pPr>
    </w:p>
    <w:p>
      <w:pPr>
        <w:spacing w:after="0" w:line="1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Symbol on the NYSE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“TSLX”</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w:t>
      </w:r>
    </w:p>
    <w:p>
      <w:pPr>
        <w:spacing w:after="0" w:line="200" w:lineRule="exact"/>
        <w:rPr>
          <w:sz w:val="20"/>
          <w:szCs w:val="20"/>
          <w:color w:val="auto"/>
        </w:rPr>
      </w:pPr>
    </w:p>
    <w:p>
      <w:pPr>
        <w:sectPr>
          <w:pgSz w:w="11900" w:h="16838" w:orient="portrait"/>
          <w:cols w:equalWidth="0" w:num="2">
            <w:col w:w="3680" w:space="720"/>
            <w:col w:w="6860"/>
          </w:cols>
          <w:pgMar w:left="240" w:top="459" w:right="399" w:bottom="1440" w:gutter="0" w:footer="0" w:header="0"/>
          <w:type w:val="continuous"/>
        </w:sectPr>
      </w:pPr>
    </w:p>
    <w:p>
      <w:pPr>
        <w:spacing w:after="0" w:line="15"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To maintain our tax treatment as a RIC, we must make certain distributions. See “Material U.S.</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Federal Income Tax Considerations—Regulated Investment Company Classification.”</w:t>
      </w:r>
    </w:p>
    <w:p>
      <w:pPr>
        <w:sectPr>
          <w:pgSz w:w="11900" w:h="16838" w:orient="portrait"/>
          <w:cols w:equalWidth="0" w:num="1">
            <w:col w:w="11260"/>
          </w:cols>
          <w:pgMar w:left="240" w:top="459"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60"/>
          </w:cols>
          <w:pgMar w:left="240" w:top="459" w:right="399" w:bottom="1440" w:gutter="0" w:footer="0" w:header="0"/>
          <w:type w:val="continuous"/>
        </w:sectPr>
      </w:pPr>
    </w:p>
    <w:bookmarkStart w:id="17" w:name="page18"/>
    <w:bookmarkEnd w:id="1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5981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6465" cy="598170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Taxation</w:t>
      </w:r>
    </w:p>
    <w:p>
      <w:pPr>
        <w:spacing w:after="0" w:line="20" w:lineRule="exact"/>
        <w:rPr>
          <w:sz w:val="20"/>
          <w:szCs w:val="20"/>
          <w:color w:val="auto"/>
        </w:rPr>
      </w:pPr>
      <w:r>
        <w:rPr>
          <w:sz w:val="20"/>
          <w:szCs w:val="20"/>
          <w:color w:val="auto"/>
        </w:rPr>
        <w:br w:type="column"/>
      </w:r>
    </w:p>
    <w:p>
      <w:pPr>
        <w:ind w:right="220"/>
        <w:spacing w:after="0" w:line="259" w:lineRule="auto"/>
        <w:rPr>
          <w:sz w:val="20"/>
          <w:szCs w:val="20"/>
          <w:color w:val="auto"/>
        </w:rPr>
      </w:pPr>
      <w:r>
        <w:rPr>
          <w:rFonts w:ascii="Arial" w:cs="Arial" w:eastAsia="Arial" w:hAnsi="Arial"/>
          <w:sz w:val="18"/>
          <w:szCs w:val="18"/>
          <w:color w:val="auto"/>
        </w:rPr>
        <w:t>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w:t>
      </w:r>
    </w:p>
    <w:p>
      <w:pPr>
        <w:spacing w:after="0" w:line="9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00" w:right="400"/>
        <w:spacing w:after="0" w:line="277" w:lineRule="auto"/>
        <w:rPr>
          <w:sz w:val="20"/>
          <w:szCs w:val="20"/>
          <w:color w:val="auto"/>
        </w:rPr>
      </w:pPr>
      <w:r>
        <w:rPr>
          <w:rFonts w:ascii="Arial" w:cs="Arial" w:eastAsia="Arial" w:hAnsi="Arial"/>
          <w:sz w:val="18"/>
          <w:szCs w:val="18"/>
          <w:color w:val="auto"/>
        </w:rPr>
        <w:t>To maintain our status as a RIC and to avoid being subject to corporate-level U.S. federal income taxation on our earnings, we must, among other things:</w:t>
      </w:r>
    </w:p>
    <w:p>
      <w:pPr>
        <w:spacing w:after="0" w:line="7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our election under the 1940 Act to be treated as a BDC;</w:t>
      </w:r>
    </w:p>
    <w:p>
      <w:pPr>
        <w:spacing w:after="0" w:line="131" w:lineRule="exact"/>
        <w:rPr>
          <w:sz w:val="20"/>
          <w:szCs w:val="20"/>
          <w:color w:val="auto"/>
        </w:rPr>
      </w:pPr>
    </w:p>
    <w:p>
      <w:pPr>
        <w:ind w:left="4620" w:right="40" w:hanging="179"/>
        <w:spacing w:after="0" w:line="264" w:lineRule="auto"/>
        <w:tabs>
          <w:tab w:leader="none" w:pos="4600" w:val="left"/>
        </w:tabs>
        <w:rPr>
          <w:sz w:val="20"/>
          <w:szCs w:val="20"/>
          <w:color w:val="auto"/>
        </w:rPr>
      </w:pPr>
      <w:r>
        <w:rPr>
          <w:rFonts w:ascii="Arial" w:cs="Arial" w:eastAsia="Arial" w:hAnsi="Arial"/>
          <w:sz w:val="18"/>
          <w:szCs w:val="18"/>
          <w:color w:val="auto"/>
        </w:rPr>
        <w:t>•</w:t>
        <w:tab/>
        <w:t>derive in each taxable year at least 90% of our gross income from dividends, interest, gains from the sale or other disposition of stock or securities and other specified categories of investment income; and</w:t>
      </w:r>
    </w:p>
    <w:p>
      <w:pPr>
        <w:spacing w:after="0" w:line="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maintain diversified holdings.</w:t>
      </w:r>
    </w:p>
    <w:p>
      <w:pPr>
        <w:spacing w:after="0" w:line="252" w:lineRule="exact"/>
        <w:rPr>
          <w:sz w:val="20"/>
          <w:szCs w:val="20"/>
          <w:color w:val="auto"/>
        </w:rPr>
      </w:pPr>
    </w:p>
    <w:p>
      <w:pPr>
        <w:ind w:left="4400"/>
        <w:spacing w:after="0" w:line="264" w:lineRule="auto"/>
        <w:rPr>
          <w:sz w:val="20"/>
          <w:szCs w:val="20"/>
          <w:color w:val="auto"/>
        </w:rPr>
      </w:pPr>
      <w:r>
        <w:rPr>
          <w:rFonts w:ascii="Arial" w:cs="Arial" w:eastAsia="Arial" w:hAnsi="Arial"/>
          <w:sz w:val="18"/>
          <w:szCs w:val="18"/>
          <w:color w:val="auto"/>
        </w:rPr>
        <w:t>In addition, we must distribute (or be treated as distributing) in each taxable year dividends for tax purposes equal to at least 90% of our investment company taxable income and net tax-exempt income for that taxable year.</w:t>
      </w:r>
    </w:p>
    <w:p>
      <w:pPr>
        <w:spacing w:after="0" w:line="208" w:lineRule="exact"/>
        <w:rPr>
          <w:sz w:val="20"/>
          <w:szCs w:val="20"/>
          <w:color w:val="auto"/>
        </w:rPr>
      </w:pPr>
    </w:p>
    <w:p>
      <w:pPr>
        <w:ind w:left="4400" w:right="20"/>
        <w:spacing w:after="0" w:line="287" w:lineRule="auto"/>
        <w:rPr>
          <w:sz w:val="20"/>
          <w:szCs w:val="20"/>
          <w:color w:val="auto"/>
        </w:rPr>
      </w:pPr>
      <w:r>
        <w:rPr>
          <w:rFonts w:ascii="Arial" w:cs="Arial" w:eastAsia="Arial" w:hAnsi="Arial"/>
          <w:sz w:val="16"/>
          <w:szCs w:val="16"/>
          <w:color w:val="auto"/>
        </w:rPr>
        <w:t>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calendar years ended December 31, 2015 and 2014 and we recorded a net expense of $1.5 million and $1.1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w:t>
      </w:r>
    </w:p>
    <w:p>
      <w:pPr>
        <w:sectPr>
          <w:pgSz w:w="11900" w:h="16838" w:orient="portrait"/>
          <w:cols w:equalWidth="0" w:num="1">
            <w:col w:w="11220"/>
          </w:cols>
          <w:pgMar w:left="240" w:top="459" w:right="439" w:bottom="1440" w:gutter="0" w:footer="0" w:header="0"/>
          <w:type w:val="continuous"/>
        </w:sectPr>
      </w:pPr>
    </w:p>
    <w:p>
      <w:pPr>
        <w:spacing w:after="0" w:line="192"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Leverage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As a BDC, we are permitted under the 1940 Act to borrow funds or issue senior securities to finance a portion of our investments. As a result, we are exposed to the risks of leverage, which may be considered a speculative investment technique.</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20"/>
          </w:cols>
          <w:pgMar w:left="24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6465" cy="58273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100"/>
        <w:spacing w:after="0" w:line="293" w:lineRule="auto"/>
        <w:rPr>
          <w:sz w:val="20"/>
          <w:szCs w:val="20"/>
          <w:color w:val="auto"/>
        </w:rPr>
      </w:pPr>
      <w:r>
        <w:rPr>
          <w:rFonts w:ascii="Arial" w:cs="Arial" w:eastAsia="Arial" w:hAnsi="Arial"/>
          <w:sz w:val="16"/>
          <w:szCs w:val="16"/>
          <w:color w:val="auto"/>
        </w:rPr>
        <w:t>Leverage increases the potential for gain and loss on amounts invested and, as a result, increases the risks associated with investing in our securities. With certain limited exceptions, we currently are only allowed to borrow amounts, including by issuing debt securities or preferred stock, where our asset coverage, as defined in the 1940 Act, equals at least 200% after the borrowing. The costs associated with our borrowings, including any increase in the fees payable to the Adviser, are borne by our stockholders. See “Regulation.”</w:t>
      </w:r>
    </w:p>
    <w:p>
      <w:pPr>
        <w:sectPr>
          <w:pgSz w:w="11900" w:h="16838" w:orient="portrait"/>
          <w:cols w:equalWidth="0" w:num="1">
            <w:col w:w="11240"/>
          </w:cols>
          <w:pgMar w:left="240" w:top="459" w:right="419" w:bottom="1440" w:gutter="0" w:footer="0" w:header="0"/>
        </w:sectPr>
      </w:pPr>
    </w:p>
    <w:p>
      <w:pPr>
        <w:spacing w:after="0" w:line="18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Dividend Reinvestment Plan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4400" w:right="80"/>
        <w:spacing w:after="0" w:line="276" w:lineRule="auto"/>
        <w:rPr>
          <w:sz w:val="20"/>
          <w:szCs w:val="20"/>
          <w:color w:val="auto"/>
        </w:rPr>
      </w:pPr>
      <w:r>
        <w:rPr>
          <w:rFonts w:ascii="Arial" w:cs="Arial" w:eastAsia="Arial" w:hAnsi="Arial"/>
          <w:sz w:val="17"/>
          <w:szCs w:val="17"/>
          <w:color w:val="auto"/>
        </w:rPr>
        <w:t>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w:t>
      </w:r>
    </w:p>
    <w:p>
      <w:pPr>
        <w:sectPr>
          <w:pgSz w:w="11900" w:h="16838" w:orient="portrait"/>
          <w:cols w:equalWidth="0" w:num="1">
            <w:col w:w="11240"/>
          </w:cols>
          <w:pgMar w:left="240" w:top="459" w:right="419" w:bottom="1440" w:gutter="0" w:footer="0" w:header="0"/>
          <w:type w:val="continuous"/>
        </w:sectPr>
      </w:pPr>
    </w:p>
    <w:p>
      <w:pPr>
        <w:spacing w:after="0" w:line="196"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Management Arrangements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Adviser serves as our investment adviser and our administrator. For a description of our Adviser and TPG and our contractual arrangements with these companies, see “Management and Other Agreements.”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Trading at a Discount</w:t>
      </w:r>
    </w:p>
    <w:p>
      <w:pPr>
        <w:spacing w:after="0" w:line="20" w:lineRule="exact"/>
        <w:rPr>
          <w:sz w:val="20"/>
          <w:szCs w:val="20"/>
          <w:color w:val="auto"/>
        </w:rPr>
      </w:pPr>
      <w:r>
        <w:rPr>
          <w:sz w:val="20"/>
          <w:szCs w:val="20"/>
          <w:color w:val="auto"/>
        </w:rPr>
        <w:br w:type="column"/>
      </w:r>
    </w:p>
    <w:p>
      <w:pPr>
        <w:ind w:right="60"/>
        <w:spacing w:after="0" w:line="270" w:lineRule="auto"/>
        <w:rPr>
          <w:sz w:val="20"/>
          <w:szCs w:val="20"/>
          <w:color w:val="auto"/>
        </w:rPr>
      </w:pPr>
      <w:r>
        <w:rPr>
          <w:rFonts w:ascii="Arial" w:cs="Arial" w:eastAsia="Arial" w:hAnsi="Arial"/>
          <w:sz w:val="17"/>
          <w:szCs w:val="17"/>
          <w:color w:val="auto"/>
        </w:rPr>
        <w:t>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above, at or below net asset value. See “Risk Factors—Risks Related to Offerings Pursuant to This Prospectus.”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Available Information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w:t>
      </w:r>
    </w:p>
    <w:p>
      <w:pPr>
        <w:spacing w:after="0" w:line="200" w:lineRule="exact"/>
        <w:rPr>
          <w:sz w:val="20"/>
          <w:szCs w:val="20"/>
          <w:color w:val="auto"/>
        </w:rPr>
      </w:pPr>
    </w:p>
    <w:p>
      <w:pPr>
        <w:sectPr>
          <w:pgSz w:w="11900" w:h="16838" w:orient="portrait"/>
          <w:cols w:equalWidth="0" w:num="2">
            <w:col w:w="3680" w:space="720"/>
            <w:col w:w="6840"/>
          </w:cols>
          <w:pgMar w:left="240" w:top="459" w:right="41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240" w:top="459" w:right="41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788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6465" cy="1788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400" w:right="360"/>
        <w:spacing w:after="0" w:line="264" w:lineRule="auto"/>
        <w:rPr>
          <w:sz w:val="20"/>
          <w:szCs w:val="20"/>
          <w:color w:val="auto"/>
        </w:rPr>
      </w:pPr>
      <w:r>
        <w:rPr>
          <w:rFonts w:ascii="Arial" w:cs="Arial" w:eastAsia="Arial" w:hAnsi="Arial"/>
          <w:sz w:val="18"/>
          <w:szCs w:val="18"/>
          <w:color w:val="auto"/>
        </w:rPr>
        <w:t>public reference room at 100 F Street, N.E., Washington, D.C. 20549 and on the SEC’s website at http://www.sec.gov. Information on the operation of the SEC’s public reference room may be obtained by calling the SEC at 1 (800) SEC-0330.</w:t>
      </w:r>
    </w:p>
    <w:p>
      <w:pPr>
        <w:spacing w:after="0" w:line="222" w:lineRule="exact"/>
        <w:rPr>
          <w:sz w:val="20"/>
          <w:szCs w:val="20"/>
          <w:color w:val="auto"/>
        </w:rPr>
      </w:pPr>
    </w:p>
    <w:p>
      <w:pPr>
        <w:ind w:left="4400"/>
        <w:spacing w:after="0" w:line="255" w:lineRule="auto"/>
        <w:rPr>
          <w:sz w:val="20"/>
          <w:szCs w:val="20"/>
          <w:color w:val="auto"/>
        </w:rPr>
      </w:pPr>
      <w:r>
        <w:rPr>
          <w:rFonts w:ascii="Arial" w:cs="Arial" w:eastAsia="Arial" w:hAnsi="Arial"/>
          <w:sz w:val="18"/>
          <w:szCs w:val="18"/>
          <w:color w:val="auto"/>
        </w:rPr>
        <w:t>We maintain a website at http://www.tpgspecialtylending.com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35th Floor, New York, NY 10106, Attention: TSLX Investor Relations, or by emailing us at IRTSL@tpg.com.</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874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646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200" w:firstLine="443"/>
        <w:spacing w:after="0" w:line="271"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so that our asset coverage ratio cannot fall below 200%, as defined in the 1940 Act. Except where the context suggests otherwise, whenever this prospectus contains a reference to fees or expenses paid by “us,” the “Company” or “TPG Specialty Lending, Inc.” or says that “we” will pay fees or expenses, stockholders will indirectly bear these fees or expenses as investors in TPG Specialty Lending, Inc.</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Sales load</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2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(2)</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Dividend reinvestment plan expenses</w:t>
            </w:r>
          </w:p>
        </w:tc>
        <w:tc>
          <w:tcPr>
            <w:tcW w:w="2540" w:type="dxa"/>
            <w:vAlign w:val="bottom"/>
          </w:tcPr>
          <w:p>
            <w:pPr>
              <w:jc w:val="right"/>
              <w:ind w:right="270"/>
              <w:spacing w:after="0"/>
              <w:rPr>
                <w:sz w:val="20"/>
                <w:szCs w:val="20"/>
                <w:color w:val="auto"/>
              </w:rPr>
            </w:pPr>
            <w:r>
              <w:rPr>
                <w:rFonts w:ascii="Arial" w:cs="Arial" w:eastAsia="Arial" w:hAnsi="Arial"/>
                <w:sz w:val="18"/>
                <w:szCs w:val="18"/>
                <w:color w:val="auto"/>
              </w:rPr>
              <w:t>None</w:t>
            </w:r>
            <w:r>
              <w:rPr>
                <w:rFonts w:ascii="Arial" w:cs="Arial" w:eastAsia="Arial" w:hAnsi="Arial"/>
                <w:sz w:val="15"/>
                <w:szCs w:val="15"/>
                <w:color w:val="auto"/>
              </w:rPr>
              <w:t>(3)</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net assets attributable to common stock)</w:t>
            </w:r>
            <w:r>
              <w:rPr>
                <w:rFonts w:ascii="Arial" w:cs="Arial" w:eastAsia="Arial" w:hAnsi="Arial"/>
                <w:sz w:val="15"/>
                <w:szCs w:val="15"/>
                <w:b w:val="1"/>
                <w:bCs w:val="1"/>
                <w:color w:val="auto"/>
              </w:rPr>
              <w:t>(4)</w:t>
            </w:r>
            <w:r>
              <w:rPr>
                <w:rFonts w:ascii="Arial" w:cs="Arial" w:eastAsia="Arial" w:hAnsi="Arial"/>
                <w:sz w:val="18"/>
                <w:szCs w:val="18"/>
                <w:b w:val="1"/>
                <w:bCs w:val="1"/>
                <w:color w:val="auto"/>
              </w:rPr>
              <w:t>:</w:t>
            </w:r>
          </w:p>
        </w:tc>
        <w:tc>
          <w:tcPr>
            <w:tcW w:w="25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Management Fee payable under the Investment Advisory Agreement</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2.59%</w:t>
            </w:r>
            <w:r>
              <w:rPr>
                <w:rFonts w:ascii="Arial" w:cs="Arial" w:eastAsia="Arial" w:hAnsi="Arial"/>
                <w:sz w:val="15"/>
                <w:szCs w:val="15"/>
                <w:color w:val="auto"/>
              </w:rPr>
              <w:t>(5)</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Incentive Fee payable under the Investment Advisory Agreement</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2.46%</w:t>
            </w:r>
            <w:r>
              <w:rPr>
                <w:rFonts w:ascii="Arial" w:cs="Arial" w:eastAsia="Arial" w:hAnsi="Arial"/>
                <w:sz w:val="15"/>
                <w:szCs w:val="15"/>
                <w:color w:val="auto"/>
              </w:rPr>
              <w:t>(6)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payments on borrowed funds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1.84%</w:t>
            </w:r>
            <w:r>
              <w:rPr>
                <w:rFonts w:ascii="Arial" w:cs="Arial" w:eastAsia="Arial" w:hAnsi="Arial"/>
                <w:sz w:val="15"/>
                <w:szCs w:val="15"/>
                <w:color w:val="auto"/>
              </w:rPr>
              <w:t>(7)</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2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1.81%</w:t>
            </w:r>
            <w:r>
              <w:rPr>
                <w:rFonts w:ascii="Arial" w:cs="Arial" w:eastAsia="Arial" w:hAnsi="Arial"/>
                <w:sz w:val="15"/>
                <w:szCs w:val="15"/>
                <w:color w:val="auto"/>
              </w:rPr>
              <w:t>(8)</w:t>
            </w:r>
          </w:p>
        </w:tc>
      </w:tr>
      <w:tr>
        <w:trPr>
          <w:trHeight w:val="230"/>
        </w:trPr>
        <w:tc>
          <w:tcPr>
            <w:tcW w:w="8520" w:type="dxa"/>
            <w:vAlign w:val="bottom"/>
          </w:tcPr>
          <w:p>
            <w:pPr>
              <w:spacing w:after="0"/>
              <w:rPr>
                <w:sz w:val="20"/>
                <w:szCs w:val="20"/>
                <w:color w:val="auto"/>
              </w:rPr>
            </w:pPr>
            <w:r>
              <w:rPr>
                <w:rFonts w:ascii="Arial" w:cs="Arial" w:eastAsia="Arial" w:hAnsi="Arial"/>
                <w:sz w:val="18"/>
                <w:szCs w:val="18"/>
                <w:color w:val="auto"/>
              </w:rPr>
              <w:t>Total annual expenses</w:t>
            </w:r>
          </w:p>
        </w:tc>
        <w:tc>
          <w:tcPr>
            <w:tcW w:w="2540" w:type="dxa"/>
            <w:vAlign w:val="bottom"/>
          </w:tcPr>
          <w:p>
            <w:pPr>
              <w:jc w:val="right"/>
              <w:ind w:right="110"/>
              <w:spacing w:after="0"/>
              <w:rPr>
                <w:sz w:val="20"/>
                <w:szCs w:val="20"/>
                <w:color w:val="auto"/>
              </w:rPr>
            </w:pPr>
            <w:r>
              <w:rPr>
                <w:rFonts w:ascii="Arial" w:cs="Arial" w:eastAsia="Arial" w:hAnsi="Arial"/>
                <w:sz w:val="18"/>
                <w:szCs w:val="18"/>
                <w:color w:val="auto"/>
              </w:rPr>
              <w:t>8.71%</w:t>
            </w:r>
            <w:r>
              <w:rPr>
                <w:rFonts w:ascii="Arial" w:cs="Arial" w:eastAsia="Arial" w:hAnsi="Arial"/>
                <w:sz w:val="15"/>
                <w:szCs w:val="15"/>
                <w:color w:val="auto"/>
              </w:rPr>
              <w:t>(9)</w:t>
            </w:r>
          </w:p>
        </w:tc>
      </w:tr>
    </w:tbl>
    <w:p>
      <w:pPr>
        <w:spacing w:after="0" w:line="214" w:lineRule="exact"/>
        <w:rPr>
          <w:sz w:val="20"/>
          <w:szCs w:val="20"/>
          <w:color w:val="auto"/>
        </w:rPr>
      </w:pPr>
    </w:p>
    <w:p>
      <w:pPr>
        <w:ind w:left="620" w:right="360" w:hanging="423"/>
        <w:spacing w:after="0" w:line="258"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a corresponding prospectus supplement will disclose the applicable sales load (underwriting discount or commission).</w:t>
      </w:r>
    </w:p>
    <w:p>
      <w:pPr>
        <w:spacing w:after="0" w:line="1" w:lineRule="exact"/>
        <w:rPr>
          <w:rFonts w:ascii="Arial" w:cs="Arial" w:eastAsia="Arial" w:hAnsi="Arial"/>
          <w:sz w:val="18"/>
          <w:szCs w:val="18"/>
          <w:color w:val="auto"/>
        </w:rPr>
      </w:pPr>
    </w:p>
    <w:p>
      <w:pPr>
        <w:ind w:left="620" w:right="1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620" w:right="34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expenses of the dividend reinvestment plan are included in “Other expenses” in the table above. For additional information, see “Dividend Reinvestment Plan.”</w:t>
      </w:r>
    </w:p>
    <w:p>
      <w:pPr>
        <w:ind w:left="620" w:right="980" w:hanging="423"/>
        <w:spacing w:after="0" w:line="250"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assets attributable to common stock used to calculate the percentages in this table reflect our net assets of $820.7 million as of December 31, 2015.</w:t>
      </w:r>
    </w:p>
    <w:p>
      <w:pPr>
        <w:ind w:left="620" w:right="20" w:hanging="423"/>
        <w:spacing w:after="0" w:line="281"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and Other Agreements</w:t>
      </w:r>
    </w:p>
    <w:p>
      <w:pPr>
        <w:spacing w:after="0" w:line="2" w:lineRule="exact"/>
        <w:rPr>
          <w:rFonts w:ascii="Arial" w:cs="Arial" w:eastAsia="Arial" w:hAnsi="Arial"/>
          <w:sz w:val="16"/>
          <w:szCs w:val="16"/>
          <w:color w:val="auto"/>
        </w:rPr>
      </w:pPr>
    </w:p>
    <w:p>
      <w:pPr>
        <w:ind w:left="620"/>
        <w:spacing w:after="0"/>
        <w:rPr>
          <w:rFonts w:ascii="Arial" w:cs="Arial" w:eastAsia="Arial" w:hAnsi="Arial"/>
          <w:sz w:val="16"/>
          <w:szCs w:val="16"/>
          <w:color w:val="auto"/>
        </w:rPr>
      </w:pPr>
      <w:r>
        <w:rPr>
          <w:rFonts w:ascii="Arial" w:cs="Arial" w:eastAsia="Arial" w:hAnsi="Arial"/>
          <w:sz w:val="18"/>
          <w:szCs w:val="18"/>
          <w:color w:val="auto"/>
        </w:rPr>
        <w:t>— Investment Advisory Agreement; Administration Agreement; License Agreement.”</w:t>
      </w:r>
    </w:p>
    <w:p>
      <w:pPr>
        <w:spacing w:after="0" w:line="103"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The Management Fee reflected in the table is calculated by determining the ratio that the Management Fee for the year ended December 31, 2015 bears to our net assets attributable to common stock (rather than our gross assets).</w:t>
      </w:r>
    </w:p>
    <w:p>
      <w:pPr>
        <w:spacing w:after="0" w:line="62"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From time to time, our Adviser voluntarily has waived certain Management Fees. See “Management’s Discussion and Analysis of Financial Condition and Results of Operations—Results of Operations—Management Fees” elsewhere in this prospectus. The above estimates are based on our actual Management Fees for the year ended December 31, 2015 and reflect the Management Fees that were waived during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60"/>
          </w:cols>
          <w:pgMar w:left="24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1614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6465" cy="6161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20" w:right="20" w:hanging="423"/>
        <w:spacing w:after="0" w:line="259"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2015 and assumes that the Incentive Fee is 17.5% for all relevant periods. However, the Incentive Fee payable to the Adviser is based on our performance and will not be paid unless we achieve certain goals.</w:t>
      </w:r>
    </w:p>
    <w:p>
      <w:pPr>
        <w:spacing w:after="0" w:line="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Incentive Fee consists of two parts:</w:t>
      </w:r>
    </w:p>
    <w:p>
      <w:pPr>
        <w:spacing w:after="0" w:line="117" w:lineRule="exact"/>
        <w:rPr>
          <w:rFonts w:ascii="Arial" w:cs="Arial" w:eastAsia="Arial" w:hAnsi="Arial"/>
          <w:sz w:val="18"/>
          <w:szCs w:val="18"/>
          <w:color w:val="auto"/>
        </w:rPr>
      </w:pPr>
    </w:p>
    <w:p>
      <w:pPr>
        <w:ind w:left="640" w:right="20"/>
        <w:spacing w:after="0" w:line="259" w:lineRule="auto"/>
        <w:rPr>
          <w:rFonts w:ascii="Arial" w:cs="Arial" w:eastAsia="Arial" w:hAnsi="Arial"/>
          <w:sz w:val="18"/>
          <w:szCs w:val="18"/>
          <w:color w:val="auto"/>
        </w:rPr>
      </w:pPr>
      <w:r>
        <w:rPr>
          <w:rFonts w:ascii="Arial" w:cs="Arial" w:eastAsia="Arial" w:hAnsi="Arial"/>
          <w:sz w:val="18"/>
          <w:szCs w:val="18"/>
          <w:color w:val="auto"/>
        </w:rPr>
        <w:t>The first component, payable at the end of each quarter in arrears, equals 100% of the pre-Incentive Fee net investment income in excess of a 1.5% quarterly “hurdle rate” until the Adviser has received 17.5% of the total pre-Incentive Fee net investment income for that quarter and, for pre-Incentive Fee net investment income in excess of 1.82% quarterly, 17.5% of all remaining pre-Incentive Fee net investment income for that quarter.</w:t>
      </w:r>
    </w:p>
    <w:p>
      <w:pPr>
        <w:spacing w:after="0" w:line="78" w:lineRule="exact"/>
        <w:rPr>
          <w:rFonts w:ascii="Arial" w:cs="Arial" w:eastAsia="Arial" w:hAnsi="Arial"/>
          <w:sz w:val="18"/>
          <w:szCs w:val="18"/>
          <w:color w:val="auto"/>
        </w:rPr>
      </w:pPr>
    </w:p>
    <w:p>
      <w:pPr>
        <w:ind w:left="640" w:right="20"/>
        <w:spacing w:after="0" w:line="273" w:lineRule="auto"/>
        <w:rPr>
          <w:rFonts w:ascii="Arial" w:cs="Arial" w:eastAsia="Arial" w:hAnsi="Arial"/>
          <w:sz w:val="18"/>
          <w:szCs w:val="18"/>
          <w:color w:val="auto"/>
        </w:rPr>
      </w:pPr>
      <w:r>
        <w:rPr>
          <w:rFonts w:ascii="Arial" w:cs="Arial" w:eastAsia="Arial" w:hAnsi="Arial"/>
          <w:sz w:val="17"/>
          <w:szCs w:val="17"/>
          <w:color w:val="auto"/>
        </w:rPr>
        <w:t>The second component, which we refer to as the Capital Gains Incentive Fee,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and net of the aggregate amount of any previously paid Capital Gains Incentive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w:t>
      </w:r>
    </w:p>
    <w:p>
      <w:pPr>
        <w:spacing w:after="0" w:line="70" w:lineRule="exact"/>
        <w:rPr>
          <w:rFonts w:ascii="Arial" w:cs="Arial" w:eastAsia="Arial" w:hAnsi="Arial"/>
          <w:sz w:val="18"/>
          <w:szCs w:val="18"/>
          <w:color w:val="auto"/>
        </w:rPr>
      </w:pPr>
    </w:p>
    <w:p>
      <w:pPr>
        <w:ind w:left="640" w:right="220"/>
        <w:spacing w:after="0" w:line="277" w:lineRule="auto"/>
        <w:rPr>
          <w:rFonts w:ascii="Arial" w:cs="Arial" w:eastAsia="Arial" w:hAnsi="Arial"/>
          <w:sz w:val="18"/>
          <w:szCs w:val="18"/>
          <w:color w:val="auto"/>
        </w:rPr>
      </w:pPr>
      <w:r>
        <w:rPr>
          <w:rFonts w:ascii="Arial" w:cs="Arial" w:eastAsia="Arial" w:hAnsi="Arial"/>
          <w:sz w:val="18"/>
          <w:szCs w:val="18"/>
          <w:color w:val="auto"/>
        </w:rPr>
        <w:t>See Note 3 to our consolidated financial statements included in this prospectus and “Management and Other Agreements—Investment Advisory Agreement; Administration Agreement; License Agreement.”</w:t>
      </w:r>
    </w:p>
    <w:p>
      <w:pPr>
        <w:spacing w:after="0" w:line="62" w:lineRule="exact"/>
        <w:rPr>
          <w:rFonts w:ascii="Arial" w:cs="Arial" w:eastAsia="Arial" w:hAnsi="Arial"/>
          <w:sz w:val="18"/>
          <w:szCs w:val="18"/>
          <w:color w:val="auto"/>
        </w:rPr>
      </w:pPr>
    </w:p>
    <w:p>
      <w:pPr>
        <w:jc w:val="both"/>
        <w:ind w:left="64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our Adviser has voluntarily waived certain Incentive Fees. See “Management’s Discussion and Analysis of Financial Condition and Results of Operations—Results of Operations—Incentive Fees” elsewhere in this prospectus. The above estimates do not reflect or assume any such waivers.</w:t>
      </w:r>
    </w:p>
    <w:p>
      <w:pPr>
        <w:spacing w:after="0" w:line="86" w:lineRule="exact"/>
        <w:rPr>
          <w:rFonts w:ascii="Arial" w:cs="Arial" w:eastAsia="Arial" w:hAnsi="Arial"/>
          <w:sz w:val="18"/>
          <w:szCs w:val="18"/>
          <w:color w:val="auto"/>
        </w:rPr>
      </w:pPr>
    </w:p>
    <w:p>
      <w:pPr>
        <w:ind w:left="620" w:right="120" w:hanging="423"/>
        <w:spacing w:after="0" w:line="253"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payments on borrowed funds is based on our interest expense for the year ended December 31, 2015 under our credit facilities excluding fees (such as fees on undrawn amounts and amortization of upfront fees) and including the swap-adjusted interest expense related to our Convertible Senior Notes due 2019, or the Convertible Senior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Our stockholders indirectly bear the costs of borrowings under any debt instruments we may enter into.</w:t>
      </w:r>
    </w:p>
    <w:p>
      <w:pPr>
        <w:spacing w:after="0" w:line="1" w:lineRule="exact"/>
        <w:rPr>
          <w:rFonts w:ascii="Arial" w:cs="Arial" w:eastAsia="Arial" w:hAnsi="Arial"/>
          <w:sz w:val="18"/>
          <w:szCs w:val="18"/>
          <w:color w:val="auto"/>
        </w:rPr>
      </w:pPr>
    </w:p>
    <w:p>
      <w:pPr>
        <w:ind w:left="620" w:right="220" w:hanging="423"/>
        <w:spacing w:after="0" w:line="265" w:lineRule="auto"/>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our overhead expenses, such as payments under the Administration Agreement for certain expenses incurred by the Adviser, and excise taxes. See “Management and Other Agreements—Investment Advisory Agreement; Administration Agreement; License Agreement.” The expenses in this table are based on our actual other expenses and excise taxes for the year ended December 31, 2015.</w:t>
      </w:r>
    </w:p>
    <w:p>
      <w:pPr>
        <w:ind w:left="620" w:hanging="423"/>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8168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6465" cy="28168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w w:val="93"/>
              </w:rPr>
              <w:t>1 year</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6"/>
              </w:rPr>
              <w:t>3 years</w:t>
            </w:r>
          </w:p>
        </w:tc>
        <w:tc>
          <w:tcPr>
            <w:tcW w:w="5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w w:val="86"/>
              </w:rPr>
              <w:t>5 years</w:t>
            </w: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10 years</w:t>
            </w:r>
          </w:p>
        </w:tc>
      </w:tr>
      <w:tr>
        <w:trPr>
          <w:trHeight w:val="182"/>
        </w:trPr>
        <w:tc>
          <w:tcPr>
            <w:tcW w:w="6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8"/>
              </w:rPr>
              <w:t>You would pay the following expenses on a $1,000 common stock investment,</w:t>
            </w:r>
          </w:p>
        </w:tc>
        <w:tc>
          <w:tcPr>
            <w:tcW w:w="5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assuming a 5% annual return from realized capital gains</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4"/>
              </w:rPr>
              <w:t>$  54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$ 162</w:t>
            </w:r>
          </w:p>
        </w:tc>
        <w:tc>
          <w:tcPr>
            <w:tcW w:w="9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$ 269</w:t>
            </w:r>
          </w:p>
        </w:tc>
        <w:tc>
          <w:tcPr>
            <w:tcW w:w="10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  533</w:t>
            </w:r>
          </w:p>
        </w:tc>
        <w:tc>
          <w:tcPr>
            <w:tcW w:w="8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left="200" w:firstLine="443"/>
        <w:spacing w:after="0" w:line="269" w:lineRule="auto"/>
        <w:rPr>
          <w:sz w:val="20"/>
          <w:szCs w:val="20"/>
          <w:color w:val="auto"/>
        </w:rPr>
      </w:pPr>
      <w:r>
        <w:rPr>
          <w:rFonts w:ascii="Arial" w:cs="Arial" w:eastAsia="Arial" w:hAnsi="Arial"/>
          <w:sz w:val="17"/>
          <w:szCs w:val="17"/>
          <w:color w:val="auto"/>
        </w:rPr>
        <w:t>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w:t>
      </w:r>
    </w:p>
    <w:p>
      <w:pPr>
        <w:spacing w:after="0" w:line="179" w:lineRule="exact"/>
        <w:rPr>
          <w:sz w:val="20"/>
          <w:szCs w:val="20"/>
          <w:color w:val="auto"/>
        </w:rPr>
      </w:pPr>
    </w:p>
    <w:p>
      <w:pPr>
        <w:ind w:left="200" w:right="260" w:firstLine="443"/>
        <w:spacing w:after="0" w:line="282" w:lineRule="auto"/>
        <w:rPr>
          <w:sz w:val="20"/>
          <w:szCs w:val="20"/>
          <w:color w:val="auto"/>
        </w:rPr>
      </w:pPr>
      <w:r>
        <w:rPr>
          <w:rFonts w:ascii="Arial" w:cs="Arial" w:eastAsia="Arial" w:hAnsi="Arial"/>
          <w:sz w:val="18"/>
          <w:szCs w:val="18"/>
          <w:b w:val="1"/>
          <w:bCs w:val="1"/>
          <w:color w:val="auto"/>
        </w:rPr>
        <w:t>This example and the expenses in the table above should not be considered a representation of our future expenses, and actual expenses (including the cost of debt, if any, and other expenses) may be greater or less than those shown.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 AND OTHER INFORMATION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You should read the following selected consolidated historical financial data below in conjunction with the section entitled “Management’s Discussion and Analysis of Financial Condition and Results of Operations” and our consolidated financial statements, related notes and other financial information included in this prospectus. The selected financial data in this section is not intended to replace the consolidated financial statements and is qualified in its entirety by our consolidated financial statements and related notes included in this prospectus.</w:t>
      </w:r>
    </w:p>
    <w:p>
      <w:pPr>
        <w:spacing w:after="0" w:line="171"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We derived the selected consolidated financial data for the years ended December 31, 2015, 2014 and 2013 from our audited consolidated financial statements and related notes, which are included elsewhere in this prospectus. We derived the selected consolidated financial data for the year ended December 31, 2012 and 2011 from our audited consolidated financial statements and related notes, which are not included in this prospectus.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34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5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2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Consolidated Statements of Operations Data:</w:t>
            </w:r>
          </w:p>
        </w:tc>
        <w:tc>
          <w:tcPr>
            <w:tcW w:w="3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Income</w:t>
            </w:r>
          </w:p>
        </w:tc>
        <w:tc>
          <w:tcPr>
            <w:tcW w:w="6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173.4</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Expenses</w:t>
            </w: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w w:val="98"/>
              </w:rPr>
              <w:t>Net Investment Income (Loss) Before Income Taxes</w:t>
            </w:r>
          </w:p>
        </w:tc>
        <w:tc>
          <w:tcPr>
            <w:tcW w:w="3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96.8</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105.6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57.7</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28.1</w:t>
            </w:r>
          </w:p>
        </w:tc>
        <w:tc>
          <w:tcPr>
            <w:tcW w:w="6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104.4</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Total Change in Net Unrealized Gain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(17.7)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Realized Gain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40" w:type="dxa"/>
            <w:vAlign w:val="bottom"/>
            <w:gridSpan w:val="3"/>
            <w:vMerge w:val="restart"/>
          </w:tcPr>
          <w:p>
            <w:pPr>
              <w:spacing w:after="0"/>
              <w:rPr>
                <w:sz w:val="20"/>
                <w:szCs w:val="20"/>
                <w:color w:val="auto"/>
              </w:rPr>
            </w:pPr>
            <w:r>
              <w:rPr>
                <w:rFonts w:ascii="Arial" w:cs="Arial" w:eastAsia="Arial" w:hAnsi="Arial"/>
                <w:sz w:val="18"/>
                <w:szCs w:val="18"/>
                <w:color w:val="auto"/>
              </w:rPr>
              <w:t>Increase in Net Assets Resulting from Operations</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4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67.0</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39.6</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Earnings per common share—basic and diluted</w:t>
            </w:r>
            <w:r>
              <w:rPr>
                <w:rFonts w:ascii="Arial" w:cs="Arial" w:eastAsia="Arial" w:hAnsi="Arial"/>
                <w:sz w:val="15"/>
                <w:szCs w:val="15"/>
                <w:color w:val="auto"/>
                <w:w w:val="98"/>
              </w:rPr>
              <w:t>(1)(2)</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millions, except per share amounts)</w:t>
            </w:r>
          </w:p>
        </w:tc>
        <w:tc>
          <w:tcPr>
            <w:tcW w:w="30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8"/>
              </w:rPr>
              <w:t>Consolidated Balance Sheet Data:</w:t>
            </w:r>
          </w:p>
        </w:tc>
        <w:tc>
          <w:tcPr>
            <w:tcW w:w="1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2.4</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161.8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1,485.7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1,263.5</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1,016.5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653.9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1,516.9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1,303.7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1,039.2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833.1</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652.8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395.9</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432.3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331.8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696.2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468.3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464.5</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353.3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835.4</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574.7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479.8</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Net asset value per share</w:t>
            </w:r>
            <w:r>
              <w:rPr>
                <w:rFonts w:ascii="Arial" w:cs="Arial" w:eastAsia="Arial" w:hAnsi="Arial"/>
                <w:sz w:val="15"/>
                <w:szCs w:val="15"/>
                <w:color w:val="auto"/>
              </w:rPr>
              <w:t>(1)</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15.15</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15.53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15.52</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15.19</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Data: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Number of portfolio companies at period end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share</w:t>
            </w:r>
            <w:r>
              <w:rPr>
                <w:rFonts w:ascii="Arial" w:cs="Arial" w:eastAsia="Arial" w:hAnsi="Arial"/>
                <w:sz w:val="15"/>
                <w:szCs w:val="15"/>
                <w:color w:val="auto"/>
              </w:rPr>
              <w:t>(1)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Total return based on net asset value</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income-producing securities at fair value</w:t>
            </w:r>
            <w:r>
              <w:rPr>
                <w:rFonts w:ascii="Arial" w:cs="Arial" w:eastAsia="Arial" w:hAnsi="Arial"/>
                <w:sz w:val="15"/>
                <w:szCs w:val="15"/>
                <w:color w:val="auto"/>
              </w:rPr>
              <w:t>(4)</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10.6%</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Weighted average yield of debt and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income-producing securities at amortized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cost</w:t>
            </w:r>
            <w:r>
              <w:rPr>
                <w:rFonts w:ascii="Arial" w:cs="Arial" w:eastAsia="Arial" w:hAnsi="Arial"/>
                <w:sz w:val="15"/>
                <w:szCs w:val="15"/>
                <w:color w:val="auto"/>
              </w:rPr>
              <w:t>(4)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Fair value of debt investments as a percentage of</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principal</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98.2%</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98.9%</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w w:val="98"/>
              </w:rPr>
              <w:t>Weighted average fair value of debt investments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gridSpan w:val="2"/>
          </w:tcPr>
          <w:p>
            <w:pPr>
              <w:ind w:left="160"/>
              <w:spacing w:after="0"/>
              <w:rPr>
                <w:sz w:val="20"/>
                <w:szCs w:val="20"/>
                <w:color w:val="auto"/>
              </w:rPr>
            </w:pPr>
            <w:r>
              <w:rPr>
                <w:rFonts w:ascii="Arial" w:cs="Arial" w:eastAsia="Arial" w:hAnsi="Arial"/>
                <w:sz w:val="18"/>
                <w:szCs w:val="18"/>
                <w:color w:val="auto"/>
              </w:rPr>
              <w:t>as a percentage of call price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92.1%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93.4%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94.9%</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93.9%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96.6%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24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indicated amounts for periods prior to December 3, 2013 have been retroactively adjusted for the stock split, which was effected in the form of a stock dividend. See Note 9 of our audited consolidated financial statements.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Earnings per common share is based on weighted average shares of common stock outstanding during the period.</w:t>
      </w:r>
    </w:p>
    <w:p>
      <w:pPr>
        <w:spacing w:after="0" w:line="252" w:lineRule="exact"/>
        <w:rPr>
          <w:rFonts w:ascii="Arial" w:cs="Arial" w:eastAsia="Arial" w:hAnsi="Arial"/>
          <w:sz w:val="18"/>
          <w:szCs w:val="18"/>
          <w:color w:val="auto"/>
        </w:rPr>
      </w:pPr>
    </w:p>
    <w:p>
      <w:pPr>
        <w:ind w:left="460" w:right="80" w:hanging="452"/>
        <w:spacing w:after="0" w:line="25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Generally Accepted Accounting Principles, or U.S. GAAP, requires that total return be calculated as the change in net asset value per share during the period plus declared dividends per share, divided by the beginning net asset value per share. For the year ended December 31, 2011, calculating total return in such a manner does not adjust for the effect of the initial seed funding as part of our formation (at $1 per share) and accordingly the information is not meaningful. Excluding the effect of the initial seed funding, total return for the period July 1, 2011 through December 31, 2011 would be (1.58%).</w:t>
      </w:r>
    </w:p>
    <w:p>
      <w:pPr>
        <w:spacing w:after="0" w:line="188" w:lineRule="exact"/>
        <w:rPr>
          <w:rFonts w:ascii="Arial" w:cs="Arial" w:eastAsia="Arial" w:hAnsi="Arial"/>
          <w:sz w:val="18"/>
          <w:szCs w:val="18"/>
          <w:color w:val="auto"/>
        </w:rPr>
      </w:pPr>
    </w:p>
    <w:p>
      <w:pPr>
        <w:ind w:left="460"/>
        <w:spacing w:after="0" w:line="273" w:lineRule="auto"/>
        <w:rPr>
          <w:rFonts w:ascii="Arial" w:cs="Arial" w:eastAsia="Arial" w:hAnsi="Arial"/>
          <w:sz w:val="18"/>
          <w:szCs w:val="18"/>
          <w:color w:val="auto"/>
        </w:rPr>
      </w:pPr>
      <w:r>
        <w:rPr>
          <w:rFonts w:ascii="Arial" w:cs="Arial" w:eastAsia="Arial" w:hAnsi="Arial"/>
          <w:sz w:val="17"/>
          <w:szCs w:val="17"/>
          <w:color w:val="auto"/>
        </w:rPr>
        <w:t>Our total return set forth in the table above for the years ended December 31, 2015, 2014, 2013, 2012 and 2011 reflects the Adviser’s waivers of its right to receive a portion of the Management Fee and Incentive Fees prior to our IPO and separately with respect to our ownership of shares of common stock in TICC Capital Corp. See Note 3 to our consolidated financial statements included elsewhere in this prospectus for more information about the waivers. The Management Fee, excluding the effects of the waivers, would have been $21.3 million, $18.3 million, $13.4 million, $8.9 million and $1.6 million for the years ended December 31, 2015, 2014, 2013, 2012 and 2011, respectively. The Incentive Fee, excluding the effects of the waiver, would have been $20.2 million for the year ended December 31, 2015.</w:t>
      </w:r>
    </w:p>
    <w:p>
      <w:pPr>
        <w:spacing w:after="0" w:line="205" w:lineRule="exact"/>
        <w:rPr>
          <w:rFonts w:ascii="Arial" w:cs="Arial" w:eastAsia="Arial" w:hAnsi="Arial"/>
          <w:sz w:val="18"/>
          <w:szCs w:val="18"/>
          <w:color w:val="auto"/>
        </w:rPr>
      </w:pPr>
    </w:p>
    <w:p>
      <w:pPr>
        <w:ind w:left="460" w:right="42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yield on debt and income-producing securities at fair value is computed as (a) the annual stated interest rate or yield earned plus additional interest, if any, as a result of arrangements between us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276" w:lineRule="auto"/>
        <w:rPr>
          <w:sz w:val="20"/>
          <w:szCs w:val="20"/>
          <w:color w:val="auto"/>
        </w:rPr>
      </w:pPr>
      <w:r>
        <w:rPr>
          <w:rFonts w:ascii="Arial" w:cs="Arial" w:eastAsia="Arial" w:hAnsi="Arial"/>
          <w:sz w:val="17"/>
          <w:szCs w:val="17"/>
          <w:color w:val="auto"/>
        </w:rPr>
        <w:t>other lenders in any syndication plus the net annual amortization of original issue discount and market discount earned on accruing debt and income-producing securities, divided by (b) total debt and income-producing securities at fair value. Weighted average yield on debt and income-producing securities at amortized cost is computed as (a) the annual stated interest rate or yield earned plus additional interest, if any, as a result of arrangements between us and other lenders in any syndication plus the net annual amortization of original issue discount and market discount earned on accruing debt and income-producing securities, divided by (b) total debt and income-producing securities at amortized cost.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QUARTERLY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43,559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46,774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45,352</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19,916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20,926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20,332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23,643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25,849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25,020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(27,985)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(16,512)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9,085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34,105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15.15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15.62</w:t>
            </w:r>
          </w:p>
        </w:tc>
        <w:tc>
          <w:tcPr>
            <w:tcW w:w="3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Pr>
          <w:p>
            <w:pPr>
              <w:spacing w:after="0"/>
              <w:rPr>
                <w:sz w:val="20"/>
                <w:szCs w:val="20"/>
                <w:color w:val="auto"/>
              </w:rPr>
            </w:pPr>
          </w:p>
        </w:tc>
      </w:tr>
      <w:tr>
        <w:trPr>
          <w:trHeight w:val="350"/>
        </w:trPr>
        <w:tc>
          <w:tcPr>
            <w:tcW w:w="5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45,778</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38,404</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45,657</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15,094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15,288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16,224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30,684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23,116</w:t>
            </w:r>
          </w:p>
        </w:tc>
        <w:tc>
          <w:tcPr>
            <w:tcW w:w="3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29,433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(16,879)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(4,513)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(2,139)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18,603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27,294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15.66</w:t>
            </w:r>
          </w:p>
        </w:tc>
        <w:tc>
          <w:tcPr>
            <w:tcW w:w="3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15.70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r>
      <w:tr>
        <w:trPr>
          <w:trHeight w:val="350"/>
        </w:trPr>
        <w:tc>
          <w:tcPr>
            <w:tcW w:w="59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9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rPr>
              <w:t>Q4</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rPr>
              <w:t>Q3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Q2</w:t>
            </w: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27,569</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23,298</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20,940</w:t>
            </w: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10,576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8,713</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8,123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7,696</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14,585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12,817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4,063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1,674</w:t>
            </w:r>
          </w:p>
        </w:tc>
        <w:tc>
          <w:tcPr>
            <w:tcW w:w="3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21,056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16,259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14,208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(2)</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15.52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15.35</w:t>
            </w:r>
          </w:p>
        </w:tc>
        <w:tc>
          <w:tcPr>
            <w:tcW w:w="3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15.29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15.27</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Expenses includes Income taxes, including excise taxes.</w:t>
      </w:r>
    </w:p>
    <w:p>
      <w:pPr>
        <w:spacing w:after="0" w:line="252" w:lineRule="exact"/>
        <w:rPr>
          <w:rFonts w:ascii="Arial" w:cs="Arial" w:eastAsia="Arial" w:hAnsi="Arial"/>
          <w:sz w:val="18"/>
          <w:szCs w:val="18"/>
          <w:color w:val="auto"/>
        </w:rPr>
      </w:pPr>
    </w:p>
    <w:p>
      <w:pPr>
        <w:ind w:left="460" w:right="120" w:hanging="452"/>
        <w:spacing w:after="0" w:line="277"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further described in Note 9 to our audited financial statements in this prospectus,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number of significant risks. Before you invest in our securities, you should be aware of various risks associated with the investment, including those described below. You should carefully consider these risk factors, together with all of the other information included in this prospectus and any accompanying prospectus supplement, including our consolidated financial statements and the related notes thereto, before you decide whether to make an investment in our securities.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management personnel of the Adviser, TSSP, TPG and their affiliates for our future success.</w:t>
      </w:r>
    </w:p>
    <w:p>
      <w:pPr>
        <w:spacing w:after="0" w:line="117"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We depend on the experience, diligence, skill and network of business contacts of senior members of our Investment Team. Our Investment Team, together with other professionals at TSSP and TPG and their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7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In addition, we cannot assure you that the Adviser will remain our investment adviser or that we will continue to have access to TSSP, TPG or their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1940 Act imposes numerous constraints on the operations of BDCs. See “Regulation” for a discussion of BDC limitations. For example, BDCs are required to invest at least 70% of their total 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200%. Consequently, if the value of our assets declines,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7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If we issue preferred stock, the preferred stock would rank senior to common stock in our capital structure. Preferred stockholders would have separate voting rights on certain matters and may have other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8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“—Risks Related to Our Portfolio Company Investments—We may securitize certain of our investments, which may subject us to certain structured financing risks.”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borrow money, which magnifies the potential for gain or loss and increases the risk of investing in us.</w:t>
      </w:r>
    </w:p>
    <w:p>
      <w:pPr>
        <w:spacing w:after="0" w:line="117"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Adviser an incentive to use leverage to make additional investments. See “—Risks Related to Our Business and Structure—Even in the event the value of your investment declines, the Management Fee and, in certain circumstances, the Incentive Fee will still be payable to the Adviser.” The amount of leverage that we employ will depend on our Adviser’s and our Board’s assessment of market and other factors at the time of any proposed borrowing. We cannot assure you that we will be able to obtain credit at all or on terms acceptable to us.</w:t>
      </w:r>
    </w:p>
    <w:p>
      <w:pPr>
        <w:spacing w:after="0" w:line="187"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Our credit facilities also impose financial and operating covenants that restrict our business activities, remedies on default and similar matters. As of December 31, 2015, we are in compliance with the covenants of our credit facilities.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In addition, we may be unable to obtain additional leverage, which would, in turn, affect our return on capital.</w:t>
      </w:r>
    </w:p>
    <w:p>
      <w:pPr>
        <w:spacing w:after="0" w:line="178" w:lineRule="exact"/>
        <w:rPr>
          <w:sz w:val="20"/>
          <w:szCs w:val="20"/>
          <w:color w:val="auto"/>
        </w:rPr>
      </w:pPr>
    </w:p>
    <w:p>
      <w:pPr>
        <w:jc w:val="both"/>
        <w:ind w:right="360" w:firstLine="456"/>
        <w:spacing w:after="0" w:line="286" w:lineRule="auto"/>
        <w:rPr>
          <w:sz w:val="20"/>
          <w:szCs w:val="20"/>
          <w:color w:val="auto"/>
        </w:rPr>
      </w:pPr>
      <w:r>
        <w:rPr>
          <w:rFonts w:ascii="Arial" w:cs="Arial" w:eastAsia="Arial" w:hAnsi="Arial"/>
          <w:sz w:val="17"/>
          <w:szCs w:val="17"/>
          <w:color w:val="auto"/>
        </w:rPr>
        <w:t>Lastly, the SEC has issued a proposed rule, Rule 18f-4, that if adopted would potentially constrain our ability to use leverage if we have substantial exposure to swaps and other derivatives, or have significant outstanding financial commitments to our portfolio companies. See “—Risks Related to Our Portfolio Company Investments—We expose ourselves to risks when we engage in hedging transactions.”</w:t>
      </w:r>
    </w:p>
    <w:p>
      <w:pPr>
        <w:spacing w:after="0" w:line="16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2015, we had $655.3 million of outstanding indebtedness, which had an annualized interest cost of 2.52% under the terms of our debt, excluding fees (such as fees on undrawn amounts and amortization of upfront fees) and giving effect to the swap-adjusted interest rate on our Convertible Senior Notes. As of December 31, 2015, the interest rate on our Convertible Senior Notes, as adjusted to give effect to the interest rate swaps, was three-month London Interbank Offered Rate, or LIBOR, plus 286 basis points.</w:t>
      </w:r>
    </w:p>
    <w:p>
      <w:pPr>
        <w:spacing w:after="0" w:line="187"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For us to cover these annualized interest payments on indebtedness, we must achieve annual returns on our investments of at least 1.1%. Since we generally pay interest at a floating rate on our debt, an increase in interest rates will generally increase our borrowing costs. We expect that our annualized interest cost and returns required to cover interest will increase if we issue additional debt securities.</w:t>
      </w:r>
    </w:p>
    <w:p>
      <w:pPr>
        <w:spacing w:after="0" w:line="18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w w:val="94"/>
              </w:rPr>
              <w:t>Assumed Return on Our Portfolio</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53"/>
        </w:trPr>
        <w:tc>
          <w:tcPr>
            <w:tcW w:w="72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40" w:type="dxa"/>
            <w:vAlign w:val="bottom"/>
            <w:gridSpan w:val="3"/>
          </w:tcPr>
          <w:p>
            <w:pPr>
              <w:jc w:val="center"/>
              <w:ind w:right="220"/>
              <w:spacing w:after="0" w:line="153" w:lineRule="exact"/>
              <w:rPr>
                <w:sz w:val="20"/>
                <w:szCs w:val="20"/>
                <w:color w:val="auto"/>
              </w:rPr>
            </w:pPr>
            <w:r>
              <w:rPr>
                <w:rFonts w:ascii="Arial" w:cs="Arial" w:eastAsia="Arial" w:hAnsi="Arial"/>
                <w:sz w:val="14"/>
                <w:szCs w:val="14"/>
                <w:b w:val="1"/>
                <w:bCs w:val="1"/>
                <w:color w:val="auto"/>
                <w:w w:val="88"/>
              </w:rPr>
              <w:t>(net of expenses)</w:t>
            </w: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67"/>
        </w:trPr>
        <w:tc>
          <w:tcPr>
            <w:tcW w:w="72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-10%</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rPr>
              <w:t>0%</w:t>
            </w:r>
          </w:p>
        </w:tc>
        <w:tc>
          <w:tcPr>
            <w:tcW w:w="4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5%</w:t>
            </w:r>
          </w:p>
        </w:tc>
        <w:tc>
          <w:tcPr>
            <w:tcW w:w="4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Corresponding return to stockholder (1)</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-20.50%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w w:val="95"/>
              </w:rPr>
              <w:t>-11.26%</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-2.01%</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7.23%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16.47%</w:t>
            </w:r>
          </w:p>
        </w:tc>
      </w:tr>
    </w:tbl>
    <w:p>
      <w:pPr>
        <w:spacing w:after="0" w:line="229" w:lineRule="exact"/>
        <w:rPr>
          <w:sz w:val="20"/>
          <w:szCs w:val="20"/>
          <w:color w:val="auto"/>
        </w:rPr>
      </w:pPr>
    </w:p>
    <w:p>
      <w:pPr>
        <w:ind w:left="460" w:right="12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as of December 31, 2015, (i) $1.5 billion in total assets, (ii) $655.3 million in outstanding indebtedness, (iii) $820.7 million in net assets and (iv) annualized interest cost of 2.52%, under the terms of our debt.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business, financial conditions or results of operations.</w:t>
      </w:r>
    </w:p>
    <w:p>
      <w:pPr>
        <w:spacing w:after="0" w:line="117"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Pending legislation may allow us to incur additional leverage.</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a BDC, under the 1940 Act we generally are not permitted to incur borrowings, issue debt securities or issue preferred stock unless immediately after the borrowing or issuance the ratio of total assets (less total liabilities other than indebtedness) to total indebtedness plus preferred stock is at least 200%. Legislation introduced in the U.S. House of Representatives, if passed, would modify this section of the 1940 Act and increase the amount of debt that BDCs may incur by modifying the asset coverage percentage from 200% to 150%. As a result, we may be able to incur additional indebtedness in the future and you may face increased investment risk. In addition, since our Management Fee is calculated as a percentage of the value of our gross assets, which includes cash, cash equivalents and any borrowings for investment purposes, our Management Fee expenses will increase if we incur additional indebtedness.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investment opportunities.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source investments, access financing or manage future growth effectively, we may be unable to achieve our investment objective.</w:t>
      </w:r>
    </w:p>
    <w:p>
      <w:pPr>
        <w:spacing w:after="0" w:line="14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in the event the value of your investment declines, the Management Fee and, in certain circumstances, the Incentive Fee will still be payable to the Adviser.</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including investors in offerings of common stock pursuant to this prospectus. Given the subjective nature of the investment decisions that our Adviser will make on our behalf, we may not be able to monitor this potential conflict of interest.</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Incentive Fee is calculated as a percentage of pre-Incentive Fee net investment income. Since pre-Incentive Fee net investment income does not include any realized capital gains, realized capital losses or unrealized capital appreciation or depreciation,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67"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Also,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incur significant realized capital losses and unrealized capital depreciation on the remaining investments in our portfolio during subsequent years. Incentive Fees earned in prior years cannot be clawed back even if we later incur losses.</w:t>
      </w:r>
    </w:p>
    <w:p>
      <w:pPr>
        <w:spacing w:after="0" w:line="15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income-producing investments. Such a practice could result in our making more speculative investments than would otherwise be the case, which could result in higher investment losses, particularly during cyclical economic downturns.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To the extent that we do not realize income or choose not to retain after-tax realized net capital gains, we will have a greater need for additional capital to fund our investments and operating expenses.</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unable to maintain our qualification as a RIC under Subchapter M of the Code, including as a result of our failure to satisfy the RIC distribution requirements.</w:t>
      </w:r>
    </w:p>
    <w:p>
      <w:pPr>
        <w:spacing w:after="0" w:line="6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60"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must distribute (or be treated as distributing) dividends for tax purposes in each taxable year equal to at least 90% of each of:</w:t>
      </w:r>
    </w:p>
    <w:p>
      <w:pPr>
        <w:spacing w:after="0" w:line="130" w:lineRule="exact"/>
        <w:rPr>
          <w:rFonts w:ascii="Arial" w:cs="Arial" w:eastAsia="Arial" w:hAnsi="Arial"/>
          <w:sz w:val="18"/>
          <w:szCs w:val="18"/>
          <w:color w:val="auto"/>
        </w:rPr>
      </w:pPr>
    </w:p>
    <w:p>
      <w:pPr>
        <w:ind w:left="1480" w:right="700" w:hanging="446"/>
        <w:spacing w:after="0" w:line="277"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sum of our net ordinary income and realized net short-term capital gains in excess of realized net long-term capital losses or, investment company taxable income, if any, for that taxable year;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our net tax-exempt income for that taxable year.</w:t>
      </w:r>
    </w:p>
    <w:p>
      <w:pPr>
        <w:spacing w:after="0" w:line="225" w:lineRule="exact"/>
        <w:rPr>
          <w:sz w:val="20"/>
          <w:szCs w:val="20"/>
          <w:color w:val="auto"/>
        </w:rPr>
      </w:pPr>
    </w:p>
    <w:p>
      <w:pPr>
        <w:ind w:right="460" w:firstLine="456"/>
        <w:spacing w:after="0" w:line="302" w:lineRule="auto"/>
        <w:rPr>
          <w:sz w:val="20"/>
          <w:szCs w:val="20"/>
          <w:color w:val="auto"/>
        </w:rPr>
      </w:pPr>
      <w:r>
        <w:rPr>
          <w:rFonts w:ascii="Arial" w:cs="Arial" w:eastAsia="Arial" w:hAnsi="Arial"/>
          <w:sz w:val="16"/>
          <w:szCs w:val="16"/>
          <w:color w:val="auto"/>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60" w:lineRule="exact"/>
        <w:rPr>
          <w:sz w:val="20"/>
          <w:szCs w:val="20"/>
          <w:color w:val="auto"/>
        </w:rPr>
      </w:pPr>
    </w:p>
    <w:p>
      <w:pPr>
        <w:ind w:left="900" w:right="3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derive at least 90% of our gross income for each taxable year from dividends, interest, gains from the sale of or other disposition of stock or securities or similar sources.</w:t>
      </w:r>
    </w:p>
    <w:p>
      <w:pPr>
        <w:spacing w:after="0" w:line="75" w:lineRule="exact"/>
        <w:rPr>
          <w:rFonts w:ascii="Arial" w:cs="Arial" w:eastAsia="Arial" w:hAnsi="Arial"/>
          <w:sz w:val="18"/>
          <w:szCs w:val="18"/>
          <w:color w:val="auto"/>
        </w:rPr>
      </w:pPr>
    </w:p>
    <w:p>
      <w:pPr>
        <w:ind w:left="900" w:right="20" w:hanging="325"/>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4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can be expected to retain some income and capital gains in excess of what is permissible for excise tax purposes and such amounts will be subject to 4% U.S. federal excise tax.</w:t>
      </w:r>
    </w:p>
    <w:p>
      <w:pPr>
        <w:spacing w:after="0" w:line="62"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December 31, 2015 and December 31, 2014, we elected to retain approximately $38 million and $31 million of taxable income and capital gains, respectively, in order to provide us with additional liquidity and we recorded a net expense of $1.5 million and $1.1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“Material U.S. Federal Income Tax Considerations—Regulated Investment Company Classification.”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Adviser and its affiliates, officers and employees may face certain conflicts of interest.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78"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TSSP has organized a separate investment vehicle, TSL Europe, aimed specifically at European middle-market loan originations and may 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TSSP or TPG senior professionals. As a result, the Adviser and its affiliates may face conflicts in allocating investment opportunities between us and those other entities. It is possible that we may not be given the opportunity to participate in certain investments made by other TSSP or TPG vehicles that would otherwise be suitable for us.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TPG and the Adviser were to determine that an investment is appropriate both for us and for one or more other TSSP or TPG vehicles, we would only be able to make the investment in conjunction with another vehicle to the extent the exemptive order granted to us by the SEC permits us to do so or the investment is otherwise permitted under relevant SEC guidance. On December 16, 2014, we were granted an exemptive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and that the terms and conditions of the investment applicable to any affiliates of TSSP and TPG must be the same as those applicable to us. We cannot assure you when or whether we will apply for any other exemptive relief in the future and whether such orders will be obtained. See “Related-Party Transactions and Certain Relationships.”</w:t>
      </w:r>
    </w:p>
    <w:p>
      <w:pPr>
        <w:spacing w:after="0" w:line="274"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Our Adviser can resign on 60 days’ notice. We may not be able to find a suitable replacement within that time, resulting in a disruption in our operations and a loss of the benefits from our relationship with TSSP and TPG. Any new investment advisory agreement would require stockholder approval.</w:t>
      </w:r>
    </w:p>
    <w:p>
      <w:pPr>
        <w:spacing w:after="0" w:line="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Adviser has the right, under the Investment Advisory Agreement and the Administration Agreement, to resign at any time on 60 days’ written notice, regardless of whether we have found a replacement. In addition,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distributions, are likely to be adversely affected, and the value of our common stock may decline.</w:t>
      </w:r>
    </w:p>
    <w:p>
      <w:pPr>
        <w:spacing w:after="0" w:line="16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new Investment Advisory Agreement would be subject to approval by our stockholders. Even if we are able to enter into comparable management or administrative arrangements, the integration of a new adviser or administrator and their lack of familiarity with our investment objective may result in additional costs and time delays that may adversely affect our business, financial condition and results of operations.</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if the Adviser resigns or is terminated, we would lose the benefits of our relationship with TSSP and TPG, including insights into our existing portfolio, market expertise, sector and macroeconomic views and due diligence capabilities, as well as any investment opportunities referred to us by TSSP and TPG. We also would no longer be able to use TPG’s name and logo because our license agreement would terminate upon the termination of the Investment Advisory Agreement.</w:t>
      </w:r>
    </w:p>
    <w:p>
      <w:pPr>
        <w:spacing w:after="0" w:line="29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our status as a BDC would reduce our operating flexibility.</w:t>
      </w:r>
    </w:p>
    <w:p>
      <w:pPr>
        <w:spacing w:after="0" w:line="11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a publicly traded company, we incur legal, accounting, investor relations and other expenses, including costs associated with corporate governance requirements, such as those under the Sarbanes-Oxley Act of 2002, or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26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required to comply with the independent auditor attestation requirements of Section 404 of the Sarbanes-Oxley Act. Complying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404 requires a rigorous compliance program as well as adequate time and resources. We may not be able to complete our internal control evaluation,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testing and any required remediation in a timely fashion. Additionally, if we identify one or more material weaknesses in our internal control over financial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reporting, we will be unable to assert that our internal controls are effective. If we are unable to assert that our internal control over financial reporting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or if our auditors are unable to attest to management’s report on the effectiveness of our internal controls, we could lose investor confidence 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accuracy and completeness of our financial reports, which would have a material adverse effect on the price of our securities.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fluctuations in our quarterly results.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2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of the General Corporation Law of the State of Delaware and our certificate of incorporation and bylaws could deter takeover attempts and have an adverse effect on the price of our common stock.</w:t>
      </w:r>
    </w:p>
    <w:p>
      <w:pPr>
        <w:spacing w:after="0" w:line="62"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General Corporation Law of the State of Delaware, or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 See “Description of Our Capital Stock—Anti-Takeover Provisions.”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to pay dividends.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is highly dependent on the communications and information systems of the Adviser, its affiliates and third parties.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disease pandemics;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7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A cyber incident is considered to be any adverse event that threatens the confidentiality, integrity or availability of our information resources. These incidents may be an intentional attack or an unintentional event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make distributions.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laws or regulations governing our operations may adversely affect our business.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Any changes to the laws and regulations governing our operations may cause us to alter our investment strategy to avail ourselves of new or different opportunities. For more information on tax regulatory risks, see “Risks Related to our Portfolio Company Investments.”</w:t>
      </w:r>
    </w:p>
    <w:p>
      <w:pPr>
        <w:spacing w:after="0" w:line="182"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On July 21, 2010, the Wall Street Reform and Consumer Protection Act, or the Dodd-Frank Act, was signed into law. Although passage of the Dodd-Frank Act has resulted in extensive rulemaking and regulatory changes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affect us and the financial industry as a whole, many of its provisions remain subject to extended implementation periods and delayed effective dates and will require extensive rulemaking by regulatory authorities. While the full impact of the Dodd-Frank Act on us and our portfolio companies may not be known for an extended period of time, the Dodd-Frank Act, including future rules implementing its provisions and the interpretation of those rules, along with other legislative and regulatory proposals directed at the financial services industry or affecting taxation that are proposed or pending in the U.S. Congress, may negatively impact the operations, cash flows or financial condition of us or our portfolio companies, impose additional costs on us or our portfolio companies, intensify the regulatory supervision of us or our portfolio companies or otherwise adversely affect our business or the business of our portfolio companies.</w:t>
      </w:r>
    </w:p>
    <w:p>
      <w:pPr>
        <w:spacing w:after="0" w:line="18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Economic Conditions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current state of the economy and financial markets increases the likelihood of adverse effects on our financial position and results of operations.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U.S. capital markets experienced extreme volatility and disruption in recent years, leading to recessionary conditions and depressed levels of consumer and commercial spending. Disruptions in the capital markets increased the spread between the yields realized on risk-free and higher risk securities, resulting in illiquidity in parts of the capital markets. Although recent indicators suggest improvement in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94"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receipt of a reduced level of interest income from our portfolio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decreases in the value of collateral securing some of our loans and the value of our equity investments;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ultimately, losses or charge-offs related to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Uncertainty about financial stability could have a significant adverse effect on our business, results of operations and financial condition.</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Due to federal budget deficit concerns, S&amp;P downgraded the federal government’s credit rating from AAA to AA+ for the first time in history on August 5, 2011. Further, Moody’s and Fitch warned that they may downgrade the federal government’s credit rating. Further downgrades or warnings by S&amp;P or other rating agencies, and the government’s credit and deficit concerns in general, could cause interest rates and borrowing costs to rise, which may negatively impact both the perception of credit risk associated with our debt portfolio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continues to negatively impact consumer confidence and consumer credit factors, our business and results of operations could be significantly and adversely affected.</w:t>
      </w:r>
    </w:p>
    <w:p>
      <w:pPr>
        <w:spacing w:after="0" w:line="187"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2014, the Federal Reserve announced that it was concluding its bond-buying program, or quantitative easing, which was designed to stimulate the economy and expand the Federal Reserve’s holdings of long-term securities, suggesting that key economic indicators, such as the unemployment rate, had showed signs of improvement since the inception of the program. It is unclear what effect, if any, the conclusion of the Federal Reserve’s bond-buying program will have on the value of our investments. However, it is possible that, without quantitative easing by the Federal Reserve, these developments, along with the United States government’s credit and deficit concerns and the European sovereign debt crisis, could cause interest rates and borrowing costs to rise, which may negatively impact our ability to access the debt markets on favorable terms. Additionally, in December 2015, the Federal Reserve raised the target range for the federal funds rate by 0.25%. However, if key economic indicators, such as the unemployment rate or inflation, do not progress at a rate consistent with the Federal Reserve’s objectives, the target range for the federal funds rate may further increase and cause interest rates and borrowing costs to rise, which may negatively impact our ability to access the debt markets on favorable terms.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investments in energy companies.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2015, our investments in portfolio companies that operate in the oil, gas and consumable fuels industry represent 3.2% of our total portfolio. The energy industry has been in a period of disruption and volatility that has been characterized by decreases in oil and gas prices and production levels. This disruption and volatility has led to, and future disruptions and volatility may lead to, decreases in the credit quality and performance of certain of our debt and equity investments in energy companies, which could, in turn, negatively impact the fair value of our investments in energy companies. Any prolonged decline in oil and gas prices or production levels could adversely impact the ability of our portfolio companies in the energy industry to satisfy financial or operating covenants that may be imposed by us and other lenders or to make payments to us as and when due, which could have a material adverse effect on our business, financial condition and results of operations. In addition, energy companies are subject to supply and demand fluctuations in the markets in which they operate, which are impacted by numerous factors, including weather, use of renewable fuel sources, natural disasters, governmental regulation and general economic conditions, in addition to the effects of increasing regulation and general operational risks, any of which could have a material adverse effect on the performance and value of our energy-related investments as well as our cash flows from such investments.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are very risky and highly speculative.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When we make a first-lien loan, we generally take a security interest in the available assets of the portfolio company,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interests of its subsidiaries, which we expect to help mitigate the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78"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i w:val="1"/>
          <w:iCs w:val="1"/>
          <w:color w:val="auto"/>
        </w:rPr>
        <w:t xml:space="preserve">Second-Lien and Mezzanine Debt. </w:t>
      </w:r>
      <w:r>
        <w:rPr>
          <w:rFonts w:ascii="Arial" w:cs="Arial" w:eastAsia="Arial" w:hAnsi="Arial"/>
          <w:sz w:val="18"/>
          <w:szCs w:val="18"/>
          <w:color w:val="auto"/>
        </w:rPr>
        <w:t>Our investments in second-lien and mezzanine debt generally are subordinated to senior loans and will either have</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security interests or be unsecured. As such, other creditors may rank senior to us in the event of insolvency. This may result in greater risk and loss of principal.</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i w:val="1"/>
          <w:iCs w:val="1"/>
          <w:color w:val="auto"/>
        </w:rPr>
        <w:t xml:space="preserve">Equity and Other Investments. </w:t>
      </w:r>
      <w:r>
        <w:rPr>
          <w:rFonts w:ascii="Arial" w:cs="Arial" w:eastAsia="Arial" w:hAnsi="Arial"/>
          <w:sz w:val="18"/>
          <w:szCs w:val="18"/>
          <w:color w:val="auto"/>
        </w:rPr>
        <w:t>When we invest in first-lien debt, second-lien debt or mezzanine debt, we may acquire equity securities,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To the extent we invest in preferred securities, we may incur particular risks, including:</w:t>
      </w:r>
    </w:p>
    <w:p>
      <w:pPr>
        <w:spacing w:after="0" w:line="131" w:lineRule="exact"/>
        <w:rPr>
          <w:sz w:val="20"/>
          <w:szCs w:val="20"/>
          <w:color w:val="auto"/>
        </w:rPr>
      </w:pPr>
    </w:p>
    <w:p>
      <w:pPr>
        <w:ind w:left="900" w:right="8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pacing w:after="0" w:line="75"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our investments generally involve a number of significant risks, including:</w:t>
      </w:r>
    </w:p>
    <w:p>
      <w:pPr>
        <w:spacing w:after="0" w:line="131" w:lineRule="exact"/>
        <w:rPr>
          <w:sz w:val="20"/>
          <w:szCs w:val="20"/>
          <w:color w:val="auto"/>
        </w:rPr>
      </w:pPr>
    </w:p>
    <w:p>
      <w:pPr>
        <w:ind w:left="900" w:right="26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86"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29" w:lineRule="exact"/>
        <w:rPr>
          <w:rFonts w:ascii="Arial" w:cs="Arial" w:eastAsia="Arial" w:hAnsi="Arial"/>
          <w:sz w:val="16"/>
          <w:szCs w:val="16"/>
          <w:color w:val="auto"/>
        </w:rPr>
      </w:pPr>
    </w:p>
    <w:p>
      <w:pPr>
        <w:ind w:left="900" w:right="140" w:hanging="325"/>
        <w:spacing w:after="0" w:line="264"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64"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86"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75"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officers, directors and Adviser may, in the ordinary course of business, be named as defendants in litigation arising from our investments in the portfolio companies;</w:t>
      </w:r>
    </w:p>
    <w:p>
      <w:pPr>
        <w:spacing w:after="0" w:line="75" w:lineRule="exact"/>
        <w:rPr>
          <w:rFonts w:ascii="Arial" w:cs="Arial" w:eastAsia="Arial" w:hAnsi="Arial"/>
          <w:sz w:val="18"/>
          <w:szCs w:val="18"/>
          <w:color w:val="auto"/>
        </w:rPr>
      </w:pPr>
    </w:p>
    <w:p>
      <w:pPr>
        <w:ind w:left="900" w:right="260" w:hanging="325"/>
        <w:spacing w:after="0" w:line="34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29" w:lineRule="exact"/>
        <w:rPr>
          <w:rFonts w:ascii="Arial" w:cs="Arial" w:eastAsia="Arial" w:hAnsi="Arial"/>
          <w:sz w:val="16"/>
          <w:szCs w:val="16"/>
          <w:color w:val="auto"/>
        </w:rPr>
      </w:pPr>
    </w:p>
    <w:p>
      <w:pPr>
        <w:ind w:left="900" w:right="10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companies in which we invest may have difficulty accessing the capital markets to meet future capital needs, which may limit their ability to grow or to repay their outstanding indebtedness upon maturity.</w:t>
      </w:r>
    </w:p>
    <w:p>
      <w:pPr>
        <w:spacing w:after="0" w:line="27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i w:val="1"/>
          <w:iCs w:val="1"/>
          <w:color w:val="auto"/>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7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2"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Decreases in the market values or fair values of our investments are recorded as unrealized depreciation. The effect of all of these factors on our portfolio can reduce our net asset value by increasing net unrealized depreciation in our portfolio. Depending on market conditions, we could incur substantial realized losses and may suffer unrealized losses, which could have a material adverse impact on our business, financial condition and results of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lack of liquidity in our investments may adversely affect our business.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28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3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securitize certain of our investments, which may subject us to certain structured financing risks.</w:t>
      </w:r>
    </w:p>
    <w:p>
      <w:pPr>
        <w:spacing w:after="0" w:line="117"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4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If we were to create a CLO or other securitization vehicle, we would depend on distributions from the vehicle to make distributions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 CLO or other securitization vehicle, if created, also would likely be consolidated in our financial statements and consequently affect our asset coverage ratio, which may limit our ability to incur additional leverage. See “Regulation.”</w:t>
      </w:r>
    </w:p>
    <w:p>
      <w:pPr>
        <w:spacing w:after="0" w:line="27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1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majority of our debt investments are based on floating rates, such as LIBOR, EURIBOR,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5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“—Risks Related to Economic Conditions— Uncertainty about financial stability could have a significant adverse effect on our business, results of operations and financial condition.”</w:t>
      </w:r>
    </w:p>
    <w:p>
      <w:pPr>
        <w:spacing w:after="0" w:line="16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7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We may use interest rate risk management techniques in an effort to limit our exposure to interest rate fluctuations. These techniques may include various interest rate hedging activities to the extent permitted by the 1940 Act. See “—Risks Related to Our Portfolio Company Investments—We expose ourselves to risks when we engage in hedging transactions.”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expected returns on our invested capital.</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We may not realize expected returns on our investment in a portfolio company due to changes in the portfolio company’s financial position or due to an acquisition of the portfolio company. If a portfolio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By originating loans to companies that are experiencing significant financial or business difficulties, we may be exposed to distressed lending risks.</w:t>
      </w:r>
    </w:p>
    <w:p>
      <w:pPr>
        <w:spacing w:after="0" w:line="14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portfolio companies in some cases may incur debt or issue equity securities that rank equally with, or senior to, our investments in those companies.</w:t>
      </w:r>
    </w:p>
    <w:p>
      <w:pPr>
        <w:spacing w:after="0" w:line="15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8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special risks associated with bankruptcy cases.</w:t>
      </w:r>
    </w:p>
    <w:p>
      <w:pPr>
        <w:spacing w:after="0" w:line="11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w:t>
      </w:r>
    </w:p>
    <w:p>
      <w:pPr>
        <w:spacing w:after="0" w:line="17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 To the extent we and an affiliate both hold investments in the same portfolio company that are of a different character, we may also face restrictions on our ability to become actively involved in the event that portfolio company becomes distressed as a result of the restrictions imposed on transactions involving affiliates under the 1940 Act. In such cases, we may be unable to exercise rights we may otherwise have to protect our interests as security holders in such portfolio company.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make follow-on investments in our portfolio companies could impair the value of our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Following an initial investment in a portfolio company, we may make additional investments in that portfolio company as “follow-on” investments to:</w:t>
      </w:r>
    </w:p>
    <w:p>
      <w:pPr>
        <w:spacing w:after="0" w:line="15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pacing w:after="0" w:line="181"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with our affiliates is restricted.</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prohibited under the 1940 Act from participating in certain transactions with certain of our affiliates without the prior approval of our Independent Directors and, in some cases, may require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may require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66"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The decision by TSSP, TPG or our Adviser to allocate an opportunity to another entity could cause us to forgo an investment opportunity that we otherwise would have made. We also generally will be unable to invest in any issuer in which TPG and its other affiliates or a fund managed by TPG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5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with affiliates of TSSP and TPG in middle-market loan origination activities for companies domiciled in the United States and certain “follow-on” investments in companies in which we have already co-invested pursuant to the order and remain invested. We and our affiliates, including investment funds managed by our affiliates, are only permitted to co-invest in accordance with the terms of the exemptive order or in the limited circumstances otherwise currently permitted by regulatory guidance. See “Related-Party Transactions and Certain Relationships—Exemptive Relief” for more information on the terms of the exemptive order.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acquisitions or strategic investments that we pursue are subject to risks and uncertainties.</w:t>
      </w:r>
    </w:p>
    <w:p>
      <w:pPr>
        <w:spacing w:after="0" w:line="11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6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cannot guarantee that we will be able to obtain various required licenses in U.S. states or in any other jurisdiction where they may be required in the future.</w:t>
      </w:r>
    </w:p>
    <w:p>
      <w:pPr>
        <w:spacing w:after="0" w:line="62"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foreign companies may involve significant risks in addition to the risks inherent in U.S. investments.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investment strategy may include potential investments in foreign companies. Investing in foreign companies may expose us to additional risks not typically associated with investing in U.S. companies. These risks include changes in exchange control regulations,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In addition, interest income derived from loans to foreign companies is not eligible to be distributed to our non-U.S. stockholders free from withholding taxes.</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cannot assure you that such strategies will be effective or without risk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expose ourselves to risks when we engage in hedging transactions.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in non-U.S. denominated currencies, our hedging costs will increase.</w:t>
      </w:r>
    </w:p>
    <w:p>
      <w:pPr>
        <w:spacing w:after="0" w:line="1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also have the ability to borrow in certain foreign currencies under the second amended and restated senior secured revolving credit agreement, as amended, with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Hedging against a decline in the values of our portfolio positions would not eliminate the possibility of fluctuations in the values of such positions or prevent losses if the values of such positions were to decline.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the offering of our Convertible Senior Notes, which bear interest at a fixed rate, we entered into fixed-to-floating interest rate swaps to continue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See also “—Risks Related to Our Portfolio Company Investments—We are exposed to risks associated with changes in interest rates” and “Management’s Discussion and Analysis of Financial Condition and Results of Operations—Results of Operations—Hedging.”</w:t>
      </w:r>
    </w:p>
    <w:p>
      <w:pPr>
        <w:spacing w:after="0" w:line="18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addition, recent and anticipated regulatory changes require that certain types of swaps, including interest rate and credit default swaps, be cleared and traded on regulated platforms, and these regulatory changes are expected to apply to foreign exchange transactions in the future. Cleared swaps, such as the interest rate swaps we entered into in connection with our Convertible Senior Notes offering, require us to post collateral. Any failure by us to fulfill any collateral requirement (e.g., a so-called “margin call”) may result in a default and could have a material adverse impact on our business, financial condition and results of operations. U.S. regulators have adopted rules imposing margin requirements for derivatives executed with registered swap dealers that are not cleared. These new requirements could significantly increase the cost of using non-cleared swaps to hedge our interest rate and foreign exchange risk.</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Finally, the SEC has issued a proposed rule, Rule 18f-4, that if adopted would potentially constrain our ability to use swaps and other derivatives. Among other requirements, the proposed rule could potentially force us to reduce our use of leverage if our aggregate exposure to swap or derivative positions, together with outstanding leverage and any financial commitments to our portfolio companies, exceeds 150 percent of our net asset value, absent an assessment that our use of derivatives reduces our actual portfolio risk. In addition, we may be required under the proposed rule to carry sufficient cash and cash equivalents to meet our actual, and in some cases, expected future, obligations under any swaps or derivatives we currently have in place, which could cause the returns on our overall portfolio to be lower as a result. We cannot assure you when or if the proposed rule will be adopted by the SEC, and if adopted, whether the final rule will similarly constrain our ability to utilize swaps and derivatives in the future.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cease to be eligible for an exemption from regulation as a commodity pool operator, our compliance expenses could increase substantially.</w:t>
      </w:r>
    </w:p>
    <w:p>
      <w:pPr>
        <w:spacing w:after="0" w:line="140"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Our Adviser has been granted relief under a no-action letter, known as Letter 12-40, issued by the staff of the Commodity Futures Trading Commission, or CFTC. Letter 12-40 relieves our Adviser from registering with the CFTC as the commodity pool operator, or CPO, of us, so long as we:</w:t>
      </w:r>
    </w:p>
    <w:p>
      <w:pPr>
        <w:spacing w:after="0" w:line="52"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continue to be regulated by the SEC as a BDC;</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confine our trading in CFTC-regulated derivatives within specified thresholds;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are not marketed to the public as a commodity pool or as a vehicle for trading in CFTC-regulated derivatives.</w:t>
      </w:r>
    </w:p>
    <w:p>
      <w:pPr>
        <w:spacing w:after="0" w:line="225" w:lineRule="exact"/>
        <w:rPr>
          <w:sz w:val="20"/>
          <w:szCs w:val="20"/>
          <w:color w:val="auto"/>
        </w:rPr>
      </w:pPr>
    </w:p>
    <w:p>
      <w:pPr>
        <w:ind w:right="200" w:firstLine="456"/>
        <w:spacing w:after="0" w:line="286" w:lineRule="auto"/>
        <w:rPr>
          <w:sz w:val="20"/>
          <w:szCs w:val="20"/>
          <w:color w:val="auto"/>
        </w:rPr>
      </w:pPr>
      <w:r>
        <w:rPr>
          <w:rFonts w:ascii="Arial" w:cs="Arial" w:eastAsia="Arial" w:hAnsi="Arial"/>
          <w:sz w:val="16"/>
          <w:szCs w:val="16"/>
          <w:color w:val="auto"/>
        </w:rPr>
        <w:t>If we were not to satisfy the conditions of Letter 12-40 in the future, our Adviser may be subject to registration with the CFTC as a CPO. Registered CPOs must comply with numerous substantive regulations related to disclosure, reporting and recordkeeping, and are required to become members of the National Futures Association, or the NFA, and be subject to the NFA’s rules and bylaws. Compliance with these additional registration and regulatory requirements could increase our expenses and impact performance. The Adviser previously relied on the exemption from registration in CFTC Rule 4.13(a)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which is not available for advisers of companies whose stock is marketed to the public.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portfolio investments may present special tax issues.</w:t>
      </w:r>
    </w:p>
    <w:p>
      <w:pPr>
        <w:spacing w:after="0" w:line="117"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“Material U.S. Federal Income Tax Considerations—Regulated Investment Company Classification.”</w:t>
      </w:r>
    </w:p>
    <w:p>
      <w:pPr>
        <w:spacing w:after="0" w:line="286"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b w:val="1"/>
          <w:bCs w:val="1"/>
          <w:i w:val="1"/>
          <w:iCs w:val="1"/>
          <w:color w:val="auto"/>
        </w:rPr>
        <w:t>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w:t>
      </w:r>
    </w:p>
    <w:p>
      <w:pPr>
        <w:spacing w:after="0" w:line="39"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We expect to be treated as a “publicly offered regulated investment company” as a result of shares of our common stock being treated as regularly traded on an established securities market. However, we cannot assure you that we will be treated as a publicly offered regulated investment company for all years. For example, if our shares are not treated as regularly traded and we are not held by more than 500 persons at all times during the taxable year, we might not be treated as a publicly offered regulated investment company. If we are not treated as a publicly offered regulated investment company for any calendar year, each U.S. stockholder that is an individual, trust or estate will be treated as having received a dividend from us in the amount of such U.S. stockholder’s allocable share of the Management Fees and Incentive Fees paid to our Adviser and certain of our other expenses for the calendar year, and these fees and expenses will be treated as miscellaneous itemized deductions of such U.S. stockholder. Miscellaneous itemized deductions generally are deductible by a U.S.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stockholder that is an individual, trust or estate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the Code. See “Material U.S. Federal Income Tax Considerations—Taxation of U.S. Stockholders—Potential Limitation with Respect to Certain U.S. Stockholders on Deductions for Certain Fees and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risks associated with holding debt obligations that have original issue discount or payment-in-kind interest.</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81"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66"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distributions.</w:t>
      </w:r>
    </w:p>
    <w:p>
      <w:pPr>
        <w:spacing w:after="0" w:line="14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accounting purposes, any cash distributions to stockholders representing OID income are not treated as coming from paid-in capital, even if the cash to pay them comes from the proceeds of issuances of our common stock. As a result, despite the fact that a distribution representing OID income could be paid out of amounts invested by our stockholders, the 1940 Act does not require that stockholders be given notice of this fact by reporting it as a return of capital.</w:t>
      </w:r>
    </w:p>
    <w:p>
      <w:pPr>
        <w:spacing w:after="0" w:line="187"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Offerings Pursuant to This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a risk that investors in our common stock may not receive dividends or that our dividends may not grow over time.</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intend to continue making distributions on a quarterly basis to our stockholders out of assets legally available for distribution. We cannot assure you that we will achieve investment results or maintain a tax status that will allow or require any specified level of cash distributions or year-to-year increases in cash distributions. Our ability to pay distributions might be adversely affected by the impact of one or more of the risk factors described in this prospectus. Due to the asset coverage test applicable to us under the 1940 Act as a BDC or restrictions under our credit facilities, we may be limited in our ability to make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color w:val="auto"/>
        </w:rPr>
        <w:t>including in connection with the accretion of OID. For other risks associated with debt obligations treated as having OID, see “—Risks Related to Our Portfolio Company Investments— There are certain risks associated with holding debt obligations that have original issue discount or payment-in-kind interest.”</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pacing w:after="0" w:line="17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 high degree of risk.</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fluctuate significantly.</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76" w:lineRule="exact"/>
        <w:rPr>
          <w:sz w:val="20"/>
          <w:szCs w:val="20"/>
          <w:color w:val="auto"/>
        </w:rPr>
      </w:pPr>
    </w:p>
    <w:p>
      <w:pPr>
        <w:ind w:left="900" w:right="4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is not necessarily related to the operating performance of these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exclusion of BDC common stock from certain market indices, which could reduce the ability of certain investment funds to own our common stock and put short term selling pressure on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RIC or BDC status;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earnings or variations in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perceived changes in the value of our portfolio of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accounting guidelines governing valuation of our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downgrades to our credit rating or placement on a negative watch status by a credit rating agency;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departure of the Adviser’s or any of its affiliates’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short-selling pressure with respect to shares of our common stock or BDCs generally;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future sales of our securities convertible into or exchangeable or exercisable for our common stock or the conversion of such securities;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uncertainty surrounding the strength of the U.S. economic recovery;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regarding European sovereign debt;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concerns regarding volatility in the Chinese stock market and Chinese currency;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base interest rates, such as LIBOR, EURIBOR, the Federal Funds Rate or the Prime Rate;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that the market price of shares of our common stock will not decline.</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below net asset value. We cannot predict whether our common stock will trade at, above or below net asset value. In addition, if our common stock trades below its net asset value,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w:t>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 may have an adverse effect on the market price of our common stock.</w:t>
      </w:r>
    </w:p>
    <w:p>
      <w:pPr>
        <w:spacing w:after="0" w:line="14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Sales of substantial amounts of our common stock, the availability of such common stock for sale (including as a result of the conversion of our Convertible Senior Notes into common stock)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our Convertible Senior Notes.</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Our Convertible Senior Notes are convertible into shares of our common stock beginning on June 15, 2019 or, under certain circumstances, earlier. Upon conversion of the Convertible Senior Notes, we have the choice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pay or deliver, as the case may be, at our election, cash, shares of our common stock or a combination of cash and shares of our common stock. The initial conversion price of the Convertible Senior Notes is $25.83, subject to adjustment in certain circumstances. If we elect to deliver shares of common stock upon a conversion at the time our tangible book value per share exceeds the conversion price in effect at such time, our stockholders may incur dilution. In addition, our stockholders will experience dilution in their ownership percentage of common stock upon our issuance of common stock in connection with the conversion of the Convertible Senior Notes and any dividends paid on our common stock will also be paid on shares issued in connection with such conversion after such issuance.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will experience dilution in their ownership percentage if they opt out of our dividend reinvestment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w:t>
      </w:r>
    </w:p>
    <w:p>
      <w:pPr>
        <w:spacing w:after="0" w:line="188"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color w:val="auto"/>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28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the price of our common stock being higher than the price that otherwise might exist in the open market.</w:t>
      </w:r>
    </w:p>
    <w:p>
      <w:pPr>
        <w:spacing w:after="0" w:line="62"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We have entered into an agreement with Goldman, Sachs &amp; Co., which we refer to as the Company 10b5-1 Plan, in accordance with Rules 10b5-1 and 10b-18 under the Exchange Act, under which Goldman, Sachs &amp; Co., as agent for us, will buy up to $50 million of our common stock in the aggregate during the period ending on the earlier of the date on which all the capital committed to the plan has been exhausted or August 31, 2016.</w:t>
      </w:r>
    </w:p>
    <w:p>
      <w:pPr>
        <w:spacing w:after="0" w:line="16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our common stock by us under the Company 10b5-1 Plan may result in dilution to our net asset value per share.</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Because purchases under the Company 10b5-1 Plan are made beginning at any price below our most recently reported net asset value per share, if our net asset value per share as of the end of a quarter is lower than the net asset per share as of the end of the prior quarter, purchases under the Company 10b5-1 Plan during the period from the end of a quarter to the time of our earnings release announcing the new net asset value per share for that quarter may result in dilution to our net asset value per share. This dilution would occur because we would repurchase shares under the Company 10b5-1 Plan at a price above the net asset value per share as of the end of the most recent quarter end, which would cause a proportionately smaller increase in our stockholders’ interest in our earnings and assets and their voting interest in us than the decrease in our assets resulting from such repurchase. 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have broad discretion over the use of proceeds of any offering made pursuant to this prospectus, to the extent it is successful.</w:t>
      </w:r>
    </w:p>
    <w:p>
      <w:pPr>
        <w:spacing w:after="0" w:line="1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We will have significant flexibility in applying the proceeds of any offering made pursuant to this prospectus. For example, we may pay operating expenses from net proceeds, which could limit our ability to achieve our investment objective.</w:t>
      </w:r>
    </w:p>
    <w:p>
      <w:pPr>
        <w:spacing w:after="0" w:line="279"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w:t>
      </w:r>
    </w:p>
    <w:p>
      <w:pPr>
        <w:spacing w:after="0" w:line="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w:t>
      </w:r>
    </w:p>
    <w:p>
      <w:pPr>
        <w:spacing w:after="0" w:line="28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issue preferred stock, which could adversely affect the market value of our common stock and cause the net asset value and market value of our common stock to be more volatile.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preferred stock. This greater net asset value decrease would also tend to cause a greater decline in the market price for the common stock. We might be in danger of failing to maintain the required asset coverage of the 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w:t>
      </w:r>
    </w:p>
    <w:p>
      <w:pPr>
        <w:spacing w:after="0" w:line="2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Holders of any preferred stock we might issue would have the right to elect members of the board of directors and class voting rights on certain matters.</w:t>
      </w:r>
    </w:p>
    <w:p>
      <w:pPr>
        <w:spacing w:after="0" w:line="15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78"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In addition to factors identified elsewhere in this prospectus, the following factors, among others, could cause actual results to differ materially from forward-looking statements or historical performance:</w:t>
      </w:r>
    </w:p>
    <w:p>
      <w:pPr>
        <w:spacing w:after="0" w:line="76" w:lineRule="exact"/>
        <w:rPr>
          <w:sz w:val="20"/>
          <w:szCs w:val="20"/>
          <w:color w:val="auto"/>
        </w:rPr>
      </w:pPr>
    </w:p>
    <w:p>
      <w:pPr>
        <w:ind w:left="900" w:right="22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abilities to continue to operate, which could lead to the loss of some or all of our investments in those portfolio companies;</w:t>
      </w:r>
    </w:p>
    <w:p>
      <w:pPr>
        <w:spacing w:after="0" w:line="75" w:lineRule="exact"/>
        <w:rPr>
          <w:rFonts w:ascii="Arial" w:cs="Arial" w:eastAsia="Arial" w:hAnsi="Arial"/>
          <w:sz w:val="18"/>
          <w:szCs w:val="18"/>
          <w:color w:val="auto"/>
        </w:rPr>
      </w:pPr>
    </w:p>
    <w:p>
      <w:pPr>
        <w:ind w:left="900" w:right="20" w:hanging="325"/>
        <w:spacing w:after="0" w:line="342" w:lineRule="auto"/>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inability to access the capital markets could impair our ability to raise capital and our investment activities;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 entitled “Risk Factors” and elsewhere in this prospectus and in our filings with the SEC.</w:t>
      </w:r>
    </w:p>
    <w:p>
      <w:pPr>
        <w:spacing w:after="0" w:line="17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“Risk Factors” and elsewhere in this prospectus. You should not place undue reliance on these forward-looking statements, which apply only as of the date of this prospectus. We do not undertake any obligation to update or revise any forward-looking statements or any other information contained herein, except as required by applicable law. You should understand that, under Section 27A(b)(2)(B) of the Securities Act and Section 21E(b)(2)</w:t>
      </w:r>
    </w:p>
    <w:p>
      <w:pPr>
        <w:spacing w:after="0" w:line="3" w:lineRule="exact"/>
        <w:rPr>
          <w:sz w:val="20"/>
          <w:szCs w:val="20"/>
          <w:color w:val="auto"/>
        </w:rPr>
      </w:pPr>
    </w:p>
    <w:p>
      <w:pPr>
        <w:ind w:right="100" w:firstLine="8"/>
        <w:spacing w:after="0" w:line="261" w:lineRule="auto"/>
        <w:tabs>
          <w:tab w:leader="none" w:pos="28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the Exchange Act, the “safe harbor” provisions of the Private Securities Litigation Reform Act of 1995 do not apply to statements made in connection with any offering of securities pursuant to this prospectus.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w:t>
      </w:r>
    </w:p>
    <w:p>
      <w:pPr>
        <w:spacing w:after="0" w:line="18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estimate that it will take less than three months for us to substantially invest the net proceeds of any offering made pursuant to this prospectus, depending on the availability of attractive opportunities, market conditions and the amount raised.</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distributions, if any, during such period.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 AND DISTRIBUTIONS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common stock is traded on the NYSE under the symbol “TSLX.” Our common stock has historically traded at prices both above and below our net asset value per share. It is not possible to predict whether our common stock will trade at, above or below net asset value. See “Risk Factors—Risks Related to Offerings Pursuant to This Prospectus.”</w:t>
      </w:r>
    </w:p>
    <w:p>
      <w:pPr>
        <w:spacing w:after="0" w:line="181"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following table sets forth, for each fiscal quarter since our IPO, the net asset value per share of our common stock, the range of high and low closing sales prices of our common stock reported on the NYSE, the closing sales price as a premium (discount) to net asset value and the dividends or distributions declared by us. On March 30, 2016, the last reported closing sales price of our common stock on the NYSE was $16.15 per share, which represented a premium of approximately 6.6% to the net asset value per share reported by us as of December 31, 2015, the last date prior to the date of this prospectus for which we reported net asset value.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Price Range</w:t>
            </w:r>
          </w:p>
        </w:tc>
        <w:tc>
          <w:tcPr>
            <w:tcW w:w="5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High Sales</w:t>
            </w: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Low Sales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82"/>
        </w:trPr>
        <w:tc>
          <w:tcPr>
            <w:tcW w:w="4360" w:type="dxa"/>
            <w:vAlign w:val="bottom"/>
          </w:tcPr>
          <w:p>
            <w:pPr>
              <w:spacing w:after="0"/>
              <w:rPr>
                <w:sz w:val="6"/>
                <w:szCs w:val="6"/>
                <w:color w:val="auto"/>
              </w:rPr>
            </w:pPr>
          </w:p>
        </w:tc>
        <w:tc>
          <w:tcPr>
            <w:tcW w:w="8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Net Asset</w:t>
            </w:r>
          </w:p>
        </w:tc>
        <w:tc>
          <w:tcPr>
            <w:tcW w:w="26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520" w:type="dxa"/>
            <w:vAlign w:val="bottom"/>
          </w:tcPr>
          <w:p>
            <w:pPr>
              <w:spacing w:after="0"/>
              <w:rPr>
                <w:sz w:val="6"/>
                <w:szCs w:val="6"/>
                <w:color w:val="auto"/>
              </w:rPr>
            </w:pPr>
          </w:p>
        </w:tc>
        <w:tc>
          <w:tcPr>
            <w:tcW w:w="1500" w:type="dxa"/>
            <w:vAlign w:val="bottom"/>
            <w:gridSpan w:val="2"/>
            <w:vMerge w:val="restart"/>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128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Price to Net</w:t>
            </w:r>
          </w:p>
        </w:tc>
        <w:tc>
          <w:tcPr>
            <w:tcW w:w="240" w:type="dxa"/>
            <w:vAlign w:val="bottom"/>
          </w:tcPr>
          <w:p>
            <w:pPr>
              <w:spacing w:after="0"/>
              <w:rPr>
                <w:sz w:val="6"/>
                <w:szCs w:val="6"/>
                <w:color w:val="auto"/>
              </w:rPr>
            </w:pPr>
          </w:p>
        </w:tc>
        <w:tc>
          <w:tcPr>
            <w:tcW w:w="9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Dividend Per</w:t>
            </w:r>
          </w:p>
        </w:tc>
        <w:tc>
          <w:tcPr>
            <w:tcW w:w="0" w:type="dxa"/>
            <w:vAlign w:val="bottom"/>
          </w:tcPr>
          <w:p>
            <w:pPr>
              <w:spacing w:after="0"/>
              <w:rPr>
                <w:sz w:val="1"/>
                <w:szCs w:val="1"/>
                <w:color w:val="auto"/>
              </w:rPr>
            </w:pPr>
          </w:p>
        </w:tc>
      </w:tr>
      <w:tr>
        <w:trPr>
          <w:trHeight w:val="52"/>
        </w:trPr>
        <w:tc>
          <w:tcPr>
            <w:tcW w:w="436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High</w:t>
            </w: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Low</w:t>
            </w:r>
          </w:p>
        </w:tc>
        <w:tc>
          <w:tcPr>
            <w:tcW w:w="52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2"/>
                <w:szCs w:val="12"/>
                <w:b w:val="1"/>
                <w:bCs w:val="1"/>
                <w:color w:val="auto"/>
              </w:rPr>
              <w:t>(1)</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(2)</w:t>
            </w: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 xml:space="preserve">Share </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2014</w:t>
            </w: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First Quarter (beginning March 21, 2014)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15.51</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$16.70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$16.00</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7.7%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15.70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$23.90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$16.60</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Third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15.66</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$22.36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$16.01</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42.8%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15.53</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$15.74</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15.9%</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15.60</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$18.54</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$16.34</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18.8%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15.84</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$18.35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$17.00</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15.8%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15.62</w:t>
            </w:r>
          </w:p>
        </w:tc>
        <w:tc>
          <w:tcPr>
            <w:tcW w:w="12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$18.00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$16.22</w:t>
            </w:r>
          </w:p>
        </w:tc>
        <w:tc>
          <w:tcPr>
            <w:tcW w:w="2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15.2%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15.15</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$17.65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$15.97</w:t>
            </w:r>
          </w:p>
        </w:tc>
        <w:tc>
          <w:tcPr>
            <w:tcW w:w="2020" w:type="dxa"/>
            <w:vAlign w:val="bottom"/>
            <w:gridSpan w:val="3"/>
          </w:tcPr>
          <w:p>
            <w:pPr>
              <w:jc w:val="right"/>
              <w:ind w:right="460"/>
              <w:spacing w:after="0"/>
              <w:rPr>
                <w:sz w:val="20"/>
                <w:szCs w:val="20"/>
                <w:color w:val="auto"/>
              </w:rPr>
            </w:pPr>
            <w:r>
              <w:rPr>
                <w:rFonts w:ascii="Arial" w:cs="Arial" w:eastAsia="Arial" w:hAnsi="Arial"/>
                <w:sz w:val="18"/>
                <w:szCs w:val="18"/>
                <w:color w:val="auto"/>
              </w:rPr>
              <w:t>16.5%</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First Quarter (through March 30, 2016)</w:t>
            </w:r>
          </w:p>
        </w:tc>
        <w:tc>
          <w:tcPr>
            <w:tcW w:w="1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0"/>
              </w:rPr>
              <w:t>$16.86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$15.15</w:t>
            </w:r>
          </w:p>
        </w:tc>
        <w:tc>
          <w:tcPr>
            <w:tcW w:w="20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right="60" w:hanging="452"/>
        <w:spacing w:after="0" w:line="308"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w:t>
      </w:r>
    </w:p>
    <w:p>
      <w:pPr>
        <w:spacing w:after="0" w:line="173" w:lineRule="exact"/>
        <w:rPr>
          <w:rFonts w:ascii="Arial" w:cs="Arial" w:eastAsia="Arial" w:hAnsi="Arial"/>
          <w:sz w:val="17"/>
          <w:szCs w:val="17"/>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Calculated as the respective high or low closing sales price less net asset value, divided by net asset value (in each case, as of the applicable quarter).</w:t>
      </w:r>
    </w:p>
    <w:p>
      <w:pPr>
        <w:spacing w:after="0" w:line="275" w:lineRule="exact"/>
        <w:rPr>
          <w:rFonts w:ascii="Arial" w:cs="Arial" w:eastAsia="Arial" w:hAnsi="Arial"/>
          <w:sz w:val="16"/>
          <w:szCs w:val="16"/>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dividend or distribution declared in the relevant quarter.</w:t>
      </w:r>
    </w:p>
    <w:p>
      <w:pPr>
        <w:spacing w:after="0" w:line="252" w:lineRule="exact"/>
        <w:rPr>
          <w:sz w:val="20"/>
          <w:szCs w:val="20"/>
          <w:color w:val="auto"/>
        </w:rPr>
      </w:pPr>
    </w:p>
    <w:p>
      <w:pPr>
        <w:ind w:left="460" w:hanging="407"/>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asset value has not yet been reported for this period.</w:t>
      </w:r>
    </w:p>
    <w:p>
      <w:pPr>
        <w:spacing w:after="0" w:line="225" w:lineRule="exact"/>
        <w:rPr>
          <w:sz w:val="20"/>
          <w:szCs w:val="20"/>
          <w:color w:val="auto"/>
        </w:rPr>
      </w:pPr>
    </w:p>
    <w:p>
      <w:pPr>
        <w:ind w:right="440" w:firstLine="456"/>
        <w:spacing w:after="0" w:line="342" w:lineRule="auto"/>
        <w:rPr>
          <w:sz w:val="20"/>
          <w:szCs w:val="20"/>
          <w:color w:val="auto"/>
        </w:rPr>
      </w:pPr>
      <w:r>
        <w:rPr>
          <w:rFonts w:ascii="Arial" w:cs="Arial" w:eastAsia="Arial" w:hAnsi="Arial"/>
          <w:sz w:val="16"/>
          <w:szCs w:val="16"/>
          <w:color w:val="auto"/>
        </w:rPr>
        <w:t>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w:t>
      </w:r>
    </w:p>
    <w:p>
      <w:pPr>
        <w:spacing w:after="0" w:line="124"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On February 24, 2016, our Board declared a dividend of $0.39 per share for the quarter ending March 31, 2016 to stockholders of record as of March 31, 2016. The dividend is expected to be paid on or about April 29, 2016. We anticipate that this dividend will be paid from income generated primarily by interest earned on our investment portfolio.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Year Ended December 31, 2015</w:t>
            </w:r>
          </w:p>
        </w:tc>
        <w:tc>
          <w:tcPr>
            <w:tcW w:w="5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gridSpan w:val="2"/>
            <w:vMerge w:val="continue"/>
          </w:tcPr>
          <w:p>
            <w:pPr>
              <w:spacing w:after="0"/>
              <w:rPr>
                <w:sz w:val="12"/>
                <w:szCs w:val="12"/>
                <w:color w:val="auto"/>
              </w:rPr>
            </w:pPr>
          </w:p>
        </w:tc>
        <w:tc>
          <w:tcPr>
            <w:tcW w:w="15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Record Date</w:t>
            </w:r>
          </w:p>
        </w:tc>
        <w:tc>
          <w:tcPr>
            <w:tcW w:w="760" w:type="dxa"/>
            <w:vAlign w:val="bottom"/>
          </w:tcPr>
          <w:p>
            <w:pPr>
              <w:spacing w:after="0"/>
              <w:rPr>
                <w:sz w:val="12"/>
                <w:szCs w:val="12"/>
                <w:color w:val="auto"/>
              </w:rPr>
            </w:pPr>
          </w:p>
        </w:tc>
        <w:tc>
          <w:tcPr>
            <w:tcW w:w="2060" w:type="dxa"/>
            <w:vAlign w:val="bottom"/>
            <w:gridSpan w:val="2"/>
          </w:tcPr>
          <w:p>
            <w:pPr>
              <w:jc w:val="center"/>
              <w:ind w:right="760"/>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February 24,</w:t>
            </w:r>
          </w:p>
        </w:tc>
        <w:tc>
          <w:tcPr>
            <w:tcW w:w="3020" w:type="dxa"/>
            <w:vAlign w:val="bottom"/>
            <w:tcBorders>
              <w:top w:val="single" w:sz="8" w:color="CCEEFF"/>
            </w:tcBorders>
            <w:shd w:val="clear" w:color="auto" w:fill="CCEEFF"/>
          </w:tcPr>
          <w:p>
            <w:pPr>
              <w:jc w:val="right"/>
              <w:ind w:right="2470"/>
              <w:spacing w:after="0"/>
              <w:rPr>
                <w:sz w:val="20"/>
                <w:szCs w:val="20"/>
                <w:color w:val="auto"/>
              </w:rPr>
            </w:pPr>
            <w:r>
              <w:rPr>
                <w:rFonts w:ascii="Arial" w:cs="Arial" w:eastAsia="Arial" w:hAnsi="Arial"/>
                <w:sz w:val="18"/>
                <w:szCs w:val="18"/>
                <w:color w:val="auto"/>
              </w:rPr>
              <w:t>2015</w:t>
            </w: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31, 2015</w:t>
            </w:r>
          </w:p>
        </w:tc>
        <w:tc>
          <w:tcPr>
            <w:tcW w:w="7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30, 2015</w:t>
            </w:r>
          </w:p>
        </w:tc>
        <w:tc>
          <w:tcPr>
            <w:tcW w:w="7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7, 2015</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760" w:type="dxa"/>
            <w:vAlign w:val="bottom"/>
          </w:tcPr>
          <w:p>
            <w:pPr>
              <w:spacing w:after="0"/>
              <w:rPr>
                <w:sz w:val="18"/>
                <w:szCs w:val="18"/>
                <w:color w:val="auto"/>
              </w:rPr>
            </w:pPr>
          </w:p>
        </w:tc>
        <w:tc>
          <w:tcPr>
            <w:tcW w:w="206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July 31, 2015</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2015</w:t>
            </w:r>
          </w:p>
        </w:tc>
        <w:tc>
          <w:tcPr>
            <w:tcW w:w="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0"/>
              </w:rPr>
              <w:t>October 30, 2015</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November 3, 2015</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December 31, 2015</w:t>
            </w:r>
          </w:p>
        </w:tc>
        <w:tc>
          <w:tcPr>
            <w:tcW w:w="760" w:type="dxa"/>
            <w:vAlign w:val="bottom"/>
          </w:tcPr>
          <w:p>
            <w:pPr>
              <w:spacing w:after="0"/>
              <w:rPr>
                <w:sz w:val="19"/>
                <w:szCs w:val="19"/>
                <w:color w:val="auto"/>
              </w:rPr>
            </w:pPr>
          </w:p>
        </w:tc>
        <w:tc>
          <w:tcPr>
            <w:tcW w:w="206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January 29, 2016</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020" w:type="dxa"/>
            <w:vAlign w:val="bottom"/>
            <w:vMerge w:val="restart"/>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2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Year Ended December 31, 2014</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80" w:type="dxa"/>
            <w:vAlign w:val="bottom"/>
            <w:tcBorders>
              <w:bottom w:val="single" w:sz="8" w:color="auto"/>
            </w:tcBorders>
            <w:vMerge w:val="continue"/>
          </w:tcPr>
          <w:p>
            <w:pPr>
              <w:spacing w:after="0"/>
              <w:rPr>
                <w:sz w:val="12"/>
                <w:szCs w:val="12"/>
                <w:color w:val="auto"/>
              </w:rPr>
            </w:pPr>
          </w:p>
        </w:tc>
        <w:tc>
          <w:tcPr>
            <w:tcW w:w="3020" w:type="dxa"/>
            <w:vAlign w:val="bottom"/>
            <w:tcBorders>
              <w:bottom w:val="single" w:sz="8" w:color="CCEEFF"/>
            </w:tcBorders>
            <w:vMerge w:val="continue"/>
          </w:tcPr>
          <w:p>
            <w:pPr>
              <w:spacing w:after="0"/>
              <w:rPr>
                <w:sz w:val="12"/>
                <w:szCs w:val="12"/>
                <w:color w:val="auto"/>
              </w:rPr>
            </w:pPr>
          </w:p>
        </w:tc>
        <w:tc>
          <w:tcPr>
            <w:tcW w:w="15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Record Date</w:t>
            </w:r>
          </w:p>
        </w:tc>
        <w:tc>
          <w:tcPr>
            <w:tcW w:w="760" w:type="dxa"/>
            <w:vAlign w:val="bottom"/>
            <w:tcBorders>
              <w:bottom w:val="single" w:sz="8" w:color="CCEEFF"/>
            </w:tcBorders>
          </w:tcPr>
          <w:p>
            <w:pPr>
              <w:spacing w:after="0"/>
              <w:rPr>
                <w:sz w:val="12"/>
                <w:szCs w:val="12"/>
                <w:color w:val="auto"/>
              </w:rPr>
            </w:pPr>
          </w:p>
        </w:tc>
        <w:tc>
          <w:tcPr>
            <w:tcW w:w="1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Payment Date</w:t>
            </w:r>
          </w:p>
        </w:tc>
        <w:tc>
          <w:tcPr>
            <w:tcW w:w="76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Dividend per Share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31, 2014</w:t>
            </w: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April 30, 2014</w:t>
            </w: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May 6, 2014</w:t>
            </w:r>
          </w:p>
        </w:tc>
        <w:tc>
          <w:tcPr>
            <w:tcW w:w="1500" w:type="dxa"/>
            <w:vAlign w:val="bottom"/>
          </w:tcPr>
          <w:p>
            <w:pPr>
              <w:jc w:val="center"/>
              <w:spacing w:after="0"/>
              <w:rPr>
                <w:sz w:val="20"/>
                <w:szCs w:val="20"/>
                <w:color w:val="auto"/>
              </w:rPr>
            </w:pPr>
            <w:r>
              <w:rPr>
                <w:rFonts w:ascii="Arial" w:cs="Arial" w:eastAsia="Arial" w:hAnsi="Arial"/>
                <w:sz w:val="18"/>
                <w:szCs w:val="18"/>
                <w:color w:val="auto"/>
                <w:w w:val="87"/>
              </w:rPr>
              <w:t>June 30, 2014</w:t>
            </w:r>
          </w:p>
        </w:tc>
        <w:tc>
          <w:tcPr>
            <w:tcW w:w="760" w:type="dxa"/>
            <w:vAlign w:val="bottom"/>
          </w:tcPr>
          <w:p>
            <w:pPr>
              <w:spacing w:after="0"/>
              <w:rPr>
                <w:sz w:val="18"/>
                <w:szCs w:val="18"/>
                <w:color w:val="auto"/>
              </w:rPr>
            </w:pPr>
          </w:p>
        </w:tc>
        <w:tc>
          <w:tcPr>
            <w:tcW w:w="2060" w:type="dxa"/>
            <w:vAlign w:val="bottom"/>
            <w:gridSpan w:val="2"/>
          </w:tcPr>
          <w:p>
            <w:pPr>
              <w:jc w:val="center"/>
              <w:ind w:right="760"/>
              <w:spacing w:after="0"/>
              <w:rPr>
                <w:sz w:val="20"/>
                <w:szCs w:val="20"/>
                <w:color w:val="auto"/>
              </w:rPr>
            </w:pPr>
            <w:r>
              <w:rPr>
                <w:rFonts w:ascii="Arial" w:cs="Arial" w:eastAsia="Arial" w:hAnsi="Arial"/>
                <w:sz w:val="18"/>
                <w:szCs w:val="18"/>
                <w:color w:val="auto"/>
                <w:w w:val="91"/>
              </w:rPr>
              <w:t>July 31, 2014</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30, 2014</w:t>
            </w:r>
          </w:p>
        </w:tc>
        <w:tc>
          <w:tcPr>
            <w:tcW w:w="76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center"/>
              <w:ind w:right="760"/>
              <w:spacing w:after="0"/>
              <w:rPr>
                <w:sz w:val="20"/>
                <w:szCs w:val="20"/>
                <w:color w:val="auto"/>
              </w:rPr>
            </w:pPr>
            <w:r>
              <w:rPr>
                <w:rFonts w:ascii="Arial" w:cs="Arial" w:eastAsia="Arial" w:hAnsi="Arial"/>
                <w:sz w:val="18"/>
                <w:szCs w:val="18"/>
                <w:color w:val="auto"/>
                <w:w w:val="90"/>
              </w:rPr>
              <w:t>October 31, 2014</w:t>
            </w: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November 3, 2014</w:t>
            </w:r>
          </w:p>
        </w:tc>
        <w:tc>
          <w:tcPr>
            <w:tcW w:w="1500" w:type="dxa"/>
            <w:vAlign w:val="bottom"/>
          </w:tcPr>
          <w:p>
            <w:pPr>
              <w:jc w:val="center"/>
              <w:spacing w:after="0"/>
              <w:rPr>
                <w:sz w:val="20"/>
                <w:szCs w:val="20"/>
                <w:color w:val="auto"/>
              </w:rPr>
            </w:pPr>
            <w:r>
              <w:rPr>
                <w:rFonts w:ascii="Arial" w:cs="Arial" w:eastAsia="Arial" w:hAnsi="Arial"/>
                <w:sz w:val="18"/>
                <w:szCs w:val="18"/>
                <w:color w:val="auto"/>
                <w:w w:val="88"/>
              </w:rPr>
              <w:t>December 31, 2014</w:t>
            </w:r>
          </w:p>
        </w:tc>
        <w:tc>
          <w:tcPr>
            <w:tcW w:w="760" w:type="dxa"/>
            <w:vAlign w:val="bottom"/>
          </w:tcPr>
          <w:p>
            <w:pPr>
              <w:spacing w:after="0"/>
              <w:rPr>
                <w:sz w:val="19"/>
                <w:szCs w:val="19"/>
                <w:color w:val="auto"/>
              </w:rPr>
            </w:pPr>
          </w:p>
        </w:tc>
        <w:tc>
          <w:tcPr>
            <w:tcW w:w="2060" w:type="dxa"/>
            <w:vAlign w:val="bottom"/>
            <w:gridSpan w:val="2"/>
          </w:tcPr>
          <w:p>
            <w:pPr>
              <w:jc w:val="center"/>
              <w:ind w:right="740"/>
              <w:spacing w:after="0"/>
              <w:rPr>
                <w:sz w:val="20"/>
                <w:szCs w:val="20"/>
                <w:color w:val="auto"/>
              </w:rPr>
            </w:pPr>
            <w:r>
              <w:rPr>
                <w:rFonts w:ascii="Arial" w:cs="Arial" w:eastAsia="Arial" w:hAnsi="Arial"/>
                <w:sz w:val="18"/>
                <w:szCs w:val="18"/>
                <w:color w:val="auto"/>
                <w:w w:val="89"/>
              </w:rPr>
              <w:t>January 30, 2015</w:t>
            </w: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2015 and 2014 were derived from net investment income and net realized capital gains, determined on a tax basis.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w:t>
      </w:r>
    </w:p>
    <w:p>
      <w:pPr>
        <w:spacing w:after="0" w:line="187"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To be treated as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w:t>
      </w:r>
    </w:p>
    <w:p>
      <w:pPr>
        <w:spacing w:after="0" w:line="6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such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100% of income or gains recognized, but not distributed, in preceding years.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calendar years ended December 31, 2015 and 2014 for purposes of additional liquidity and we recorded a net expense of $1.5 million and $1.1 million, respectively, for U.S. federal excise tax as a result. We cannot assure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w:t>
      </w:r>
    </w:p>
    <w:p>
      <w:pPr>
        <w:spacing w:after="0" w:line="18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distributions or that will not be limited in our ability to pay dividends under the asset coverage test applicable to us under the 1940 Act.</w:t>
      </w:r>
    </w:p>
    <w:p>
      <w:pPr>
        <w:spacing w:after="0" w:line="16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Unless our common stockholders elect to receive their dividends in cash, we intend to make such distributions in additional shares of our common stock under our dividend reinvestment plan. See “Dividend Reinvestment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20"/>
          </w:cols>
          <w:pgMar w:left="240" w:top="459" w:right="3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“Selected Financial Data and Other Information” and our consolidated financial statements and related notes appearing elsewhere in this prospectus. The information in this section contains forward-looking statements that involve risks and uncertainties. Please see “Risk Factors” and “Special Note Regarding Forward-looking Statements” in this prospectus for a discussion of the uncertainties, risks and assumptions associated with these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7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invest at least 70% of our assets in “qualifying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source of income limitations;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 diversification requirements; and</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to distribute (or be treated as distributing) in each taxable year at least 90% of our investment company taxable income and tax-exempt interest for that taxable year.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shares are currently listed on the NYSE under the symbol “TSLX.”</w:t>
      </w:r>
    </w:p>
    <w:p>
      <w:pPr>
        <w:spacing w:after="0" w:line="22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in place a stock repurchase plan, the Company 10b5-1 Plan, to acquire up to $50 million in the aggregate of our common stock at prices below our net asset value over a specified period, in accordance with the guidelines specified in Rule 10b-18 and Rule 10b5-1 of the Exchange Act. We put the Company 10b5-1 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On August 4, 2015, our Board authorized us to enter into a new stock repurchase plan, the Company 10b5-1 Plan, to acquire up to $50 million in the aggregate of our common stock at prices just below our net asset value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over a specified period, in accordance with the guidelines specified in Rule 10b-18 and Rule 10b5-1 of the Exchange Act, on substantially the same terms as our prior stock repurchase plan, which expired in accordance with its terms on June 30, 2015. On February 24, 2016, our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Framework</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2015, we have originated more than $4.3 billion aggregate principal amount of investments and retained approximately $2.9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2015, our core portfolio companies, which excludes certain investments that fall outside of our typical borrower profile and represent 87% of our total investments based on fair value, had weighted average annual revenue of $128 million and weighted average annual EBITDA of $33 million.</w:t>
      </w:r>
    </w:p>
    <w:p>
      <w:pPr>
        <w:spacing w:after="0" w:line="18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debt in which we invest typically is not rated by any rating agency, but if these instruments were rated, they would likely receive a rating of below investment grade (that is, below BBB- or Baa3), which is often referred to as “junk”.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2015, the average investment size in each of our portfolio companies was approximately $32 million based on fair value.</w:t>
      </w:r>
    </w:p>
    <w:p>
      <w:pPr>
        <w:spacing w:after="0" w:line="23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The companies in which we invest use our capital to support organic growth, acquisitions, market or product expansion and recapitalizations (including restructurings). As of December 31, 2015, the largest single investment based on fair value represented 4.9% of our total investment portfolio.</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our Adviser, we consider potential investments utilizing a four-tiered investment framework and against our existing portfolio as a whole:</w:t>
      </w:r>
    </w:p>
    <w:p>
      <w:pPr>
        <w:spacing w:after="0" w:line="23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Business and sector selection</w:t>
      </w:r>
      <w:r>
        <w:rPr>
          <w:rFonts w:ascii="Arial" w:cs="Arial" w:eastAsia="Arial" w:hAnsi="Arial"/>
          <w:sz w:val="18"/>
          <w:szCs w:val="18"/>
          <w:color w:val="auto"/>
        </w:rPr>
        <w:t>. We focus on companies with enterprise value between $50 million and $1 billion. When reviewing potential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no industry represented more than 21.2% of our total investment portfolio based on fair value.</w:t>
      </w:r>
    </w:p>
    <w:p>
      <w:pPr>
        <w:spacing w:after="0" w:line="22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As of December 31, 2015,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96.3% of our portfolio was invested in secured debt, including 88.2%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year ended December 31, 2015, the weighted average term on new investment commitments in new portfolio companies was 5.0 years.</w:t>
      </w:r>
    </w:p>
    <w:p>
      <w:pPr>
        <w:spacing w:after="0" w:line="18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Deal Dynamics. </w:t>
      </w:r>
      <w:r>
        <w:rPr>
          <w:rFonts w:ascii="Arial" w:cs="Arial" w:eastAsia="Arial" w:hAnsi="Arial"/>
          <w:sz w:val="18"/>
          <w:szCs w:val="18"/>
          <w:color w:val="auto"/>
        </w:rPr>
        <w:t>We focus on, among other deal dynamics, direct origination of investments, where we identify and lead the investment transaction. A</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 majority of our portfolio investments are sourced through our direct or proprietary relationships.</w:t>
      </w:r>
    </w:p>
    <w:p>
      <w:pPr>
        <w:spacing w:after="0" w:line="17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color w:val="auto"/>
        </w:rPr>
        <w:t xml:space="preserve">Risk Mitigation. </w:t>
      </w:r>
      <w:r>
        <w:rPr>
          <w:rFonts w:ascii="Arial" w:cs="Arial" w:eastAsia="Arial" w:hAnsi="Arial"/>
          <w:sz w:val="17"/>
          <w:szCs w:val="17"/>
          <w:color w:val="auto"/>
        </w:rPr>
        <w:t>We seek to mitigate non-credit-related risk on our returns in several ways, including call protection provisions to protect future</w:t>
      </w:r>
      <w:r>
        <w:rPr>
          <w:rFonts w:ascii="Arial" w:cs="Arial" w:eastAsia="Arial" w:hAnsi="Arial"/>
          <w:sz w:val="17"/>
          <w:szCs w:val="17"/>
          <w:i w:val="1"/>
          <w:iCs w:val="1"/>
          <w:color w:val="auto"/>
        </w:rPr>
        <w:t xml:space="preserve"> </w:t>
      </w:r>
      <w:r>
        <w:rPr>
          <w:rFonts w:ascii="Arial" w:cs="Arial" w:eastAsia="Arial" w:hAnsi="Arial"/>
          <w:sz w:val="17"/>
          <w:szCs w:val="17"/>
          <w:color w:val="auto"/>
        </w:rPr>
        <w:t>payment income. As of December 31, 2015, we had call protection on 87.8% of our debt investments based on fair value, with weighted average call prices of 106.1% for the first year, 103.1% for the second year and 101.4% for the third year, in each case from the date of the initial investment. As of December 31, 2015, 95.3% of our debt investments based on fair value bore interest at floating rates (when including investment specific hedges), with 94.2% of these subject to interest rate floors, which we believe helps act as a portfolio-wide hedge against inflation.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our Adviser, TSSP and TPG</w:t>
      </w:r>
    </w:p>
    <w:p>
      <w:pPr>
        <w:spacing w:after="0" w:line="117"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TSSP, with over $16 billion of assets under management as of December 31, 2015,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 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As of December 31, 2015, twenty six (26) of these personnel were dedicated to our business, including 18 investment professionals.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7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jc w:val="both"/>
        <w:ind w:right="260" w:firstLine="456"/>
        <w:spacing w:after="0" w:line="312" w:lineRule="auto"/>
        <w:rPr>
          <w:sz w:val="20"/>
          <w:szCs w:val="20"/>
          <w:color w:val="auto"/>
        </w:rPr>
      </w:pPr>
      <w:r>
        <w:rPr>
          <w:rFonts w:ascii="Arial" w:cs="Arial" w:eastAsia="Arial" w:hAnsi="Arial"/>
          <w:sz w:val="16"/>
          <w:szCs w:val="16"/>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In addition, as part of our risk strategy on investments, we may reduce certain levels of investments through partial sales or syndication to additional investors.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generate revenues primarily in the form of interest income from the investments we hold. In addition, we may generate income from dividends on direct equity investments, capital gains on the sales of loans and debt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and equity securities and various loan origination and other fees. Our debt investments typically have a term of two to six years, and, as of December 31, 2015, 95.3% of these investments based on fair value bear interest at a floating rate (when including investment specific hedges), with 94.2% of these subject to interest rate floors. Interest on debt investments is generally payable quarterly or semiannually. Some of our investments provide for deferred interest payments or PIK interest. For the year ended December 31, 2015, 3.0% of our total investment income was comprised of PIK interest.</w:t>
      </w:r>
    </w:p>
    <w:p>
      <w:pPr>
        <w:spacing w:after="0" w:line="15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7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 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Dividend income on equity investments is recorded on the record date for private portfolio companies or on the ex-dividend date for publicly traded portfolio companies.</w:t>
      </w:r>
    </w:p>
    <w:p>
      <w:pPr>
        <w:spacing w:after="0" w:line="17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7" w:lineRule="exact"/>
        <w:rPr>
          <w:sz w:val="20"/>
          <w:szCs w:val="20"/>
          <w:color w:val="auto"/>
        </w:rPr>
      </w:pPr>
    </w:p>
    <w:p>
      <w:pPr>
        <w:jc w:val="center"/>
        <w:ind w:left="5620" w:right="1300" w:hanging="5045"/>
        <w:spacing w:after="0" w:line="449" w:lineRule="auto"/>
        <w:tabs>
          <w:tab w:leader="none" w:pos="8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 60</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00" w:hanging="325"/>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30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59" w:lineRule="exact"/>
        <w:rPr>
          <w:rFonts w:ascii="Arial" w:cs="Arial" w:eastAsia="Arial" w:hAnsi="Arial"/>
          <w:sz w:val="16"/>
          <w:szCs w:val="16"/>
          <w:color w:val="auto"/>
        </w:rPr>
      </w:pPr>
    </w:p>
    <w:p>
      <w:pPr>
        <w:ind w:left="900" w:right="100" w:hanging="325"/>
        <w:spacing w:after="0" w:line="34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While as a BDC the amount of leverage that we are permitted to use is limited in significant respects, we use leverage to increase our ability to make investments. The amount of leverage we use in any period depends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 variety of factors, including cash available for investing, the cost of financing and general economic and market conditions, however, our total borrowings are limited so that our asset coverage ratio cannot fall below 200%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to financing facilities from time to time.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Trends</w:t>
      </w:r>
    </w:p>
    <w:p>
      <w:pPr>
        <w:spacing w:after="0" w:line="117" w:lineRule="exact"/>
        <w:rPr>
          <w:sz w:val="20"/>
          <w:szCs w:val="20"/>
          <w:color w:val="auto"/>
        </w:rPr>
      </w:pPr>
    </w:p>
    <w:p>
      <w:pPr>
        <w:ind w:right="800" w:firstLine="456"/>
        <w:spacing w:after="0" w:line="308" w:lineRule="auto"/>
        <w:rPr>
          <w:sz w:val="20"/>
          <w:szCs w:val="20"/>
          <w:color w:val="auto"/>
        </w:rPr>
      </w:pPr>
      <w:r>
        <w:rPr>
          <w:rFonts w:ascii="Arial" w:cs="Arial" w:eastAsia="Arial" w:hAnsi="Arial"/>
          <w:sz w:val="17"/>
          <w:szCs w:val="17"/>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December 31, 2015, our portfolio based on fair value consisted of 88.2% first-lien debt investments, 8.1% second-lien debt investments, 1.9% mezzanine and unsecured debt investments, and 1.8% equity and other investments. As of December 31, 2014, our portfolio based on fair value consisted of 89.0% first-lien debt investments, 8.8% second-lien debt investments, 1.0% mezzanine and unsecured debt investments and 1.2% equity and other investments.</w:t>
      </w:r>
    </w:p>
    <w:p>
      <w:pPr>
        <w:spacing w:after="0" w:line="187"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As of December 31, 2015 and December 31, 2014, our weighted average total yield of debt and income-producing securities at fair value (which includes interest income and amortization of fees and discounts) was 10.3% and 10.3%, respectively, and our weighted average total yield of debt and income-producing securities at amortized cost (which includes interest income and amortization of fees and discounts) was 10.1% and 10.3%, respectively.</w:t>
      </w:r>
    </w:p>
    <w:p>
      <w:pPr>
        <w:spacing w:after="0" w:line="14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As of December 31, 2015 and December 31, 2014, we had investments in 46 and 34 portfolio companies, respectively, with an aggregate fair value of $1,485.7 million and $1,263.5 million, respectively.</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For the year ended December 31, 2015, we made new investment commitments of $718.7 million, including $631.6 million in 20 new portfolio companies and $87.1 million in 14 existing portfolio companies. For this period, we had $385.2 million aggregate principal amount in exits and repayments, resulting in a net portfolio increase of $278.8 million aggregate principal amount.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For the year ended December 31, 2014, we made new investment commitments of $884.4 million, including $805.7 million in 20 new portfolio companies and $78.7 million in seven existing portfolio companies. For this period, we had $518.4 million aggregate principal amount in exits and repayments, resulting in a net portfolio increase of $296.5 million aggregate principal amount.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the year ended December 31, 2013, we made new investment commitments of $606.2 million, including $536.0 million in 14 new portfolio companies and $70.2 million in five existing portfolio companies. For this period, we had $192.1 million aggregate principal amount in exits and repayments, resulting in a net portfolio increase of $387.3 million aggregate principal amount.</w:t>
      </w:r>
    </w:p>
    <w:p>
      <w:pPr>
        <w:spacing w:after="0" w:line="18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Our investment activity for the years ended December 31, 2015, 2014 and 2013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4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Gross originations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964.2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1,120.1</w:t>
            </w:r>
          </w:p>
        </w:tc>
        <w:tc>
          <w:tcPr>
            <w:tcW w:w="7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897.5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Syndications/sell downs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245.5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235.7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new investment commitments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718.7</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884.4</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606.2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581.3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681.3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Equity and other</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664.0</w:t>
            </w: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814.9</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579.4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First-lien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w w:val="84"/>
              </w:rPr>
              <w:t>353.3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395.0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Second-lien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Mezzanine and unsecured</w:t>
            </w:r>
          </w:p>
        </w:tc>
        <w:tc>
          <w:tcPr>
            <w:tcW w:w="10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385.2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518.4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new investment commitment amount in new portfolio companies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 commitments in new portfolio</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companies (in years)</w:t>
            </w:r>
          </w:p>
        </w:tc>
        <w:tc>
          <w:tcPr>
            <w:tcW w:w="100" w:type="dxa"/>
            <w:vAlign w:val="bottom"/>
          </w:tcPr>
          <w:p>
            <w:pPr>
              <w:spacing w:after="0"/>
              <w:rPr>
                <w:sz w:val="20"/>
                <w:szCs w:val="20"/>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70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Percentage of new debt investment commitments at floating rates </w:t>
            </w:r>
            <w:r>
              <w:rPr>
                <w:rFonts w:ascii="Arial" w:cs="Arial" w:eastAsia="Arial" w:hAnsi="Arial"/>
                <w:sz w:val="15"/>
                <w:szCs w:val="15"/>
                <w:b w:val="1"/>
                <w:bCs w:val="1"/>
                <w:color w:val="auto"/>
              </w:rPr>
              <w:t>(1)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8"/>
        </w:trPr>
        <w:tc>
          <w:tcPr>
            <w:tcW w:w="634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4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5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one fixed rate investment for the year ended December 31, 2015 for which we entered into an interest rate swap agreement to swap to a floating rate.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our investments consisted of the following:</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1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7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1"/>
              </w:rPr>
              <w:t>December 31, 2015</w:t>
            </w:r>
          </w:p>
        </w:tc>
        <w:tc>
          <w:tcPr>
            <w:tcW w:w="5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w w:val="91"/>
              </w:rPr>
              <w:t>December 31, 2014</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130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92"/>
              </w:rPr>
              <w:t>Fair Value</w:t>
            </w:r>
          </w:p>
        </w:tc>
        <w:tc>
          <w:tcPr>
            <w:tcW w:w="9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2"/>
                <w:szCs w:val="12"/>
                <w:color w:val="auto"/>
              </w:rPr>
            </w:pP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6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1,333.1</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$1,124.2</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1,127.2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121.2</w:t>
            </w:r>
          </w:p>
        </w:tc>
        <w:tc>
          <w:tcPr>
            <w:tcW w:w="4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126.0</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111.4</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40.8</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14.9</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1,529.7</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1,263.5</w:t>
            </w:r>
          </w:p>
        </w:tc>
        <w:tc>
          <w:tcPr>
            <w:tcW w:w="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amortized cost of our performing and non-accrual investments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1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4"/>
          </w:tcPr>
          <w:p>
            <w:pPr>
              <w:jc w:val="right"/>
              <w:ind w:right="112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42"/>
        </w:trPr>
        <w:tc>
          <w:tcPr>
            <w:tcW w:w="2880" w:type="dxa"/>
            <w:vAlign w:val="bottom"/>
            <w:vMerge w:val="continue"/>
          </w:tcPr>
          <w:p>
            <w:pPr>
              <w:spacing w:after="0"/>
              <w:rPr>
                <w:sz w:val="12"/>
                <w:szCs w:val="12"/>
                <w:color w:val="auto"/>
              </w:rPr>
            </w:pPr>
          </w:p>
        </w:tc>
        <w:tc>
          <w:tcPr>
            <w:tcW w:w="1780" w:type="dxa"/>
            <w:vAlign w:val="bottom"/>
          </w:tcPr>
          <w:p>
            <w:pPr>
              <w:spacing w:after="0"/>
              <w:rPr>
                <w:sz w:val="12"/>
                <w:szCs w:val="12"/>
                <w:color w:val="auto"/>
              </w:rPr>
            </w:pPr>
          </w:p>
        </w:tc>
        <w:tc>
          <w:tcPr>
            <w:tcW w:w="1740" w:type="dxa"/>
            <w:vAlign w:val="bottom"/>
            <w:tcBorders>
              <w:top w:val="single" w:sz="8" w:color="auto"/>
            </w:tcBorders>
            <w:gridSpan w:val="3"/>
          </w:tcPr>
          <w:p>
            <w:pPr>
              <w:jc w:val="right"/>
              <w:ind w:right="780"/>
              <w:spacing w:after="0" w:line="142" w:lineRule="exact"/>
              <w:rPr>
                <w:sz w:val="20"/>
                <w:szCs w:val="20"/>
                <w:color w:val="auto"/>
              </w:rPr>
            </w:pPr>
            <w:r>
              <w:rPr>
                <w:rFonts w:ascii="Arial" w:cs="Arial" w:eastAsia="Arial" w:hAnsi="Arial"/>
                <w:sz w:val="14"/>
                <w:szCs w:val="14"/>
                <w:b w:val="1"/>
                <w:bCs w:val="1"/>
                <w:color w:val="auto"/>
                <w:w w:val="90"/>
              </w:rPr>
              <w:t>Amortized Cost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Amortized Cost</w:t>
            </w:r>
          </w:p>
        </w:tc>
        <w:tc>
          <w:tcPr>
            <w:tcW w:w="7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Percentage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Performing</w:t>
            </w:r>
          </w:p>
        </w:tc>
        <w:tc>
          <w:tcPr>
            <w:tcW w:w="17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vMerge w:val="continue"/>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78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3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76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880" w:type="dxa"/>
            <w:vAlign w:val="bottom"/>
          </w:tcPr>
          <w:p>
            <w:pPr>
              <w:spacing w:after="0"/>
              <w:rPr>
                <w:sz w:val="20"/>
                <w:szCs w:val="20"/>
                <w:color w:val="auto"/>
              </w:rPr>
            </w:pPr>
            <w:r>
              <w:rPr>
                <w:rFonts w:ascii="Arial" w:cs="Arial" w:eastAsia="Arial" w:hAnsi="Arial"/>
                <w:sz w:val="18"/>
                <w:szCs w:val="18"/>
                <w:color w:val="auto"/>
              </w:rPr>
              <w:t xml:space="preserve">Non-accrual </w:t>
            </w:r>
            <w:r>
              <w:rPr>
                <w:rFonts w:ascii="Arial" w:cs="Arial" w:eastAsia="Arial" w:hAnsi="Arial"/>
                <w:sz w:val="15"/>
                <w:szCs w:val="15"/>
                <w:color w:val="auto"/>
              </w:rPr>
              <w:t>(1)</w:t>
            </w:r>
          </w:p>
        </w:tc>
        <w:tc>
          <w:tcPr>
            <w:tcW w:w="17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20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1,529.7</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5"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“—Critical Accounting Policies—Interest and Dividend Income Recognition.”</w:t>
      </w:r>
    </w:p>
    <w:p>
      <w:pPr>
        <w:spacing w:after="0" w:line="19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weighted average yields and interest rates of our debt investments at fair value as of December 31,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72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2015</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r>
      <w:tr>
        <w:trPr>
          <w:trHeight w:val="182"/>
        </w:trPr>
        <w:tc>
          <w:tcPr>
            <w:tcW w:w="40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Weighted average total yield of debt and</w:t>
            </w:r>
          </w:p>
        </w:tc>
        <w:tc>
          <w:tcPr>
            <w:tcW w:w="8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income-producing securities</w:t>
            </w:r>
          </w:p>
        </w:tc>
        <w:tc>
          <w:tcPr>
            <w:tcW w:w="2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10.3%</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w:t>
            </w: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Weighted average interest rate of debt and</w:t>
            </w:r>
          </w:p>
        </w:tc>
        <w:tc>
          <w:tcPr>
            <w:tcW w:w="8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000" w:type="dxa"/>
            <w:vAlign w:val="bottom"/>
          </w:tcPr>
          <w:p>
            <w:pPr>
              <w:ind w:left="180"/>
              <w:spacing w:after="0"/>
              <w:rPr>
                <w:sz w:val="20"/>
                <w:szCs w:val="20"/>
                <w:color w:val="auto"/>
              </w:rPr>
            </w:pPr>
            <w:r>
              <w:rPr>
                <w:rFonts w:ascii="Arial" w:cs="Arial" w:eastAsia="Arial" w:hAnsi="Arial"/>
                <w:sz w:val="18"/>
                <w:szCs w:val="18"/>
                <w:color w:val="auto"/>
              </w:rPr>
              <w:t>income-producing securities</w:t>
            </w:r>
          </w:p>
        </w:tc>
        <w:tc>
          <w:tcPr>
            <w:tcW w:w="2720" w:type="dxa"/>
            <w:vAlign w:val="bottom"/>
            <w:gridSpan w:val="3"/>
          </w:tcPr>
          <w:p>
            <w:pPr>
              <w:jc w:val="right"/>
              <w:ind w:right="580"/>
              <w:spacing w:after="0"/>
              <w:rPr>
                <w:sz w:val="20"/>
                <w:szCs w:val="20"/>
                <w:color w:val="auto"/>
              </w:rPr>
            </w:pPr>
            <w:r>
              <w:rPr>
                <w:rFonts w:ascii="Arial" w:cs="Arial" w:eastAsia="Arial" w:hAnsi="Arial"/>
                <w:sz w:val="18"/>
                <w:szCs w:val="18"/>
                <w:color w:val="auto"/>
              </w:rPr>
              <w:t>9.8%</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9.9%</w:t>
            </w: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spread over LIBOR of all</w:t>
            </w:r>
          </w:p>
        </w:tc>
        <w:tc>
          <w:tcPr>
            <w:tcW w:w="8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investments</w:t>
            </w:r>
          </w:p>
        </w:tc>
        <w:tc>
          <w:tcPr>
            <w:tcW w:w="2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bl>
    <w:p>
      <w:pPr>
        <w:spacing w:after="0" w:line="20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87"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86"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80" w:hanging="325"/>
        <w:spacing w:after="0" w:line="297"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following table shows the distribution of our investments on the 1 to 5 investment performance rating scale at fair value as of December 31, 2015 and 2014.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2015</w:t>
            </w:r>
          </w:p>
        </w:tc>
        <w:tc>
          <w:tcPr>
            <w:tcW w:w="1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2"/>
          </w:tcPr>
          <w:p>
            <w:pPr>
              <w:jc w:val="right"/>
              <w:ind w:right="699"/>
              <w:spacing w:after="0"/>
              <w:rPr>
                <w:sz w:val="20"/>
                <w:szCs w:val="20"/>
                <w:color w:val="auto"/>
              </w:rPr>
            </w:pPr>
            <w:r>
              <w:rPr>
                <w:rFonts w:ascii="Arial" w:cs="Arial" w:eastAsia="Arial" w:hAnsi="Arial"/>
                <w:sz w:val="14"/>
                <w:szCs w:val="14"/>
                <w:b w:val="1"/>
                <w:bCs w:val="1"/>
                <w:color w:val="auto"/>
                <w:w w:val="90"/>
              </w:rPr>
              <w:t>December 31, 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240" w:type="dxa"/>
            <w:vAlign w:val="bottom"/>
          </w:tcPr>
          <w:p>
            <w:pPr>
              <w:spacing w:after="0"/>
              <w:rPr>
                <w:sz w:val="10"/>
                <w:szCs w:val="10"/>
                <w:color w:val="auto"/>
              </w:rPr>
            </w:pPr>
          </w:p>
        </w:tc>
        <w:tc>
          <w:tcPr>
            <w:tcW w:w="1960" w:type="dxa"/>
            <w:vAlign w:val="bottom"/>
            <w:gridSpan w:val="2"/>
            <w:vMerge w:val="restart"/>
          </w:tcPr>
          <w:p>
            <w:pPr>
              <w:jc w:val="center"/>
              <w:ind w:right="1280"/>
              <w:spacing w:after="0"/>
              <w:rPr>
                <w:sz w:val="20"/>
                <w:szCs w:val="20"/>
                <w:color w:val="auto"/>
              </w:rPr>
            </w:pPr>
            <w:r>
              <w:rPr>
                <w:rFonts w:ascii="Arial" w:cs="Arial" w:eastAsia="Arial" w:hAnsi="Arial"/>
                <w:sz w:val="14"/>
                <w:szCs w:val="14"/>
                <w:b w:val="1"/>
                <w:bCs w:val="1"/>
                <w:color w:val="auto"/>
                <w:w w:val="90"/>
              </w:rPr>
              <w:t>Percentage</w:t>
            </w:r>
          </w:p>
        </w:tc>
        <w:tc>
          <w:tcPr>
            <w:tcW w:w="7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Investments</w:t>
            </w:r>
          </w:p>
        </w:tc>
        <w:tc>
          <w:tcPr>
            <w:tcW w:w="124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800" w:type="dxa"/>
            <w:vAlign w:val="bottom"/>
            <w:gridSpan w:val="2"/>
            <w:vMerge w:val="restart"/>
          </w:tcPr>
          <w:p>
            <w:pPr>
              <w:jc w:val="center"/>
              <w:ind w:right="1000"/>
              <w:spacing w:after="0"/>
              <w:rPr>
                <w:sz w:val="20"/>
                <w:szCs w:val="20"/>
                <w:color w:val="auto"/>
              </w:rPr>
            </w:pPr>
            <w:r>
              <w:rPr>
                <w:rFonts w:ascii="Arial" w:cs="Arial" w:eastAsia="Arial" w:hAnsi="Arial"/>
                <w:sz w:val="14"/>
                <w:szCs w:val="14"/>
                <w:b w:val="1"/>
                <w:bCs w:val="1"/>
                <w:color w:val="auto"/>
                <w:w w:val="91"/>
              </w:rPr>
              <w:t>Investment</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at</w:t>
            </w:r>
          </w:p>
        </w:tc>
        <w:tc>
          <w:tcPr>
            <w:tcW w:w="12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at</w:t>
            </w:r>
          </w:p>
        </w:tc>
        <w:tc>
          <w:tcPr>
            <w:tcW w:w="12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gridSpan w:val="3"/>
          </w:tcPr>
          <w:p>
            <w:pPr>
              <w:jc w:val="center"/>
              <w:ind w:right="20"/>
              <w:spacing w:after="0" w:line="145" w:lineRule="exact"/>
              <w:rPr>
                <w:sz w:val="20"/>
                <w:szCs w:val="20"/>
                <w:color w:val="auto"/>
              </w:rPr>
            </w:pPr>
            <w:r>
              <w:rPr>
                <w:rFonts w:ascii="Arial" w:cs="Arial" w:eastAsia="Arial" w:hAnsi="Arial"/>
                <w:sz w:val="14"/>
                <w:szCs w:val="14"/>
                <w:b w:val="1"/>
                <w:bCs w:val="1"/>
                <w:color w:val="auto"/>
                <w:w w:val="95"/>
              </w:rPr>
              <w:t>Fair Value</w:t>
            </w:r>
          </w:p>
        </w:tc>
        <w:tc>
          <w:tcPr>
            <w:tcW w:w="1240" w:type="dxa"/>
            <w:vAlign w:val="bottom"/>
          </w:tcPr>
          <w:p>
            <w:pPr>
              <w:spacing w:after="0"/>
              <w:rPr>
                <w:sz w:val="12"/>
                <w:szCs w:val="12"/>
                <w:color w:val="auto"/>
              </w:rPr>
            </w:pPr>
          </w:p>
        </w:tc>
        <w:tc>
          <w:tcPr>
            <w:tcW w:w="1960" w:type="dxa"/>
            <w:vAlign w:val="bottom"/>
            <w:gridSpan w:val="2"/>
          </w:tcPr>
          <w:p>
            <w:pPr>
              <w:jc w:val="center"/>
              <w:ind w:right="1280"/>
              <w:spacing w:after="0" w:line="145"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5"/>
              </w:rPr>
              <w:t>Fair Value</w:t>
            </w:r>
          </w:p>
        </w:tc>
        <w:tc>
          <w:tcPr>
            <w:tcW w:w="1240" w:type="dxa"/>
            <w:vAlign w:val="bottom"/>
          </w:tcPr>
          <w:p>
            <w:pPr>
              <w:spacing w:after="0"/>
              <w:rPr>
                <w:sz w:val="12"/>
                <w:szCs w:val="12"/>
                <w:color w:val="auto"/>
              </w:rPr>
            </w:pP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6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w:t>
            </w:r>
          </w:p>
        </w:tc>
        <w:tc>
          <w:tcPr>
            <w:tcW w:w="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96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6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6"/>
              </w:rPr>
              <w:t>($</w:t>
            </w:r>
          </w:p>
        </w:tc>
        <w:tc>
          <w:tcPr>
            <w:tcW w:w="12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Rating</w:t>
            </w:r>
          </w:p>
        </w:tc>
        <w:tc>
          <w:tcPr>
            <w:tcW w:w="10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bottom w:val="single" w:sz="8" w:color="CCEEFF"/>
            </w:tcBorders>
          </w:tcPr>
          <w:p>
            <w:pPr>
              <w:spacing w:after="0"/>
              <w:rPr>
                <w:sz w:val="15"/>
                <w:szCs w:val="15"/>
                <w:color w:val="auto"/>
              </w:rPr>
            </w:pPr>
          </w:p>
        </w:tc>
        <w:tc>
          <w:tcPr>
            <w:tcW w:w="12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12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2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1,078.3</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904.3</w:t>
            </w:r>
          </w:p>
        </w:tc>
        <w:tc>
          <w:tcPr>
            <w:tcW w:w="1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left="754"/>
              <w:spacing w:after="0"/>
              <w:rPr>
                <w:sz w:val="20"/>
                <w:szCs w:val="20"/>
                <w:color w:val="auto"/>
              </w:rPr>
            </w:pPr>
            <w:r>
              <w:rPr>
                <w:rFonts w:ascii="Arial" w:cs="Arial" w:eastAsia="Arial" w:hAnsi="Arial"/>
                <w:sz w:val="18"/>
                <w:szCs w:val="18"/>
                <w:color w:val="auto"/>
                <w:w w:val="79"/>
              </w:rPr>
              <w:t>2</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266.1</w:t>
            </w:r>
          </w:p>
        </w:tc>
        <w:tc>
          <w:tcPr>
            <w:tcW w:w="3200" w:type="dxa"/>
            <w:vAlign w:val="bottom"/>
            <w:gridSpan w:val="3"/>
          </w:tcPr>
          <w:p>
            <w:pPr>
              <w:jc w:val="right"/>
              <w:ind w:right="128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260.7</w:t>
            </w:r>
          </w:p>
        </w:tc>
        <w:tc>
          <w:tcPr>
            <w:tcW w:w="2140" w:type="dxa"/>
            <w:vAlign w:val="bottom"/>
            <w:gridSpan w:val="3"/>
          </w:tcPr>
          <w:p>
            <w:pPr>
              <w:jc w:val="right"/>
              <w:ind w:right="2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jc w:val="center"/>
              <w:ind w:left="754"/>
              <w:spacing w:after="0"/>
              <w:rPr>
                <w:sz w:val="20"/>
                <w:szCs w:val="20"/>
                <w:color w:val="auto"/>
              </w:rPr>
            </w:pPr>
            <w:r>
              <w:rPr>
                <w:rFonts w:ascii="Arial" w:cs="Arial" w:eastAsia="Arial" w:hAnsi="Arial"/>
                <w:sz w:val="18"/>
                <w:szCs w:val="18"/>
                <w:color w:val="auto"/>
                <w:w w:val="79"/>
              </w:rPr>
              <w:t>3</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w:t>
            </w:r>
          </w:p>
        </w:tc>
        <w:tc>
          <w:tcPr>
            <w:tcW w:w="320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left="754"/>
              <w:spacing w:after="0"/>
              <w:rPr>
                <w:sz w:val="20"/>
                <w:szCs w:val="20"/>
                <w:color w:val="auto"/>
              </w:rPr>
            </w:pPr>
            <w:r>
              <w:rPr>
                <w:rFonts w:ascii="Arial" w:cs="Arial" w:eastAsia="Arial" w:hAnsi="Arial"/>
                <w:sz w:val="18"/>
                <w:szCs w:val="18"/>
                <w:color w:val="auto"/>
                <w:w w:val="79"/>
              </w:rPr>
              <w:t>4</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3200" w:type="dxa"/>
            <w:vAlign w:val="bottom"/>
            <w:gridSpan w:val="3"/>
          </w:tcPr>
          <w:p>
            <w:pPr>
              <w:jc w:val="right"/>
              <w:ind w:right="12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jc w:val="center"/>
              <w:ind w:left="754"/>
              <w:spacing w:after="0"/>
              <w:rPr>
                <w:sz w:val="20"/>
                <w:szCs w:val="20"/>
                <w:color w:val="auto"/>
              </w:rPr>
            </w:pPr>
            <w:r>
              <w:rPr>
                <w:rFonts w:ascii="Arial" w:cs="Arial" w:eastAsia="Arial" w:hAnsi="Arial"/>
                <w:sz w:val="18"/>
                <w:szCs w:val="18"/>
                <w:color w:val="auto"/>
                <w:w w:val="79"/>
              </w:rPr>
              <w:t>5</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1800" w:type="dxa"/>
            <w:vAlign w:val="bottom"/>
            <w:gridSpan w:val="2"/>
          </w:tcPr>
          <w:p>
            <w:pPr>
              <w:jc w:val="center"/>
              <w:ind w:right="1000"/>
              <w:spacing w:after="0"/>
              <w:rPr>
                <w:sz w:val="20"/>
                <w:szCs w:val="20"/>
                <w:color w:val="auto"/>
              </w:rPr>
            </w:pPr>
            <w:r>
              <w:rPr>
                <w:rFonts w:ascii="Arial" w:cs="Arial" w:eastAsia="Arial" w:hAnsi="Arial"/>
                <w:sz w:val="18"/>
                <w:szCs w:val="18"/>
                <w:color w:val="auto"/>
                <w:w w:val="89"/>
              </w:rPr>
              <w:t>Total</w:t>
            </w:r>
          </w:p>
        </w:tc>
        <w:tc>
          <w:tcPr>
            <w:tcW w:w="9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1,485.7</w:t>
            </w: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60" w:type="dxa"/>
            <w:vAlign w:val="bottom"/>
            <w:gridSpan w:val="2"/>
          </w:tcPr>
          <w:p>
            <w:pPr>
              <w:jc w:val="right"/>
              <w:ind w:right="1120"/>
              <w:spacing w:after="0"/>
              <w:rPr>
                <w:sz w:val="20"/>
                <w:szCs w:val="20"/>
                <w:color w:val="auto"/>
              </w:rPr>
            </w:pPr>
            <w:r>
              <w:rPr>
                <w:rFonts w:ascii="Arial" w:cs="Arial" w:eastAsia="Arial" w:hAnsi="Arial"/>
                <w:sz w:val="18"/>
                <w:szCs w:val="18"/>
                <w:color w:val="auto"/>
              </w:rPr>
              <w:t>100.0%</w:t>
            </w: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1,263.5</w:t>
            </w:r>
          </w:p>
        </w:tc>
        <w:tc>
          <w:tcPr>
            <w:tcW w:w="12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vMerge w:val="restart"/>
          </w:tcPr>
          <w:p>
            <w:pPr>
              <w:jc w:val="right"/>
              <w:ind w:right="214"/>
              <w:spacing w:after="0"/>
              <w:rPr>
                <w:sz w:val="20"/>
                <w:szCs w:val="20"/>
                <w:color w:val="auto"/>
              </w:rPr>
            </w:pPr>
            <w:r>
              <w:rPr>
                <w:rFonts w:ascii="Arial" w:cs="Arial" w:eastAsia="Arial" w:hAnsi="Arial"/>
                <w:sz w:val="18"/>
                <w:szCs w:val="18"/>
                <w:color w:val="auto"/>
              </w:rPr>
              <w:t>65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years ended December 31, 2015, 2014 and 2013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80" w:type="dxa"/>
            <w:vAlign w:val="bottom"/>
            <w:tcBorders>
              <w:bottom w:val="single" w:sz="8" w:color="auto"/>
            </w:tcBorders>
            <w:gridSpan w:val="9"/>
          </w:tcPr>
          <w:p>
            <w:pPr>
              <w:jc w:val="right"/>
              <w:ind w:right="4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48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$173.4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$163.3</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Less: Net expenses</w:t>
            </w:r>
          </w:p>
        </w:tc>
        <w:tc>
          <w:tcPr>
            <w:tcW w:w="480" w:type="dxa"/>
            <w:vAlign w:val="bottom"/>
          </w:tcPr>
          <w:p>
            <w:pPr>
              <w:jc w:val="right"/>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5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 before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105.6</w:t>
            </w: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ind w:left="360"/>
              <w:spacing w:after="0"/>
              <w:rPr>
                <w:sz w:val="20"/>
                <w:szCs w:val="20"/>
                <w:color w:val="auto"/>
              </w:rPr>
            </w:pPr>
            <w:r>
              <w:rPr>
                <w:rFonts w:ascii="Arial" w:cs="Arial" w:eastAsia="Arial" w:hAnsi="Arial"/>
                <w:sz w:val="18"/>
                <w:szCs w:val="18"/>
                <w:color w:val="auto"/>
              </w:rPr>
              <w:t>Less: Income taxes, including excise taxes</w:t>
            </w: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52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96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5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 xml:space="preserve">Net realized gains (losses) </w:t>
            </w:r>
            <w:r>
              <w:rPr>
                <w:rFonts w:ascii="Arial" w:cs="Arial" w:eastAsia="Arial" w:hAnsi="Arial"/>
                <w:sz w:val="15"/>
                <w:szCs w:val="15"/>
                <w:color w:val="auto"/>
              </w:rPr>
              <w:t>(1)</w:t>
            </w:r>
          </w:p>
        </w:tc>
        <w:tc>
          <w:tcPr>
            <w:tcW w:w="780" w:type="dxa"/>
            <w:vAlign w:val="bottom"/>
            <w:gridSpan w:val="4"/>
          </w:tcPr>
          <w:p>
            <w:pPr>
              <w:jc w:val="right"/>
              <w:ind w:right="240"/>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480"/>
              <w:spacing w:after="0"/>
              <w:rPr>
                <w:sz w:val="20"/>
                <w:szCs w:val="20"/>
                <w:color w:val="auto"/>
              </w:rPr>
            </w:pPr>
            <w:r>
              <w:rPr>
                <w:rFonts w:ascii="Arial" w:cs="Arial" w:eastAsia="Arial" w:hAnsi="Arial"/>
                <w:sz w:val="18"/>
                <w:szCs w:val="18"/>
                <w:color w:val="auto"/>
              </w:rPr>
              <w:t>(1.7)</w:t>
            </w: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Net change in unrealized gains (losses) </w:t>
            </w:r>
            <w:r>
              <w:rPr>
                <w:rFonts w:ascii="Arial" w:cs="Arial" w:eastAsia="Arial" w:hAnsi="Arial"/>
                <w:sz w:val="15"/>
                <w:szCs w:val="15"/>
                <w:color w:val="auto"/>
              </w:rPr>
              <w:t>(1)</w:t>
            </w:r>
          </w:p>
        </w:tc>
        <w:tc>
          <w:tcPr>
            <w:tcW w:w="7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(28.5)</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3"/>
              </w:rPr>
              <w:t>(17.7)</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60" w:type="dxa"/>
            <w:vAlign w:val="bottom"/>
          </w:tcPr>
          <w:p>
            <w:pPr>
              <w:ind w:left="36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$ 63.6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(1)   Includes foreign exchange hedging activity.</w:t>
            </w: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8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Investment Income</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9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960" w:type="dxa"/>
            <w:vAlign w:val="bottom"/>
            <w:vMerge w:val="continue"/>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9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$164.6</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154.0</w:t>
            </w: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Dividend income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0.9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c>
          <w:tcPr>
            <w:tcW w:w="26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960" w:type="dxa"/>
            <w:vAlign w:val="bottom"/>
          </w:tcPr>
          <w:p>
            <w:pPr>
              <w:ind w:left="360"/>
              <w:spacing w:after="0"/>
              <w:rPr>
                <w:sz w:val="20"/>
                <w:szCs w:val="20"/>
                <w:color w:val="auto"/>
              </w:rPr>
            </w:pPr>
            <w:r>
              <w:rPr>
                <w:rFonts w:ascii="Arial" w:cs="Arial" w:eastAsia="Arial" w:hAnsi="Arial"/>
                <w:sz w:val="18"/>
                <w:szCs w:val="18"/>
                <w:b w:val="1"/>
                <w:bCs w:val="1"/>
                <w:color w:val="auto"/>
              </w:rPr>
              <w:t>Total investment income</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163.3</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92.6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Interest from investments, which includes amortization of upfront fees and prepayment fees, increased from $154.0 million for the year ended December 31, 2014 to $164.6 million for the year ended December 31, 2015, primarily due to the increase in the size of our investment portfolio. The average size of our investment portfolio increased from $1.2 billion during the year ended December 31, 2014 to $1.4 billion during the year ended December 31, 2015. Accelerated amortization of upfront fees primarily from unscheduled paydowns decreased from $12.5 million for the year ended December 31, 2014 to $6.9 million for the year ended December 31, 2015, and prepayment fees decreased from $21.0 million for the year ended December 31, 2014 to</w:t>
      </w:r>
    </w:p>
    <w:p>
      <w:pPr>
        <w:spacing w:after="0" w:line="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$15.4 million for the year ended December 31, 2015. The accelerated amortization and prepayment fees primarily resulted from partial paydowns on two portfolio investments, full paydowns on thirteen portfolio investments and the expiration of one unfunded commitment during the year ended December 31, 2014 and a partial paydown on one portfolio investment and full paydowns on eleven portfolio investments during the year ended December 31, 2015. Dividend income for the year ended December 31, 2015 was $0.9 million. We did not have dividend income for the year ended December 31, 2014. Other income decreased from $9.3 million for the year ended December 31, 2014 to $7.9 million for the year ended December 31, 2015, primarily due to higher syndication, amendment and agency fees earned during 2014.</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Interest from investments, which includes amortization of upfront fees and prepayment fees, increased from $90.4 million for the year ended December 31, 2013 to $154.0 million for the year ended December 31, 2014, primarily due to the increase in the size of our investment portfolio. The average size of our investment portfolio increased from $0.8 billion during the year ended December 31, 2013 to $1.2 billion during the year ended December 31, 2014. Accelerated amortization of upfront fees primarily from unscheduled paydowns increased from $3.0 million for the year ended December 31, 2013 to $12.5 million for the year ended December 31, 2014 and prepayment fees increased from $3.0 million for the year ended December 31, 2013 to $21.0 million for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year ended December 31, 2014. The accelerated amortization and prepayment fees primarily resulted from partial paydowns on three portfolio investments and full paydowns on five portfolio investments during the year ended December 31, 2013 and from partial paydowns on two portfolio investments, full paydowns on thirteen portfolio investments and the expiration of one unfunded commitment during the year ended December 31, 2014. Other income increased from $2.2 million for the year ended December 31, 2013 to $9.3 million for the year ended December 31, 2014, primarily due to higher syndication, amendment and agency fees earned during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for the years ended December 31, 2015, 2014 and 2013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22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 w:type="dxa"/>
            <w:vAlign w:val="bottom"/>
          </w:tcPr>
          <w:p>
            <w:pPr>
              <w:spacing w:after="0"/>
              <w:rPr>
                <w:sz w:val="14"/>
                <w:szCs w:val="14"/>
                <w:color w:val="auto"/>
              </w:rPr>
            </w:pPr>
          </w:p>
        </w:tc>
        <w:tc>
          <w:tcPr>
            <w:tcW w:w="2440" w:type="dxa"/>
            <w:vAlign w:val="bottom"/>
            <w:gridSpan w:val="7"/>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w:t>
            </w:r>
          </w:p>
        </w:tc>
        <w:tc>
          <w:tcPr>
            <w:tcW w:w="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Management fees (net of waivers)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fees related to pre-incentive fee net investment income (net of</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waivers)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Incentive fees related to realized/unrealized capital gains (losses)</w:t>
            </w:r>
          </w:p>
        </w:tc>
        <w:tc>
          <w:tcPr>
            <w:tcW w:w="20" w:type="dxa"/>
            <w:vAlign w:val="bottom"/>
          </w:tcPr>
          <w:p>
            <w:pPr>
              <w:spacing w:after="0"/>
              <w:rPr>
                <w:sz w:val="18"/>
                <w:szCs w:val="18"/>
                <w:color w:val="auto"/>
              </w:rPr>
            </w:pPr>
          </w:p>
        </w:tc>
        <w:tc>
          <w:tcPr>
            <w:tcW w:w="4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Directors fees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general and administrative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b w:val="1"/>
                <w:bCs w:val="1"/>
                <w:color w:val="auto"/>
              </w:rPr>
              <w:t>Net Expenses</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76.6</w:t>
            </w:r>
          </w:p>
        </w:tc>
        <w:tc>
          <w:tcPr>
            <w:tcW w:w="5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Interest expense, including other debt financing expenses, increased from $15.1 million for the year ended December 31, 2014 to $22.0 million for the year ended December 31, 2015. This increase was primarily due to an increase in the weighted average debt outstanding from $377 million for the year ended December 31, 2014 to $541 million for the year ended December 31, 2015. The average interest rate on our debt outstanding for both the year ended December 31, 2014 and the year ended December 31, 2015 was 2.6%.</w:t>
      </w:r>
    </w:p>
    <w:p>
      <w:pPr>
        <w:spacing w:after="0" w:line="18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Interest expense, including other debt financing expenses, increased from $10.5 million for the year ended December 31, 2013 to $15.1 million for the year ended December 31, 2014. This increase was primarily due to an increase in the weighted average debt outstanding from $266 million for the year ended December 31, 2013 to $377 million for the year ended December 31, 2014. The increase in average debt outstanding was offset by a decrease in the average interest rate on our debt outstanding from 2.7% for the year ended December 31, 2013 to 2.6% for the year ended December 31, 2014.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Fees (net of waivers) increased from $15.8 million for the year ended December 31, 2014 to $21.2 million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Management Fees increased from $18.3 million for the year ended December 31, 2014 to $21.3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due to the increase in total assets, which increased from an average of $1.2 billion for the year ended December 31, 2014 to an average of $1.4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2015. Management Fees waived decreased from $2.5 million for the year ended December 31, 2014 to $0.1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2015. There were no Management Fees waived during the period April 1, 2014 through December 31, 2014, following our IPO.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Fees waived during the year ended December 31, 2015 were solely attributable to our ownership of shares of common stock in TICC Capital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 or the TICC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Fees (net of waivers) increased from $6.2 million for the year ended December 31, 2013 to $15.8 million for the year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Management Fees increased from $13.4 million for the year ended December 31, 2013 to $18.3 million for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2014 due to the increase in total assets, which increased from an average of $0.9 billion for the year ended December 31, 2013 to an average of $1.2 billion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2014. Management Fees waived decreased from $7.1 million for the year ended December 31, 2013 to $2.5 million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2014, as there were no management fees waived during the period April 1, 2014 through December 31, 2014, following our IPO.</w:t>
      </w:r>
    </w:p>
    <w:p>
      <w:pPr>
        <w:spacing w:after="0" w:line="23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In addition, the Adviser has voluntarily waived the Management Fee on our ownership of the TICC Shares for any period in which TICC Capital Corp. remains our portfolio company.</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waived Management Fees are not subject to recoupment by the Adviser. Following our IPO, with the exception of its waiver of Management Fees attributable to our ownership of the TICC Shares, the Adviser has not waived its right to receive the full Management Fee, payable pursuant to the Investment Advisory Agreement. There can be no assurance that the Adviser will continue to waive Management Fees related to the TICC Shares, as the Adviser can discontinue the voluntary waiver at any time. Accordingly, we may be required to continue to pay the full amount of the Management Fee, including with respect to the TICC Shares, in future periods.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Incentive Fees</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Incentive Fees (net of waivers) related to pre-Incentive Fee net investment income remained relatively flat at $20.8 million for the year ended December 31, 2014 and $20.0 million for the year ended December 31, 2015. For the year ended December 31, 2015, Incentive Fees related to pre-Incentive Fee net investment income of $0.2 million were waived, consisting solely of Incentive Fees attributable to our ownership of the TICC Shares. There were no Incentive Fees related to pre-Incentive Fee net investment income waived for the year ended December 31, 2014, as we did not hold any TICC Shares during the period. Incentive Fees related to capital gains and losses were ($2.9) million for the year ended December 31, 2014 due to unrealized losses on our investments and realized losses on foreign exchange transactions. There were no Incentive Fees related to capital gains and losses for the year ended December 31, 2015 due to unrealized losses on our investments and realized losses on our investments.</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Incentive Fees related to pre-Incentive Fee net investment income increased from $10.4 million for the year ended December 31, 2013 to $20.8 million for the year ended December 31, 2014. This increase resulted from the increase in the size of the portfolio and related increase in net investment income, including an increase in prepayment fees and accelerated amortization of upfront fees primarily from unscheduled paydowns. This increase also resulted from an increase in the Incentive Fee rate from 15% through March 31, 2014 to 17.5% beginning April 1, 2014 as a result of the consummation of our IPO. Incentive Fees related to capital gains and losses decreased from $1.4 million for the year ended December 31, 2013 to ($2.9) million for the year ended December 31, 2014 due to changes in unrealized gains and losses on our investments, realized gains on our investments and realized losses on foreign currency transactions.</w:t>
      </w:r>
    </w:p>
    <w:p>
      <w:pPr>
        <w:spacing w:after="0" w:line="189"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Incentive Fee related to capital gains and losses attributable to our ownership of the TICC Shares and, accordingly, any realized capital gains or losses and unrealized capital depreciation with respect to the TICC Shares will be applied against the our cumulative realized capital gains on which the Incentive Fee related to capital gains and losses is calculated.</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Any waived Incentive Fees are not subject to recoupment by the Adviser. There can be no assurance that the Adviser will continue to waive any Incentive Fee related to the TICC Shares, as the Adviser can discontinue the voluntary waiver at any time. Accordingly, we may be required to continue to pay the full amount of the Incentive Fee, including with respect to the TICC Shares, in future periods.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Fees and Other General and Administrative Expenses</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Professional fees increased from $4.7 million for the year ended December 31, 2014 to $8.2 million for the year ended December 31, 2015 and other general and administrative fees increased from $3.9 million for the year ended December 31, 2014 to $4.8 million for the year ended December 31, 2015, both due to an increase in costs associated with servicing a growing investment portfolio, as well as incremental professional fees incurred relating to our investment in the TICC Shares and related activity.</w:t>
      </w:r>
    </w:p>
    <w:p>
      <w:pPr>
        <w:spacing w:after="0" w:line="18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Professional fees increased from $3.7 million for the year ended December 31, 2013 to $4.7 million for the year ended December 31, 2014 and other general and administrative fees increased from $2.4 million for the year ended December 31, 2013 to $3.9 million for the year ended December 31, 2014, both due to an increase in costs associated with servicing a growing investment portfolio.</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Including Excise Taxes</w:t>
      </w:r>
    </w:p>
    <w:p>
      <w:pPr>
        <w:spacing w:after="0" w:line="117"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calendar years ended December 31, 2015, 2014 and 2013 we recorded a net expense of $1.5 million, $1.1 million and $0.2 million, respectively, for U.S. federal excise tax.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and Unrealized Gains and Losses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net realized and unrealized gains (losses) for the years ended December 31,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68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2560" w:type="dxa"/>
            <w:vAlign w:val="bottom"/>
          </w:tcPr>
          <w:p>
            <w:pPr>
              <w:spacing w:after="0"/>
              <w:rPr>
                <w:sz w:val="14"/>
                <w:szCs w:val="14"/>
                <w:color w:val="auto"/>
              </w:rPr>
            </w:pPr>
          </w:p>
        </w:tc>
        <w:tc>
          <w:tcPr>
            <w:tcW w:w="2340" w:type="dxa"/>
            <w:vAlign w:val="bottom"/>
            <w:gridSpan w:val="9"/>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80" w:type="dxa"/>
            <w:vAlign w:val="bottom"/>
            <w:vMerge w:val="continue"/>
          </w:tcPr>
          <w:p>
            <w:pPr>
              <w:spacing w:after="0"/>
              <w:rPr>
                <w:sz w:val="12"/>
                <w:szCs w:val="12"/>
                <w:color w:val="auto"/>
              </w:rPr>
            </w:pPr>
          </w:p>
        </w:tc>
        <w:tc>
          <w:tcPr>
            <w:tcW w:w="256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center"/>
              <w:ind w:left="154"/>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realized gains (losses) on investments</w:t>
            </w:r>
          </w:p>
        </w:tc>
        <w:tc>
          <w:tcPr>
            <w:tcW w:w="2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$(5.0)</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realized gains on interest rate swaps</w:t>
            </w:r>
          </w:p>
        </w:tc>
        <w:tc>
          <w:tcPr>
            <w:tcW w:w="3260" w:type="dxa"/>
            <w:vAlign w:val="bottom"/>
            <w:gridSpan w:val="3"/>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8"/>
              </w:rPr>
              <w:t>Net realized gains (losses) on foreign currency transactions</w:t>
            </w:r>
          </w:p>
        </w:tc>
        <w:tc>
          <w:tcPr>
            <w:tcW w:w="3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(0.4)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w w:val="90"/>
              </w:rPr>
              <w:t>Net realized gains (losses) on foreign currency forward contracts</w:t>
            </w:r>
          </w:p>
        </w:tc>
        <w:tc>
          <w:tcPr>
            <w:tcW w:w="3260" w:type="dxa"/>
            <w:vAlign w:val="bottom"/>
            <w:gridSpan w:val="3"/>
          </w:tcPr>
          <w:p>
            <w:pPr>
              <w:jc w:val="right"/>
              <w:ind w:right="3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on foreign currency investments</w:t>
            </w:r>
          </w:p>
        </w:tc>
        <w:tc>
          <w:tcPr>
            <w:tcW w:w="3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Net realized gains on foreign currency borrowings</w:t>
            </w:r>
          </w:p>
        </w:tc>
        <w:tc>
          <w:tcPr>
            <w:tcW w:w="25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gains (losses)</w:t>
            </w:r>
          </w:p>
        </w:tc>
        <w:tc>
          <w:tcPr>
            <w:tcW w:w="3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w:t>
            </w:r>
          </w:p>
        </w:tc>
        <w:tc>
          <w:tcPr>
            <w:tcW w:w="70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89"/>
              </w:rPr>
              <w:t>$ 1.1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560" w:type="dxa"/>
            <w:vAlign w:val="bottom"/>
            <w:vMerge w:val="restart"/>
          </w:tcPr>
          <w:p>
            <w:pPr>
              <w:jc w:val="right"/>
              <w:ind w:right="2270"/>
              <w:spacing w:after="0"/>
              <w:rPr>
                <w:sz w:val="20"/>
                <w:szCs w:val="20"/>
                <w:color w:val="auto"/>
              </w:rPr>
            </w:pPr>
            <w:r>
              <w:rPr>
                <w:rFonts w:ascii="Arial" w:cs="Arial" w:eastAsia="Arial" w:hAnsi="Arial"/>
                <w:sz w:val="18"/>
                <w:szCs w:val="18"/>
                <w:color w:val="auto"/>
                <w:w w:val="89"/>
              </w:rPr>
              <w:t>69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2015</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3"/>
              </w:rPr>
              <w:t>2014</w:t>
            </w:r>
          </w:p>
        </w:tc>
        <w:tc>
          <w:tcPr>
            <w:tcW w:w="260" w:type="dxa"/>
            <w:vAlign w:val="bottom"/>
          </w:tcPr>
          <w:p>
            <w:pPr>
              <w:spacing w:after="0"/>
              <w:rPr>
                <w:sz w:val="12"/>
                <w:szCs w:val="12"/>
                <w:color w:val="auto"/>
              </w:rPr>
            </w:pPr>
          </w:p>
        </w:tc>
        <w:tc>
          <w:tcPr>
            <w:tcW w:w="6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unrealized gains on investments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Change in unrealized losses on investments</w:t>
            </w:r>
          </w:p>
        </w:tc>
        <w:tc>
          <w:tcPr>
            <w:tcW w:w="10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w w:val="89"/>
              </w:rPr>
              <w:t>(43.3)</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(34.3)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(3.8)</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Unrealized Gains (Losses) on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w w:val="89"/>
              </w:rPr>
              <w:t>(34.3)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(28.9)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Unrealized appreciation on foreign currency borrowings</w:t>
            </w: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Unrealized appreciation (depreciation) on foreign currency cash and forward contracts</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Unrealized appreciation (depreciation) on interest rate swaps</w:t>
            </w:r>
          </w:p>
        </w:tc>
        <w:tc>
          <w:tcPr>
            <w:tcW w:w="100" w:type="dxa"/>
            <w:vAlign w:val="bottom"/>
          </w:tcPr>
          <w:p>
            <w:pPr>
              <w:spacing w:after="0"/>
              <w:rPr>
                <w:sz w:val="18"/>
                <w:szCs w:val="18"/>
                <w:color w:val="auto"/>
              </w:rPr>
            </w:pPr>
          </w:p>
        </w:tc>
        <w:tc>
          <w:tcPr>
            <w:tcW w:w="840" w:type="dxa"/>
            <w:vAlign w:val="bottom"/>
            <w:gridSpan w:val="3"/>
          </w:tcPr>
          <w:p>
            <w:pPr>
              <w:jc w:val="right"/>
              <w:ind w:right="4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Change in Unrealized Gains (Losses) on Foreign Currency Transactions and</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 Rate Swaps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Net Change in Unrealized Gains (Losses)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(28.5</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(17.7</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For the years ended December 31, 2015, 2014 and 2013, we had net realized losses on investments of $5.0 million and net realized gains on investments of $0.1 million and $1.1 million, respectively. For the year ended December 31, 2015, we had net realized gains on interest rate swaps of $1.8 million. We did not have realized gains or losses on interest rate swaps for the years ended December 31, 2014 or 2013. For the years ended December 31, 2015, 2014 and 2013, we had net realized gains on foreign currency transactions of less than $0.1 million, net realized losses on foreign currency transactions of $0.4 million and net realized gains on foreign currency transactions of less than $0.1 million, respectively, primarily as a result of translating foreign currency related to our non-USD denominated investments. For the years ended December 31, 2015, 2014 and 2013, we had net realized gains on foreign currency forward contracts of less than $0.1 million, net realized losses on foreign currency forward contracts of $1.6 million and net realized gains on foreign currency forward contracts of less than $0.1 million, respectively, primarily as a result of settling our foreign currency forward contracts. For the year ended December 31, 2015, we had net realized losses on foreign currency investments of $0.4 million. We did not have realized gains or losses on foreign currency investments for the years ended December 31, 2014 or 2013. For the years ended December 31, 2015 and 2014, we had net realized gains on foreign currency borrowings of $0.4 million and $0.2 million, respectively. We did not have realized gains or losses on foreign currency borrowings for the year ended December 31, 2013.</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2015, we had $9.0 million in unrealized appreciation on 15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$43.3 million in unrealized depreciation on 40 portfolio company investments. Unrealized appreciation for the year ended December 31, 2015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increase in fair value, primarily due to positive valuation adjustments. Unrealized depreciation for the year ended December 31, 2015 resulted 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widening in credit spreads, the reversal of prior period unrealized appreciation and in some instances negative credit-related adjustments.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 ended December 31, 2014, we had $5.4 million in unrealized appreciation on 10 portfolio company investments, which was offset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$34.3 million in unrealized depreciation on 35 portfolio company investments. Unrealized appreciation for the year ended December 31, 2014 resulted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increase in fair value, primarily due to a tightening spread environment during the six months ended June 30, 2014 and positive credit-related adjustments.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Unrealized depreciation for the year ended December 31, 2014 resulted from the reversal of prior period unrealized appreciation, primarily due to a widening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spread environment during the six months ended December 31, 2014, and in some instances negative credit-related and energy-related adjustments.</w:t>
      </w:r>
    </w:p>
    <w:p>
      <w:pPr>
        <w:spacing w:after="0" w:line="22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For the year ended December 31, 2013, we had $13.4 million in unrealized appreciation on 24 portfolio company investments, which was partially offset by $3.8 million in unrealized depreciation on nine portfolio company investments. Unrealized appreciation for the year ended December 31, 2013 resulted from increases in fair value, primarily due to a tightening spread environment and positive credit-related adjustments. Unrealized depreciation for the year ended December 31, 2013 primarily resulted from the reversal of prior period unrealized appreciation and in some instances negative credit-related adjustments.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For the years ended December 31, 2015 and 2014, we had unrealized appreciation on foreign currency borrowings of $6.3 million and $8.9 million, respectively, primarily as a result of fluctuations in the GBP, SEK and EUR exchange rates. For the year ended December 31, 2013, we did not have unrealized appreciation or depreciation on foreign currency borrowings. For the years ended December 31, 2015, 2014 and 2013, we had unrealized depreciation on foreign currency cash and forward contracts of less than $0.1 million, unrealized appreciation on foreign currency cash and forward contracts of $1.3 million, and unrealized depreciation on foreign currency cash and forward contracts of $1.2 million, respectively, primarily as a result of settling our foreign currency forward contracts. For the years ended December 31, 2015 and 2014, we had unrealized depreciation on interest rate swaps of $0.5 million and unrealized appreciation on interest rate swaps of $1.0 million, respectively, due to fluctuations in interest rates. For the year ended December 31, 2013, we did not have unrealized appreciation or depreciation on interest rate swaps.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Cash Flow Realized Gross Internal Rate of Return</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Since we began investing in 2011 through December 31, 2015, our exited investments have resulted in an aggregate cash flow realized gross internal rate of return to us of 16.3% (based on cash invested of $1.2 billion and total proceeds from these exited investments of $1.5 billion). Ninety percent of these exited investments resulted in an aggregate cash flow realized gross internal rate of return to us of 10% or greater.</w:t>
      </w:r>
    </w:p>
    <w:p>
      <w:pPr>
        <w:spacing w:after="0" w:line="166"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81"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2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Hedging</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current approach to hedging the foreign currency exposure in our non-U.S. dollar denominated investments is primarily to borrow the necessary local currency under our Revolving Credit Facility to fund these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investments. For the years ended December 31, 2015 and 2014, we had $6.3 million and $8.9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2015 and 2014. We did not have non-U.S. dollar denominated debt in the year ended December 31, 2013. See Note 2 to our consolidated financial statements included in this prospectus for additional disclosure regarding our accounting for foreign currency. See Note 7 to our consolidated financial statements included in this prospectus for additional disclosure regarding the amounts of outstanding debt denominated in each foreign currency at December 31, 2015. See our consolidated schedule of investments for additional disclosure regarding the foreign currency amounts (in both par and fair value) of our non-U.S. dollar denominated investments.</w:t>
      </w:r>
    </w:p>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During the years ended December 31, 2015, 2014 and 2013, we entered into foreign currency forward contracts related to our non-USD denominated investments. During the year ended December 31, 2015, our foreign currency forward contracts generated an unrealized loss of less than $0.1 million and a realized gain of less than $0.1 million. As of December 31, 2015, we did not have any open foreign currency forward contracts. During the year ended December 31, 2014, our foreign currency forward contracts generated an unrealized gain of $1.3 million and a realized loss of $1.6 million. During the year ended December 31, 2013, our foreign currency forward contracts generated an unrealized loss of $1.2 million and a realized gain of less than $0.1 million. We also entered into interest rate swaps in connection with one of our portfolio investments during the year ended December 31, 2015. We bear the costs incurred in connection with entering into, administering and settling derivative contracts. There can be no assurance any hedging strategy we employ will be successful.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76"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investments in portfolio companies and other investments and to comply with certain portfolio diversification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operations (including paying our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service, repayment, and other financing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cash distributions to the holders of our shares.</w:t>
      </w:r>
    </w:p>
    <w:p>
      <w:pPr>
        <w:spacing w:after="0" w:line="225"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December 31, 2015, 2014 and 2013, our asset coverage ratio was 225.7%, 311.0% and 232.9%, respectively. We carefully consider our unfunded commitments for the purpose of planning our capital resources and ongoing liquidity, including our financial leverage. Further, we maintain sufficient borrowing capacity within the 200% asset coverage limitation to cover any outstanding unfunded commitments we are required to fund.</w:t>
      </w:r>
    </w:p>
    <w:p>
      <w:pPr>
        <w:spacing w:after="0" w:line="182"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Cash and cash equivalents as of December 31, 2015, taken together with cash available under our credit facilities, is expected to be sufficient for our investing activities and to conduct our operations in the near term. As of December 31, 2015, we had approximately $280.9 million of availability on our Revolving Credit Facility.</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we had $2.4 million in cash and cash equivalents. During the year ended December 31, 2015, we used $183.5 million in cash for operating activities, primarily as a result of funding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portfolio investments of $757.3 million, which was partially offset by proceeds from investments of $39.1 million, repayments on investments of</w:t>
      </w:r>
    </w:p>
    <w:p>
      <w:pPr>
        <w:spacing w:after="0" w:line="23" w:lineRule="exact"/>
        <w:rPr>
          <w:sz w:val="20"/>
          <w:szCs w:val="20"/>
          <w:color w:val="auto"/>
        </w:rPr>
      </w:pPr>
    </w:p>
    <w:p>
      <w:pPr>
        <w:ind w:right="420"/>
        <w:spacing w:after="0" w:line="255" w:lineRule="auto"/>
        <w:rPr>
          <w:sz w:val="20"/>
          <w:szCs w:val="20"/>
          <w:color w:val="auto"/>
        </w:rPr>
      </w:pPr>
      <w:r>
        <w:rPr>
          <w:rFonts w:ascii="Arial" w:cs="Arial" w:eastAsia="Arial" w:hAnsi="Arial"/>
          <w:sz w:val="18"/>
          <w:szCs w:val="18"/>
          <w:color w:val="auto"/>
        </w:rPr>
        <w:t>$474.5 million, other operating activity of $3.4 million, and an increase in net assets resulting from operations of $63.6 million. Lastly, cash provided by financing activities was $183.5 million during the period, primarily due to borrowings of $847.5 million, partially offset by repayments on debt of $584.5 million, debt issuance costs of $1.4 million and dividends paid of $78.1 million.</w:t>
      </w:r>
    </w:p>
    <w:p>
      <w:pPr>
        <w:spacing w:after="0" w:line="1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December 31, 2014, we had $2.4 million in cash and cash equivalents, a decrease of $1.1 million from December 31, 2013. During the year ended December 31, 2014, we used net $148.8 million in cash for operating activities, primarily as a result of funding portfolio investments of $974.8 million, which was partially offset by proceeds from investments of $100.7 million, repayments on investments of $620.7 million, other operating activity of</w:t>
      </w:r>
    </w:p>
    <w:p>
      <w:pPr>
        <w:ind w:right="40"/>
        <w:spacing w:after="0" w:line="255" w:lineRule="auto"/>
        <w:rPr>
          <w:sz w:val="20"/>
          <w:szCs w:val="20"/>
          <w:color w:val="auto"/>
        </w:rPr>
      </w:pPr>
      <w:r>
        <w:rPr>
          <w:rFonts w:ascii="Arial" w:cs="Arial" w:eastAsia="Arial" w:hAnsi="Arial"/>
          <w:sz w:val="18"/>
          <w:szCs w:val="18"/>
          <w:color w:val="auto"/>
        </w:rPr>
        <w:t>$19.6 million, and an increase in net assets resulting from operations of $85.0 million. Lastly, cash provided by financing activities was $147.8 million during the period, primarily due to net borrowings of $1,108.1 million and proceeds from issuance of common stock of $234.4 million, partially offset by net repayments on debt of $1,135.4 million, debt issuance costs of $6.8 million and dividends paid of $52.6 million.</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As of December 31, 2015, we had $0.9 million of restricted cash pledged as collateral under our interest rate swap agreements, which we initially entered into in June 2014 and November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w:t>
      </w:r>
    </w:p>
    <w:p>
      <w:pPr>
        <w:spacing w:after="0" w:line="11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47" w:lineRule="exact"/>
        <w:rPr>
          <w:sz w:val="20"/>
          <w:szCs w:val="20"/>
          <w:color w:val="auto"/>
        </w:rPr>
      </w:pPr>
    </w:p>
    <w:p>
      <w:pPr>
        <w:ind w:right="940" w:firstLine="456"/>
        <w:spacing w:after="0" w:line="277" w:lineRule="auto"/>
        <w:rPr>
          <w:sz w:val="20"/>
          <w:szCs w:val="20"/>
          <w:color w:val="auto"/>
        </w:rPr>
      </w:pPr>
      <w:r>
        <w:rPr>
          <w:rFonts w:ascii="Arial" w:cs="Arial" w:eastAsia="Arial" w:hAnsi="Arial"/>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8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year ended December 31, 2014 in this section and the consolidated financial statements for the year ended December 31, 2014. During the year ended December 31, 2014, we did not deliver any drawdown notices to our private phase investors.</w:t>
      </w:r>
    </w:p>
    <w:p>
      <w:pPr>
        <w:spacing w:after="0" w:line="17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remaining unfunded commitments under the subscription agreements terminated upon the completion of our IPO in March 2014, and hence as of December 31, 2015 no longer remain in effect.</w:t>
      </w:r>
    </w:p>
    <w:p>
      <w:pPr>
        <w:spacing w:after="0" w:line="170" w:lineRule="exact"/>
        <w:rPr>
          <w:sz w:val="20"/>
          <w:szCs w:val="20"/>
          <w:color w:val="auto"/>
        </w:rPr>
      </w:pPr>
    </w:p>
    <w:p>
      <w:pPr>
        <w:ind w:right="340" w:firstLine="456"/>
        <w:spacing w:after="0" w:line="302" w:lineRule="auto"/>
        <w:rPr>
          <w:sz w:val="20"/>
          <w:szCs w:val="20"/>
          <w:color w:val="auto"/>
        </w:rPr>
      </w:pPr>
      <w:r>
        <w:rPr>
          <w:rFonts w:ascii="Arial" w:cs="Arial" w:eastAsia="Arial" w:hAnsi="Arial"/>
          <w:sz w:val="16"/>
          <w:szCs w:val="16"/>
          <w:color w:val="auto"/>
        </w:rPr>
        <w:t>During the years ended December 31, 2015 and 2014, we also issued 368,602 and 1,361,850 shares of our common stock, respectively, to investors who have not opted out of our dividend reinvestment plan for proceeds of $6.1 million and $22.6 million, respectively. On February 1, 2016, we issued 147,809 shares of our common stock through our dividend reinvestment plan for proceeds of $2.3 million, which is not reflected in the number of shares issued for the year ended December 31, 2015 in this section or the consolidated financial statements for the year ended December 31, 2015.</w:t>
      </w:r>
    </w:p>
    <w:p>
      <w:pPr>
        <w:spacing w:after="0" w:line="15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Plan in place because we believe that if our common stock is trading below our then-current net asset value, it is in the best interest of our stockholders for us to reinvest in our portfolio and increase our leverage ratio through share repurchases.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us to enter into a new stock repurchase plan, on substantially the same terms as the prior stock repurchase plan. On February 24, 2016, the Board authorized the extension of the termination date of the Company 10b5-1 Plan to August 31, 2016. Unless extended or terminated by the Board, the Company 10b5-1 Plan will be in effect through the earlier of August 31, 2016 or such time as the current approved repurchase amount of up to $50 million has been fully utilized, subject to certain conditions.</w:t>
      </w:r>
    </w:p>
    <w:p>
      <w:pPr>
        <w:spacing w:after="0" w:line="18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During the year ended December 31, 2015, the Company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consisted of the following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3"/>
              </w:rPr>
              <w:t>December 31, 2015</w:t>
            </w:r>
          </w:p>
        </w:tc>
        <w:tc>
          <w:tcPr>
            <w:tcW w:w="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74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40" w:type="dxa"/>
            <w:vAlign w:val="bottom"/>
          </w:tcPr>
          <w:p>
            <w:pPr>
              <w:spacing w:after="0"/>
              <w:rPr>
                <w:sz w:val="10"/>
                <w:szCs w:val="10"/>
                <w:color w:val="auto"/>
              </w:rPr>
            </w:pPr>
          </w:p>
        </w:tc>
        <w:tc>
          <w:tcPr>
            <w:tcW w:w="11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Amount Committed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540,305</w:t>
            </w: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$ 280,945</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$540,305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115,000</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115,000</w:t>
            </w:r>
          </w:p>
        </w:tc>
        <w:tc>
          <w:tcPr>
            <w:tcW w:w="4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112,483</w:t>
            </w:r>
          </w:p>
        </w:tc>
      </w:tr>
      <w:tr>
        <w:trPr>
          <w:trHeight w:val="27"/>
        </w:trPr>
        <w:tc>
          <w:tcPr>
            <w:tcW w:w="4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936,250</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655,305</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97"/>
              </w:rPr>
              <w:t>$ 280,945</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652,788</w:t>
            </w: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1"/>
        </w:trPr>
        <w:tc>
          <w:tcPr>
            <w:tcW w:w="4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3"/>
              </w:rPr>
              <w:t>December 31, 2014</w:t>
            </w:r>
          </w:p>
        </w:tc>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19"/>
        </w:trPr>
        <w:tc>
          <w:tcPr>
            <w:tcW w:w="4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740" w:type="dxa"/>
            <w:vAlign w:val="bottom"/>
          </w:tcPr>
          <w:p>
            <w:pPr>
              <w:spacing w:after="0"/>
              <w:rPr>
                <w:sz w:val="10"/>
                <w:szCs w:val="10"/>
                <w:color w:val="auto"/>
              </w:rPr>
            </w:pP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Outstanding</w:t>
            </w:r>
          </w:p>
        </w:tc>
        <w:tc>
          <w:tcPr>
            <w:tcW w:w="40" w:type="dxa"/>
            <w:vAlign w:val="bottom"/>
          </w:tcPr>
          <w:p>
            <w:pPr>
              <w:spacing w:after="0"/>
              <w:rPr>
                <w:sz w:val="10"/>
                <w:szCs w:val="10"/>
                <w:color w:val="auto"/>
              </w:rPr>
            </w:pPr>
          </w:p>
        </w:tc>
        <w:tc>
          <w:tcPr>
            <w:tcW w:w="114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4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Amount Committed</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 xml:space="preserve">Available </w:t>
            </w:r>
            <w:r>
              <w:rPr>
                <w:rFonts w:ascii="Arial" w:cs="Arial" w:eastAsia="Arial" w:hAnsi="Arial"/>
                <w:sz w:val="12"/>
                <w:szCs w:val="12"/>
                <w:b w:val="1"/>
                <w:bCs w:val="1"/>
                <w:color w:val="auto"/>
                <w:w w:val="94"/>
              </w:rPr>
              <w:t>(1)</w:t>
            </w:r>
          </w:p>
        </w:tc>
        <w:tc>
          <w:tcPr>
            <w:tcW w:w="38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6"/>
              </w:rPr>
              <w:t>106,725</w:t>
            </w:r>
          </w:p>
        </w:tc>
        <w:tc>
          <w:tcPr>
            <w:tcW w:w="7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45,279</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781,250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ind w:left="80"/>
              <w:spacing w:after="0"/>
              <w:rPr>
                <w:sz w:val="20"/>
                <w:szCs w:val="20"/>
                <w:color w:val="auto"/>
              </w:rPr>
            </w:pPr>
            <w:r>
              <w:rPr>
                <w:rFonts w:ascii="Arial" w:cs="Arial" w:eastAsia="Arial" w:hAnsi="Arial"/>
                <w:sz w:val="18"/>
                <w:szCs w:val="18"/>
                <w:color w:val="auto"/>
              </w:rPr>
              <w:t>177,216</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466,189</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115,000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115,000</w:t>
            </w:r>
          </w:p>
        </w:tc>
        <w:tc>
          <w:tcPr>
            <w:tcW w:w="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468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1,071,250</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6"/>
              </w:rPr>
              <w:t>398,941</w:t>
            </w: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$ 511,468</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395,864</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600" w:hanging="5612"/>
        <w:spacing w:after="0" w:line="449" w:lineRule="auto"/>
        <w:tabs>
          <w:tab w:leader="none" w:pos="45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 74</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December 31, 2014, we were in compliance with the terms of our debt arrangements. We intend to continue to utilize our credit facilities to fund investments and for other general corporate purposes.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On February 27, 2014, we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us,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we,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we entered into a third amendment to the Revolving Credit Facility:</w:t>
      </w:r>
    </w:p>
    <w:p>
      <w:pPr>
        <w:spacing w:after="0" w:line="131" w:lineRule="exact"/>
        <w:rPr>
          <w:sz w:val="20"/>
          <w:szCs w:val="20"/>
          <w:color w:val="auto"/>
        </w:rPr>
      </w:pPr>
    </w:p>
    <w:p>
      <w:pPr>
        <w:ind w:left="900" w:right="260" w:hanging="325"/>
        <w:spacing w:after="0" w:line="342" w:lineRule="auto"/>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we entered into a fourth amendment to the Revolving Credit Facility:</w:t>
      </w:r>
    </w:p>
    <w:p>
      <w:pPr>
        <w:spacing w:after="0" w:line="131" w:lineRule="exact"/>
        <w:rPr>
          <w:sz w:val="20"/>
          <w:szCs w:val="20"/>
          <w:color w:val="auto"/>
        </w:rPr>
      </w:pPr>
    </w:p>
    <w:p>
      <w:pPr>
        <w:ind w:left="660" w:hanging="206"/>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w:t>
      </w:r>
    </w:p>
    <w:p>
      <w:pPr>
        <w:spacing w:after="0" w:line="46" w:lineRule="exact"/>
        <w:rPr>
          <w:rFonts w:ascii="Arial" w:cs="Arial" w:eastAsia="Arial" w:hAnsi="Arial"/>
          <w:sz w:val="16"/>
          <w:szCs w:val="16"/>
          <w:color w:val="auto"/>
        </w:rPr>
      </w:pP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1.00% to 0.75% and (ii) any loan bearing interest at a rate determined by reference to the Adjusted LIBO Rate from 2.00% to 1.75%, in each case, if the Borrowing Base is equal to or greater than 1.85 times the Combined Debt Amount;</w:t>
      </w:r>
    </w:p>
    <w:p>
      <w:pPr>
        <w:spacing w:after="0" w:line="89" w:lineRule="exact"/>
        <w:rPr>
          <w:rFonts w:ascii="Arial" w:cs="Arial" w:eastAsia="Arial" w:hAnsi="Arial"/>
          <w:sz w:val="16"/>
          <w:szCs w:val="16"/>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660" w:right="700" w:hanging="206"/>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the accordion feature, which allows us, under certain circumstances, to increase the size of the Revolving Credit Facility, from a maximum of $956.3 million to a maximum of $1.25 billion.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borrow amounts in U.S. dollars or certain other permitted currencies. As of December 31, 2015, we had outstanding debt denominated in Swedish Krona (SEK) of 195.2 million, Euro (EUR) of 43.9 million and Pound Sterling (GBP) of 21.0 million on our Revolving Credit Facility, included in the Outstanding Principal amount in the table above.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7" w:lineRule="exact"/>
        <w:rPr>
          <w:sz w:val="20"/>
          <w:szCs w:val="20"/>
          <w:color w:val="auto"/>
        </w:rPr>
      </w:pPr>
    </w:p>
    <w:p>
      <w:pPr>
        <w:jc w:val="both"/>
        <w:ind w:right="120" w:firstLine="456"/>
        <w:spacing w:after="0" w:line="312" w:lineRule="auto"/>
        <w:rPr>
          <w:sz w:val="20"/>
          <w:szCs w:val="20"/>
          <w:color w:val="auto"/>
        </w:rPr>
      </w:pPr>
      <w:r>
        <w:rPr>
          <w:rFonts w:ascii="Arial" w:cs="Arial" w:eastAsia="Arial" w:hAnsi="Arial"/>
          <w:sz w:val="16"/>
          <w:szCs w:val="16"/>
          <w:color w:val="auto"/>
        </w:rPr>
        <w:t>The Revolving Credit Facility is guaranteed by TPG SL SPV, LLC, TC Lending, LLC and TSL MR, LLC and may be guaranteed by certain domestic subsidiaries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 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After giving effect to amendments to the credit and security agreement in January 2014 and March 2015, the facility had commitments of $175 million and the pricing ranged from cost of funds + 2.25% to LIBOR + 2.35% and the facility was scheduled to mature on January 21, 2021.</w:t>
      </w:r>
    </w:p>
    <w:p>
      <w:pPr>
        <w:spacing w:after="0" w:line="14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 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our other debt obligations.</w:t>
      </w:r>
    </w:p>
    <w:p>
      <w:pPr>
        <w:spacing w:after="0" w:line="18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Borrowings of TPG SL SPV are considered our borrowings for purposes of complying with the asset coverage requirements of the 1940 Act. 77</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interest rate swaps to continue to align the interest rates of our liabilities with our investment portfolio, which consists of predominately floating rate loans. As a result of the swaps, our effective interest rate on the Convertible Senior Notes is three-month LIBOR plus 286 basis points.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right="40" w:firstLine="8"/>
        <w:spacing w:after="0" w:line="254"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w:t>
      </w:r>
    </w:p>
    <w:p>
      <w:pPr>
        <w:spacing w:after="0" w:line="19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70"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our common stock.</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2015, we were in compliance with the terms of the Convertible Senior Notes Indenture.</w:t>
      </w:r>
    </w:p>
    <w:p>
      <w:pPr>
        <w:spacing w:after="0" w:line="17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Convertible Senior Notes are accounted for in accordance with Accounting Standards Codification (“ASC”) 470 20. Upon conversion of any of the Convertible Senior Notes, we intend to pay the outstanding principal amount in cash and, to the extent that the conversion value exceeds the principal amount, we have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Commitments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December 31, 2015 and 2014, we had the following commitments to fund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20"/>
                <w:szCs w:val="20"/>
                <w:color w:val="auto"/>
              </w:rPr>
            </w:pPr>
            <w:r>
              <w:rPr>
                <w:rFonts w:ascii="Arial" w:cs="Arial" w:eastAsia="Arial" w:hAnsi="Arial"/>
                <w:sz w:val="14"/>
                <w:szCs w:val="14"/>
                <w:color w:val="auto"/>
              </w:rPr>
              <w:t>($ in millions)</w:t>
            </w: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5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8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8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2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6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74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11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December 31, 2015 and December 31, 2014, we had outstanding commitments to fund investments totaling $78.6 million and $48.0 million, respectively.</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0" w:lineRule="exact"/>
        <w:rPr>
          <w:sz w:val="20"/>
          <w:szCs w:val="20"/>
          <w:color w:val="auto"/>
        </w:rPr>
      </w:pPr>
    </w:p>
    <w:p>
      <w:pPr>
        <w:ind w:right="180" w:firstLine="456"/>
        <w:spacing w:after="0" w:line="272" w:lineRule="auto"/>
        <w:rPr>
          <w:sz w:val="20"/>
          <w:szCs w:val="20"/>
          <w:color w:val="auto"/>
        </w:rPr>
      </w:pPr>
      <w:r>
        <w:rPr>
          <w:rFonts w:ascii="Arial" w:cs="Arial" w:eastAsia="Arial" w:hAnsi="Arial"/>
          <w:sz w:val="17"/>
          <w:szCs w:val="17"/>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contractual payment obligations as of December 31, 2015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Payments Due by Period</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8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1-3 years</w:t>
            </w:r>
          </w:p>
        </w:tc>
        <w:tc>
          <w:tcPr>
            <w:tcW w:w="58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8"/>
              </w:rPr>
              <w:t>3-5 years</w:t>
            </w:r>
          </w:p>
        </w:tc>
        <w:tc>
          <w:tcPr>
            <w:tcW w:w="280" w:type="dxa"/>
            <w:vAlign w:val="bottom"/>
          </w:tcPr>
          <w:p>
            <w:pPr>
              <w:spacing w:after="0"/>
              <w:rPr>
                <w:sz w:val="10"/>
                <w:szCs w:val="10"/>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After 5 years</w:t>
            </w:r>
          </w:p>
        </w:tc>
        <w:tc>
          <w:tcPr>
            <w:tcW w:w="0" w:type="dxa"/>
            <w:vAlign w:val="bottom"/>
          </w:tcPr>
          <w:p>
            <w:pPr>
              <w:spacing w:after="0"/>
              <w:rPr>
                <w:sz w:val="1"/>
                <w:szCs w:val="1"/>
                <w:color w:val="auto"/>
              </w:rPr>
            </w:pPr>
          </w:p>
        </w:tc>
      </w:tr>
      <w:tr>
        <w:trPr>
          <w:trHeight w:val="171"/>
        </w:trPr>
        <w:tc>
          <w:tcPr>
            <w:tcW w:w="60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w:t>
            </w:r>
          </w:p>
        </w:tc>
        <w:tc>
          <w:tcPr>
            <w:tcW w:w="5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$540.3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$ 540.3</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Convertible Senior Notes</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Contractual Obligations</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655.3</w:t>
            </w: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$ 655.3</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77" w:lineRule="auto"/>
        <w:rPr>
          <w:sz w:val="20"/>
          <w:szCs w:val="20"/>
          <w:color w:val="auto"/>
        </w:rPr>
      </w:pPr>
      <w:r>
        <w:rPr>
          <w:rFonts w:ascii="Arial" w:cs="Arial" w:eastAsia="Arial" w:hAnsi="Arial"/>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2" w:lineRule="exact"/>
        <w:rPr>
          <w:sz w:val="20"/>
          <w:szCs w:val="20"/>
          <w:color w:val="auto"/>
        </w:rPr>
      </w:pPr>
    </w:p>
    <w:p>
      <w:pPr>
        <w:ind w:left="900" w:right="2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net tax-exempt interest income (which is the excess of our gross tax-exempt interest income over certain disallowed deductions) for such taxable year.</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As a RIC, we (but not our stockholders) generally will not be subject to U.S. federal income tax on investment company taxable income and net capital gains that we distribute to our stockholders.</w:t>
      </w:r>
    </w:p>
    <w:p>
      <w:pPr>
        <w:spacing w:after="0" w:line="170"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8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29"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or losses for that calendar year;</w:t>
      </w:r>
    </w:p>
    <w:p>
      <w:pPr>
        <w:spacing w:after="0" w:line="130"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that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81"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entered into a number of business relationships with affiliated or related parties, including the following:</w:t>
      </w:r>
    </w:p>
    <w:p>
      <w:pPr>
        <w:spacing w:after="0" w:line="131"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Investment Advisory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Administration Agreement; and</w:t>
      </w:r>
    </w:p>
    <w:p>
      <w:pPr>
        <w:spacing w:after="0" w:line="130" w:lineRule="exact"/>
        <w:rPr>
          <w:rFonts w:ascii="Arial" w:cs="Arial" w:eastAsia="Arial" w:hAnsi="Arial"/>
          <w:sz w:val="18"/>
          <w:szCs w:val="18"/>
          <w:color w:val="auto"/>
        </w:rPr>
      </w:pPr>
    </w:p>
    <w:p>
      <w:pPr>
        <w:ind w:left="900" w:right="180" w:hanging="325"/>
        <w:spacing w:after="0" w:line="264"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financial market risks, including valuation risk, interest rate risk and currency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47"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2015, 95.3% of our debt investments based on fair value in our portfolio bore interest at floating rates (when including investment specific hedges), with 94.2% of these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Assuming that our consolidated balance sheet as of December 31,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gridSpan w:val="2"/>
          </w:tcPr>
          <w:p>
            <w:pPr>
              <w:spacing w:after="0"/>
              <w:rPr>
                <w:sz w:val="20"/>
                <w:szCs w:val="20"/>
                <w:color w:val="auto"/>
              </w:rPr>
            </w:pPr>
            <w:r>
              <w:rPr>
                <w:rFonts w:ascii="Arial" w:cs="Arial" w:eastAsia="Arial" w:hAnsi="Arial"/>
                <w:sz w:val="14"/>
                <w:szCs w:val="14"/>
                <w:color w:val="auto"/>
              </w:rPr>
              <w:t>($ in millions)</w:t>
            </w:r>
          </w:p>
        </w:tc>
        <w:tc>
          <w:tcPr>
            <w:tcW w:w="1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200" w:type="dxa"/>
            <w:vAlign w:val="bottom"/>
          </w:tcPr>
          <w:p>
            <w:pPr>
              <w:spacing w:after="0"/>
              <w:rPr>
                <w:sz w:val="20"/>
                <w:szCs w:val="20"/>
                <w:color w:val="auto"/>
              </w:rPr>
            </w:pPr>
            <w:r>
              <w:rPr>
                <w:rFonts w:ascii="Arial" w:cs="Arial" w:eastAsia="Arial" w:hAnsi="Arial"/>
                <w:sz w:val="14"/>
                <w:szCs w:val="14"/>
                <w:b w:val="1"/>
                <w:bCs w:val="1"/>
                <w:color w:val="auto"/>
                <w:w w:val="89"/>
              </w:rPr>
              <w:t>Basis Point Change</w:t>
            </w:r>
          </w:p>
        </w:tc>
        <w:tc>
          <w:tcPr>
            <w:tcW w:w="19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Interest Income</w:t>
            </w:r>
          </w:p>
        </w:tc>
        <w:tc>
          <w:tcPr>
            <w:tcW w:w="460" w:type="dxa"/>
            <w:vAlign w:val="bottom"/>
          </w:tcPr>
          <w:p>
            <w:pPr>
              <w:spacing w:after="0"/>
              <w:rPr>
                <w:sz w:val="16"/>
                <w:szCs w:val="16"/>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Interest Expense</w:t>
            </w:r>
          </w:p>
        </w:tc>
        <w:tc>
          <w:tcPr>
            <w:tcW w:w="480" w:type="dxa"/>
            <w:vAlign w:val="bottom"/>
          </w:tcPr>
          <w:p>
            <w:pPr>
              <w:spacing w:after="0"/>
              <w:rPr>
                <w:sz w:val="16"/>
                <w:szCs w:val="16"/>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Net Income</w:t>
            </w: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64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164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20" w:type="dxa"/>
            <w:vAlign w:val="bottom"/>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Up 200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22.5</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13.1</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Down 25 basis points</w:t>
            </w: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(0.2)</w:t>
            </w: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7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“Risk Factors” in this prospectus.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at Fair Value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 other things, the input of the Adviser, our Audit Committee and independent third-party valuation firms engaged at the direction of the Board.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part of the valuation process, the Board takes into account relevant factors in determining the fair value of our investments, including:</w:t>
      </w:r>
    </w:p>
    <w:p>
      <w:pPr>
        <w:spacing w:after="0" w:line="131"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estimated enterprise value of a portfolio company (that is, the total fair value of the portfolio company’s debt and equity);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nature and realizable value of any collateral;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portfolio company’s ability to make payments based on its earnings and cash flow;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markets in which the portfolio company does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comparison of the portfolio company’s securities to any similar publicly traded securities;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overall changes in the interest rate environment and the credit markets that may affect the price at which similar investments may be made in the future.</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When an external event, such as a purchase transaction, public offering or subsequent equity sale occurs, the Board considers whether the pricing indicated by the external event corroborates our valuation.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this valuation process on a quarterly basis.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60"/>
          </w:cols>
          <w:pgMar w:left="240" w:top="459" w:right="29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We apply Financial Accounting Standards Board Accounting Standards Codification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we consider our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83" w:lineRule="exact"/>
        <w:rPr>
          <w:sz w:val="20"/>
          <w:szCs w:val="20"/>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we have the ability to access.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Transfers between levels, if any, are recognized at the beginning of the quarter in which the transfers occur. In addition to using the above inputs in investment valuations, we apply the valuation policy approved by our Board that is consistent with ASC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criteria in making the determination as to whether a particular investment would qualify for treatment as a Level 2 or Level 3 investment. For example, we review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6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6 to our consolidated financial statements included in this prospectus for more information on the fair value of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Loans are generally placed on non-accrual status when principal or interest payments are past due 30 days or more or when there is reasonable doubt that principal or interest will be collected in full. Accrued and unpaid interest is generally reversed when a loan is placed on non-accrual status. Interest payments received 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non-accrual loans may be recognized as income or applied to principal depending upon management’s judgment regarding collectability. Non-accrual loans are restored to accrual status when past due principal and interest is paid current and, in management’s judgment, are likely to remain current. Management may determine to not place a loan on non-accrual status if the loan has sufficient collateral value and is in the process of collection.</w:t>
      </w:r>
    </w:p>
    <w:p>
      <w:pPr>
        <w:spacing w:after="0" w:line="14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Federal Income Taxes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7" w:lineRule="exact"/>
        <w:rPr>
          <w:sz w:val="20"/>
          <w:szCs w:val="20"/>
          <w:color w:val="auto"/>
        </w:rPr>
      </w:pPr>
    </w:p>
    <w:p>
      <w:pPr>
        <w:jc w:val="both"/>
        <w:ind w:right="100" w:firstLine="456"/>
        <w:spacing w:after="0" w:line="288" w:lineRule="auto"/>
        <w:rPr>
          <w:sz w:val="20"/>
          <w:szCs w:val="20"/>
          <w:color w:val="auto"/>
        </w:rPr>
      </w:pPr>
      <w:r>
        <w:rPr>
          <w:rFonts w:ascii="Arial" w:cs="Arial" w:eastAsia="Arial" w:hAnsi="Arial"/>
          <w:sz w:val="16"/>
          <w:szCs w:val="16"/>
          <w:color w:val="auto"/>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w:t>
      </w:r>
    </w:p>
    <w:p>
      <w:pPr>
        <w:ind w:right="460"/>
        <w:spacing w:after="0" w:line="261" w:lineRule="auto"/>
        <w:rPr>
          <w:sz w:val="20"/>
          <w:szCs w:val="20"/>
          <w:color w:val="auto"/>
        </w:rPr>
      </w:pPr>
      <w:r>
        <w:rPr>
          <w:rFonts w:ascii="Arial" w:cs="Arial" w:eastAsia="Arial" w:hAnsi="Arial"/>
          <w:sz w:val="18"/>
          <w:szCs w:val="18"/>
          <w:color w:val="auto"/>
        </w:rPr>
        <w:t>Conclusions regarding tax positions are subject to review and may be adjusted at a later date based on factors including on-going analyses of tax laws, regulations and interpretations thereof.</w:t>
      </w:r>
    </w:p>
    <w:p>
      <w:pPr>
        <w:spacing w:after="0" w:line="18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accounting policy on income taxes is critical because if we are unable to maintain our status as a RIC, we would be required to record a provision for corporate-level U.S. federal income taxes which may be significant to our financial results.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80"/>
          </w:cols>
          <w:pgMar w:left="240" w:top="459" w:right="3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ended December 31 since we commenced operations. The report of our independent registered public accounting firm, KPMG LLP, on the senior securities table as of December 31, 2015 is attached as an exhibit to the registration statement of which this prospectus is a part.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Total Amount</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Exclusive of</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vMerge w:val="restart"/>
          </w:tcPr>
          <w:p>
            <w:pPr>
              <w:jc w:val="center"/>
              <w:ind w:right="900"/>
              <w:spacing w:after="0"/>
              <w:rPr>
                <w:sz w:val="20"/>
                <w:szCs w:val="20"/>
                <w:color w:val="auto"/>
              </w:rPr>
            </w:pPr>
            <w:r>
              <w:rPr>
                <w:rFonts w:ascii="Arial" w:cs="Arial" w:eastAsia="Arial" w:hAnsi="Arial"/>
                <w:sz w:val="14"/>
                <w:szCs w:val="14"/>
                <w:b w:val="1"/>
                <w:bCs w:val="1"/>
                <w:color w:val="auto"/>
                <w:w w:val="98"/>
              </w:rPr>
              <w:t>Involuntary</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Treasury</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 xml:space="preserve">Securities </w:t>
            </w:r>
            <w:r>
              <w:rPr>
                <w:rFonts w:ascii="Arial" w:cs="Arial" w:eastAsia="Arial" w:hAnsi="Arial"/>
                <w:sz w:val="12"/>
                <w:szCs w:val="12"/>
                <w:b w:val="1"/>
                <w:bCs w:val="1"/>
                <w:color w:val="auto"/>
                <w:w w:val="91"/>
              </w:rPr>
              <w:t>(1)</w:t>
            </w:r>
          </w:p>
        </w:tc>
        <w:tc>
          <w:tcPr>
            <w:tcW w:w="440" w:type="dxa"/>
            <w:vAlign w:val="bottom"/>
          </w:tcPr>
          <w:p>
            <w:pPr>
              <w:spacing w:after="0"/>
              <w:rPr>
                <w:sz w:val="12"/>
                <w:szCs w:val="12"/>
                <w:color w:val="auto"/>
              </w:rPr>
            </w:pPr>
          </w:p>
        </w:tc>
        <w:tc>
          <w:tcPr>
            <w:tcW w:w="1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Asset Coverage</w:t>
            </w:r>
          </w:p>
        </w:tc>
        <w:tc>
          <w:tcPr>
            <w:tcW w:w="18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5"/>
              </w:rPr>
              <w:t>Liquidating</w:t>
            </w:r>
          </w:p>
        </w:tc>
        <w:tc>
          <w:tcPr>
            <w:tcW w:w="11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Average Market</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and Year/Period</w:t>
            </w:r>
          </w:p>
        </w:tc>
        <w:tc>
          <w:tcPr>
            <w:tcW w:w="120" w:type="dxa"/>
            <w:vAlign w:val="bottom"/>
          </w:tcPr>
          <w:p>
            <w:pPr>
              <w:spacing w:after="0"/>
              <w:rPr>
                <w:sz w:val="12"/>
                <w:szCs w:val="12"/>
                <w:color w:val="auto"/>
              </w:rPr>
            </w:pPr>
          </w:p>
        </w:tc>
        <w:tc>
          <w:tcPr>
            <w:tcW w:w="7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6"/>
              </w:rPr>
              <w:t>($</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8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w w:val="88"/>
              </w:rPr>
              <w:t>Preference Per</w:t>
            </w: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40" w:type="dxa"/>
            <w:vAlign w:val="bottom"/>
            <w:gridSpan w:val="2"/>
            <w:vMerge w:val="continue"/>
          </w:tcPr>
          <w:p>
            <w:pPr>
              <w:spacing w:after="0"/>
              <w:rPr>
                <w:sz w:val="14"/>
                <w:szCs w:val="14"/>
                <w:color w:val="auto"/>
              </w:rPr>
            </w:pPr>
          </w:p>
        </w:tc>
        <w:tc>
          <w:tcPr>
            <w:tcW w:w="13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w w:val="96"/>
              </w:rPr>
              <w:t xml:space="preserve">Per Unit </w:t>
            </w:r>
            <w:r>
              <w:rPr>
                <w:rFonts w:ascii="Arial" w:cs="Arial" w:eastAsia="Arial" w:hAnsi="Arial"/>
                <w:sz w:val="12"/>
                <w:szCs w:val="12"/>
                <w:b w:val="1"/>
                <w:bCs w:val="1"/>
                <w:color w:val="auto"/>
                <w:w w:val="96"/>
              </w:rPr>
              <w:t>(2)</w:t>
            </w:r>
          </w:p>
        </w:tc>
        <w:tc>
          <w:tcPr>
            <w:tcW w:w="180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6"/>
              </w:rPr>
              <w:t xml:space="preserve">Unit </w:t>
            </w:r>
            <w:r>
              <w:rPr>
                <w:rFonts w:ascii="Arial" w:cs="Arial" w:eastAsia="Arial" w:hAnsi="Arial"/>
                <w:sz w:val="12"/>
                <w:szCs w:val="12"/>
                <w:b w:val="1"/>
                <w:bCs w:val="1"/>
                <w:color w:val="auto"/>
                <w:w w:val="96"/>
              </w:rPr>
              <w:t>(3)</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 xml:space="preserve">Value Per Unit </w:t>
            </w:r>
            <w:r>
              <w:rPr>
                <w:rFonts w:ascii="Arial" w:cs="Arial" w:eastAsia="Arial" w:hAnsi="Arial"/>
                <w:sz w:val="12"/>
                <w:szCs w:val="12"/>
                <w:b w:val="1"/>
                <w:bCs w:val="1"/>
                <w:color w:val="auto"/>
                <w:w w:val="93"/>
              </w:rPr>
              <w:t>(4)</w:t>
            </w:r>
          </w:p>
        </w:tc>
        <w:tc>
          <w:tcPr>
            <w:tcW w:w="0" w:type="dxa"/>
            <w:vAlign w:val="bottom"/>
          </w:tcPr>
          <w:p>
            <w:pPr>
              <w:spacing w:after="0"/>
              <w:rPr>
                <w:sz w:val="1"/>
                <w:szCs w:val="1"/>
                <w:color w:val="auto"/>
              </w:rPr>
            </w:pPr>
          </w:p>
        </w:tc>
      </w:tr>
      <w:tr>
        <w:trPr>
          <w:trHeight w:val="196"/>
        </w:trPr>
        <w:tc>
          <w:tcPr>
            <w:tcW w:w="1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Credit Facilities</w:t>
            </w:r>
          </w:p>
        </w:tc>
        <w:tc>
          <w:tcPr>
            <w:tcW w:w="3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540.3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2,257.3</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283.9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3,110.3</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432.3</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2,329.5</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331.8</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2,445.9</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155.0</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2,116.7</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Convertible Senior Notes due 2019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December 31, 2015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112.5</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900"/>
              <w:spacing w:after="0"/>
              <w:rPr>
                <w:sz w:val="20"/>
                <w:szCs w:val="20"/>
                <w:color w:val="auto"/>
              </w:rPr>
            </w:pPr>
            <w:r>
              <w:rPr>
                <w:rFonts w:ascii="Arial" w:cs="Arial" w:eastAsia="Arial" w:hAnsi="Arial"/>
                <w:sz w:val="18"/>
                <w:szCs w:val="18"/>
                <w:color w:val="auto"/>
              </w:rPr>
              <w:t>2,257.3</w:t>
            </w:r>
          </w:p>
        </w:tc>
        <w:tc>
          <w:tcPr>
            <w:tcW w:w="1800" w:type="dxa"/>
            <w:vAlign w:val="bottom"/>
            <w:gridSpan w:val="2"/>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111.9</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3,110.3</w:t>
            </w:r>
          </w:p>
        </w:tc>
        <w:tc>
          <w:tcPr>
            <w:tcW w:w="180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Total amount of each class of senior securities outstanding at carrying value at the end of the period presented.</w:t>
      </w:r>
    </w:p>
    <w:p>
      <w:pPr>
        <w:spacing w:after="0" w:line="252" w:lineRule="exact"/>
        <w:rPr>
          <w:rFonts w:ascii="Arial" w:cs="Arial" w:eastAsia="Arial" w:hAnsi="Arial"/>
          <w:sz w:val="18"/>
          <w:szCs w:val="18"/>
          <w:color w:val="auto"/>
        </w:rPr>
      </w:pPr>
    </w:p>
    <w:p>
      <w:pPr>
        <w:ind w:left="460" w:right="100" w:hanging="452"/>
        <w:spacing w:after="0" w:line="264"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208"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73" w:lineRule="exact"/>
        <w:rPr>
          <w:rFonts w:ascii="Arial" w:cs="Arial" w:eastAsia="Arial" w:hAnsi="Arial"/>
          <w:sz w:val="17"/>
          <w:szCs w:val="17"/>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Not applicable because the senior securities are not registered for public trading.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are a specialty finance company focused on lending to middle-market companies. Since we began our investment activities in July 2011, through December 31, 2015, we have originated more than $4.3 billion aggregate principal amount of investments and retained approximately $2.9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7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By “middle-market companies,” we mean companies that have annual EBITDA, which we believe is a useful proxy for cash flow, of $10 million to $250 million, although we may invest in larger or smaller companies on occasion. As of December 31, 2015, our core portfolio companies, which exclude certain investments that fall outside of our typical borrower profile and represent 87% of our total investments based on fair value, had weighted average annual revenue of $128 million and weighted average annual EBITDA of $33 million.</w:t>
      </w:r>
    </w:p>
    <w:p>
      <w:pPr>
        <w:spacing w:after="0" w:line="18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generate revenues primarily in the form of interest income from the investments we hold. In addition, we generate income from dividends on direct equity investments, capital gains on the sales of loans and debt and equity securities and various loan origination and other fees.</w:t>
      </w:r>
    </w:p>
    <w:p>
      <w:pPr>
        <w:spacing w:after="0" w:line="14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conducting our investment activities, we believe that we benefit from the significant scale and resources of our Adviser and its affiliates. We have operated as a BDC since we began our investment activities in July 2011, and we are currently one of the largest BDCs by total assets.</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9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As of December 31, 2015, based on fair value our portfolio consisted of 88.2% first-lien debt investments, 8.1% second-lien debt investments, 1.9% mezzanine and unsecured debt investments and 1.8% equity and other investments. Approximately 95.3% of our debt investments based on fair value as of December 31, 2015 are floating rate in nature (when including investment specific hedges), with 94.2% of these subject to interest rate floors, which we believe helps act as a portfolio-wide hedge against inflation.</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31, 2015, our portfolio was invested across 20 different industries. The largest industries in our portfolio as of December 31, 2015 were business services and healthcare, which represented, as a percentage of our portfolio, 21.2%, and 18.0%, respectively, based on fair value. As of December 31, 2015, we had investments in 46 portfolio companies. As of December 31, 2015, our average investment size in each of our portfolio companies was approximately $32 million based on fair value. As of December 31, 2015, the largest single investment based on fair value represented 4.9% of our total investment portfolio.</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Board has ultimate authority over our business, but delegates authority to our investment adviser who actively sources, manages, and monitors our investment portfolio and other business activities, subject to the supervision of the Board. See “—About TSLX—Our Investment Adviser” below. Pursuant to our certificate of incorporation, the Board consists of five members divided into three classes with staggered three-year terms. As a BDC, a majority of our Board consists of Independent Directors.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borrow money from time to time within the levels permitted by the 1940 Act to fund investments and for general corporate purposes. Under the 1940 Act, we can incur borrowings, issue debt securities or issue preferred stock if immediately after the borrowing or issuance the ratio of total assets (less total liabilities other than indebtedness) to total indebtedness plus preferred stock is at least 200%. In determining whether to borrow money, we analyze the maturity, covenant package and rate structure of the proposed borrowings, as well as the risks of those borrowings compared to our investment outlook. The use of borrowed funds or the proceeds of preferred stock offerings to make investments has its own specific set of benefits and risks, and all of the costs of borrowing funds or issuing preferred stock are borne by us, and ultimately the holders of our common stock. See “Risk Factors—Risks Related to Our Business and Structure—We borrow money, which magnifies the potential for gain or loss and increases the risk of investing in 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TSLX</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that were used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for more information on these requirements.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Adviser</w:t>
      </w:r>
    </w:p>
    <w:p>
      <w:pPr>
        <w:spacing w:after="0" w:line="11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 The members of our Investment Review Committee are Joshua Easterly, Michael Fishman, Alan Waxman and David Stiepleman.</w:t>
      </w:r>
    </w:p>
    <w:p>
      <w:pPr>
        <w:spacing w:after="0" w:line="18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TSSP, with over $16 billion of assets under management as of December 31, 2015, is TPG’s special situations and credit platform and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TSSP has extensive experience with highly complex, global public and private investments executed through primary originations, secondary market purchases and restructurings, and has a team of over 130 investment and operating professionals. As of December 31, 2015, twenty six (26) of these personnel were dedicated to our business, including 18 investment professionals.</w:t>
      </w:r>
    </w:p>
    <w:p>
      <w:pPr>
        <w:spacing w:after="0" w:line="167" w:lineRule="exact"/>
        <w:rPr>
          <w:sz w:val="20"/>
          <w:szCs w:val="20"/>
          <w:color w:val="auto"/>
        </w:rPr>
      </w:pPr>
    </w:p>
    <w:p>
      <w:pPr>
        <w:jc w:val="both"/>
        <w:ind w:right="420" w:firstLine="456"/>
        <w:spacing w:after="0" w:line="264" w:lineRule="auto"/>
        <w:rPr>
          <w:sz w:val="20"/>
          <w:szCs w:val="20"/>
          <w:color w:val="auto"/>
        </w:rPr>
      </w:pPr>
      <w:r>
        <w:rPr>
          <w:rFonts w:ascii="Arial" w:cs="Arial" w:eastAsia="Arial" w:hAnsi="Arial"/>
          <w:sz w:val="18"/>
          <w:szCs w:val="18"/>
          <w:color w:val="auto"/>
        </w:rPr>
        <w:t>TPG is a leading global private investment firm founded in 1992 with over $74 billion of assets under management as of December 31, 2015, and offices in San Francisco, Fort Worth, New York and throughout the world. In addition to TSSP, TPG’s investment business includes discrete investment platforms focused on a</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range of alternative investment products, including TPG Capital, which is TPG’s flagship large capitalization private equity business and focuses on global investments across all major industry sectors; TPG Growth, which invests in small- and middle-market growth equity and corporate opportunities in all major industry sectors in North America and in other developed and emerging markets; TPG Biotechnology Partners, which invests in early- and late-stage venture capital opportunities in the biotechnology and related life sciences industries; and TPG Real Estate, which is the real estate platform of TPG. TPG has extensive experience with global public and private investments executed through leveraged buyouts, recapitalizations, spinouts, growth investments, joint ventures and restructurings, and has a team of over 300 professionals.</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Under the terms of the Investment Advisory Agreement, the Adviser’s services are not exclusive, and the Adviser is free to furnish similar or other services to others, so long as its services to us are not impaired. Under the terms of the Investment Advisory Agreement, we will pay the Adviser the Management Fee and may also pay Incentive Fees.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Administrator</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15, 2011, we entered into the Administration Agreement with our Adviser.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“Management and Other Agreements—Payment of Our Expenses.”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2015, we incurred expenses of $3.6 million for administrative services payable under the terms of the Administration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Our investment objective is to generate current income by targeting investments with favorable risk-adjusted returns. We believe the middle-market lending environment provides opportunities for us to meet this objective as a result of a combination of the following factors:</w:t>
      </w:r>
    </w:p>
    <w:p>
      <w:pPr>
        <w:spacing w:after="0" w:line="17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Limited availability of capital for middle-market companies</w:t>
      </w:r>
      <w:r>
        <w:rPr>
          <w:rFonts w:ascii="Arial" w:cs="Arial" w:eastAsia="Arial" w:hAnsi="Arial"/>
          <w:sz w:val="18"/>
          <w:szCs w:val="18"/>
          <w:color w:val="auto"/>
        </w:rPr>
        <w:t>. We believe that certain structural changes in the market have reduced the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implementing regulations by the Federal Reserve, the Office of the Comptroller of the Currency and the FDIC will significantly increase capital and liquidity requirements for banks, decreasing their capacity to hold noninvestment grade leveraged loans on their balance sheets. Coupled with new risk retention requirements for collateralized loan vehicles, we believe these developments reduce the capacity of traditional lenders to serve this market segment and, as a result, increase the cost of borrowing for middle-market companies.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Strong demand for debt capital</w:t>
      </w:r>
      <w:r>
        <w:rPr>
          <w:rFonts w:ascii="Arial" w:cs="Arial" w:eastAsia="Arial" w:hAnsi="Arial"/>
          <w:sz w:val="18"/>
          <w:szCs w:val="18"/>
          <w:color w:val="auto"/>
        </w:rPr>
        <w:t>. We believe middle-market companies will continue to require access to debt capital to refinance existing debt, support</w:t>
      </w:r>
      <w:r>
        <w:rPr>
          <w:rFonts w:ascii="Arial" w:cs="Arial" w:eastAsia="Arial" w:hAnsi="Arial"/>
          <w:sz w:val="18"/>
          <w:szCs w:val="18"/>
          <w:i w:val="1"/>
          <w:iCs w:val="1"/>
          <w:color w:val="auto"/>
        </w:rPr>
        <w:t xml:space="preserve"> </w:t>
      </w:r>
      <w:r>
        <w:rPr>
          <w:rFonts w:ascii="Arial" w:cs="Arial" w:eastAsia="Arial" w:hAnsi="Arial"/>
          <w:sz w:val="18"/>
          <w:szCs w:val="18"/>
          <w:color w:val="auto"/>
        </w:rPr>
        <w:t>growth and finance acquisitions. In addition, we believe the large amount of uninvested capital held by funds of private equity firms, estimated by Preqin Ltd., an alternative assets industry data and research company, at $1.31 trillion as of December 2015, will continue to drive deal activity. We expect that private equity firms will continue to pursue acquisitions and to seek to leverage their equity investments with secured loans provided by companies such as ours.</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Attractive investment dynamics</w:t>
      </w:r>
      <w:r>
        <w:rPr>
          <w:rFonts w:ascii="Arial" w:cs="Arial" w:eastAsia="Arial" w:hAnsi="Arial"/>
          <w:sz w:val="17"/>
          <w:szCs w:val="17"/>
          <w:color w:val="auto"/>
        </w:rPr>
        <w:t>. An imbalance between the supply of, and demand for, middle-market debt capital creates attractive pricing dynamics.</w:t>
      </w:r>
      <w:r>
        <w:rPr>
          <w:rFonts w:ascii="Arial" w:cs="Arial" w:eastAsia="Arial" w:hAnsi="Arial"/>
          <w:sz w:val="17"/>
          <w:szCs w:val="17"/>
          <w:i w:val="1"/>
          <w:iCs w:val="1"/>
          <w:color w:val="auto"/>
        </w:rPr>
        <w:t xml:space="preserve"> </w:t>
      </w:r>
      <w:r>
        <w:rPr>
          <w:rFonts w:ascii="Arial" w:cs="Arial" w:eastAsia="Arial" w:hAnsi="Arial"/>
          <w:sz w:val="17"/>
          <w:szCs w:val="17"/>
          <w:color w:val="auto"/>
        </w:rPr>
        <w:t>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historical middle-market default rates have been lower, and recovery rates have been higher, as compared to the larger market capitalization, broadly distributed market, leading to lower cumulative losses.</w:t>
      </w:r>
    </w:p>
    <w:p>
      <w:pPr>
        <w:spacing w:after="0" w:line="17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Conservative capital structures</w:t>
      </w:r>
      <w:r>
        <w:rPr>
          <w:rFonts w:ascii="Arial" w:cs="Arial" w:eastAsia="Arial" w:hAnsi="Arial"/>
          <w:sz w:val="18"/>
          <w:szCs w:val="18"/>
          <w:color w:val="auto"/>
        </w:rPr>
        <w:t>. Following the credit crisis, which we define broadly as occurring between mid-2007 and mid-2009, borrowers have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Specialized lending requirements</w:t>
      </w:r>
      <w:r>
        <w:rPr>
          <w:rFonts w:ascii="Arial" w:cs="Arial" w:eastAsia="Arial" w:hAnsi="Arial"/>
          <w:sz w:val="18"/>
          <w:szCs w:val="18"/>
          <w:color w:val="auto"/>
        </w:rPr>
        <w:t>. Lending to middle-market companies requires specialized due diligence and underwriting capabilities,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extensive ongoing monitoring. Middle-market lending also is generally more labor-intensive than lending to larger companies due to smaller investment sizes and the lack of publicly available information on these companies. We believe the experience and resources of our Adviser, TSSP and TPG position us more strongly than many capital providers to lend to middle-market companies.</w:t>
      </w:r>
    </w:p>
    <w:p>
      <w:pPr>
        <w:spacing w:after="0" w:line="187"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i w:val="1"/>
          <w:iCs w:val="1"/>
          <w:color w:val="auto"/>
        </w:rPr>
        <w:t>Desirability of partnering with BDCs</w:t>
      </w:r>
      <w:r>
        <w:rPr>
          <w:rFonts w:ascii="Arial" w:cs="Arial" w:eastAsia="Arial" w:hAnsi="Arial"/>
          <w:sz w:val="16"/>
          <w:szCs w:val="16"/>
          <w:color w:val="auto"/>
        </w:rPr>
        <w:t>. We believe middle-market companies see advantages in raising capital from BDCs. BDCs have the ability to</w:t>
      </w:r>
      <w:r>
        <w:rPr>
          <w:rFonts w:ascii="Arial" w:cs="Arial" w:eastAsia="Arial" w:hAnsi="Arial"/>
          <w:sz w:val="16"/>
          <w:szCs w:val="16"/>
          <w:i w:val="1"/>
          <w:iCs w:val="1"/>
          <w:color w:val="auto"/>
        </w:rPr>
        <w:t xml:space="preserve"> </w:t>
      </w:r>
      <w:r>
        <w:rPr>
          <w:rFonts w:ascii="Arial" w:cs="Arial" w:eastAsia="Arial" w:hAnsi="Arial"/>
          <w:sz w:val="16"/>
          <w:szCs w:val="16"/>
          <w:color w:val="auto"/>
        </w:rPr>
        <w:t>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60"/>
          </w:cols>
          <w:pgMar w:left="240" w:top="459" w:right="2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Illustrative of the market opportunity for BDCs, the graph below demonstrates the decline in bank participation and increased prevalence of non-bank lenders in the leveraged loan market over the past two decades.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2080260</wp:posOffset>
            </wp:positionH>
            <wp:positionV relativeFrom="paragraph">
              <wp:posOffset>134620</wp:posOffset>
            </wp:positionV>
            <wp:extent cx="3095625" cy="2718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95625" cy="271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380"/>
        <w:spacing w:after="0" w:line="230" w:lineRule="auto"/>
        <w:rPr>
          <w:sz w:val="20"/>
          <w:szCs w:val="20"/>
          <w:color w:val="auto"/>
        </w:rPr>
      </w:pPr>
      <w:r>
        <w:rPr>
          <w:rFonts w:ascii="Arial" w:cs="Arial" w:eastAsia="Arial" w:hAnsi="Arial"/>
          <w:sz w:val="14"/>
          <w:szCs w:val="14"/>
          <w:i w:val="1"/>
          <w:iCs w:val="1"/>
          <w:color w:val="auto"/>
        </w:rPr>
        <w:t>Notes: Excludes left and right agent commitments (including administrative, syndication and documentation agent as well as arranger); Excludes revolving credit-only asset-backed loans</w:t>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4"/>
          <w:szCs w:val="14"/>
          <w:i w:val="1"/>
          <w:iCs w:val="1"/>
          <w:color w:val="auto"/>
        </w:rPr>
        <w:t>Source: Standard &amp; Poor’s Capital IQ, Leverage Commentary &amp; Data 4Q15 Leverage Lending Review</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graph below illustrates the increase in the uninvested capital held by private equity funds that is available to be 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169545</wp:posOffset>
            </wp:positionV>
            <wp:extent cx="2607310" cy="2032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07310" cy="2032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80"/>
        <w:spacing w:after="0"/>
        <w:rPr>
          <w:sz w:val="20"/>
          <w:szCs w:val="20"/>
          <w:color w:val="auto"/>
        </w:rPr>
      </w:pPr>
      <w:r>
        <w:rPr>
          <w:rFonts w:ascii="Arial" w:cs="Arial" w:eastAsia="Arial" w:hAnsi="Arial"/>
          <w:sz w:val="14"/>
          <w:szCs w:val="14"/>
          <w:i w:val="1"/>
          <w:iCs w:val="1"/>
          <w:color w:val="auto"/>
        </w:rPr>
        <w:t>($ in trillions)</w:t>
      </w:r>
    </w:p>
    <w:p>
      <w:pPr>
        <w:ind w:left="3080"/>
        <w:spacing w:after="0"/>
        <w:rPr>
          <w:sz w:val="20"/>
          <w:szCs w:val="20"/>
          <w:color w:val="auto"/>
        </w:rPr>
      </w:pPr>
      <w:r>
        <w:rPr>
          <w:rFonts w:ascii="Arial" w:cs="Arial" w:eastAsia="Arial" w:hAnsi="Arial"/>
          <w:sz w:val="14"/>
          <w:szCs w:val="14"/>
          <w:i w:val="1"/>
          <w:iCs w:val="1"/>
          <w:color w:val="auto"/>
        </w:rPr>
        <w:t>Source: Preqin, as of December 31, 2015</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Core Competencies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color w:val="auto"/>
        </w:rPr>
        <w:t>Leading platform and access to proprietary deal flow</w:t>
      </w:r>
      <w:r>
        <w:rPr>
          <w:rFonts w:ascii="Arial" w:cs="Arial" w:eastAsia="Arial" w:hAnsi="Arial"/>
          <w:sz w:val="18"/>
          <w:szCs w:val="18"/>
          <w:color w:val="auto"/>
        </w:rPr>
        <w:t>. The substantial majority of our investments are not intermediated and are originated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assistance of investment banks or other traditional Wall Street sources. Our Adviser has a dedicated team of 18 investment professionals responsible for originating,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underwriting, executing and managing the assets of our direct lending transactions. This team is responsible for sourcing and executing opportunities directly, while leveraging the resources and expertise of the TSSP and TPG platforms. Our Investment Team has over 160 years of collective experience as commercial dealmakers.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w:t>
      </w:r>
    </w:p>
    <w:p>
      <w:pPr>
        <w:spacing w:after="0" w:line="154"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In addition, our Adviser draws upon the resources of TSSP and TPG in underwriting transactions, performing due diligence, managing assets and optimizing our operations as a public company. Access to TSSP and TPG resources complements our Adviser’s view of markets and provides insight into important cyclical patterns.</w:t>
      </w:r>
    </w:p>
    <w:p>
      <w:pPr>
        <w:spacing w:after="0" w:line="18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i w:val="1"/>
          <w:iCs w:val="1"/>
          <w:color w:val="auto"/>
        </w:rPr>
        <w:t xml:space="preserve">Disciplined investment and underwriting process. </w:t>
      </w:r>
      <w:r>
        <w:rPr>
          <w:rFonts w:ascii="Arial" w:cs="Arial" w:eastAsia="Arial" w:hAnsi="Arial"/>
          <w:sz w:val="16"/>
          <w:szCs w:val="16"/>
          <w:color w:val="auto"/>
        </w:rPr>
        <w:t>Through our Adviser, we seek to achieve the highest risk-adjusted returns available as opposed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w:t>
      </w:r>
    </w:p>
    <w:p>
      <w:pPr>
        <w:spacing w:after="0" w:line="52" w:lineRule="exact"/>
        <w:rPr>
          <w:sz w:val="20"/>
          <w:szCs w:val="20"/>
          <w:color w:val="auto"/>
        </w:rPr>
      </w:pPr>
    </w:p>
    <w:p>
      <w:pPr>
        <w:ind w:left="900" w:right="36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Flexibility. </w:t>
      </w:r>
      <w:r>
        <w:rPr>
          <w:rFonts w:ascii="Arial" w:cs="Arial" w:eastAsia="Arial" w:hAnsi="Arial"/>
          <w:sz w:val="18"/>
          <w:szCs w:val="18"/>
          <w:color w:val="auto"/>
        </w:rPr>
        <w:t>Our broad middle-market focus and our Adviser’s integrated position within TSSP and TPG allow us to determine current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opportunities and identify relative value.</w:t>
      </w:r>
    </w:p>
    <w:p>
      <w:pPr>
        <w:spacing w:after="0" w:line="75" w:lineRule="exact"/>
        <w:rPr>
          <w:rFonts w:ascii="Arial" w:cs="Arial" w:eastAsia="Arial" w:hAnsi="Arial"/>
          <w:sz w:val="18"/>
          <w:szCs w:val="18"/>
          <w:color w:val="auto"/>
        </w:rPr>
      </w:pPr>
    </w:p>
    <w:p>
      <w:pPr>
        <w:ind w:left="900" w:right="60" w:hanging="325"/>
        <w:spacing w:after="0" w:line="25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Risk pricing. </w:t>
      </w:r>
      <w:r>
        <w:rPr>
          <w:rFonts w:ascii="Arial" w:cs="Arial" w:eastAsia="Arial" w:hAnsi="Arial"/>
          <w:sz w:val="18"/>
          <w:szCs w:val="18"/>
          <w:color w:val="auto"/>
        </w:rPr>
        <w:t>The risk profile of our portfolio evolves across credit cycles as credit tightens and loosens. During periods when risk premiums are</w:t>
      </w:r>
      <w:r>
        <w:rPr>
          <w:rFonts w:ascii="Arial" w:cs="Arial" w:eastAsia="Arial" w:hAnsi="Arial"/>
          <w:sz w:val="18"/>
          <w:szCs w:val="18"/>
          <w:i w:val="1"/>
          <w:iCs w:val="1"/>
          <w:color w:val="auto"/>
        </w:rPr>
        <w:t xml:space="preserve"> </w:t>
      </w:r>
      <w:r>
        <w:rPr>
          <w:rFonts w:ascii="Arial" w:cs="Arial" w:eastAsia="Arial" w:hAnsi="Arial"/>
          <w:sz w:val="18"/>
          <w:szCs w:val="18"/>
          <w:color w:val="auto"/>
        </w:rPr>
        <w:t>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w:t>
      </w:r>
    </w:p>
    <w:p>
      <w:pPr>
        <w:spacing w:after="0" w:line="93"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Disciplined four-tiered investment framework. </w:t>
      </w:r>
      <w:r>
        <w:rPr>
          <w:rFonts w:ascii="Arial" w:cs="Arial" w:eastAsia="Arial" w:hAnsi="Arial"/>
          <w:sz w:val="18"/>
          <w:szCs w:val="18"/>
          <w:color w:val="auto"/>
        </w:rPr>
        <w:t>Through our Adviser, we perform detailed company-specific analysis focusing on a four-tiered</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framework:</w:t>
      </w:r>
    </w:p>
    <w:p>
      <w:pPr>
        <w:spacing w:after="0" w:line="75" w:lineRule="exact"/>
        <w:rPr>
          <w:rFonts w:ascii="Arial" w:cs="Arial" w:eastAsia="Arial" w:hAnsi="Arial"/>
          <w:sz w:val="18"/>
          <w:szCs w:val="18"/>
          <w:color w:val="auto"/>
        </w:rPr>
      </w:pPr>
    </w:p>
    <w:p>
      <w:pPr>
        <w:ind w:left="1480" w:right="20" w:hanging="446"/>
        <w:spacing w:after="0" w:line="276" w:lineRule="auto"/>
        <w:tabs>
          <w:tab w:leader="none" w:pos="1480" w:val="left"/>
        </w:tabs>
        <w:numPr>
          <w:ilvl w:val="1"/>
          <w:numId w:val="56"/>
        </w:numPr>
        <w:rPr>
          <w:rFonts w:ascii="Arial" w:cs="Arial" w:eastAsia="Arial" w:hAnsi="Arial"/>
          <w:sz w:val="17"/>
          <w:szCs w:val="17"/>
          <w:color w:val="auto"/>
        </w:rPr>
      </w:pPr>
      <w:r>
        <w:rPr>
          <w:rFonts w:ascii="Arial" w:cs="Arial" w:eastAsia="Arial" w:hAnsi="Arial"/>
          <w:sz w:val="17"/>
          <w:szCs w:val="17"/>
          <w:i w:val="1"/>
          <w:iCs w:val="1"/>
          <w:color w:val="auto"/>
        </w:rPr>
        <w:t xml:space="preserve">Business and sector selection. </w:t>
      </w:r>
      <w:r>
        <w:rPr>
          <w:rFonts w:ascii="Arial" w:cs="Arial" w:eastAsia="Arial" w:hAnsi="Arial"/>
          <w:sz w:val="17"/>
          <w:szCs w:val="17"/>
          <w:color w:val="auto"/>
        </w:rPr>
        <w:t>We focus on companies with enterprise value between $50 million and $1 billion. When reviewing</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w:t>
      </w:r>
    </w:p>
    <w:p>
      <w:pPr>
        <w:spacing w:after="0" w:line="77" w:lineRule="exact"/>
        <w:rPr>
          <w:rFonts w:ascii="Arial" w:cs="Arial" w:eastAsia="Arial" w:hAnsi="Arial"/>
          <w:sz w:val="17"/>
          <w:szCs w:val="17"/>
          <w:color w:val="auto"/>
        </w:rPr>
      </w:pPr>
    </w:p>
    <w:p>
      <w:pPr>
        <w:ind w:left="1480" w:right="40" w:hanging="446"/>
        <w:spacing w:after="0" w:line="255"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Investment structuring. </w:t>
      </w:r>
      <w:r>
        <w:rPr>
          <w:rFonts w:ascii="Arial" w:cs="Arial" w:eastAsia="Arial" w:hAnsi="Arial"/>
          <w:sz w:val="18"/>
          <w:szCs w:val="18"/>
          <w:color w:val="auto"/>
        </w:rPr>
        <w:t>We focus on investing at the top of the capital structure and protecting that position. We carefully diligence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right="240" w:hanging="446"/>
        <w:spacing w:after="0" w:line="312" w:lineRule="auto"/>
        <w:tabs>
          <w:tab w:leader="none" w:pos="1480" w:val="left"/>
        </w:tabs>
        <w:numPr>
          <w:ilvl w:val="1"/>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Deal dynamics. </w:t>
      </w:r>
      <w:r>
        <w:rPr>
          <w:rFonts w:ascii="Arial" w:cs="Arial" w:eastAsia="Arial" w:hAnsi="Arial"/>
          <w:sz w:val="16"/>
          <w:szCs w:val="16"/>
          <w:color w:val="auto"/>
        </w:rPr>
        <w:t>We focus on, among other deal dynamics, direct origination of investments, where we identify and lead the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We seek transactions that are too small for the traditional high yield market. We look to invest in companies that value our commitment and ability to originate an investment that meets their goals and fits within their existing capital structure.</w:t>
      </w:r>
    </w:p>
    <w:p>
      <w:pPr>
        <w:spacing w:after="0" w:line="52" w:lineRule="exact"/>
        <w:rPr>
          <w:rFonts w:ascii="Arial" w:cs="Arial" w:eastAsia="Arial" w:hAnsi="Arial"/>
          <w:sz w:val="16"/>
          <w:szCs w:val="16"/>
          <w:color w:val="auto"/>
        </w:rPr>
      </w:pPr>
    </w:p>
    <w:p>
      <w:pPr>
        <w:ind w:left="1480" w:right="80" w:hanging="446"/>
        <w:spacing w:after="0" w:line="264" w:lineRule="auto"/>
        <w:tabs>
          <w:tab w:leader="none" w:pos="1480" w:val="left"/>
        </w:tabs>
        <w:numPr>
          <w:ilvl w:val="1"/>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Risk Mitigation. </w:t>
      </w:r>
      <w:r>
        <w:rPr>
          <w:rFonts w:ascii="Arial" w:cs="Arial" w:eastAsia="Arial" w:hAnsi="Arial"/>
          <w:sz w:val="18"/>
          <w:szCs w:val="18"/>
          <w:color w:val="auto"/>
        </w:rPr>
        <w:t>We seek to mitigate non-credit-related risk on our returns in several ways, including call protection provisions to protect</w:t>
      </w:r>
      <w:r>
        <w:rPr>
          <w:rFonts w:ascii="Arial" w:cs="Arial" w:eastAsia="Arial" w:hAnsi="Arial"/>
          <w:sz w:val="18"/>
          <w:szCs w:val="18"/>
          <w:i w:val="1"/>
          <w:iCs w:val="1"/>
          <w:color w:val="auto"/>
        </w:rPr>
        <w:t xml:space="preserve"> </w:t>
      </w:r>
      <w:r>
        <w:rPr>
          <w:rFonts w:ascii="Arial" w:cs="Arial" w:eastAsia="Arial" w:hAnsi="Arial"/>
          <w:sz w:val="18"/>
          <w:szCs w:val="18"/>
          <w:color w:val="auto"/>
        </w:rPr>
        <w:t>future payment income. In addition, most of our investments are floating rate in nature, which we believe helps act as a portfolio-wide hedge against inflation.</w:t>
      </w:r>
    </w:p>
    <w:p>
      <w:pPr>
        <w:spacing w:after="0" w:line="86" w:lineRule="exact"/>
        <w:rPr>
          <w:rFonts w:ascii="Arial" w:cs="Arial" w:eastAsia="Arial" w:hAnsi="Arial"/>
          <w:sz w:val="18"/>
          <w:szCs w:val="18"/>
          <w:color w:val="auto"/>
        </w:rPr>
      </w:pPr>
    </w:p>
    <w:p>
      <w:pPr>
        <w:ind w:left="900" w:right="540" w:hanging="325"/>
        <w:spacing w:after="0" w:line="264"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Robust and active investment management. </w:t>
      </w:r>
      <w:r>
        <w:rPr>
          <w:rFonts w:ascii="Arial" w:cs="Arial" w:eastAsia="Arial" w:hAnsi="Arial"/>
          <w:sz w:val="18"/>
          <w:szCs w:val="18"/>
          <w:color w:val="auto"/>
        </w:rPr>
        <w:t>Our Adviser rigorously monitors the credit profile of portfolio investments, with the aim of</w:t>
      </w:r>
      <w:r>
        <w:rPr>
          <w:rFonts w:ascii="Arial" w:cs="Arial" w:eastAsia="Arial" w:hAnsi="Arial"/>
          <w:sz w:val="18"/>
          <w:szCs w:val="18"/>
          <w:i w:val="1"/>
          <w:iCs w:val="1"/>
          <w:color w:val="auto"/>
        </w:rPr>
        <w:t xml:space="preserve"> </w:t>
      </w:r>
      <w:r>
        <w:rPr>
          <w:rFonts w:ascii="Arial" w:cs="Arial" w:eastAsia="Arial" w:hAnsi="Arial"/>
          <w:sz w:val="18"/>
          <w:szCs w:val="18"/>
          <w:color w:val="auto"/>
        </w:rPr>
        <w:t>proactively identifying sector and operational issues and carefully managing risks. The information gathered on market trends through this process also informs our underwriting for new loans.</w:t>
      </w:r>
    </w:p>
    <w:p>
      <w:pPr>
        <w:spacing w:after="0" w:line="181" w:lineRule="exact"/>
        <w:rPr>
          <w:sz w:val="20"/>
          <w:szCs w:val="20"/>
          <w:color w:val="auto"/>
        </w:rPr>
      </w:pPr>
    </w:p>
    <w:p>
      <w:pPr>
        <w:ind w:right="980" w:firstLine="456"/>
        <w:spacing w:after="0" w:line="277" w:lineRule="auto"/>
        <w:rPr>
          <w:sz w:val="20"/>
          <w:szCs w:val="20"/>
          <w:color w:val="auto"/>
        </w:rPr>
      </w:pPr>
      <w:r>
        <w:rPr>
          <w:rFonts w:ascii="Arial" w:cs="Arial" w:eastAsia="Arial" w:hAnsi="Arial"/>
          <w:sz w:val="18"/>
          <w:szCs w:val="18"/>
          <w:color w:val="auto"/>
        </w:rPr>
        <w:t>We tailor investments rather than focusing only on driving investment volume. We closed less than 2% of approximately 5,000 investment opportunities our Investment Team reviewed since our inception through December 31, 2015.</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 xml:space="preserve">Carefully constructed, existing portfolio consisting of predominantly senior, floating rate loans across a broad range of industries and borrowers. </w:t>
      </w:r>
      <w:r>
        <w:rPr>
          <w:rFonts w:ascii="Arial" w:cs="Arial" w:eastAsia="Arial" w:hAnsi="Arial"/>
          <w:sz w:val="17"/>
          <w:szCs w:val="17"/>
          <w:color w:val="auto"/>
        </w:rPr>
        <w:t>Since</w:t>
      </w:r>
      <w:r>
        <w:rPr>
          <w:rFonts w:ascii="Arial" w:cs="Arial" w:eastAsia="Arial" w:hAnsi="Arial"/>
          <w:sz w:val="17"/>
          <w:szCs w:val="17"/>
          <w:i w:val="1"/>
          <w:iCs w:val="1"/>
          <w:color w:val="auto"/>
        </w:rPr>
        <w:t xml:space="preserve"> </w:t>
      </w:r>
      <w:r>
        <w:rPr>
          <w:rFonts w:ascii="Arial" w:cs="Arial" w:eastAsia="Arial" w:hAnsi="Arial"/>
          <w:sz w:val="17"/>
          <w:szCs w:val="17"/>
          <w:color w:val="auto"/>
        </w:rPr>
        <w:t>we began investing in 2011, we have invested approximately $2.9 billion. As of December 31, 2015, we had a portfolio of investments in 46 portfolio companies with an aggregate fair value of $1,485.7 million that we believe exhibits strong credit quality and broad industry composition. As of December 31, 2015, 95.3% of our debt investments based on fair value bore interest at floating rates (when including investment specific hedges), with 94.2% of these subject to interest rate floors, and 88.2% of the fair value of our portfolio was invested in first-lien debt investments. We believe this portfolio will allow us to generate meaningful investment income, and consequently dividend income, for our stockholders.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The eight managing directors of TSSP on the Adviser’s team have deep experience identifying and executing</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w:t>
      </w:r>
    </w:p>
    <w:p>
      <w:pPr>
        <w:spacing w:after="0" w:line="166"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i w:val="1"/>
          <w:iCs w:val="1"/>
          <w:color w:val="auto"/>
        </w:rPr>
        <w:t xml:space="preserve">Aligned investment professionals. </w:t>
      </w:r>
      <w:r>
        <w:rPr>
          <w:rFonts w:ascii="Arial" w:cs="Arial" w:eastAsia="Arial" w:hAnsi="Arial"/>
          <w:sz w:val="18"/>
          <w:szCs w:val="18"/>
          <w:color w:val="auto"/>
        </w:rPr>
        <w:t>We believe our investment professionals are aligned with our investment objective. The compensation structure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investment professionals is based on our returns, as opposed to transaction volume, which we believe fosters a focus on credit quality when originating investments.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Criteria/Guidelines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 approach involves, among other things:</w:t>
      </w:r>
    </w:p>
    <w:p>
      <w:pPr>
        <w:spacing w:after="0" w:line="131" w:lineRule="exact"/>
        <w:rPr>
          <w:sz w:val="20"/>
          <w:szCs w:val="20"/>
          <w:color w:val="auto"/>
        </w:rPr>
      </w:pPr>
    </w:p>
    <w:p>
      <w:pPr>
        <w:ind w:left="900" w:hanging="325"/>
        <w:spacing w:after="0"/>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an assessment of the markets, overall macroeconomic environment and how the assessment may impact industry and investment selection;</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substantial company-specific research and analysis;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 respect to each individual company, an emphasis on capital preservation, low volatility and management of downside risk.</w:t>
      </w:r>
    </w:p>
    <w:p>
      <w:pPr>
        <w:spacing w:after="0" w:line="225" w:lineRule="exact"/>
        <w:rPr>
          <w:sz w:val="20"/>
          <w:szCs w:val="20"/>
          <w:color w:val="auto"/>
        </w:rPr>
      </w:pPr>
    </w:p>
    <w:p>
      <w:pPr>
        <w:jc w:val="both"/>
        <w:ind w:right="900" w:firstLine="456"/>
        <w:spacing w:after="0" w:line="342" w:lineRule="auto"/>
        <w:rPr>
          <w:sz w:val="20"/>
          <w:szCs w:val="20"/>
          <w:color w:val="auto"/>
        </w:rPr>
      </w:pPr>
      <w:r>
        <w:rPr>
          <w:rFonts w:ascii="Arial" w:cs="Arial" w:eastAsia="Arial" w:hAnsi="Arial"/>
          <w:sz w:val="16"/>
          <w:szCs w:val="16"/>
          <w:color w:val="auto"/>
        </w:rPr>
        <w:t>The foundation of our investment philosophy incorporates intensive analysis, a management discipline based on both market technicals and fundamental value-oriented research, and consideration of diversification within our portfolio. We follow a rigorous investment process based on:</w:t>
      </w:r>
    </w:p>
    <w:p>
      <w:pPr>
        <w:spacing w:after="0" w:line="29" w:lineRule="exact"/>
        <w:rPr>
          <w:sz w:val="20"/>
          <w:szCs w:val="20"/>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comprehensive analysis of issuer creditworthiness, including a quantitative and qualitative assessment of the issuer’s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evaluation of management and its economic incentives;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analysis of business strategy and industry trends;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in-depth examination of a prospective portfolio company’s capital structure, financial results and projections.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seek to identify those companies exhibiting superior fundamental risk-reward profiles and strong defensible business franchises, while focusing on the absolute and relative value of the investment.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Origination and Sourcing</w:t>
      </w:r>
    </w:p>
    <w:p>
      <w:pPr>
        <w:spacing w:after="0" w:line="117"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The substantial majority of our deals are informed by our current sector views and are sourced directly by our Adviser through our network contacts. We also identify opportunities through our Adviser’s relationships with TSSP and TPG.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Diligence Process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92" w:lineRule="exact"/>
        <w:rPr>
          <w:sz w:val="20"/>
          <w:szCs w:val="20"/>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understanding the purpose of the loan, the key personnel and variables, as well as the sources and uses of the proceeds;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meeting the company’s management, including top and middle-level executives, to get an insider’s view of the business, and to probe for potential weaknesses in business prospects;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checking management’s backgrounds and references;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performing a detailed review of historical financial performance, including performance through various economic cycles, and the quality of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contacting customers and vendors to assess both business prospects and standard practices;</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conducting a competitive analysis, and comparing the company to its main competitors on an operating, financial, market share and valuation basis;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researching the industry for historic growth trends and future prospects as well as to identify future exit alternatives;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assessing asset value and the ability of physical infrastructure and information systems to handle anticipated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leveraging TSSP and TPG internal resources with institutional knowledge of the company’s business;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investigating legal and regulatory risks and financial and accounting systems and practices.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Selective Investment Process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After an investment has been identified and preliminary diligence has been completed, a credit research and analysis report is prepared. This report is reviewed by senior investment professionals. If these senior and other investment professionals are in favor of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Formal Commitment</w:t>
      </w:r>
    </w:p>
    <w:p>
      <w:pPr>
        <w:spacing w:after="0" w:line="117"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Approval of an investment requires the approval of the Investment Review Committee or, depending on the size and nature of the investment, a portion thereof. Once we have determined that a prospective portfolio company is suitable for investment, we work with the management or sponsor of that company and its other capital providers, including senior, junior and equity capital providers, if any, to finalize the structure and terms of the investment.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Monitoring</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Adviser has a number of methods of evaluating and monitoring the performance and fair value of our investments, which may include the following:</w:t>
      </w:r>
    </w:p>
    <w:p>
      <w:pPr>
        <w:spacing w:after="0" w:line="76"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comparisons to other companies in the industry;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87" w:lineRule="exact"/>
        <w:rPr>
          <w:sz w:val="20"/>
          <w:szCs w:val="20"/>
          <w:color w:val="auto"/>
        </w:rPr>
      </w:pPr>
    </w:p>
    <w:p>
      <w:pPr>
        <w:ind w:left="900" w:right="380" w:hanging="325"/>
        <w:spacing w:after="0" w:line="264"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86" w:lineRule="exact"/>
        <w:rPr>
          <w:rFonts w:ascii="Arial" w:cs="Arial" w:eastAsia="Arial" w:hAnsi="Arial"/>
          <w:sz w:val="18"/>
          <w:szCs w:val="18"/>
          <w:color w:val="auto"/>
        </w:rPr>
      </w:pPr>
    </w:p>
    <w:p>
      <w:pPr>
        <w:ind w:left="900" w:right="200" w:hanging="325"/>
        <w:spacing w:after="0" w:line="297"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loan terms or structure, or payment of amendment and waiver fees.</w:t>
      </w:r>
    </w:p>
    <w:p>
      <w:pPr>
        <w:spacing w:after="0" w:line="63"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For more information on the investment performance ratings of our portfolio, see “Management’s Discussion and Analysis of Financial Condition and Results of Operations—Key Components of Our Results of Operations—Portfolio and Investment Activity.”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Review Committee</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manages our portfolio under the general oversight of the Investment Review Committee. The Investment Review Committee includes certain individuals who are senior personnel of the Adviser and TSSP, as well as certain other persons appointed by the Adviser from time to time. Our Investment Team and the Investment Review Committee are supported by and have access to the investment professionals, analytical capabilities and support personnel of TPG. See “Management” and “Related-Party Transactions and Certain Relationships.”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Investments</w:t>
      </w:r>
    </w:p>
    <w:p>
      <w:pPr>
        <w:spacing w:after="0" w:line="121"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Since beginning our investment activities in July 2011, we have sought to generate current income primarily in U.S.-domiciled middle market companies through direct originations of senior secured loans and, to a lesser extent, originations of mezzanine and unsecured loans and investments in corporate bonds and equity and other investments.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87" w:lineRule="exact"/>
        <w:rPr>
          <w:sz w:val="20"/>
          <w:szCs w:val="20"/>
          <w:color w:val="auto"/>
        </w:rPr>
      </w:pPr>
    </w:p>
    <w:p>
      <w:pPr>
        <w:ind w:left="900" w:hanging="325"/>
        <w:spacing w:after="0" w:line="259"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First-lien debt. </w:t>
      </w:r>
      <w:r>
        <w:rPr>
          <w:rFonts w:ascii="Arial" w:cs="Arial" w:eastAsia="Arial" w:hAnsi="Arial"/>
          <w:sz w:val="18"/>
          <w:szCs w:val="18"/>
          <w:color w:val="auto"/>
        </w:rPr>
        <w:t>First-lien debt is typically senior on a lien basis to other liabilities in the issuer’s capital structure and has the benefit of a</w:t>
      </w:r>
      <w:r>
        <w:rPr>
          <w:rFonts w:ascii="Arial" w:cs="Arial" w:eastAsia="Arial" w:hAnsi="Arial"/>
          <w:sz w:val="18"/>
          <w:szCs w:val="18"/>
          <w:i w:val="1"/>
          <w:iCs w:val="1"/>
          <w:color w:val="auto"/>
        </w:rPr>
        <w:t xml:space="preserve"> </w:t>
      </w:r>
      <w:r>
        <w:rPr>
          <w:rFonts w:ascii="Arial" w:cs="Arial" w:eastAsia="Arial" w:hAnsi="Arial"/>
          <w:sz w:val="18"/>
          <w:szCs w:val="18"/>
          <w:color w:val="auto"/>
        </w:rPr>
        <w:t>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40" w:hanging="446"/>
        <w:spacing w:after="0" w:line="277" w:lineRule="auto"/>
        <w:tabs>
          <w:tab w:leader="none" w:pos="1480" w:val="left"/>
        </w:tabs>
        <w:numPr>
          <w:ilvl w:val="1"/>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Stand-alone first-lien loans. </w:t>
      </w:r>
      <w:r>
        <w:rPr>
          <w:rFonts w:ascii="Arial" w:cs="Arial" w:eastAsia="Arial" w:hAnsi="Arial"/>
          <w:sz w:val="18"/>
          <w:szCs w:val="18"/>
          <w:color w:val="auto"/>
        </w:rPr>
        <w:t>Stand-alone first-lien loans are traditional first-lien loans. All lenders in the facility have equal rights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that is subject to the first-priority security interest.</w:t>
      </w:r>
    </w:p>
    <w:p>
      <w:pPr>
        <w:spacing w:after="0" w:line="75" w:lineRule="exact"/>
        <w:rPr>
          <w:rFonts w:ascii="Arial" w:cs="Arial" w:eastAsia="Arial" w:hAnsi="Arial"/>
          <w:sz w:val="18"/>
          <w:szCs w:val="18"/>
          <w:color w:val="auto"/>
        </w:rPr>
      </w:pPr>
    </w:p>
    <w:p>
      <w:pPr>
        <w:ind w:left="1480" w:hanging="446"/>
        <w:spacing w:after="0" w:line="271" w:lineRule="auto"/>
        <w:tabs>
          <w:tab w:leader="none" w:pos="1480" w:val="left"/>
        </w:tabs>
        <w:numPr>
          <w:ilvl w:val="1"/>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“Last out” </w:t>
      </w:r>
      <w:r>
        <w:rPr>
          <w:rFonts w:ascii="Arial" w:cs="Arial" w:eastAsia="Arial" w:hAnsi="Arial"/>
          <w:sz w:val="17"/>
          <w:szCs w:val="17"/>
          <w:color w:val="auto"/>
        </w:rPr>
        <w:t>first-lien loans. “Last out” first-lien loans have a secondary priority behind super-senior “first out” first-lien loans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84" w:lineRule="exact"/>
        <w:rPr>
          <w:rFonts w:ascii="Arial" w:cs="Arial" w:eastAsia="Arial" w:hAnsi="Arial"/>
          <w:sz w:val="17"/>
          <w:szCs w:val="17"/>
          <w:color w:val="auto"/>
        </w:rPr>
      </w:pPr>
    </w:p>
    <w:p>
      <w:pPr>
        <w:ind w:left="1480" w:hanging="446"/>
        <w:spacing w:after="0" w:line="312" w:lineRule="auto"/>
        <w:tabs>
          <w:tab w:leader="none" w:pos="1480"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“Unitranche” loans. </w:t>
      </w:r>
      <w:r>
        <w:rPr>
          <w:rFonts w:ascii="Arial" w:cs="Arial" w:eastAsia="Arial" w:hAnsi="Arial"/>
          <w:sz w:val="16"/>
          <w:szCs w:val="16"/>
          <w:color w:val="auto"/>
        </w:rPr>
        <w:t>Unitranche loans combine features of first-lien, second-lien and mezzanine debt, generally in a first-lien position. In</w:t>
      </w:r>
      <w:r>
        <w:rPr>
          <w:rFonts w:ascii="Arial" w:cs="Arial" w:eastAsia="Arial" w:hAnsi="Arial"/>
          <w:sz w:val="16"/>
          <w:szCs w:val="16"/>
          <w:i w:val="1"/>
          <w:iCs w:val="1"/>
          <w:color w:val="auto"/>
        </w:rPr>
        <w:t xml:space="preserve"> </w:t>
      </w:r>
      <w:r>
        <w:rPr>
          <w:rFonts w:ascii="Arial" w:cs="Arial" w:eastAsia="Arial" w:hAnsi="Arial"/>
          <w:sz w:val="16"/>
          <w:szCs w:val="16"/>
          <w:color w:val="auto"/>
        </w:rPr>
        <w:t>many cases, we may provide the borrower most, if not all, of the capital structure above the equity. The primary advantages to the borrower are the ability to negotiate the entire debt financing with one lender and the elimination of intercreditor issues.</w:t>
      </w:r>
    </w:p>
    <w:p>
      <w:pPr>
        <w:spacing w:after="0" w:line="52" w:lineRule="exact"/>
        <w:rPr>
          <w:rFonts w:ascii="Arial" w:cs="Arial" w:eastAsia="Arial" w:hAnsi="Arial"/>
          <w:sz w:val="16"/>
          <w:szCs w:val="16"/>
          <w:color w:val="auto"/>
        </w:rPr>
      </w:pPr>
    </w:p>
    <w:p>
      <w:pPr>
        <w:ind w:left="900" w:hanging="325"/>
        <w:spacing w:after="0" w:line="257"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Second-lien debt. </w:t>
      </w:r>
      <w:r>
        <w:rPr>
          <w:rFonts w:ascii="Arial" w:cs="Arial" w:eastAsia="Arial" w:hAnsi="Arial"/>
          <w:sz w:val="18"/>
          <w:szCs w:val="18"/>
          <w:color w:val="auto"/>
        </w:rPr>
        <w:t>Our second-lien debt may include secured loans, and, to a lesser extent, secured corporate bonds, with a secondary priority</w:t>
      </w:r>
      <w:r>
        <w:rPr>
          <w:rFonts w:ascii="Arial" w:cs="Arial" w:eastAsia="Arial" w:hAnsi="Arial"/>
          <w:sz w:val="18"/>
          <w:szCs w:val="18"/>
          <w:i w:val="1"/>
          <w:iCs w:val="1"/>
          <w:color w:val="auto"/>
        </w:rPr>
        <w:t xml:space="preserve"> </w:t>
      </w:r>
      <w:r>
        <w:rPr>
          <w:rFonts w:ascii="Arial" w:cs="Arial" w:eastAsia="Arial" w:hAnsi="Arial"/>
          <w:sz w:val="18"/>
          <w:szCs w:val="18"/>
          <w:color w:val="auto"/>
        </w:rPr>
        <w:t>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93" w:lineRule="exact"/>
        <w:rPr>
          <w:rFonts w:ascii="Arial" w:cs="Arial" w:eastAsia="Arial" w:hAnsi="Arial"/>
          <w:sz w:val="18"/>
          <w:szCs w:val="18"/>
          <w:color w:val="auto"/>
        </w:rPr>
      </w:pPr>
    </w:p>
    <w:p>
      <w:pPr>
        <w:ind w:left="900" w:right="40" w:hanging="325"/>
        <w:spacing w:after="0" w:line="270"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i w:val="1"/>
          <w:iCs w:val="1"/>
          <w:color w:val="auto"/>
        </w:rPr>
        <w:t xml:space="preserve">“Mezzanine” and “Unsecured” debt. </w:t>
      </w:r>
      <w:r>
        <w:rPr>
          <w:rFonts w:ascii="Arial" w:cs="Arial" w:eastAsia="Arial" w:hAnsi="Arial"/>
          <w:sz w:val="17"/>
          <w:szCs w:val="17"/>
          <w:color w:val="auto"/>
        </w:rPr>
        <w:t>Structurally, mezzanine debt usually ranks subordinate in priority of payment to first-lien and second-lien</w:t>
      </w:r>
      <w:r>
        <w:rPr>
          <w:rFonts w:ascii="Arial" w:cs="Arial" w:eastAsia="Arial" w:hAnsi="Arial"/>
          <w:sz w:val="17"/>
          <w:szCs w:val="17"/>
          <w:i w:val="1"/>
          <w:iCs w:val="1"/>
          <w:color w:val="auto"/>
        </w:rPr>
        <w:t xml:space="preserve"> </w:t>
      </w:r>
      <w:r>
        <w:rPr>
          <w:rFonts w:ascii="Arial" w:cs="Arial" w:eastAsia="Arial" w:hAnsi="Arial"/>
          <w:sz w:val="17"/>
          <w:szCs w:val="17"/>
          <w:color w:val="auto"/>
        </w:rPr>
        <w:t>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82"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Our debt investments are typically structured with the maximum seniority and collateral that we can reasonably obtain while seeking to achieve our total return target. We seek to limit the downside potential of our investments by:</w:t>
      </w:r>
    </w:p>
    <w:p>
      <w:pPr>
        <w:spacing w:after="0" w:line="76" w:lineRule="exact"/>
        <w:rPr>
          <w:sz w:val="20"/>
          <w:szCs w:val="20"/>
          <w:color w:val="auto"/>
        </w:rPr>
      </w:pPr>
    </w:p>
    <w:p>
      <w:pPr>
        <w:ind w:left="900" w:hanging="325"/>
        <w:spacing w:after="0"/>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requiring a total return on our investments (including both interest and potential equity appreciation) that compensates us for credit risk; and</w:t>
      </w:r>
    </w:p>
    <w:p>
      <w:pPr>
        <w:spacing w:after="0" w:line="142"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Among the types of first-lien debt in which we invest, we generally are able to obtain higher effective interest rates on our “last out” first-lien loans than on other types of first-lien loans, since our “last 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Other Investments</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Our loans may include an equity interest in the issuer, such as a warrant or profit participation right. In certain instances, we also will make direct equity investments, although those situations are generally limited to those cases where we are also making an investment in a more senior part of the capital structure of the issuer.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and 2014, we had made investments with an aggregate fair value of $1,485.7 million and $1,263.5 million, respectively, in 46 and 34 portfolio companies,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consisted of the following at December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2015</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11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$ 1,333.1</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$1,310.2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126.0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40.8</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26.3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$ 1,529.7</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1,485.7</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9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Amortized</w:t>
            </w:r>
          </w:p>
        </w:tc>
        <w:tc>
          <w:tcPr>
            <w:tcW w:w="420" w:type="dxa"/>
            <w:vAlign w:val="bottom"/>
          </w:tcPr>
          <w:p>
            <w:pPr>
              <w:spacing w:after="0"/>
              <w:rPr>
                <w:sz w:val="10"/>
                <w:szCs w:val="10"/>
                <w:color w:val="auto"/>
              </w:rPr>
            </w:pPr>
          </w:p>
        </w:tc>
        <w:tc>
          <w:tcPr>
            <w:tcW w:w="11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r>
      <w:tr>
        <w:trPr>
          <w:trHeight w:val="17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 in millions)</w:t>
            </w:r>
          </w:p>
        </w:tc>
        <w:tc>
          <w:tcPr>
            <w:tcW w:w="1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Cost </w:t>
            </w:r>
            <w:r>
              <w:rPr>
                <w:rFonts w:ascii="Arial" w:cs="Arial" w:eastAsia="Arial" w:hAnsi="Arial"/>
                <w:sz w:val="12"/>
                <w:szCs w:val="12"/>
                <w:b w:val="1"/>
                <w:bCs w:val="1"/>
                <w:color w:val="auto"/>
                <w:w w:val="92"/>
              </w:rPr>
              <w:t>(1)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0"/>
              </w:rPr>
              <w:t>Gain (Loss)</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$ 1,127.2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$1,124.2</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300" w:type="dxa"/>
            <w:vAlign w:val="bottom"/>
            <w:gridSpan w:val="3"/>
          </w:tcPr>
          <w:p>
            <w:pPr>
              <w:jc w:val="right"/>
              <w:ind w:right="280"/>
              <w:spacing w:after="0"/>
              <w:rPr>
                <w:sz w:val="20"/>
                <w:szCs w:val="20"/>
                <w:color w:val="auto"/>
              </w:rPr>
            </w:pPr>
            <w:r>
              <w:rPr>
                <w:rFonts w:ascii="Arial" w:cs="Arial" w:eastAsia="Arial" w:hAnsi="Arial"/>
                <w:sz w:val="18"/>
                <w:szCs w:val="18"/>
                <w:color w:val="auto"/>
              </w:rPr>
              <w:t>111.1</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111.4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3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13.4</w:t>
            </w: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13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21.5</w:t>
            </w: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1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$ 1,273.2</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1,263.5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620" w:hanging="452"/>
        <w:spacing w:after="0" w:line="277"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Amortized cost represents the original cost adjusted for the amortization of discounts or premiums, as applicable, on debt investments using the effective interest method.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industry composition of investments at fair value at December 31, 2015 and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1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December 31, 2015</w:t>
            </w:r>
          </w:p>
        </w:tc>
        <w:tc>
          <w:tcPr>
            <w:tcW w:w="19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22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w:t>
            </w:r>
          </w:p>
        </w:tc>
        <w:tc>
          <w:tcPr>
            <w:tcW w:w="60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4.2%</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21.2%</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Chemicals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0.5%</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22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Electronics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5.5%</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2.9%</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Healthcare</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18.0%</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5.5%</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3.6%</w:t>
            </w:r>
          </w:p>
        </w:tc>
        <w:tc>
          <w:tcPr>
            <w:tcW w:w="6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Internet services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3.6%</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Metals and mining</w:t>
            </w:r>
          </w:p>
        </w:tc>
        <w:tc>
          <w:tcPr>
            <w:tcW w:w="1220" w:type="dxa"/>
            <w:vAlign w:val="bottom"/>
          </w:tcPr>
          <w:p>
            <w:pPr>
              <w:spacing w:after="0"/>
              <w:rPr>
                <w:sz w:val="18"/>
                <w:szCs w:val="18"/>
                <w:color w:val="auto"/>
              </w:rPr>
            </w:pPr>
          </w:p>
        </w:tc>
        <w:tc>
          <w:tcPr>
            <w:tcW w:w="19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2.4%</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3.2%</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0.6%</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Pharmaceuticals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4.9%</w:t>
            </w:r>
          </w:p>
        </w:tc>
        <w:tc>
          <w:tcPr>
            <w:tcW w:w="6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120" w:type="dxa"/>
            <w:vAlign w:val="bottom"/>
            <w:gridSpan w:val="3"/>
          </w:tcPr>
          <w:p>
            <w:pPr>
              <w:jc w:val="right"/>
              <w:ind w:right="600"/>
              <w:spacing w:after="0"/>
              <w:rPr>
                <w:sz w:val="20"/>
                <w:szCs w:val="20"/>
                <w:color w:val="auto"/>
              </w:rPr>
            </w:pPr>
            <w:r>
              <w:rPr>
                <w:rFonts w:ascii="Arial" w:cs="Arial" w:eastAsia="Arial" w:hAnsi="Arial"/>
                <w:sz w:val="18"/>
                <w:szCs w:val="18"/>
                <w:color w:val="auto"/>
              </w:rPr>
              <w:t>8.5%</w:t>
            </w:r>
          </w:p>
        </w:tc>
        <w:tc>
          <w:tcPr>
            <w:tcW w:w="19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1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0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9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60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classify the industries of our portfolio companies by end-market (such as healthcare, and business services) and not by the product or services (such as software) directed to those end-markets.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2015 and 2014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660" w:type="dxa"/>
            <w:vAlign w:val="bottom"/>
          </w:tcPr>
          <w:p>
            <w:pPr>
              <w:spacing w:after="0"/>
              <w:rPr>
                <w:sz w:val="14"/>
                <w:szCs w:val="14"/>
                <w:color w:val="auto"/>
              </w:rPr>
            </w:pPr>
          </w:p>
        </w:tc>
        <w:tc>
          <w:tcPr>
            <w:tcW w:w="40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2015</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2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Midwest</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9.9%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4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660" w:type="dxa"/>
            <w:vAlign w:val="bottom"/>
          </w:tcPr>
          <w:p>
            <w:pPr>
              <w:ind w:left="360"/>
              <w:spacing w:after="0"/>
              <w:rPr>
                <w:sz w:val="20"/>
                <w:szCs w:val="20"/>
                <w:color w:val="auto"/>
              </w:rPr>
            </w:pPr>
            <w:r>
              <w:rPr>
                <w:rFonts w:ascii="Arial" w:cs="Arial" w:eastAsia="Arial" w:hAnsi="Arial"/>
                <w:sz w:val="18"/>
                <w:szCs w:val="18"/>
                <w:color w:val="auto"/>
              </w:rPr>
              <w:t>South</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26.1%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40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Canada</w:t>
            </w:r>
          </w:p>
        </w:tc>
        <w:tc>
          <w:tcPr>
            <w:tcW w:w="408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2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6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22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tcPr>
          <w:p>
            <w:pPr>
              <w:spacing w:after="0"/>
              <w:rPr>
                <w:sz w:val="19"/>
                <w:szCs w:val="19"/>
                <w:color w:val="auto"/>
              </w:rPr>
            </w:pPr>
          </w:p>
        </w:tc>
        <w:tc>
          <w:tcPr>
            <w:tcW w:w="22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200" w:type="dxa"/>
            <w:vAlign w:val="bottom"/>
            <w:vMerge w:val="restart"/>
          </w:tcPr>
          <w:p>
            <w:pPr>
              <w:jc w:val="right"/>
              <w:ind w:right="353"/>
              <w:spacing w:after="0"/>
              <w:rPr>
                <w:sz w:val="20"/>
                <w:szCs w:val="20"/>
                <w:color w:val="auto"/>
              </w:rPr>
            </w:pPr>
            <w:r>
              <w:rPr>
                <w:rFonts w:ascii="Arial" w:cs="Arial" w:eastAsia="Arial" w:hAnsi="Arial"/>
                <w:sz w:val="18"/>
                <w:szCs w:val="18"/>
                <w:color w:val="auto"/>
              </w:rPr>
              <w:t>99</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6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we had the following commitments to fund investments: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440" w:type="dxa"/>
            <w:vAlign w:val="bottom"/>
            <w:gridSpan w:val="4"/>
          </w:tcPr>
          <w:p>
            <w:pPr>
              <w:ind w:left="1180"/>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120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35,849</w:t>
            </w:r>
          </w:p>
        </w:tc>
        <w:tc>
          <w:tcPr>
            <w:tcW w:w="156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18"/>
                <w:szCs w:val="18"/>
                <w:color w:val="auto"/>
              </w:rPr>
            </w:pPr>
          </w:p>
        </w:tc>
      </w:tr>
      <w:tr>
        <w:trPr>
          <w:trHeight w:val="27"/>
        </w:trPr>
        <w:tc>
          <w:tcPr>
            <w:tcW w:w="4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78,646</w:t>
            </w:r>
          </w:p>
        </w:tc>
        <w:tc>
          <w:tcPr>
            <w:tcW w:w="156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12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As a BDC, we must offer significant managerial assistance to our portfolio companies. This assistance can involve monitoring the operations of our portfolio companies, participating in board and management meetings, consulting with and advising officers of portfolio companies and providing other organizational and financial guidance. We may receive fees for these services and reimburse the Adviser for its allocated costs in providing this assistance, subject to the review and approval by our Board, including our Independent Directors. See “Regulation.”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for investments with a number of BDCs and other investment funds (including private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Many of these entities have greater financial and managerial resources than we do. In addition, many of our competitors are not subject to the regulatory restrictions that the 1940 Act imposes on us as a BDC. For additional information concerning the competitive risks we expect to face, see “Risk Factors—Risks Related to Our Business and Structure—We operate in a highly competitive market for investment opportunities.”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maintain our principal executive office at 301 Commerce Street, Suite 3300, Fort Worth, Texas 76102. We do not own any real estate.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may be a party to certain legal proceedings in the ordinary course of business, including proceedings relating to the enforcement of our rights under loans to or other contracts with our portfolio companies. We and the Adviser are not currently subject to any material legal proceedings, nor, to our knowledge, is any material legal proceeding threatened against us.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table set forth below contains certain information as of December 31, 2015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first-lien or second-lien. We either originated or purchased in the secondary market the loans and securities in our current portfolio.</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3"/>
              </w:rPr>
              <w:t>Amortized</w:t>
            </w: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860" w:type="dxa"/>
            <w:vAlign w:val="bottom"/>
          </w:tcPr>
          <w:p>
            <w:pPr>
              <w:spacing w:after="0"/>
              <w:rPr>
                <w:sz w:val="12"/>
                <w:szCs w:val="12"/>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Investments</w:t>
            </w:r>
          </w:p>
        </w:tc>
        <w:tc>
          <w:tcPr>
            <w:tcW w:w="8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b w:val="1"/>
                <w:bCs w:val="1"/>
                <w:color w:val="auto"/>
              </w:rPr>
              <w:t>Automotive</w:t>
            </w:r>
          </w:p>
        </w:tc>
        <w:tc>
          <w:tcPr>
            <w:tcW w:w="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Heartland Automotive Holdings, LLC</w:t>
            </w:r>
            <w:r>
              <w:rPr>
                <w:rFonts w:ascii="Arial" w:cs="Arial" w:eastAsia="Arial" w:hAnsi="Arial"/>
                <w:sz w:val="15"/>
                <w:szCs w:val="15"/>
                <w:color w:val="auto"/>
              </w:rPr>
              <w:t>(3)</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($31,271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6/2017)</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8/28/2012</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$ 30,977</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6"/>
              </w:rPr>
              <w:t>$ 30,176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4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revolving</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loan ($2,722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due 6/2017)</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8/28/2012</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2,675</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2,528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33,652</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32,704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3800" w:type="dxa"/>
            <w:vAlign w:val="bottom"/>
            <w:gridSpan w:val="2"/>
          </w:tcPr>
          <w:p>
            <w:pPr>
              <w:ind w:left="360"/>
              <w:spacing w:after="0"/>
              <w:rPr>
                <w:sz w:val="20"/>
                <w:szCs w:val="20"/>
                <w:color w:val="auto"/>
              </w:rPr>
            </w:pPr>
            <w:r>
              <w:rPr>
                <w:rFonts w:ascii="Arial" w:cs="Arial" w:eastAsia="Arial" w:hAnsi="Arial"/>
                <w:sz w:val="18"/>
                <w:szCs w:val="18"/>
                <w:b w:val="1"/>
                <w:bCs w:val="1"/>
                <w:color w:val="auto"/>
              </w:rPr>
              <w:t>Beverage, food and tobacco</w:t>
            </w: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AFS Technologies, Inc.</w:t>
            </w:r>
            <w:r>
              <w:rPr>
                <w:rFonts w:ascii="Arial" w:cs="Arial" w:eastAsia="Arial" w:hAnsi="Arial"/>
                <w:sz w:val="15"/>
                <w:szCs w:val="15"/>
                <w:color w:val="auto"/>
              </w:rPr>
              <w:t>(3)(5)</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($63,660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3/2020)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3/3/2014</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62,575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62,705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3800" w:type="dxa"/>
            <w:vAlign w:val="bottom"/>
            <w:gridSpan w:val="2"/>
          </w:tcPr>
          <w:p>
            <w:pPr>
              <w:ind w:left="360"/>
              <w:spacing w:after="0"/>
              <w:rPr>
                <w:sz w:val="20"/>
                <w:szCs w:val="20"/>
                <w:color w:val="auto"/>
              </w:rPr>
            </w:pPr>
            <w:r>
              <w:rPr>
                <w:rFonts w:ascii="Arial" w:cs="Arial" w:eastAsia="Arial" w:hAnsi="Arial"/>
                <w:sz w:val="18"/>
                <w:szCs w:val="18"/>
                <w:b w:val="1"/>
                <w:bCs w:val="1"/>
                <w:color w:val="auto"/>
              </w:rPr>
              <w:t>Business services</w:t>
            </w:r>
          </w:p>
        </w:tc>
        <w:tc>
          <w:tcPr>
            <w:tcW w:w="8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Actian Corporation</w:t>
            </w:r>
            <w:r>
              <w:rPr>
                <w:rFonts w:ascii="Arial" w:cs="Arial" w:eastAsia="Arial" w:hAnsi="Arial"/>
                <w:sz w:val="15"/>
                <w:szCs w:val="15"/>
                <w:color w:val="auto"/>
              </w:rPr>
              <w:t>(3)(5)</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($59,915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4/2018)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4/11/2013</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58,781</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Bullhorn, Inc.</w:t>
            </w:r>
            <w:r>
              <w:rPr>
                <w:rFonts w:ascii="Arial" w:cs="Arial" w:eastAsia="Arial" w:hAnsi="Arial"/>
                <w:sz w:val="15"/>
                <w:szCs w:val="15"/>
                <w:color w:val="auto"/>
              </w:rPr>
              <w:t>(3)(5)</w:t>
            </w:r>
          </w:p>
        </w:tc>
        <w:tc>
          <w:tcPr>
            <w:tcW w:w="264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($45,000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due 11/2020)</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8.50%</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11/12/2015</w:t>
            </w:r>
          </w:p>
        </w:tc>
        <w:tc>
          <w:tcPr>
            <w:tcW w:w="14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43,916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43,763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Clarabridge, Inc.</w:t>
            </w:r>
            <w:r>
              <w:rPr>
                <w:rFonts w:ascii="Arial" w:cs="Arial" w:eastAsia="Arial" w:hAnsi="Arial"/>
                <w:sz w:val="15"/>
                <w:szCs w:val="15"/>
                <w:color w:val="auto"/>
              </w:rPr>
              <w:t>(3)</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($22,388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4/2019)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5/20/2015</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21,963</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21,641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Idera, Inc.</w:t>
            </w:r>
            <w:r>
              <w:rPr>
                <w:rFonts w:ascii="Arial" w:cs="Arial" w:eastAsia="Arial" w:hAnsi="Arial"/>
                <w:sz w:val="15"/>
                <w:szCs w:val="15"/>
                <w:color w:val="auto"/>
              </w:rPr>
              <w:t>(3)</w:t>
            </w:r>
          </w:p>
        </w:tc>
        <w:tc>
          <w:tcPr>
            <w:tcW w:w="264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($62,500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due 4/2021)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10/9/2015</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56,446</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55,937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Leaf US Holdings, Inc.</w:t>
            </w:r>
            <w:r>
              <w:rPr>
                <w:rFonts w:ascii="Arial" w:cs="Arial" w:eastAsia="Arial" w:hAnsi="Arial"/>
                <w:sz w:val="15"/>
                <w:szCs w:val="15"/>
                <w:color w:val="auto"/>
              </w:rPr>
              <w:t>(3)(4)</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($28,565 par, due</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5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6/2019)</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6/30/2014</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28,085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27,877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3800" w:type="dxa"/>
            <w:vAlign w:val="bottom"/>
            <w:gridSpan w:val="2"/>
          </w:tcPr>
          <w:p>
            <w:pPr>
              <w:spacing w:after="0" w:line="201" w:lineRule="exact"/>
              <w:rPr>
                <w:sz w:val="20"/>
                <w:szCs w:val="20"/>
                <w:color w:val="auto"/>
              </w:rPr>
            </w:pPr>
            <w:r>
              <w:rPr>
                <w:rFonts w:ascii="Arial" w:cs="Arial" w:eastAsia="Arial" w:hAnsi="Arial"/>
                <w:sz w:val="18"/>
                <w:szCs w:val="18"/>
                <w:color w:val="auto"/>
              </w:rPr>
              <w:t>Network Merchants, Inc.</w:t>
            </w:r>
            <w:r>
              <w:rPr>
                <w:rFonts w:ascii="Arial" w:cs="Arial" w:eastAsia="Arial" w:hAnsi="Arial"/>
                <w:sz w:val="15"/>
                <w:szCs w:val="15"/>
                <w:color w:val="auto"/>
              </w:rPr>
              <w:t>(3)</w:t>
            </w:r>
          </w:p>
        </w:tc>
        <w:tc>
          <w:tcPr>
            <w:tcW w:w="2640" w:type="dxa"/>
            <w:vAlign w:val="bottom"/>
            <w:gridSpan w:val="3"/>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($25,782 par,</w:t>
            </w: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40" w:type="dxa"/>
            <w:vAlign w:val="bottom"/>
            <w:gridSpan w:val="3"/>
          </w:tcPr>
          <w:p>
            <w:pPr>
              <w:ind w:left="860"/>
              <w:spacing w:after="0"/>
              <w:rPr>
                <w:sz w:val="20"/>
                <w:szCs w:val="20"/>
                <w:color w:val="auto"/>
              </w:rPr>
            </w:pPr>
            <w:r>
              <w:rPr>
                <w:rFonts w:ascii="Arial" w:cs="Arial" w:eastAsia="Arial" w:hAnsi="Arial"/>
                <w:sz w:val="18"/>
                <w:szCs w:val="18"/>
                <w:color w:val="auto"/>
              </w:rPr>
              <w:t>due 9/2018)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9/12/2013</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25,481</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25,981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3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ScentAir Technologies, Inc.</w:t>
            </w:r>
            <w:r>
              <w:rPr>
                <w:rFonts w:ascii="Arial" w:cs="Arial" w:eastAsia="Arial" w:hAnsi="Arial"/>
                <w:sz w:val="15"/>
                <w:szCs w:val="15"/>
                <w:color w:val="auto"/>
              </w:rPr>
              <w:t>(3)</w:t>
            </w:r>
          </w:p>
        </w:tc>
        <w:tc>
          <w:tcPr>
            <w:tcW w:w="2640" w:type="dxa"/>
            <w:vAlign w:val="bottom"/>
            <w:gridSpan w:val="3"/>
            <w:shd w:val="clear" w:color="auto" w:fill="CCEEFF"/>
          </w:tcPr>
          <w:p>
            <w:pPr>
              <w:ind w:left="860"/>
              <w:spacing w:after="0" w:line="201" w:lineRule="exact"/>
              <w:rPr>
                <w:sz w:val="20"/>
                <w:szCs w:val="20"/>
                <w:color w:val="auto"/>
              </w:rPr>
            </w:pPr>
            <w:r>
              <w:rPr>
                <w:rFonts w:ascii="Arial" w:cs="Arial" w:eastAsia="Arial" w:hAnsi="Arial"/>
                <w:sz w:val="18"/>
                <w:szCs w:val="18"/>
                <w:color w:val="auto"/>
              </w:rPr>
              <w:t>First-lien loan</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($18,857 par,</w:t>
            </w: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4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due 12/2019)</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7.50%</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12/30/2014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253,177</w:t>
            </w:r>
          </w:p>
        </w:tc>
        <w:tc>
          <w:tcPr>
            <w:tcW w:w="28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256,124</w:t>
            </w:r>
          </w:p>
        </w:tc>
        <w:tc>
          <w:tcPr>
            <w:tcW w:w="280" w:type="dxa"/>
            <w:vAlign w:val="bottom"/>
            <w:vMerge w:val="continue"/>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372"/>
        </w:trPr>
        <w:tc>
          <w:tcPr>
            <w:tcW w:w="7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20" w:type="dxa"/>
            <w:vAlign w:val="bottom"/>
            <w:gridSpan w:val="2"/>
          </w:tcPr>
          <w:p>
            <w:pPr>
              <w:ind w:left="17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74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1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gridSpan w:val="2"/>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rPr>
              <w:t>Chemicals</w:t>
            </w:r>
          </w:p>
        </w:tc>
        <w:tc>
          <w:tcPr>
            <w:tcW w:w="1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Vertellus Specialties, Inc.</w:t>
            </w:r>
            <w:r>
              <w:rPr>
                <w:rFonts w:ascii="Arial" w:cs="Arial" w:eastAsia="Arial" w:hAnsi="Arial"/>
                <w:sz w:val="15"/>
                <w:szCs w:val="15"/>
                <w:color w:val="auto"/>
              </w:rPr>
              <w:t>(3)</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($10,839</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10/2019)</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10.50%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10/31/2014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$ 10,148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7,804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Education</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Campus Management, Inc.</w:t>
            </w:r>
            <w:r>
              <w:rPr>
                <w:rFonts w:ascii="Arial" w:cs="Arial" w:eastAsia="Arial" w:hAnsi="Arial"/>
                <w:sz w:val="15"/>
                <w:szCs w:val="15"/>
                <w:color w:val="auto"/>
              </w:rPr>
              <w:t>(3)(5)</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($26,277</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9/2018)</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25,879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26,277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Electronics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MyAlarm Center, LLC</w:t>
            </w:r>
            <w:r>
              <w:rPr>
                <w:rFonts w:ascii="Arial" w:cs="Arial" w:eastAsia="Arial" w:hAnsi="Arial"/>
                <w:sz w:val="15"/>
                <w:szCs w:val="15"/>
                <w:color w:val="auto"/>
              </w:rPr>
              <w:t>(3)</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($62,371</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1/2019)</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61,766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61,887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APX Group Inc.</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notes 8.75%</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($24,818 par,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due 12/2020)</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8.75%</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12/11/2014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20,165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83,455</w:t>
            </w:r>
          </w:p>
        </w:tc>
        <w:tc>
          <w:tcPr>
            <w:tcW w:w="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82,052</w:t>
            </w:r>
          </w:p>
        </w:tc>
        <w:tc>
          <w:tcPr>
            <w:tcW w:w="32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AppStar Financial, LLC</w:t>
            </w:r>
            <w:r>
              <w:rPr>
                <w:rFonts w:ascii="Arial" w:cs="Arial" w:eastAsia="Arial" w:hAnsi="Arial"/>
                <w:sz w:val="15"/>
                <w:szCs w:val="15"/>
                <w:color w:val="auto"/>
              </w:rPr>
              <w:t>(3)</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($23,400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8/2020)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9.00%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8/18/2015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22,862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22,765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AvidXchange, Inc.</w:t>
            </w:r>
            <w:r>
              <w:rPr>
                <w:rFonts w:ascii="Arial" w:cs="Arial" w:eastAsia="Arial" w:hAnsi="Arial"/>
                <w:sz w:val="15"/>
                <w:szCs w:val="15"/>
                <w:color w:val="auto"/>
              </w:rPr>
              <w:t>(3)</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Second-lien loan</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($31,897 par, due</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8/2020)</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31,380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30,910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PayLease, LLC</w:t>
            </w:r>
            <w:r>
              <w:rPr>
                <w:rFonts w:ascii="Arial" w:cs="Arial" w:eastAsia="Arial" w:hAnsi="Arial"/>
                <w:sz w:val="15"/>
                <w:szCs w:val="15"/>
                <w:color w:val="auto"/>
              </w:rPr>
              <w:t>(3)</w:t>
            </w:r>
          </w:p>
        </w:tc>
        <w:tc>
          <w:tcPr>
            <w:tcW w:w="1740" w:type="dxa"/>
            <w:vAlign w:val="bottom"/>
          </w:tcPr>
          <w:p>
            <w:pPr>
              <w:spacing w:after="0"/>
              <w:rPr>
                <w:sz w:val="17"/>
                <w:szCs w:val="17"/>
                <w:color w:val="auto"/>
              </w:rPr>
            </w:pPr>
          </w:p>
        </w:tc>
        <w:tc>
          <w:tcPr>
            <w:tcW w:w="1440" w:type="dxa"/>
            <w:vAlign w:val="bottom"/>
            <w:gridSpan w:val="3"/>
          </w:tcPr>
          <w:p>
            <w:pPr>
              <w:jc w:val="right"/>
              <w:ind w:right="280"/>
              <w:spacing w:after="0" w:line="201" w:lineRule="exact"/>
              <w:rPr>
                <w:sz w:val="20"/>
                <w:szCs w:val="20"/>
                <w:color w:val="auto"/>
              </w:rPr>
            </w:pPr>
            <w:r>
              <w:rPr>
                <w:rFonts w:ascii="Arial" w:cs="Arial" w:eastAsia="Arial" w:hAnsi="Arial"/>
                <w:sz w:val="18"/>
                <w:szCs w:val="18"/>
                <w:color w:val="auto"/>
              </w:rPr>
              <w:t>10.00%</w:t>
            </w: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3"/>
              </w:rPr>
              <w:t>First-lien loan ($33,639</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(incl. 2.50%</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3/2020)</w:t>
            </w:r>
          </w:p>
        </w:tc>
        <w:tc>
          <w:tcPr>
            <w:tcW w:w="20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PIK)</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3/6/2015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32,980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32,769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86,444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3720" w:type="dxa"/>
            <w:vAlign w:val="bottom"/>
            <w:gridSpan w:val="2"/>
          </w:tcPr>
          <w:p>
            <w:pPr>
              <w:ind w:left="360"/>
              <w:spacing w:after="0"/>
              <w:rPr>
                <w:sz w:val="20"/>
                <w:szCs w:val="20"/>
                <w:color w:val="auto"/>
              </w:rPr>
            </w:pPr>
            <w:r>
              <w:rPr>
                <w:rFonts w:ascii="Arial" w:cs="Arial" w:eastAsia="Arial" w:hAnsi="Arial"/>
                <w:sz w:val="18"/>
                <w:szCs w:val="18"/>
                <w:b w:val="1"/>
                <w:bCs w:val="1"/>
                <w:color w:val="auto"/>
              </w:rPr>
              <w:t>Healthcare</w:t>
            </w: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Aesynt Incorporated</w:t>
            </w:r>
            <w:r>
              <w:rPr>
                <w:rFonts w:ascii="Arial" w:cs="Arial" w:eastAsia="Arial" w:hAnsi="Arial"/>
                <w:sz w:val="15"/>
                <w:szCs w:val="15"/>
                <w:color w:val="auto"/>
              </w:rPr>
              <w:t>(3)(5)</w:t>
            </w: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First-lien loan ($33,250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par, due 5/2019)</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5/8/2014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32,598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33,918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Helix Health, Ltd. </w:t>
            </w:r>
            <w:r>
              <w:rPr>
                <w:rFonts w:ascii="Arial" w:cs="Arial" w:eastAsia="Arial" w:hAnsi="Arial"/>
                <w:sz w:val="15"/>
                <w:szCs w:val="15"/>
                <w:color w:val="auto"/>
              </w:rPr>
              <w:t>(3)(4)</w:t>
            </w: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First-lien loan (EUR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300"/>
              <w:spacing w:after="0" w:line="201" w:lineRule="exact"/>
              <w:rPr>
                <w:sz w:val="20"/>
                <w:szCs w:val="20"/>
                <w:color w:val="auto"/>
              </w:rPr>
            </w:pPr>
            <w:r>
              <w:rPr>
                <w:rFonts w:ascii="Arial" w:cs="Arial" w:eastAsia="Arial" w:hAnsi="Arial"/>
                <w:sz w:val="18"/>
                <w:szCs w:val="18"/>
                <w:color w:val="auto"/>
              </w:rPr>
              <w:t>40,572</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89"/>
              </w:rPr>
              <w:t>35,912 par, due 9/2019)</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11.50%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9/30/2014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42,402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(EUR 37,349)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72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revolving</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loan</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(EUR 300 par,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435</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30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due 9/2019)</w:t>
            </w: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11.50%</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9/30/2014</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(EUR 400)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MatrixCare, Inc. </w:t>
            </w:r>
            <w:r>
              <w:rPr>
                <w:rFonts w:ascii="Arial" w:cs="Arial" w:eastAsia="Arial" w:hAnsi="Arial"/>
                <w:sz w:val="15"/>
                <w:szCs w:val="15"/>
                <w:color w:val="auto"/>
              </w:rPr>
              <w:t>(3)(5)</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($45,000</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12/2021)</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6.25%</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12/17/2015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44,184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44,100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3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xml:space="preserve">MedeAnalytics, Inc. </w:t>
            </w:r>
            <w:r>
              <w:rPr>
                <w:rFonts w:ascii="Arial" w:cs="Arial" w:eastAsia="Arial" w:hAnsi="Arial"/>
                <w:sz w:val="15"/>
                <w:szCs w:val="15"/>
                <w:color w:val="auto"/>
              </w:rPr>
              <w:t>(3)(5)</w:t>
            </w:r>
          </w:p>
        </w:tc>
        <w:tc>
          <w:tcPr>
            <w:tcW w:w="174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9.00%</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w w:val="93"/>
              </w:rPr>
              <w:t>First-lien loan ($45,411</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(incl. 2.50%</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par, due 9/2020)</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9/30/2015</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44,022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43,708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720" w:type="dxa"/>
            <w:vAlign w:val="bottom"/>
            <w:gridSpan w:val="2"/>
          </w:tcPr>
          <w:p>
            <w:pPr>
              <w:spacing w:after="0" w:line="201" w:lineRule="exact"/>
              <w:rPr>
                <w:sz w:val="20"/>
                <w:szCs w:val="20"/>
                <w:color w:val="auto"/>
              </w:rPr>
            </w:pPr>
            <w:r>
              <w:rPr>
                <w:rFonts w:ascii="Arial" w:cs="Arial" w:eastAsia="Arial" w:hAnsi="Arial"/>
                <w:sz w:val="18"/>
                <w:szCs w:val="18"/>
                <w:color w:val="auto"/>
              </w:rPr>
              <w:t xml:space="preserve">Mediware Information Systems, Inc. </w:t>
            </w:r>
            <w:r>
              <w:rPr>
                <w:rFonts w:ascii="Arial" w:cs="Arial" w:eastAsia="Arial" w:hAnsi="Arial"/>
                <w:sz w:val="15"/>
                <w:szCs w:val="15"/>
                <w:color w:val="auto"/>
              </w:rPr>
              <w:t>(3)(5)</w:t>
            </w: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3"/>
              </w:rPr>
              <w:t>First-lien loan ($67,574</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par, due 5/2018)</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7.00%</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11/9/2012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66,725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68,250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60" w:type="dxa"/>
            <w:vAlign w:val="bottom"/>
            <w:gridSpan w:val="2"/>
          </w:tcPr>
          <w:p>
            <w:pPr>
              <w:jc w:val="right"/>
              <w:ind w:right="693"/>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Company</w:t>
      </w:r>
      <w:r>
        <w:rPr>
          <w:rFonts w:ascii="Arial" w:cs="Arial" w:eastAsia="Arial" w:hAnsi="Arial"/>
          <w:sz w:val="12"/>
          <w:szCs w:val="12"/>
          <w:b w:val="1"/>
          <w:bCs w:val="1"/>
          <w:u w:val="single" w:color="auto"/>
          <w:color w:val="auto"/>
        </w:rPr>
        <w:t>(1</w:t>
      </w:r>
      <w:r>
        <w:rPr>
          <w:rFonts w:ascii="Arial" w:cs="Arial" w:eastAsia="Arial" w:hAnsi="Arial"/>
          <w:sz w:val="12"/>
          <w:szCs w:val="12"/>
          <w:b w:val="1"/>
          <w:b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SRS Software, LLC</w:t>
      </w:r>
      <w:r>
        <w:rPr>
          <w:rFonts w:ascii="Arial" w:cs="Arial" w:eastAsia="Arial" w:hAnsi="Arial"/>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ind w:right="480"/>
        <w:spacing w:after="0"/>
        <w:rPr>
          <w:sz w:val="20"/>
          <w:szCs w:val="20"/>
          <w:color w:val="auto"/>
        </w:rPr>
      </w:pPr>
      <w:r>
        <w:rPr>
          <w:rFonts w:ascii="Arial" w:cs="Arial" w:eastAsia="Arial" w:hAnsi="Arial"/>
          <w:sz w:val="18"/>
          <w:szCs w:val="18"/>
          <w:b w:val="1"/>
          <w:bCs w:val="1"/>
          <w:color w:val="auto"/>
        </w:rPr>
        <w:t>Hotel, gaming, and leisure</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12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Investment</w:t>
            </w:r>
          </w:p>
        </w:tc>
        <w:tc>
          <w:tcPr>
            <w:tcW w:w="12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24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Value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5"/>
        </w:trPr>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First-lien loan ($31,875</w:t>
            </w:r>
          </w:p>
        </w:tc>
        <w:tc>
          <w:tcPr>
            <w:tcW w:w="22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par, due 12/2017)</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12/28/2012</w:t>
            </w:r>
          </w:p>
        </w:tc>
        <w:tc>
          <w:tcPr>
            <w:tcW w:w="1140" w:type="dxa"/>
            <w:vAlign w:val="bottom"/>
            <w:gridSpan w:val="3"/>
          </w:tcPr>
          <w:p>
            <w:pPr>
              <w:jc w:val="right"/>
              <w:ind w:right="300"/>
              <w:spacing w:after="0"/>
              <w:rPr>
                <w:sz w:val="20"/>
                <w:szCs w:val="20"/>
                <w:color w:val="auto"/>
              </w:rPr>
            </w:pPr>
            <w:r>
              <w:rPr>
                <w:rFonts w:ascii="Arial" w:cs="Arial" w:eastAsia="Arial" w:hAnsi="Arial"/>
                <w:sz w:val="18"/>
                <w:szCs w:val="18"/>
                <w:color w:val="auto"/>
              </w:rPr>
              <w:t>$ 31,508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31,477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First-lien revolving loan</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gridSpan w:val="2"/>
          </w:tcPr>
          <w:p>
            <w:pPr>
              <w:spacing w:after="0"/>
              <w:rPr>
                <w:sz w:val="20"/>
                <w:szCs w:val="20"/>
                <w:color w:val="auto"/>
              </w:rPr>
            </w:pPr>
            <w:r>
              <w:rPr>
                <w:rFonts w:ascii="Arial" w:cs="Arial" w:eastAsia="Arial" w:hAnsi="Arial"/>
                <w:sz w:val="18"/>
                <w:szCs w:val="18"/>
                <w:color w:val="auto"/>
              </w:rPr>
              <w:t>($2,000 par,</w:t>
            </w: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00" w:type="dxa"/>
            <w:vAlign w:val="bottom"/>
            <w:gridSpan w:val="2"/>
          </w:tcPr>
          <w:p>
            <w:pPr>
              <w:spacing w:after="0"/>
              <w:rPr>
                <w:sz w:val="20"/>
                <w:szCs w:val="20"/>
                <w:color w:val="auto"/>
              </w:rPr>
            </w:pPr>
            <w:r>
              <w:rPr>
                <w:rFonts w:ascii="Arial" w:cs="Arial" w:eastAsia="Arial" w:hAnsi="Arial"/>
                <w:sz w:val="18"/>
                <w:szCs w:val="18"/>
                <w:color w:val="auto"/>
              </w:rPr>
              <w:t>due 12/2017)</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8.75%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12/28/2012</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263,655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264,398</w:t>
            </w:r>
          </w:p>
        </w:tc>
        <w:tc>
          <w:tcPr>
            <w:tcW w:w="320" w:type="dxa"/>
            <w:vAlign w:val="bottom"/>
            <w:vMerge w:val="continue"/>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-865505</wp:posOffset>
            </wp:positionV>
            <wp:extent cx="7246620" cy="2832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-145415</wp:posOffset>
            </wp:positionV>
            <wp:extent cx="72466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2860" w:space="720"/>
            <w:col w:w="78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CrunchTime Information Systems, Inc.</w:t>
            </w:r>
            <w:r>
              <w:rPr>
                <w:rFonts w:ascii="Arial" w:cs="Arial" w:eastAsia="Arial" w:hAnsi="Arial"/>
                <w:sz w:val="15"/>
                <w:szCs w:val="15"/>
                <w:color w:val="auto"/>
              </w:rPr>
              <w:t>(3)</w:t>
            </w: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9.00%</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First-lien loan ($25,452</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(incl. 2.50%</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 due 4/2020)</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4/16/2015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24,873</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24,200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(3)(7)</w:t>
            </w:r>
          </w:p>
        </w:tc>
        <w:tc>
          <w:tcPr>
            <w:tcW w:w="2160" w:type="dxa"/>
            <w:vAlign w:val="bottom"/>
          </w:tcPr>
          <w:p>
            <w:pPr>
              <w:spacing w:after="0"/>
              <w:rPr>
                <w:sz w:val="17"/>
                <w:szCs w:val="17"/>
                <w:color w:val="auto"/>
              </w:rPr>
            </w:pPr>
          </w:p>
        </w:tc>
        <w:tc>
          <w:tcPr>
            <w:tcW w:w="12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10.10%</w:t>
            </w: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First-lien loan ($20,260</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(incl. 5.00%</w:t>
            </w: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par, due 9/2019)</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9/29/2015</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20,260</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19,500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10.10%</w:t>
            </w: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First-lien revolver loan</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(incl. 5.00%</w:t>
            </w: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($7,448 par, due 9/2019)</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PIK)</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9/29/2015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7,448</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Soho House</w:t>
            </w:r>
            <w:r>
              <w:rPr>
                <w:rFonts w:ascii="Arial" w:cs="Arial" w:eastAsia="Arial" w:hAnsi="Arial"/>
                <w:sz w:val="15"/>
                <w:szCs w:val="15"/>
                <w:color w:val="auto"/>
              </w:rPr>
              <w:t>(4)</w:t>
            </w:r>
          </w:p>
        </w:tc>
        <w:tc>
          <w:tcPr>
            <w:tcW w:w="2160" w:type="dxa"/>
            <w:vAlign w:val="bottom"/>
          </w:tcPr>
          <w:p>
            <w:pPr>
              <w:ind w:left="260"/>
              <w:spacing w:after="0" w:line="201" w:lineRule="exact"/>
              <w:rPr>
                <w:sz w:val="20"/>
                <w:szCs w:val="20"/>
                <w:color w:val="auto"/>
              </w:rPr>
            </w:pPr>
            <w:r>
              <w:rPr>
                <w:rFonts w:ascii="Arial" w:cs="Arial" w:eastAsia="Arial" w:hAnsi="Arial"/>
                <w:sz w:val="18"/>
                <w:szCs w:val="18"/>
                <w:color w:val="auto"/>
                <w:w w:val="99"/>
              </w:rPr>
              <w:t>Second-lien bond (GBP</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30,781</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2160" w:type="dxa"/>
            <w:vAlign w:val="bottom"/>
          </w:tcPr>
          <w:p>
            <w:pPr>
              <w:ind w:left="260"/>
              <w:spacing w:after="0" w:line="202" w:lineRule="exact"/>
              <w:rPr>
                <w:sz w:val="20"/>
                <w:szCs w:val="20"/>
                <w:color w:val="auto"/>
              </w:rPr>
            </w:pPr>
            <w:r>
              <w:rPr>
                <w:rFonts w:ascii="Arial" w:cs="Arial" w:eastAsia="Arial" w:hAnsi="Arial"/>
                <w:sz w:val="18"/>
                <w:szCs w:val="18"/>
                <w:color w:val="auto"/>
              </w:rPr>
              <w:t>20,375 par,</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20" w:type="dxa"/>
            <w:vAlign w:val="bottom"/>
          </w:tcPr>
          <w:p>
            <w:pPr>
              <w:spacing w:after="0"/>
              <w:rPr>
                <w:sz w:val="21"/>
                <w:szCs w:val="21"/>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due 10/2018)</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9.13%</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9/20/2013</w:t>
            </w:r>
          </w:p>
        </w:tc>
        <w:tc>
          <w:tcPr>
            <w:tcW w:w="700" w:type="dxa"/>
            <w:vAlign w:val="bottom"/>
          </w:tcPr>
          <w:p>
            <w:pPr>
              <w:jc w:val="right"/>
              <w:spacing w:after="0"/>
              <w:rPr>
                <w:sz w:val="20"/>
                <w:szCs w:val="20"/>
                <w:color w:val="auto"/>
              </w:rPr>
            </w:pPr>
            <w:r>
              <w:rPr>
                <w:rFonts w:ascii="Arial" w:cs="Arial" w:eastAsia="Arial" w:hAnsi="Arial"/>
                <w:sz w:val="18"/>
                <w:szCs w:val="18"/>
                <w:color w:val="auto"/>
              </w:rPr>
              <w:t>33,055</w:t>
            </w:r>
          </w:p>
        </w:tc>
        <w:tc>
          <w:tcPr>
            <w:tcW w:w="30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(GBP 20,884)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85,636</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81,650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b w:val="1"/>
                <w:bCs w:val="1"/>
                <w:color w:val="auto"/>
                <w:w w:val="97"/>
              </w:rPr>
              <w:t>Human Resource Support Services</w:t>
            </w: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Saba Software, Inc.</w:t>
            </w:r>
            <w:r>
              <w:rPr>
                <w:rFonts w:ascii="Arial" w:cs="Arial" w:eastAsia="Arial" w:hAnsi="Arial"/>
                <w:sz w:val="15"/>
                <w:szCs w:val="15"/>
                <w:color w:val="auto"/>
              </w:rPr>
              <w:t>(3)(5)</w:t>
            </w:r>
          </w:p>
        </w:tc>
        <w:tc>
          <w:tcPr>
            <w:tcW w:w="21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First-lien loan ($54,725</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 due 3/2021)</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3/30/2015</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54,141</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53,767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3320" w:type="dxa"/>
            <w:vAlign w:val="bottom"/>
          </w:tcPr>
          <w:p>
            <w:pPr>
              <w:spacing w:after="0" w:line="201" w:lineRule="exact"/>
              <w:rPr>
                <w:sz w:val="20"/>
                <w:szCs w:val="20"/>
                <w:color w:val="auto"/>
              </w:rPr>
            </w:pPr>
            <w:r>
              <w:rPr>
                <w:rFonts w:ascii="Arial" w:cs="Arial" w:eastAsia="Arial" w:hAnsi="Arial"/>
                <w:sz w:val="18"/>
                <w:szCs w:val="18"/>
                <w:color w:val="auto"/>
              </w:rPr>
              <w:t>Skillsoft</w:t>
            </w:r>
            <w:r>
              <w:rPr>
                <w:rFonts w:ascii="Arial" w:cs="Arial" w:eastAsia="Arial" w:hAnsi="Arial"/>
                <w:sz w:val="15"/>
                <w:szCs w:val="15"/>
                <w:color w:val="auto"/>
              </w:rPr>
              <w:t>(3)</w:t>
            </w:r>
          </w:p>
        </w:tc>
        <w:tc>
          <w:tcPr>
            <w:tcW w:w="2160" w:type="dxa"/>
            <w:vAlign w:val="bottom"/>
          </w:tcPr>
          <w:p>
            <w:pPr>
              <w:ind w:left="260"/>
              <w:spacing w:after="0" w:line="201" w:lineRule="exact"/>
              <w:rPr>
                <w:sz w:val="20"/>
                <w:szCs w:val="20"/>
                <w:color w:val="auto"/>
              </w:rPr>
            </w:pPr>
            <w:r>
              <w:rPr>
                <w:rFonts w:ascii="Arial" w:cs="Arial" w:eastAsia="Arial" w:hAnsi="Arial"/>
                <w:sz w:val="18"/>
                <w:szCs w:val="18"/>
                <w:color w:val="auto"/>
              </w:rPr>
              <w:t>First-lien loan ($500</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rPr>
              <w:t>par, due 4/2021)</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5.75%</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11/5/2015</w:t>
            </w:r>
          </w:p>
        </w:tc>
        <w:tc>
          <w:tcPr>
            <w:tcW w:w="70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54,152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b w:val="1"/>
                <w:bCs w:val="1"/>
                <w:color w:val="auto"/>
              </w:rPr>
              <w:t>Insurance</w:t>
            </w: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Insurity, Inc.</w:t>
            </w:r>
            <w:r>
              <w:rPr>
                <w:rFonts w:ascii="Arial" w:cs="Arial" w:eastAsia="Arial" w:hAnsi="Arial"/>
                <w:sz w:val="15"/>
                <w:szCs w:val="15"/>
                <w:color w:val="auto"/>
              </w:rPr>
              <w:t>(3)(5)</w:t>
            </w:r>
          </w:p>
        </w:tc>
        <w:tc>
          <w:tcPr>
            <w:tcW w:w="21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First-lien loan ($65,452</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 due 10/2020)</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10/31/2014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64,782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63,980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b w:val="1"/>
                <w:bCs w:val="1"/>
                <w:color w:val="auto"/>
              </w:rPr>
              <w:t>Internet Services</w:t>
            </w:r>
          </w:p>
        </w:tc>
        <w:tc>
          <w:tcPr>
            <w:tcW w:w="2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Highwinds Capital, Inc.</w:t>
            </w:r>
            <w:r>
              <w:rPr>
                <w:rFonts w:ascii="Arial" w:cs="Arial" w:eastAsia="Arial" w:hAnsi="Arial"/>
                <w:sz w:val="15"/>
                <w:szCs w:val="15"/>
                <w:color w:val="auto"/>
              </w:rPr>
              <w:t>(3)</w:t>
            </w:r>
          </w:p>
        </w:tc>
        <w:tc>
          <w:tcPr>
            <w:tcW w:w="21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First-lien loan ($50,987</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par, due 7/2018)</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9.00%</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3/7/2014</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50,474</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50,095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2"/>
        </w:trPr>
        <w:tc>
          <w:tcPr>
            <w:tcW w:w="3320" w:type="dxa"/>
            <w:vAlign w:val="bottom"/>
          </w:tcPr>
          <w:p>
            <w:pPr>
              <w:spacing w:after="0"/>
              <w:rPr>
                <w:sz w:val="17"/>
                <w:szCs w:val="17"/>
                <w:color w:val="auto"/>
              </w:rPr>
            </w:pPr>
          </w:p>
        </w:tc>
        <w:tc>
          <w:tcPr>
            <w:tcW w:w="2160" w:type="dxa"/>
            <w:vAlign w:val="bottom"/>
          </w:tcPr>
          <w:p>
            <w:pPr>
              <w:ind w:left="260"/>
              <w:spacing w:after="0" w:line="201" w:lineRule="exact"/>
              <w:rPr>
                <w:sz w:val="20"/>
                <w:szCs w:val="20"/>
                <w:color w:val="auto"/>
              </w:rPr>
            </w:pPr>
            <w:r>
              <w:rPr>
                <w:rFonts w:ascii="Arial" w:cs="Arial" w:eastAsia="Arial" w:hAnsi="Arial"/>
                <w:sz w:val="18"/>
                <w:szCs w:val="18"/>
                <w:color w:val="auto"/>
              </w:rPr>
              <w:t>First-lien revolving loan</w:t>
            </w:r>
          </w:p>
        </w:tc>
        <w:tc>
          <w:tcPr>
            <w:tcW w:w="1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160" w:type="dxa"/>
            <w:vAlign w:val="bottom"/>
          </w:tcPr>
          <w:p>
            <w:pPr>
              <w:ind w:left="260"/>
              <w:spacing w:after="0"/>
              <w:rPr>
                <w:sz w:val="20"/>
                <w:szCs w:val="20"/>
                <w:color w:val="auto"/>
              </w:rPr>
            </w:pPr>
            <w:r>
              <w:rPr>
                <w:rFonts w:ascii="Arial" w:cs="Arial" w:eastAsia="Arial" w:hAnsi="Arial"/>
                <w:sz w:val="18"/>
                <w:szCs w:val="18"/>
                <w:color w:val="auto"/>
                <w:w w:val="94"/>
              </w:rPr>
              <w:t>($2,800 par, due 7/2018)</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9.00%</w:t>
            </w:r>
          </w:p>
        </w:tc>
        <w:tc>
          <w:tcPr>
            <w:tcW w:w="1280" w:type="dxa"/>
            <w:vAlign w:val="bottom"/>
          </w:tcPr>
          <w:p>
            <w:pPr>
              <w:jc w:val="right"/>
              <w:ind w:right="190"/>
              <w:spacing w:after="0"/>
              <w:rPr>
                <w:sz w:val="20"/>
                <w:szCs w:val="20"/>
                <w:color w:val="auto"/>
              </w:rPr>
            </w:pPr>
            <w:r>
              <w:rPr>
                <w:rFonts w:ascii="Arial" w:cs="Arial" w:eastAsia="Arial" w:hAnsi="Arial"/>
                <w:sz w:val="18"/>
                <w:szCs w:val="18"/>
                <w:color w:val="auto"/>
              </w:rPr>
              <w:t>3/7/2014</w:t>
            </w:r>
          </w:p>
        </w:tc>
        <w:tc>
          <w:tcPr>
            <w:tcW w:w="700" w:type="dxa"/>
            <w:vAlign w:val="bottom"/>
          </w:tcPr>
          <w:p>
            <w:pPr>
              <w:jc w:val="right"/>
              <w:spacing w:after="0"/>
              <w:rPr>
                <w:sz w:val="20"/>
                <w:szCs w:val="20"/>
                <w:color w:val="auto"/>
              </w:rPr>
            </w:pPr>
            <w:r>
              <w:rPr>
                <w:rFonts w:ascii="Arial" w:cs="Arial" w:eastAsia="Arial" w:hAnsi="Arial"/>
                <w:sz w:val="18"/>
                <w:szCs w:val="18"/>
                <w:color w:val="auto"/>
              </w:rPr>
              <w:t>2,775</w:t>
            </w:r>
          </w:p>
        </w:tc>
        <w:tc>
          <w:tcPr>
            <w:tcW w:w="30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2,748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53,249</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52,843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3320" w:type="dxa"/>
            <w:vAlign w:val="bottom"/>
          </w:tcPr>
          <w:p>
            <w:pPr>
              <w:ind w:left="360"/>
              <w:spacing w:after="0"/>
              <w:rPr>
                <w:sz w:val="20"/>
                <w:szCs w:val="20"/>
                <w:color w:val="auto"/>
              </w:rPr>
            </w:pPr>
            <w:r>
              <w:rPr>
                <w:rFonts w:ascii="Arial" w:cs="Arial" w:eastAsia="Arial" w:hAnsi="Arial"/>
                <w:sz w:val="18"/>
                <w:szCs w:val="18"/>
                <w:b w:val="1"/>
                <w:bCs w:val="1"/>
                <w:color w:val="auto"/>
              </w:rPr>
              <w:t>Manufacturing</w:t>
            </w:r>
          </w:p>
        </w:tc>
        <w:tc>
          <w:tcPr>
            <w:tcW w:w="2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Jeeves Information Systems AB</w:t>
            </w:r>
            <w:r>
              <w:rPr>
                <w:rFonts w:ascii="Arial" w:cs="Arial" w:eastAsia="Arial" w:hAnsi="Arial"/>
                <w:sz w:val="15"/>
                <w:szCs w:val="15"/>
                <w:color w:val="auto"/>
              </w:rPr>
              <w:t>(3)(4)(5)</w:t>
            </w:r>
          </w:p>
        </w:tc>
        <w:tc>
          <w:tcPr>
            <w:tcW w:w="216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First-lien loan (SEK</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23,470</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CEEFF"/>
          </w:tcPr>
          <w:p>
            <w:pPr>
              <w:spacing w:after="0"/>
              <w:rPr>
                <w:sz w:val="17"/>
                <w:szCs w:val="17"/>
                <w:color w:val="auto"/>
              </w:rPr>
            </w:pPr>
          </w:p>
        </w:tc>
        <w:tc>
          <w:tcPr>
            <w:tcW w:w="21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192,573 par,</w:t>
            </w:r>
          </w:p>
        </w:tc>
        <w:tc>
          <w:tcPr>
            <w:tcW w:w="1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40" w:type="dxa"/>
            <w:vAlign w:val="bottom"/>
            <w:gridSpan w:val="2"/>
            <w:vMerge w:val="continue"/>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spacing w:after="0"/>
              <w:rPr>
                <w:sz w:val="21"/>
                <w:szCs w:val="21"/>
                <w:color w:val="auto"/>
              </w:rPr>
            </w:pPr>
          </w:p>
        </w:tc>
        <w:tc>
          <w:tcPr>
            <w:tcW w:w="21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due 3/2019)</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8.75%</w:t>
            </w:r>
          </w:p>
        </w:tc>
        <w:tc>
          <w:tcPr>
            <w:tcW w:w="12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6/5/2013</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29,289</w:t>
            </w: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(SEK 197,869)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5"/>
        </w:trPr>
        <w:tc>
          <w:tcPr>
            <w:tcW w:w="3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103</w:t>
            </w: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Initial</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6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Interest</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8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gridSpan w:val="2"/>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7"/>
                <w:szCs w:val="17"/>
                <w:b w:val="1"/>
                <w:bCs w:val="1"/>
                <w:color w:val="auto"/>
                <w:w w:val="70"/>
              </w:rPr>
              <w:t>Office</w:t>
            </w:r>
          </w:p>
        </w:tc>
        <w:tc>
          <w:tcPr>
            <w:tcW w:w="3240" w:type="dxa"/>
            <w:vAlign w:val="bottom"/>
            <w:tcBorders>
              <w:top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b w:val="1"/>
                <w:bCs w:val="1"/>
                <w:color w:val="auto"/>
              </w:rPr>
              <w:t>products</w:t>
            </w:r>
          </w:p>
        </w:tc>
        <w:tc>
          <w:tcPr>
            <w:tcW w:w="1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Ecommerce Industries, Inc.</w:t>
            </w:r>
            <w:r>
              <w:rPr>
                <w:rFonts w:ascii="Arial" w:cs="Arial" w:eastAsia="Arial" w:hAnsi="Arial"/>
                <w:sz w:val="15"/>
                <w:szCs w:val="15"/>
                <w:color w:val="auto"/>
              </w:rPr>
              <w:t>(3)(5)</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($36,811 par,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due 3/2019)</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7.25%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3/11/2014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$ 36,579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36,370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Key Energy Services</w:t>
            </w:r>
            <w:r>
              <w:rPr>
                <w:rFonts w:ascii="Arial" w:cs="Arial" w:eastAsia="Arial" w:hAnsi="Arial"/>
                <w:sz w:val="15"/>
                <w:szCs w:val="15"/>
                <w:color w:val="auto"/>
              </w:rPr>
              <w:t>(3)</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($13,504 par,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due 6/2020)</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10.25%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5/27/2015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13,043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10,533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(3)(7)</w:t>
            </w: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1440" w:type="dxa"/>
            <w:vAlign w:val="bottom"/>
            <w:gridSpan w:val="4"/>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13.00%</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($46,679 par,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(incl. 1.50%</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due 6/2018)</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PIK)</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6/4/2014</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46,081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36,682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59,124</w:t>
            </w:r>
          </w:p>
        </w:tc>
        <w:tc>
          <w:tcPr>
            <w:tcW w:w="1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47,215</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Pharmaceuticals</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Nektar Therapeutics</w:t>
            </w:r>
            <w:r>
              <w:rPr>
                <w:rFonts w:ascii="Arial" w:cs="Arial" w:eastAsia="Arial" w:hAnsi="Arial"/>
                <w:sz w:val="15"/>
                <w:szCs w:val="15"/>
                <w:color w:val="auto"/>
              </w:rPr>
              <w:t>(4)(5)(9)</w:t>
            </w:r>
          </w:p>
        </w:tc>
        <w:tc>
          <w:tcPr>
            <w:tcW w:w="1620" w:type="dxa"/>
            <w:vAlign w:val="bottom"/>
          </w:tcPr>
          <w:p>
            <w:pPr>
              <w:spacing w:after="0" w:line="201" w:lineRule="exact"/>
              <w:rPr>
                <w:sz w:val="20"/>
                <w:szCs w:val="20"/>
                <w:color w:val="auto"/>
              </w:rPr>
            </w:pPr>
            <w:r>
              <w:rPr>
                <w:rFonts w:ascii="Arial" w:cs="Arial" w:eastAsia="Arial" w:hAnsi="Arial"/>
                <w:sz w:val="18"/>
                <w:szCs w:val="18"/>
                <w:color w:val="auto"/>
                <w:w w:val="87"/>
              </w:rPr>
              <w:t>Secured note ($74,950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par, due 10/2020)</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7.75%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10/5/2015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74,005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73,076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Real Estate</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JL Secured Promissory Note</w:t>
            </w:r>
            <w:r>
              <w:rPr>
                <w:rFonts w:ascii="Arial" w:cs="Arial" w:eastAsia="Arial" w:hAnsi="Arial"/>
                <w:sz w:val="15"/>
                <w:szCs w:val="15"/>
                <w:color w:val="auto"/>
              </w:rPr>
              <w:t>(4)</w:t>
            </w:r>
          </w:p>
        </w:tc>
        <w:tc>
          <w:tcPr>
            <w:tcW w:w="1620" w:type="dxa"/>
            <w:vAlign w:val="bottom"/>
          </w:tcPr>
          <w:p>
            <w:pPr>
              <w:spacing w:after="0" w:line="201" w:lineRule="exact"/>
              <w:rPr>
                <w:sz w:val="20"/>
                <w:szCs w:val="20"/>
                <w:color w:val="auto"/>
              </w:rPr>
            </w:pPr>
            <w:r>
              <w:rPr>
                <w:rFonts w:ascii="Arial" w:cs="Arial" w:eastAsia="Arial" w:hAnsi="Arial"/>
                <w:sz w:val="18"/>
                <w:szCs w:val="18"/>
                <w:color w:val="auto"/>
                <w:w w:val="87"/>
              </w:rPr>
              <w:t>Secured note ($10,224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par, due 9/2017)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7.00% PIK</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9/29/2015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10,224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10,224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Retail and consumer products</w:t>
            </w: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American Achievement Corporation</w:t>
            </w:r>
            <w:r>
              <w:rPr>
                <w:rFonts w:ascii="Arial" w:cs="Arial" w:eastAsia="Arial" w:hAnsi="Arial"/>
                <w:sz w:val="15"/>
                <w:szCs w:val="15"/>
                <w:color w:val="auto"/>
              </w:rPr>
              <w:t>(3)(5)</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($25,000 par, due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9/2020)</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9/30/2015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24,664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24,563</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Quiksilver - Boardriders SA</w:t>
            </w: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Bond (EUR 7,599 par,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7,801</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20" w:type="dxa"/>
            <w:vAlign w:val="bottom"/>
            <w:shd w:val="clear" w:color="auto" w:fill="CCEEFF"/>
          </w:tcPr>
          <w:p>
            <w:pPr>
              <w:spacing w:after="0"/>
              <w:rPr>
                <w:sz w:val="21"/>
                <w:szCs w:val="21"/>
                <w:color w:val="auto"/>
              </w:rPr>
            </w:pPr>
          </w:p>
        </w:tc>
        <w:tc>
          <w:tcPr>
            <w:tcW w:w="32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due 12/2017)</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8.88%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5/26/2015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8,062</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(EUR 7,181)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Sears</w:t>
            </w:r>
            <w:r>
              <w:rPr>
                <w:rFonts w:ascii="Arial" w:cs="Arial" w:eastAsia="Arial" w:hAnsi="Arial"/>
                <w:sz w:val="15"/>
                <w:szCs w:val="15"/>
                <w:color w:val="auto"/>
              </w:rPr>
              <w:t>(4)(6)</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First-lien ABL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w w:val="98"/>
              </w:rPr>
              <w:t>revolving loan ($303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par, due 4/2016)</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2.84%</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4/15/2015</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257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Sports Authority</w:t>
            </w:r>
            <w:r>
              <w:rPr>
                <w:rFonts w:ascii="Arial" w:cs="Arial" w:eastAsia="Arial" w:hAnsi="Arial"/>
                <w:sz w:val="15"/>
                <w:szCs w:val="15"/>
                <w:color w:val="auto"/>
              </w:rPr>
              <w:t>(3)(5)</w:t>
            </w: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($45,000 par,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due 6/2017)</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7.40%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11/3/2015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44,249</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43,762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3960" w:type="dxa"/>
            <w:vAlign w:val="bottom"/>
            <w:gridSpan w:val="2"/>
          </w:tcPr>
          <w:p>
            <w:pPr>
              <w:spacing w:after="0" w:line="201" w:lineRule="exact"/>
              <w:rPr>
                <w:sz w:val="20"/>
                <w:szCs w:val="20"/>
                <w:color w:val="auto"/>
              </w:rPr>
            </w:pPr>
            <w:r>
              <w:rPr>
                <w:rFonts w:ascii="Arial" w:cs="Arial" w:eastAsia="Arial" w:hAnsi="Arial"/>
                <w:sz w:val="18"/>
                <w:szCs w:val="18"/>
                <w:color w:val="auto"/>
              </w:rPr>
              <w:t>Toys ‘R’ Us-Delaware, Inc.</w:t>
            </w:r>
            <w:r>
              <w:rPr>
                <w:rFonts w:ascii="Arial" w:cs="Arial" w:eastAsia="Arial" w:hAnsi="Arial"/>
                <w:sz w:val="15"/>
                <w:szCs w:val="15"/>
                <w:color w:val="auto"/>
              </w:rPr>
              <w:t>(3)</w:t>
            </w:r>
          </w:p>
        </w:tc>
        <w:tc>
          <w:tcPr>
            <w:tcW w:w="1620" w:type="dxa"/>
            <w:vAlign w:val="bottom"/>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($51,000 par,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due 10/2019)</w:t>
            </w:r>
          </w:p>
        </w:tc>
        <w:tc>
          <w:tcPr>
            <w:tcW w:w="1440" w:type="dxa"/>
            <w:vAlign w:val="bottom"/>
            <w:gridSpan w:val="4"/>
          </w:tcPr>
          <w:p>
            <w:pPr>
              <w:jc w:val="right"/>
              <w:ind w:right="280"/>
              <w:spacing w:after="0"/>
              <w:rPr>
                <w:sz w:val="20"/>
                <w:szCs w:val="20"/>
                <w:color w:val="auto"/>
              </w:rPr>
            </w:pPr>
            <w:r>
              <w:rPr>
                <w:rFonts w:ascii="Arial" w:cs="Arial" w:eastAsia="Arial" w:hAnsi="Arial"/>
                <w:sz w:val="18"/>
                <w:szCs w:val="18"/>
                <w:color w:val="auto"/>
              </w:rPr>
              <w:t>8.25%</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10/10/2014</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50,313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49,470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127,404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125,853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3"/>
        </w:trPr>
        <w:tc>
          <w:tcPr>
            <w:tcW w:w="3960" w:type="dxa"/>
            <w:vAlign w:val="bottom"/>
            <w:gridSpan w:val="2"/>
          </w:tcPr>
          <w:p>
            <w:pPr>
              <w:ind w:left="360"/>
              <w:spacing w:after="0"/>
              <w:rPr>
                <w:sz w:val="20"/>
                <w:szCs w:val="20"/>
                <w:color w:val="auto"/>
              </w:rPr>
            </w:pPr>
            <w:r>
              <w:rPr>
                <w:rFonts w:ascii="Arial" w:cs="Arial" w:eastAsia="Arial" w:hAnsi="Arial"/>
                <w:sz w:val="18"/>
                <w:szCs w:val="18"/>
                <w:b w:val="1"/>
                <w:bCs w:val="1"/>
                <w:color w:val="auto"/>
              </w:rPr>
              <w:t>Transportation</w:t>
            </w: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Carrix, Inc.</w:t>
            </w:r>
            <w:r>
              <w:rPr>
                <w:rFonts w:ascii="Arial" w:cs="Arial" w:eastAsia="Arial" w:hAnsi="Arial"/>
                <w:sz w:val="15"/>
                <w:szCs w:val="15"/>
                <w:color w:val="auto"/>
              </w:rPr>
              <w:t>(3)</w:t>
            </w:r>
          </w:p>
        </w:tc>
        <w:tc>
          <w:tcPr>
            <w:tcW w:w="1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First-lien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($13,441 par,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0" w:type="dxa"/>
            <w:vAlign w:val="bottom"/>
            <w:shd w:val="clear" w:color="auto" w:fill="CCEEFF"/>
          </w:tcPr>
          <w:p>
            <w:pPr>
              <w:spacing w:after="0"/>
              <w:rPr>
                <w:sz w:val="20"/>
                <w:szCs w:val="20"/>
                <w:color w:val="auto"/>
              </w:rPr>
            </w:pPr>
          </w:p>
        </w:tc>
        <w:tc>
          <w:tcPr>
            <w:tcW w:w="324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due 1/2019)</w:t>
            </w:r>
          </w:p>
        </w:tc>
        <w:tc>
          <w:tcPr>
            <w:tcW w:w="14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3/17/2015</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12,631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gridSpan w:val="3"/>
          </w:tcPr>
          <w:p>
            <w:pPr>
              <w:jc w:val="right"/>
              <w:ind w:right="814"/>
              <w:spacing w:after="0"/>
              <w:rPr>
                <w:sz w:val="20"/>
                <w:szCs w:val="20"/>
                <w:color w:val="auto"/>
              </w:rPr>
            </w:pPr>
            <w:r>
              <w:rPr>
                <w:rFonts w:ascii="Arial" w:cs="Arial" w:eastAsia="Arial" w:hAnsi="Arial"/>
                <w:sz w:val="18"/>
                <w:szCs w:val="18"/>
                <w:color w:val="auto"/>
                <w:w w:val="79"/>
              </w:rPr>
              <w:t>104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Company</w:t>
      </w:r>
      <w:r>
        <w:rPr>
          <w:rFonts w:ascii="Arial" w:cs="Arial" w:eastAsia="Arial" w:hAnsi="Arial"/>
          <w:sz w:val="12"/>
          <w:szCs w:val="12"/>
          <w:b w:val="1"/>
          <w:bCs w:val="1"/>
          <w:u w:val="single" w:color="auto"/>
          <w:color w:val="auto"/>
        </w:rPr>
        <w:t>(1</w:t>
      </w:r>
      <w:r>
        <w:rPr>
          <w:rFonts w:ascii="Arial" w:cs="Arial" w:eastAsia="Arial" w:hAnsi="Arial"/>
          <w:sz w:val="12"/>
          <w:szCs w:val="12"/>
          <w:b w:val="1"/>
          <w:bCs w:val="1"/>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Kewill, Ltd.</w:t>
      </w: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Interest</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8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of Net Assets</w:t>
            </w:r>
          </w:p>
        </w:tc>
        <w:tc>
          <w:tcPr>
            <w:tcW w:w="0" w:type="dxa"/>
            <w:vAlign w:val="bottom"/>
          </w:tcPr>
          <w:p>
            <w:pPr>
              <w:spacing w:after="0"/>
              <w:rPr>
                <w:sz w:val="1"/>
                <w:szCs w:val="1"/>
                <w:color w:val="auto"/>
              </w:rPr>
            </w:pPr>
          </w:p>
        </w:tc>
      </w:tr>
      <w:tr>
        <w:trPr>
          <w:trHeight w:val="195"/>
        </w:trPr>
        <w:tc>
          <w:tcPr>
            <w:tcW w:w="16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Second-lien loan</w:t>
            </w: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gridSpan w:val="2"/>
          </w:tcPr>
          <w:p>
            <w:pPr>
              <w:spacing w:after="0"/>
              <w:rPr>
                <w:sz w:val="20"/>
                <w:szCs w:val="20"/>
                <w:color w:val="auto"/>
              </w:rPr>
            </w:pPr>
            <w:r>
              <w:rPr>
                <w:rFonts w:ascii="Arial" w:cs="Arial" w:eastAsia="Arial" w:hAnsi="Arial"/>
                <w:sz w:val="18"/>
                <w:szCs w:val="18"/>
                <w:color w:val="auto"/>
              </w:rPr>
              <w:t>($62,500 par,</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gridSpan w:val="2"/>
          </w:tcPr>
          <w:p>
            <w:pPr>
              <w:spacing w:after="0"/>
              <w:rPr>
                <w:sz w:val="20"/>
                <w:szCs w:val="20"/>
                <w:color w:val="auto"/>
              </w:rPr>
            </w:pPr>
            <w:r>
              <w:rPr>
                <w:rFonts w:ascii="Arial" w:cs="Arial" w:eastAsia="Arial" w:hAnsi="Arial"/>
                <w:sz w:val="18"/>
                <w:szCs w:val="18"/>
                <w:color w:val="auto"/>
              </w:rPr>
              <w:t>due 10/2019)</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9.50%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10/2/2013</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rPr>
              <w:t>$   61,614</w:t>
            </w: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rPr>
              <w:t>$   59,531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-2762885</wp:posOffset>
            </wp:positionH>
            <wp:positionV relativeFrom="paragraph">
              <wp:posOffset>-419735</wp:posOffset>
            </wp:positionV>
            <wp:extent cx="7246620" cy="420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640" w:space="720"/>
            <w:col w:w="7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74,245</w:t>
            </w:r>
          </w:p>
        </w:tc>
        <w:tc>
          <w:tcPr>
            <w:tcW w:w="280" w:type="dxa"/>
            <w:vAlign w:val="bottom"/>
          </w:tcPr>
          <w:p>
            <w:pPr>
              <w:spacing w:after="0"/>
              <w:rPr>
                <w:sz w:val="17"/>
                <w:szCs w:val="17"/>
                <w:color w:val="auto"/>
              </w:rPr>
            </w:pPr>
          </w:p>
        </w:tc>
        <w:tc>
          <w:tcPr>
            <w:tcW w:w="112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72,031</w:t>
            </w:r>
          </w:p>
        </w:tc>
        <w:tc>
          <w:tcPr>
            <w:tcW w:w="100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 Investments</w:t>
            </w: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1,488,879</w:t>
            </w: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1,459,372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b w:val="1"/>
                <w:bCs w:val="1"/>
                <w:color w:val="auto"/>
              </w:rPr>
              <w:t>Equity and Other Investments</w:t>
            </w:r>
          </w:p>
        </w:tc>
        <w:tc>
          <w:tcPr>
            <w:tcW w:w="2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Business services</w:t>
            </w: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Network Merchants, Inc.</w:t>
            </w: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Non-Voting Preferred</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Units (774,099 units)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9/12/2013</w:t>
            </w:r>
          </w:p>
        </w:tc>
        <w:tc>
          <w:tcPr>
            <w:tcW w:w="820" w:type="dxa"/>
            <w:vAlign w:val="bottom"/>
          </w:tcPr>
          <w:p>
            <w:pPr>
              <w:jc w:val="right"/>
              <w:spacing w:after="0"/>
              <w:rPr>
                <w:sz w:val="20"/>
                <w:szCs w:val="20"/>
                <w:color w:val="auto"/>
              </w:rPr>
            </w:pPr>
            <w:r>
              <w:rPr>
                <w:rFonts w:ascii="Arial" w:cs="Arial" w:eastAsia="Arial" w:hAnsi="Arial"/>
                <w:sz w:val="18"/>
                <w:szCs w:val="18"/>
                <w:color w:val="auto"/>
              </w:rPr>
              <w:t>780</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1,119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Financial Services</w:t>
            </w: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AvidXchange, Inc.</w:t>
            </w: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Series E Preferred</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Equity (214,132</w:t>
            </w: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shares)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8/7/2015</w:t>
            </w:r>
          </w:p>
        </w:tc>
        <w:tc>
          <w:tcPr>
            <w:tcW w:w="820" w:type="dxa"/>
            <w:vAlign w:val="bottom"/>
          </w:tcPr>
          <w:p>
            <w:pPr>
              <w:jc w:val="right"/>
              <w:spacing w:after="0"/>
              <w:rPr>
                <w:sz w:val="20"/>
                <w:szCs w:val="20"/>
                <w:color w:val="auto"/>
              </w:rPr>
            </w:pPr>
            <w:r>
              <w:rPr>
                <w:rFonts w:ascii="Arial" w:cs="Arial" w:eastAsia="Arial" w:hAnsi="Arial"/>
                <w:sz w:val="18"/>
                <w:szCs w:val="18"/>
                <w:color w:val="auto"/>
              </w:rPr>
              <w:t>3,846</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3,846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TICC Capital Corp.</w:t>
            </w:r>
            <w:r>
              <w:rPr>
                <w:rFonts w:ascii="Arial" w:cs="Arial" w:eastAsia="Arial" w:hAnsi="Arial"/>
                <w:sz w:val="15"/>
                <w:szCs w:val="15"/>
                <w:color w:val="auto"/>
              </w:rPr>
              <w:t>(4)</w:t>
            </w:r>
          </w:p>
        </w:tc>
        <w:tc>
          <w:tcPr>
            <w:tcW w:w="29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Common Shares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(1,633,660 shares)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280" w:type="dxa"/>
            <w:vAlign w:val="bottom"/>
            <w:tcBorders>
              <w:left w:val="single" w:sz="8" w:color="CCEEFF"/>
            </w:tcBorders>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9,933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14,789</w:t>
            </w:r>
          </w:p>
        </w:tc>
        <w:tc>
          <w:tcPr>
            <w:tcW w:w="28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13,779</w:t>
            </w:r>
          </w:p>
        </w:tc>
        <w:tc>
          <w:tcPr>
            <w:tcW w:w="300" w:type="dxa"/>
            <w:vAlign w:val="bottom"/>
            <w:vMerge w:val="continue"/>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Healthcare and pharmaceuticals</w:t>
            </w: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Global Healthcare Exchange, LLC</w:t>
            </w: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Common Shares Class</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A (598 shares)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3/11/2014</w:t>
            </w:r>
          </w:p>
        </w:tc>
        <w:tc>
          <w:tcPr>
            <w:tcW w:w="820" w:type="dxa"/>
            <w:vAlign w:val="bottom"/>
          </w:tcPr>
          <w:p>
            <w:pPr>
              <w:jc w:val="right"/>
              <w:spacing w:after="0"/>
              <w:rPr>
                <w:sz w:val="20"/>
                <w:szCs w:val="20"/>
                <w:color w:val="auto"/>
              </w:rPr>
            </w:pPr>
            <w:r>
              <w:rPr>
                <w:rFonts w:ascii="Arial" w:cs="Arial" w:eastAsia="Arial" w:hAnsi="Arial"/>
                <w:sz w:val="18"/>
                <w:szCs w:val="18"/>
                <w:color w:val="auto"/>
              </w:rPr>
              <w:t>467</w:t>
            </w:r>
          </w:p>
        </w:tc>
        <w:tc>
          <w:tcPr>
            <w:tcW w:w="1400" w:type="dxa"/>
            <w:vAlign w:val="bottom"/>
            <w:gridSpan w:val="3"/>
          </w:tcPr>
          <w:p>
            <w:pPr>
              <w:jc w:val="right"/>
              <w:ind w:right="300"/>
              <w:spacing w:after="0"/>
              <w:rPr>
                <w:sz w:val="20"/>
                <w:szCs w:val="20"/>
                <w:color w:val="auto"/>
              </w:rPr>
            </w:pPr>
            <w:r>
              <w:rPr>
                <w:rFonts w:ascii="Arial" w:cs="Arial" w:eastAsia="Arial" w:hAnsi="Arial"/>
                <w:sz w:val="18"/>
                <w:szCs w:val="18"/>
                <w:color w:val="auto"/>
              </w:rPr>
              <w:t>729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rPr>
                <w:sz w:val="17"/>
                <w:szCs w:val="17"/>
                <w:color w:val="auto"/>
              </w:rPr>
            </w:pPr>
          </w:p>
        </w:tc>
        <w:tc>
          <w:tcPr>
            <w:tcW w:w="29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Common Shares Class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B (196 shares)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620" w:type="dxa"/>
            <w:vAlign w:val="bottom"/>
          </w:tcPr>
          <w:p>
            <w:pPr>
              <w:spacing w:after="0" w:line="201" w:lineRule="exact"/>
              <w:rPr>
                <w:sz w:val="20"/>
                <w:szCs w:val="20"/>
                <w:color w:val="auto"/>
              </w:rPr>
            </w:pPr>
            <w:r>
              <w:rPr>
                <w:rFonts w:ascii="Arial" w:cs="Arial" w:eastAsia="Arial" w:hAnsi="Arial"/>
                <w:sz w:val="18"/>
                <w:szCs w:val="18"/>
                <w:color w:val="auto"/>
              </w:rPr>
              <w:t>Helix Health, Ltd.</w:t>
            </w:r>
            <w:r>
              <w:rPr>
                <w:rFonts w:ascii="Arial" w:cs="Arial" w:eastAsia="Arial" w:hAnsi="Arial"/>
                <w:sz w:val="15"/>
                <w:szCs w:val="15"/>
                <w:color w:val="auto"/>
              </w:rPr>
              <w:t>(4)</w:t>
            </w: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Warrants</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965</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(EUR</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62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9/30/2014</w:t>
            </w:r>
          </w:p>
        </w:tc>
        <w:tc>
          <w:tcPr>
            <w:tcW w:w="820" w:type="dxa"/>
            <w:vAlign w:val="bottom"/>
          </w:tcPr>
          <w:p>
            <w:pPr>
              <w:jc w:val="right"/>
              <w:spacing w:after="0"/>
              <w:rPr>
                <w:sz w:val="20"/>
                <w:szCs w:val="20"/>
                <w:color w:val="auto"/>
              </w:rPr>
            </w:pPr>
            <w:r>
              <w:rPr>
                <w:rFonts w:ascii="Arial" w:cs="Arial" w:eastAsia="Arial" w:hAnsi="Arial"/>
                <w:sz w:val="18"/>
                <w:szCs w:val="18"/>
                <w:color w:val="auto"/>
              </w:rPr>
              <w:t>877</w:t>
            </w:r>
          </w:p>
        </w:tc>
        <w:tc>
          <w:tcPr>
            <w:tcW w:w="1400" w:type="dxa"/>
            <w:vAlign w:val="bottom"/>
            <w:gridSpan w:val="3"/>
          </w:tcPr>
          <w:p>
            <w:pPr>
              <w:jc w:val="right"/>
              <w:ind w:right="240"/>
              <w:spacing w:after="0"/>
              <w:rPr>
                <w:sz w:val="20"/>
                <w:szCs w:val="20"/>
                <w:color w:val="auto"/>
              </w:rPr>
            </w:pPr>
            <w:r>
              <w:rPr>
                <w:rFonts w:ascii="Arial" w:cs="Arial" w:eastAsia="Arial" w:hAnsi="Arial"/>
                <w:sz w:val="18"/>
                <w:szCs w:val="18"/>
                <w:color w:val="auto"/>
              </w:rPr>
              <w:t>888)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SRS Parent Corp.</w:t>
            </w:r>
          </w:p>
        </w:tc>
        <w:tc>
          <w:tcPr>
            <w:tcW w:w="29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Common Shares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Class A (1,980 shares)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12/28/2012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w:t>
            </w:r>
          </w:p>
        </w:tc>
        <w:tc>
          <w:tcPr>
            <w:tcW w:w="1400" w:type="dxa"/>
            <w:vAlign w:val="bottom"/>
            <w:tcBorders>
              <w:lef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Common Shares</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Class B (2,953,020</w:t>
            </w:r>
          </w:p>
        </w:tc>
        <w:tc>
          <w:tcPr>
            <w:tcW w:w="1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shares)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12/28/2012</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3,093</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b w:val="1"/>
                <w:bCs w:val="1"/>
                <w:color w:val="auto"/>
              </w:rPr>
              <w:t>Hotel, gaming, and leisure</w:t>
            </w:r>
          </w:p>
        </w:tc>
        <w:tc>
          <w:tcPr>
            <w:tcW w:w="2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IRGSE Holding Corp.</w:t>
            </w:r>
            <w:r>
              <w:rPr>
                <w:rFonts w:ascii="Arial" w:cs="Arial" w:eastAsia="Arial" w:hAnsi="Arial"/>
                <w:sz w:val="15"/>
                <w:szCs w:val="15"/>
                <w:color w:val="auto"/>
              </w:rPr>
              <w:t>(7)</w:t>
            </w:r>
          </w:p>
        </w:tc>
        <w:tc>
          <w:tcPr>
            <w:tcW w:w="29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Class A Units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(5,000,000 units)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9/29/2015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1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3620" w:type="dxa"/>
            <w:vAlign w:val="bottom"/>
          </w:tcPr>
          <w:p>
            <w:pPr>
              <w:spacing w:after="0"/>
              <w:rPr>
                <w:sz w:val="17"/>
                <w:szCs w:val="17"/>
                <w:color w:val="auto"/>
              </w:rPr>
            </w:pPr>
          </w:p>
        </w:tc>
        <w:tc>
          <w:tcPr>
            <w:tcW w:w="2940" w:type="dxa"/>
            <w:vAlign w:val="bottom"/>
          </w:tcPr>
          <w:p>
            <w:pPr>
              <w:ind w:left="740"/>
              <w:spacing w:after="0" w:line="201" w:lineRule="exact"/>
              <w:rPr>
                <w:sz w:val="20"/>
                <w:szCs w:val="20"/>
                <w:color w:val="auto"/>
              </w:rPr>
            </w:pPr>
            <w:r>
              <w:rPr>
                <w:rFonts w:ascii="Arial" w:cs="Arial" w:eastAsia="Arial" w:hAnsi="Arial"/>
                <w:sz w:val="18"/>
                <w:szCs w:val="18"/>
                <w:color w:val="auto"/>
              </w:rPr>
              <w:t>Class C-1 Units</w:t>
            </w: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2940" w:type="dxa"/>
            <w:vAlign w:val="bottom"/>
          </w:tcPr>
          <w:p>
            <w:pPr>
              <w:ind w:left="740"/>
              <w:spacing w:after="0"/>
              <w:rPr>
                <w:sz w:val="20"/>
                <w:szCs w:val="20"/>
                <w:color w:val="auto"/>
              </w:rPr>
            </w:pPr>
            <w:r>
              <w:rPr>
                <w:rFonts w:ascii="Arial" w:cs="Arial" w:eastAsia="Arial" w:hAnsi="Arial"/>
                <w:sz w:val="18"/>
                <w:szCs w:val="18"/>
                <w:color w:val="auto"/>
              </w:rPr>
              <w:t>(8,800,000 units)</w:t>
            </w:r>
          </w:p>
        </w:tc>
        <w:tc>
          <w:tcPr>
            <w:tcW w:w="1640" w:type="dxa"/>
            <w:vAlign w:val="bottom"/>
          </w:tcPr>
          <w:p>
            <w:pPr>
              <w:jc w:val="right"/>
              <w:ind w:right="210"/>
              <w:spacing w:after="0"/>
              <w:rPr>
                <w:sz w:val="20"/>
                <w:szCs w:val="20"/>
                <w:color w:val="auto"/>
              </w:rPr>
            </w:pPr>
            <w:r>
              <w:rPr>
                <w:rFonts w:ascii="Arial" w:cs="Arial" w:eastAsia="Arial" w:hAnsi="Arial"/>
                <w:sz w:val="18"/>
                <w:szCs w:val="18"/>
                <w:color w:val="auto"/>
              </w:rPr>
              <w:t>9/29/2015</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280" w:type="dxa"/>
            <w:vAlign w:val="bottom"/>
            <w:tcBorders>
              <w:left w:val="single" w:sz="8" w:color="CCEEFF"/>
            </w:tcBorders>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3"/>
        </w:trPr>
        <w:tc>
          <w:tcPr>
            <w:tcW w:w="3620" w:type="dxa"/>
            <w:vAlign w:val="bottom"/>
          </w:tcPr>
          <w:p>
            <w:pPr>
              <w:ind w:left="360"/>
              <w:spacing w:after="0"/>
              <w:rPr>
                <w:sz w:val="20"/>
                <w:szCs w:val="20"/>
                <w:color w:val="auto"/>
              </w:rPr>
            </w:pPr>
            <w:r>
              <w:rPr>
                <w:rFonts w:ascii="Arial" w:cs="Arial" w:eastAsia="Arial" w:hAnsi="Arial"/>
                <w:sz w:val="18"/>
                <w:szCs w:val="18"/>
                <w:b w:val="1"/>
                <w:bCs w:val="1"/>
                <w:color w:val="auto"/>
              </w:rPr>
              <w:t>Oil, gas and consumable fuels</w:t>
            </w:r>
          </w:p>
        </w:tc>
        <w:tc>
          <w:tcPr>
            <w:tcW w:w="2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Mississippi Resources, LLC</w:t>
            </w:r>
            <w:r>
              <w:rPr>
                <w:rFonts w:ascii="Arial" w:cs="Arial" w:eastAsia="Arial" w:hAnsi="Arial"/>
                <w:sz w:val="15"/>
                <w:szCs w:val="15"/>
                <w:color w:val="auto"/>
              </w:rPr>
              <w:t>(7)</w:t>
            </w:r>
          </w:p>
        </w:tc>
        <w:tc>
          <w:tcPr>
            <w:tcW w:w="2940" w:type="dxa"/>
            <w:vAlign w:val="bottom"/>
            <w:shd w:val="clear" w:color="auto" w:fill="CCEEFF"/>
          </w:tcPr>
          <w:p>
            <w:pPr>
              <w:ind w:left="740"/>
              <w:spacing w:after="0" w:line="201" w:lineRule="exact"/>
              <w:rPr>
                <w:sz w:val="20"/>
                <w:szCs w:val="20"/>
                <w:color w:val="auto"/>
              </w:rPr>
            </w:pPr>
            <w:r>
              <w:rPr>
                <w:rFonts w:ascii="Arial" w:cs="Arial" w:eastAsia="Arial" w:hAnsi="Arial"/>
                <w:sz w:val="18"/>
                <w:szCs w:val="18"/>
                <w:color w:val="auto"/>
              </w:rPr>
              <w:t>Class A Member Units</w:t>
            </w:r>
          </w:p>
        </w:tc>
        <w:tc>
          <w:tcPr>
            <w:tcW w:w="1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tcBorders>
              <w:left w:val="single" w:sz="8" w:color="CCEEFF"/>
            </w:tcBorders>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spacing w:after="0"/>
              <w:rPr>
                <w:sz w:val="20"/>
                <w:szCs w:val="20"/>
                <w:color w:val="auto"/>
              </w:rPr>
            </w:pPr>
          </w:p>
        </w:tc>
        <w:tc>
          <w:tcPr>
            <w:tcW w:w="29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(933 units)</w:t>
            </w:r>
          </w:p>
        </w:tc>
        <w:tc>
          <w:tcPr>
            <w:tcW w:w="16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280" w:type="dxa"/>
            <w:vAlign w:val="bottom"/>
            <w:tcBorders>
              <w:left w:val="single" w:sz="8" w:color="CCEEFF"/>
            </w:tcBorders>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365"/>
        </w:trPr>
        <w:tc>
          <w:tcPr>
            <w:tcW w:w="3620" w:type="dxa"/>
            <w:vAlign w:val="bottom"/>
          </w:tcPr>
          <w:p>
            <w:pPr>
              <w:spacing w:after="0"/>
              <w:rPr>
                <w:sz w:val="24"/>
                <w:szCs w:val="24"/>
                <w:color w:val="auto"/>
              </w:rPr>
            </w:pPr>
          </w:p>
        </w:tc>
        <w:tc>
          <w:tcPr>
            <w:tcW w:w="2940" w:type="dxa"/>
            <w:vAlign w:val="bottom"/>
          </w:tcPr>
          <w:p>
            <w:pPr>
              <w:ind w:left="1960"/>
              <w:spacing w:after="0"/>
              <w:rPr>
                <w:sz w:val="20"/>
                <w:szCs w:val="20"/>
                <w:color w:val="auto"/>
              </w:rPr>
            </w:pPr>
            <w:r>
              <w:rPr>
                <w:rFonts w:ascii="Arial" w:cs="Arial" w:eastAsia="Arial" w:hAnsi="Arial"/>
                <w:sz w:val="18"/>
                <w:szCs w:val="18"/>
                <w:color w:val="auto"/>
              </w:rPr>
              <w:t>105</w:t>
            </w: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Initial</w:t>
            </w:r>
          </w:p>
        </w:tc>
        <w:tc>
          <w:tcPr>
            <w:tcW w:w="20" w:type="dxa"/>
            <w:vAlign w:val="bottom"/>
          </w:tcPr>
          <w:p>
            <w:pPr>
              <w:spacing w:after="0"/>
              <w:rPr>
                <w:sz w:val="14"/>
                <w:szCs w:val="14"/>
                <w:color w:val="auto"/>
              </w:rPr>
            </w:pPr>
          </w:p>
        </w:tc>
        <w:tc>
          <w:tcPr>
            <w:tcW w:w="82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19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Investment</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(2)(8)</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of Net Assets</w:t>
            </w:r>
          </w:p>
        </w:tc>
        <w:tc>
          <w:tcPr>
            <w:tcW w:w="0" w:type="dxa"/>
            <w:vAlign w:val="bottom"/>
          </w:tcPr>
          <w:p>
            <w:pPr>
              <w:spacing w:after="0"/>
              <w:rPr>
                <w:sz w:val="1"/>
                <w:szCs w:val="1"/>
                <w:color w:val="auto"/>
              </w:rPr>
            </w:pPr>
          </w:p>
        </w:tc>
      </w:tr>
      <w:tr>
        <w:trPr>
          <w:trHeight w:val="196"/>
        </w:trPr>
        <w:tc>
          <w:tcPr>
            <w:tcW w:w="720" w:type="dxa"/>
            <w:vAlign w:val="bottom"/>
            <w:tcBorders>
              <w:top w:val="single" w:sz="8" w:color="auto"/>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w w:val="70"/>
              </w:rPr>
              <w:t>Other</w:t>
            </w:r>
          </w:p>
        </w:tc>
        <w:tc>
          <w:tcPr>
            <w:tcW w:w="352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Oak Hill Credit Partners</w:t>
            </w:r>
            <w:r>
              <w:rPr>
                <w:rFonts w:ascii="Arial" w:cs="Arial" w:eastAsia="Arial" w:hAnsi="Arial"/>
                <w:sz w:val="15"/>
                <w:szCs w:val="15"/>
                <w:color w:val="auto"/>
              </w:rPr>
              <w:t>(4)(6)</w:t>
            </w:r>
          </w:p>
        </w:tc>
        <w:tc>
          <w:tcPr>
            <w:tcW w:w="1920" w:type="dxa"/>
            <w:vAlign w:val="bottom"/>
            <w:gridSpan w:val="2"/>
          </w:tcPr>
          <w:p>
            <w:pPr>
              <w:spacing w:after="0"/>
              <w:rPr>
                <w:sz w:val="20"/>
                <w:szCs w:val="20"/>
                <w:color w:val="auto"/>
              </w:rPr>
            </w:pPr>
            <w:r>
              <w:rPr>
                <w:rFonts w:ascii="Arial" w:cs="Arial" w:eastAsia="Arial" w:hAnsi="Arial"/>
                <w:sz w:val="18"/>
                <w:szCs w:val="18"/>
                <w:color w:val="auto"/>
              </w:rPr>
              <w:t>Structured Product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5.82%</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8/21/2015</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3,293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3,099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w:t>
            </w:r>
            <w:r>
              <w:rPr>
                <w:rFonts w:ascii="Arial" w:cs="Arial" w:eastAsia="Arial" w:hAnsi="Arial"/>
                <w:sz w:val="15"/>
                <w:szCs w:val="15"/>
                <w:color w:val="auto"/>
              </w:rPr>
              <w:t>(4)(6)</w:t>
            </w:r>
          </w:p>
        </w:tc>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Product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6.07%</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11/17/2014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8,876</w:t>
            </w:r>
          </w:p>
        </w:tc>
        <w:tc>
          <w:tcPr>
            <w:tcW w:w="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8,199</w:t>
            </w:r>
          </w:p>
        </w:tc>
        <w:tc>
          <w:tcPr>
            <w:tcW w:w="300" w:type="dxa"/>
            <w:vAlign w:val="bottom"/>
            <w:vMerge w:val="continue"/>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and Other Investments</w:t>
            </w: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2"/>
            <w:vMerge w:val="continue"/>
          </w:tcPr>
          <w:p>
            <w:pPr>
              <w:spacing w:after="0"/>
              <w:rPr>
                <w:sz w:val="19"/>
                <w:szCs w:val="19"/>
                <w:color w:val="auto"/>
              </w:rPr>
            </w:pP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1,529,676</w:t>
            </w:r>
          </w:p>
        </w:tc>
        <w:tc>
          <w:tcPr>
            <w:tcW w:w="2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89"/>
              </w:rPr>
              <w:t>1,485,709</w:t>
            </w: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180.8%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portfolio company investments are subject to contractual restrictions on sales.</w:t>
      </w:r>
    </w:p>
    <w:p>
      <w:pPr>
        <w:spacing w:after="0" w:line="252" w:lineRule="exact"/>
        <w:rPr>
          <w:rFonts w:ascii="Arial" w:cs="Arial" w:eastAsia="Arial" w:hAnsi="Arial"/>
          <w:sz w:val="18"/>
          <w:szCs w:val="18"/>
          <w:color w:val="auto"/>
        </w:rPr>
      </w:pPr>
    </w:p>
    <w:p>
      <w:pPr>
        <w:ind w:left="460" w:right="24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and premiums, as applicable, on debt investments using the effective interest method.</w:t>
      </w:r>
    </w:p>
    <w:p>
      <w:pPr>
        <w:spacing w:after="0" w:line="197"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we have provided the interest rate in effect on the date presented.</w:t>
      </w:r>
    </w:p>
    <w:p>
      <w:pPr>
        <w:spacing w:after="0" w:line="213" w:lineRule="exact"/>
        <w:rPr>
          <w:rFonts w:ascii="Arial" w:cs="Arial" w:eastAsia="Arial" w:hAnsi="Arial"/>
          <w:sz w:val="18"/>
          <w:szCs w:val="18"/>
          <w:color w:val="auto"/>
        </w:rPr>
      </w:pPr>
    </w:p>
    <w:p>
      <w:pPr>
        <w:ind w:left="460" w:right="6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This portfolio company is not a qualifying asset under Section 55(a) of the 1940 Act. Under the 1940 Act, we may not acquire any non-qualifying asset unless, at the time such acquisition is made, qualifying assets represent at least 70% of total assets.</w:t>
      </w:r>
    </w:p>
    <w:p>
      <w:pPr>
        <w:spacing w:after="0" w:line="197" w:lineRule="exact"/>
        <w:rPr>
          <w:rFonts w:ascii="Arial" w:cs="Arial" w:eastAsia="Arial" w:hAnsi="Arial"/>
          <w:sz w:val="18"/>
          <w:szCs w:val="18"/>
          <w:color w:val="auto"/>
        </w:rPr>
      </w:pPr>
    </w:p>
    <w:p>
      <w:pPr>
        <w:ind w:left="460" w:right="460" w:hanging="452"/>
        <w:spacing w:after="0" w:line="277"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addition to the interest earned based on the stated interest rate of this loan, which is the amount reflected in this schedule, we may be entitled to receive additional interest as a result of an arrangement with other lenders in the syndication.</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Contains a variable rate structure. Bears interest at a rate determined by three-month LIBOR.</w:t>
      </w:r>
    </w:p>
    <w:p>
      <w:pPr>
        <w:spacing w:after="0" w:line="252" w:lineRule="exact"/>
        <w:rPr>
          <w:rFonts w:ascii="Arial" w:cs="Arial" w:eastAsia="Arial" w:hAnsi="Arial"/>
          <w:sz w:val="18"/>
          <w:szCs w:val="18"/>
          <w:color w:val="auto"/>
        </w:rPr>
      </w:pPr>
    </w:p>
    <w:p>
      <w:pPr>
        <w:ind w:left="460" w:right="120" w:hanging="452"/>
        <w:spacing w:after="0" w:line="279" w:lineRule="auto"/>
        <w:tabs>
          <w:tab w:leader="none" w:pos="4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Under the 1940 Act, we are deemed to be both an “Affiliated Person” of and “Control,” as such terms are defined in the 1940 Act, this portfolio company, as we own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Net</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Realized</w:t>
            </w:r>
          </w:p>
        </w:tc>
        <w:tc>
          <w:tcPr>
            <w:tcW w:w="3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9"/>
        </w:trPr>
        <w:tc>
          <w:tcPr>
            <w:tcW w:w="2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5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460" w:type="dxa"/>
            <w:vAlign w:val="bottom"/>
          </w:tcPr>
          <w:p>
            <w:pPr>
              <w:spacing w:after="0" w:line="149" w:lineRule="exact"/>
              <w:rPr>
                <w:sz w:val="20"/>
                <w:szCs w:val="20"/>
                <w:color w:val="auto"/>
              </w:rPr>
            </w:pPr>
            <w:r>
              <w:rPr>
                <w:rFonts w:ascii="Arial" w:cs="Arial" w:eastAsia="Arial" w:hAnsi="Arial"/>
                <w:sz w:val="14"/>
                <w:szCs w:val="14"/>
                <w:b w:val="1"/>
                <w:bCs w:val="1"/>
                <w:color w:val="auto"/>
              </w:rPr>
              <w:t>Gain/</w:t>
            </w:r>
          </w:p>
        </w:tc>
        <w:tc>
          <w:tcPr>
            <w:tcW w:w="360" w:type="dxa"/>
            <w:vAlign w:val="bottom"/>
          </w:tcPr>
          <w:p>
            <w:pPr>
              <w:spacing w:after="0"/>
              <w:rPr>
                <w:sz w:val="12"/>
                <w:szCs w:val="12"/>
                <w:color w:val="auto"/>
              </w:rPr>
            </w:pPr>
          </w:p>
        </w:tc>
        <w:tc>
          <w:tcPr>
            <w:tcW w:w="120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820" w:type="dxa"/>
            <w:vAlign w:val="bottom"/>
            <w:gridSpan w:val="3"/>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8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Additions (a)</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Reductions (b)</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Gain/(Loss)</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w w:val="86"/>
              </w:rPr>
              <w:t>(Losses)</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Income</w:t>
            </w: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Mississippi Resources, LLC</w:t>
            </w:r>
          </w:p>
        </w:tc>
        <w:tc>
          <w:tcPr>
            <w:tcW w:w="5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41,636</w:t>
            </w:r>
          </w:p>
        </w:tc>
        <w:tc>
          <w:tcPr>
            <w:tcW w:w="18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3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6"/>
              </w:rPr>
              <w:t>(459)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(12,328)</w:t>
            </w: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36,682</w:t>
            </w:r>
          </w:p>
        </w:tc>
        <w:tc>
          <w:tcPr>
            <w:tcW w:w="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219</w:t>
            </w:r>
          </w:p>
        </w:tc>
        <w:tc>
          <w:tcPr>
            <w:tcW w:w="36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$6,003</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IRGSE Holding Corp.</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31,704</w:t>
            </w:r>
          </w:p>
        </w:tc>
        <w:tc>
          <w:tcPr>
            <w:tcW w:w="1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(4,888)</w:t>
            </w: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26,816</w:t>
            </w:r>
          </w:p>
        </w:tc>
        <w:tc>
          <w:tcPr>
            <w:tcW w:w="1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41,636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39,537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(459)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(17,216)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63,498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9"/>
              </w:rPr>
              <w:t>240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6,639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900" w:right="400" w:hanging="446"/>
        <w:spacing w:after="0" w:line="27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line="277"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December 31, 2015, the tax cost of our investments approximates their amortized cost.</w:t>
      </w:r>
    </w:p>
    <w:p>
      <w:pPr>
        <w:spacing w:after="0" w:line="252" w:lineRule="exact"/>
        <w:rPr>
          <w:rFonts w:ascii="Arial" w:cs="Arial" w:eastAsia="Arial" w:hAnsi="Arial"/>
          <w:sz w:val="18"/>
          <w:szCs w:val="18"/>
          <w:color w:val="auto"/>
        </w:rPr>
      </w:pPr>
    </w:p>
    <w:p>
      <w:pPr>
        <w:ind w:left="460" w:right="38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Notes contain a fixed rate structure. We entered into an interest rate swap agreement to swap to a floating rate. Refer to Note 5 to our consolidated financial statements for further information related to our interest rate swaps.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business and affairs are managed under the direction of our Board. Our Board consists of five members, three of whom are not “interested persons” of us, our Adviser or our or its respective affiliates as defined in Section 2(a)(19) of the 1940 Act and who are considered to be independent under the applicable NYSE listing standards. We refer to these individuals as our Independent Directors. Our Board elects our officers and our officers serve until their resignation or termination or until their successors are duly elected and qualified. The responsibilities of our Board include, among other things, oversight of our investment activities, quarterly valuation of our assets, oversight of our financing arrangements and corporate governance activities. Our Board has an audit committee, a compensation committee and a nominating and corporate governance committee and may establish additional committees from time to time as necessary.</w:t>
      </w:r>
    </w:p>
    <w:p>
      <w:pPr>
        <w:spacing w:after="0" w:line="18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Pursuant to our certificate of incorporation and bylaws, our Board consists of five members. The Board is divided into three classes, with the members of each class each serving staggered, three-year terms. The terms of our Class I directors expire at the 2018 annual meeting of stockholders; the term of our Class II director will expire at the 2016 annual meeting of stockholders; and the terms of our Class III directors will expire at the 2017 annual meeting of stockholders.</w:t>
      </w:r>
    </w:p>
    <w:p>
      <w:pPr>
        <w:spacing w:after="0" w:line="187"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Messrs. Higginbotham and Tanemura serve as Class I directors (with a term expiring in 2018). Mr. Ross serves as a Class II director (with a term expiring in 2016). Messrs. Easterly and Fishman serve as Class III directors (with a term expiring in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Set forth below are brief biographies of the members of the Board.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00" w:type="dxa"/>
            <w:vAlign w:val="bottom"/>
            <w:vMerge w:val="restart"/>
          </w:tcPr>
          <w:p>
            <w:pPr>
              <w:spacing w:after="0"/>
              <w:rPr>
                <w:sz w:val="14"/>
                <w:szCs w:val="14"/>
                <w:color w:val="auto"/>
              </w:rPr>
            </w:pPr>
          </w:p>
        </w:tc>
        <w:tc>
          <w:tcPr>
            <w:tcW w:w="6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83"/>
              </w:rPr>
              <w:t>Age</w:t>
            </w:r>
          </w:p>
        </w:tc>
        <w:tc>
          <w:tcPr>
            <w:tcW w:w="56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Position</w:t>
            </w: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Expiration</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80" w:type="dxa"/>
            <w:vAlign w:val="bottom"/>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566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of Term</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30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Independent Directors</w:t>
            </w: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Richard Higginbotham</w:t>
            </w:r>
          </w:p>
        </w:tc>
        <w:tc>
          <w:tcPr>
            <w:tcW w:w="240" w:type="dxa"/>
            <w:vAlign w:val="bottom"/>
          </w:tcPr>
          <w:p>
            <w:pPr>
              <w:jc w:val="right"/>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8"/>
                <w:szCs w:val="18"/>
                <w:color w:val="auto"/>
              </w:rPr>
            </w:pPr>
          </w:p>
        </w:tc>
        <w:tc>
          <w:tcPr>
            <w:tcW w:w="5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John Ross</w:t>
            </w:r>
          </w:p>
        </w:tc>
        <w:tc>
          <w:tcPr>
            <w:tcW w:w="240" w:type="dxa"/>
            <w:vAlign w:val="bottom"/>
          </w:tcPr>
          <w:p>
            <w:pPr>
              <w:jc w:val="right"/>
              <w:spacing w:after="0"/>
              <w:rPr>
                <w:sz w:val="20"/>
                <w:szCs w:val="20"/>
                <w:color w:val="auto"/>
              </w:rPr>
            </w:pPr>
            <w:r>
              <w:rPr>
                <w:rFonts w:ascii="Arial" w:cs="Arial" w:eastAsia="Arial" w:hAnsi="Arial"/>
                <w:sz w:val="18"/>
                <w:szCs w:val="18"/>
                <w:color w:val="auto"/>
              </w:rPr>
              <w:t>71</w:t>
            </w:r>
          </w:p>
        </w:tc>
        <w:tc>
          <w:tcPr>
            <w:tcW w:w="420" w:type="dxa"/>
            <w:vAlign w:val="bottom"/>
          </w:tcPr>
          <w:p>
            <w:pPr>
              <w:spacing w:after="0"/>
              <w:rPr>
                <w:sz w:val="18"/>
                <w:szCs w:val="18"/>
                <w:color w:val="auto"/>
              </w:rPr>
            </w:pPr>
          </w:p>
        </w:tc>
        <w:tc>
          <w:tcPr>
            <w:tcW w:w="5660" w:type="dxa"/>
            <w:vAlign w:val="bottom"/>
            <w:gridSpan w:val="2"/>
          </w:tcPr>
          <w:p>
            <w:pPr>
              <w:jc w:val="center"/>
              <w:ind w:right="300"/>
              <w:spacing w:after="0"/>
              <w:rPr>
                <w:sz w:val="20"/>
                <w:szCs w:val="20"/>
                <w:color w:val="auto"/>
              </w:rPr>
            </w:pPr>
            <w:r>
              <w:rPr>
                <w:rFonts w:ascii="Arial" w:cs="Arial" w:eastAsia="Arial" w:hAnsi="Arial"/>
                <w:sz w:val="18"/>
                <w:szCs w:val="18"/>
                <w:color w:val="auto"/>
                <w:w w:val="95"/>
              </w:rPr>
              <w:t>Director</w:t>
            </w:r>
          </w:p>
        </w:tc>
        <w:tc>
          <w:tcPr>
            <w:tcW w:w="680" w:type="dxa"/>
            <w:vAlign w:val="bottom"/>
          </w:tcPr>
          <w:p>
            <w:pPr>
              <w:jc w:val="right"/>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Interested Directors</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Joshua Easterly</w:t>
            </w:r>
          </w:p>
        </w:tc>
        <w:tc>
          <w:tcPr>
            <w:tcW w:w="240" w:type="dxa"/>
            <w:vAlign w:val="bottom"/>
          </w:tcPr>
          <w:p>
            <w:pPr>
              <w:jc w:val="right"/>
              <w:spacing w:after="0"/>
              <w:rPr>
                <w:sz w:val="20"/>
                <w:szCs w:val="20"/>
                <w:color w:val="auto"/>
              </w:rPr>
            </w:pPr>
            <w:r>
              <w:rPr>
                <w:rFonts w:ascii="Arial" w:cs="Arial" w:eastAsia="Arial" w:hAnsi="Arial"/>
                <w:sz w:val="18"/>
                <w:szCs w:val="18"/>
                <w:color w:val="auto"/>
              </w:rPr>
              <w:t>39</w:t>
            </w:r>
          </w:p>
        </w:tc>
        <w:tc>
          <w:tcPr>
            <w:tcW w:w="420" w:type="dxa"/>
            <w:vAlign w:val="bottom"/>
          </w:tcPr>
          <w:p>
            <w:pPr>
              <w:spacing w:after="0"/>
              <w:rPr>
                <w:sz w:val="18"/>
                <w:szCs w:val="18"/>
                <w:color w:val="auto"/>
              </w:rPr>
            </w:pPr>
          </w:p>
        </w:tc>
        <w:tc>
          <w:tcPr>
            <w:tcW w:w="56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Chairman, Director and Co-Chief Executive Officer</w:t>
            </w:r>
          </w:p>
        </w:tc>
        <w:tc>
          <w:tcPr>
            <w:tcW w:w="680" w:type="dxa"/>
            <w:vAlign w:val="bottom"/>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566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Director and Co-Chief Executive 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2008 and 2010, Mr. Higginbotham was a director and then chairman of Tygris Commercial Finance Group, Inc., a TPG portfolio company,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w:t>
      </w:r>
    </w:p>
    <w:p>
      <w:pPr>
        <w:spacing w:after="0" w:line="3"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Mr. Higginbotham holds a B.A. in Political Science from Brown University. Mr. Higginbotham’s depth of experience in senior executive positions in the financial sector provides the Board with valuable experience, insight and perspective in the credit sector.</w:t>
      </w:r>
    </w:p>
    <w:p>
      <w:pPr>
        <w:spacing w:after="0" w:line="180"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Ronald Tanemura </w:t>
      </w:r>
      <w:r>
        <w:rPr>
          <w:rFonts w:ascii="Arial" w:cs="Arial" w:eastAsia="Arial" w:hAnsi="Arial"/>
          <w:sz w:val="18"/>
          <w:szCs w:val="18"/>
          <w:color w:val="auto"/>
        </w:rPr>
        <w:t>was elected a director of TSLX in March 2011. Since 2012, Mr. Tanemura has served as a director of post-reorganization Lehman</w:t>
      </w:r>
      <w:r>
        <w:rPr>
          <w:rFonts w:ascii="Arial" w:cs="Arial" w:eastAsia="Arial" w:hAnsi="Arial"/>
          <w:sz w:val="18"/>
          <w:szCs w:val="18"/>
          <w:b w:val="1"/>
          <w:bCs w:val="1"/>
          <w:color w:val="auto"/>
        </w:rPr>
        <w:t xml:space="preserve"> </w:t>
      </w:r>
      <w:r>
        <w:rPr>
          <w:rFonts w:ascii="Arial" w:cs="Arial" w:eastAsia="Arial" w:hAnsi="Arial"/>
          <w:sz w:val="18"/>
          <w:szCs w:val="18"/>
          <w:color w:val="auto"/>
        </w:rPr>
        <w:t>Brothers Holdings Inc. in New York. Also, since November 2012, 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has served as a non-executive director of ICE Clear Credit in Chicago and, since 2009, he has served as a non-executive director of ICE Clear Europe in London, both wholly owned subsidiaries of IntercontinentalExchange, Inc. Prior to that, Mr. Tanemura was an Advisory Director and Partner at Goldman, Sachs &amp; Co. from 2000 to 2006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16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b w:val="1"/>
          <w:bCs w:val="1"/>
          <w:color w:val="auto"/>
        </w:rPr>
        <w:t xml:space="preserve">Joshua Easterly </w:t>
      </w:r>
      <w:r>
        <w:rPr>
          <w:rFonts w:ascii="Arial" w:cs="Arial" w:eastAsia="Arial" w:hAnsi="Arial"/>
          <w:sz w:val="16"/>
          <w:szCs w:val="16"/>
          <w:color w:val="auto"/>
        </w:rPr>
        <w:t>was appointed Co-Chief Executive Officer in December 2013 and elected a director and Chairman of TSLX in March 2011.</w:t>
      </w:r>
      <w:r>
        <w:rPr>
          <w:rFonts w:ascii="Arial" w:cs="Arial" w:eastAsia="Arial" w:hAnsi="Arial"/>
          <w:sz w:val="16"/>
          <w:szCs w:val="16"/>
          <w:b w:val="1"/>
          <w:bCs w:val="1"/>
          <w:color w:val="auto"/>
        </w:rPr>
        <w:t xml:space="preserve"> </w:t>
      </w:r>
      <w:r>
        <w:rPr>
          <w:rFonts w:ascii="Arial" w:cs="Arial" w:eastAsia="Arial" w:hAnsi="Arial"/>
          <w:sz w:val="16"/>
          <w:szCs w:val="16"/>
          <w:color w:val="auto"/>
        </w:rPr>
        <w:t>Mr. Easterly is a TPG and TSSP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Michael Fishman </w:t>
      </w:r>
      <w:r>
        <w:rPr>
          <w:rFonts w:ascii="Arial" w:cs="Arial" w:eastAsia="Arial" w:hAnsi="Arial"/>
          <w:sz w:val="18"/>
          <w:szCs w:val="18"/>
          <w:color w:val="auto"/>
        </w:rPr>
        <w:t>was appointed director and Chief Executive Officer of TSLX in April 2011 and became Co-Chief Executive Officer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December 2013. Mr. Fishman is a TSSP Partner. He has been an executive in corporate lending for more than 20 years with senior management experience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portfolio management and primary loan originations. Prior to joining TSLX, Mr. Fishman was the Executive Vice President and National Director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Loan Originations for WFCF, formerly known as Wells Fargo Foothill and Foothill Capital Corporation. In this role, Mr. Fishman sat on the senior investment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committee and was responsible for primary and secondary lending, loan distribution and syndications, strategic transactions and new lending products. From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2000 to 2007, he built the team that grew WFCF’s assets under management from approximately $2 billion to over $10 billion. Mr. Fishman has also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contributed to various industry publications and panel discussions, and has sat on the board of the American Bankruptcy Institute. He holds a degree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Finance from Rochester Institute of Technology. Mr. Fishman’s extensive experience in the credit markets provides the Board with valuable industry-specific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Regarding Executive Officers Who Are Not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vMerge w:val="restart"/>
          </w:tcPr>
          <w:p>
            <w:pPr>
              <w:spacing w:after="0"/>
              <w:rPr>
                <w:sz w:val="14"/>
                <w:szCs w:val="14"/>
                <w:color w:val="auto"/>
              </w:rPr>
            </w:pPr>
          </w:p>
        </w:tc>
        <w:tc>
          <w:tcPr>
            <w:tcW w:w="6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220" w:type="dxa"/>
            <w:vAlign w:val="bottom"/>
            <w:vMerge w:val="restart"/>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Officer</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3320" w:type="dxa"/>
            <w:vAlign w:val="bottom"/>
            <w:tcBorders>
              <w:bottom w:val="single" w:sz="8" w:color="CCEEFF"/>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64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vMerge w:val="continue"/>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Since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Chief Compliance Officer, Vice President and Secretary</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Michael Graf</w:t>
            </w:r>
          </w:p>
        </w:tc>
        <w:tc>
          <w:tcPr>
            <w:tcW w:w="24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Vice President and Principal Accounting Officer</w:t>
            </w:r>
          </w:p>
        </w:tc>
        <w:tc>
          <w:tcPr>
            <w:tcW w:w="440" w:type="dxa"/>
            <w:vAlign w:val="bottom"/>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Ollwerther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Chief Operating Officer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Steven Pluss</w:t>
            </w:r>
          </w:p>
        </w:tc>
        <w:tc>
          <w:tcPr>
            <w:tcW w:w="24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440" w:type="dxa"/>
            <w:vAlign w:val="bottom"/>
          </w:tcPr>
          <w:p>
            <w:pPr>
              <w:jc w:val="right"/>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Simmonds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4"/>
              </w:rPr>
              <w:t>Chief Financial Officer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David Stiepleman</w:t>
            </w:r>
          </w:p>
        </w:tc>
        <w:tc>
          <w:tcPr>
            <w:tcW w:w="24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66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Waxman</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Vice President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address for each of our executive officers is c/o TPG Specialty Lending, 301 Commerce Street, Suite 3300, Fort Worth, TX 76102.</w:t>
      </w:r>
    </w:p>
    <w:p>
      <w:pPr>
        <w:spacing w:after="0" w:line="221"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Jennifer Gordon </w:t>
      </w:r>
      <w:r>
        <w:rPr>
          <w:rFonts w:ascii="Arial" w:cs="Arial" w:eastAsia="Arial" w:hAnsi="Arial"/>
          <w:sz w:val="18"/>
          <w:szCs w:val="18"/>
          <w:color w:val="auto"/>
        </w:rPr>
        <w:t>is Chief Compliance Officer, Vice President and Secretary of TSLX. Since 2014, Ms. Gordon has been a Managing Director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Compliance Officer and Deputy Chief Operating Officer of TSSP. Prior to joining TSSP, from 2004 to 2014, she held various positions at Goldman, Sachs &amp; Co., including most recently as Co-Head of Americas Securities Division Compliance. Ms. Gordon received her J.D. from Fordham University School of Law and B.A. from the University of Michigan.</w:t>
      </w:r>
    </w:p>
    <w:p>
      <w:pPr>
        <w:spacing w:after="0" w:line="180" w:lineRule="exact"/>
        <w:rPr>
          <w:sz w:val="20"/>
          <w:szCs w:val="20"/>
          <w:color w:val="auto"/>
        </w:rPr>
      </w:pPr>
    </w:p>
    <w:p>
      <w:pPr>
        <w:ind w:right="120" w:firstLine="456"/>
        <w:spacing w:after="0" w:line="303" w:lineRule="auto"/>
        <w:rPr>
          <w:sz w:val="20"/>
          <w:szCs w:val="20"/>
          <w:color w:val="auto"/>
        </w:rPr>
      </w:pPr>
      <w:r>
        <w:rPr>
          <w:rFonts w:ascii="Arial" w:cs="Arial" w:eastAsia="Arial" w:hAnsi="Arial"/>
          <w:sz w:val="16"/>
          <w:szCs w:val="16"/>
          <w:b w:val="1"/>
          <w:bCs w:val="1"/>
          <w:color w:val="auto"/>
        </w:rPr>
        <w:t xml:space="preserve">Michael Graf </w:t>
      </w:r>
      <w:r>
        <w:rPr>
          <w:rFonts w:ascii="Arial" w:cs="Arial" w:eastAsia="Arial" w:hAnsi="Arial"/>
          <w:sz w:val="16"/>
          <w:szCs w:val="16"/>
          <w:color w:val="auto"/>
        </w:rPr>
        <w:t>is a Vice President and Principal Accounting Officer of TSLX. Mr. Graf has been TSLX’s Controller since 2013. From 2010 to 2013,</w:t>
      </w:r>
      <w:r>
        <w:rPr>
          <w:rFonts w:ascii="Arial" w:cs="Arial" w:eastAsia="Arial" w:hAnsi="Arial"/>
          <w:sz w:val="16"/>
          <w:szCs w:val="16"/>
          <w:b w:val="1"/>
          <w:bCs w:val="1"/>
          <w:color w:val="auto"/>
        </w:rPr>
        <w:t xml:space="preserve"> </w:t>
      </w:r>
      <w:r>
        <w:rPr>
          <w:rFonts w:ascii="Arial" w:cs="Arial" w:eastAsia="Arial" w:hAnsi="Arial"/>
          <w:sz w:val="16"/>
          <w:szCs w:val="16"/>
          <w:color w:val="auto"/>
        </w:rPr>
        <w:t>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is a Certified Public Accountant with a B.S. in Finance and Accounting from the Leonard N. Stern School of Business at New York University.</w:t>
      </w:r>
    </w:p>
    <w:p>
      <w:pPr>
        <w:spacing w:after="0" w:line="151" w:lineRule="exact"/>
        <w:rPr>
          <w:sz w:val="20"/>
          <w:szCs w:val="20"/>
          <w:color w:val="auto"/>
        </w:rPr>
      </w:pPr>
    </w:p>
    <w:p>
      <w:pPr>
        <w:ind w:right="240" w:firstLine="456"/>
        <w:spacing w:after="0" w:line="258" w:lineRule="auto"/>
        <w:rPr>
          <w:sz w:val="20"/>
          <w:szCs w:val="20"/>
          <w:color w:val="auto"/>
        </w:rPr>
      </w:pPr>
      <w:r>
        <w:rPr>
          <w:rFonts w:ascii="Arial" w:cs="Arial" w:eastAsia="Arial" w:hAnsi="Arial"/>
          <w:sz w:val="18"/>
          <w:szCs w:val="18"/>
          <w:b w:val="1"/>
          <w:bCs w:val="1"/>
          <w:color w:val="auto"/>
        </w:rPr>
        <w:t xml:space="preserve">Robert Ollwerther </w:t>
      </w:r>
      <w:r>
        <w:rPr>
          <w:rFonts w:ascii="Arial" w:cs="Arial" w:eastAsia="Arial" w:hAnsi="Arial"/>
          <w:sz w:val="18"/>
          <w:szCs w:val="18"/>
          <w:color w:val="auto"/>
        </w:rPr>
        <w:t>is Chief Operating Officer of TSLX. Since 2014, he has served as a Managing Director for TSSP. From 2013 to 2014, he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advisor to TSSP. From 2008 to 2012, he was Chief Operating Officer of Avenue Capital Group, a global firm with over $13 billion in assets under management. Prior to that, Mr. Ollwerther spent over 25 years at Merrill Lynch in various senior leadership roles, most recently as Managing Director and Chief Operating Officer of the Hedge Fund Management &amp; Development Group. He is a Certified Public Accountant with a B.S. from Fairfield University and an M.B.A. from New York University’s Stern School of Business.</w:t>
      </w:r>
    </w:p>
    <w:p>
      <w:pPr>
        <w:spacing w:after="0" w:line="184"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TPG and TSSP Partner and has been the Chief Risk Officer of TSSP since 2013,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received a B.B.A from Texas A&amp;M University and an M.B.A from Southern Methodist University.</w:t>
      </w:r>
    </w:p>
    <w:p>
      <w:pPr>
        <w:spacing w:after="0" w:line="18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Chief Financial Officer of TSLX. From 2005 to 2015, Mr. Simmonds was a member of the Financial Institutions Group at Bank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 Merrill Lynch, most recently as Managing Director. From 2000 to 2003, Mr. Simmonds was Managing Director at Principal Global Investors, the asset management unit of The Principal Financial Group. Prior to that, Mr. Simmonds was a Senior Vice President at Bankers Trust Australia and a Senior Accountant at KPMG. Mr. Simmonds is a Chartered Accountant of Australia and New Zealand and holds a Bachelor of Commerce degree from the University of New South Wales, a Master of Applied Finance from Macquarie University and an MBA from the Wharton School of the University of Pennsylvania.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is also a TPG and TSSP Partner and has served as TSSP’s Chief Operating Officer since 2010.</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he was Associate General Counsel to the Americas Special Situations Group and the Mortgages Department at Goldman, Sachs &amp; Co. Mr. Stiepleman received a B.A. in French and Political Science from Amherst College and a J.D. from Columbia University.</w:t>
      </w:r>
    </w:p>
    <w:p>
      <w:pPr>
        <w:spacing w:after="0" w:line="18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is a TPG and TSSP Partner and is a member of the TPG’s Executive Committee. He has</w:t>
      </w:r>
      <w:r>
        <w:rPr>
          <w:rFonts w:ascii="Arial" w:cs="Arial" w:eastAsia="Arial" w:hAnsi="Arial"/>
          <w:sz w:val="18"/>
          <w:szCs w:val="18"/>
          <w:b w:val="1"/>
          <w:bCs w:val="1"/>
          <w:color w:val="auto"/>
        </w:rPr>
        <w:t xml:space="preserve"> </w:t>
      </w:r>
      <w:r>
        <w:rPr>
          <w:rFonts w:ascii="Arial" w:cs="Arial" w:eastAsia="Arial" w:hAnsi="Arial"/>
          <w:sz w:val="18"/>
          <w:szCs w:val="18"/>
          <w:color w:val="auto"/>
        </w:rPr>
        <w:t>been the Chief Investment Officer of TSSP and Co-Chief Investment Officer of the Adviser from inception. Prior to joining TPG in 2009, Mr. Waxman was a Partner at Goldman, Sachs &amp; Co. During his career at Goldman, Sachs &amp; Co., he co-headed the Americas Special Situations Group, which invested Goldman’s capital in both the public markets and private transactions in distressed and special situations. Mr. Waxman began his career at Goldman, Sachs &amp; Co. in 1998. He holds a B.A. in International Relations from the University of Pennsylvania, where he currently serves on the board of the School of Arts and Sciences.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our certificate of incorporation and our bylaws, our Board consists of five members. Pursuant to our bylaws, the Board may increase or decrease the number of directors to no fewer than four and no greater than nine. The Board is divided into three classes, with the members of each class each serving staggered, three-year terms.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BDC is considered to be independent if he or she is not an “interested person” of ours, as defined in Section 2(a)(19) of the 1940 Act.</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Higginbotham, Ross and Tanemura qualify as Independent Directors. Each director who serves on the Audit Committee is an independent director under the applicable NYSE listing standards and for purposes of Rule 10A-3 under the Exchange Act. Each director who serves on the Compensation Committee and Nominating and Corporate Governance Committee is an independent director under the applicable NYSE listing standards.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Messrs. Easterly and Fishman are considered “interested persons” (as defined in the 1940 Act) of the Company since both of them are employed by the Adviser. See “Biographical Information—Interested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Board has met one time in 2016, met six times in 2015 and acted on various occasions by written consent.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Messrs. Easterly and Fishman attended last year’s annual meeting of stockholders in person.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and the services, expenses and performance of service providers to us. Among other things, our Board approves the appointment of our Adviser and our officers, reviews and monitors the services and activities performed by our investment adviser and our executive officers.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580" w:right="2380" w:hanging="5005"/>
        <w:spacing w:after="0" w:line="449" w:lineRule="auto"/>
        <w:tabs>
          <w:tab w:leader="none" w:pos="89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112</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compliance matter that has occurred about which the Board would reasonably need to know to oversee our compliance activities and risks.</w:t>
      </w:r>
    </w:p>
    <w:p>
      <w:pPr>
        <w:spacing w:after="0" w:line="2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The 1940 Act limits our ability to incur borrowings, issue debt securities or issue preferred stock unless after any borrowing or issuance the ratio of total assets (less total liabilities other than indebtedness) to total indebtedness plus preferred stock is at least 200%.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RIC under Subchapter M of the Code. As a RIC, we must, among other things, meet certain source of income, asset diversification and distribution requirements.</w:t>
      </w:r>
    </w:p>
    <w:p>
      <w:pPr>
        <w:spacing w:after="0" w:line="17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the Board’s role in risk oversight must be evaluated on a case-by-case basis and that its existing role in risk oversight is appropriate.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Jennifer Gordon, TPG Specialty Lending, Inc., 301 Commerce Street, Suite 3300, Fort Worth, TX 76102.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currently have three standing committees: the Audit Committee, the Nominating and Corporate Governance Committee and the Compensation Committee.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87" w:lineRule="exact"/>
        <w:rPr>
          <w:sz w:val="20"/>
          <w:szCs w:val="20"/>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900" w:hanging="325"/>
        <w:spacing w:after="0" w:line="277"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Audit Committee has the sole authority to approve the engagement, and review the performance of, our independent registered public accounting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firm.</w:t>
      </w:r>
    </w:p>
    <w:p>
      <w:pPr>
        <w:spacing w:after="0" w:line="21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Messrs. Ross, Higginbotham and Tanemura are members of the Audit Committee and Mr. Ross serves as Chairman. The Audit Committee has held two meetings in 2016, held ten meetings in 2015 and acted on various occasions by written consent.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has held one meeting in 2016 and held one meeting in 2015.</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ind w:left="900" w:right="260" w:hanging="325"/>
        <w:spacing w:after="0" w:line="277"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reviewing and approving the reimbursement by us of compensation paid by the Adviser or its affiliates pursuant to the terms of the Investment Advisory Agreement and Administration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members of the Compensation Committee are Messrs. Ross, Higginbotham and Tanemura, each of whom is independent for purposes of the NYSE corporate governance rules. Mr. Ross serves as Chairman. The Compensation Committee held one meeting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Information on our website is not incorporated into this prospectus. The corporate governance section contains the following documents, which are available in print to any stockholder who requests a copy in writing to 888 7th Avenue, 35th Floor, New York, NY 10106, Attention: TSLX Investor Relations, or by emailing us at IRTSL@tpg.com:</w:t>
      </w:r>
    </w:p>
    <w:p>
      <w:pPr>
        <w:spacing w:after="0" w:line="60" w:lineRule="exact"/>
        <w:rPr>
          <w:sz w:val="20"/>
          <w:szCs w:val="20"/>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and are available in print to any stockholder who requests a copy in writing.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Jennifer Gordon, TPG Specialty Lending, Inc., 301 Commerce Street, Suite 3300, Fort Worth, TX 76102. Please refer to the text of our bylaws (including Article II, paragraph (K)), which are on file with the SEC.</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evaluating director nominees, the Nominating and Corporate Governance Committee considers, among others, the following factors:</w:t>
      </w:r>
    </w:p>
    <w:p>
      <w:pPr>
        <w:spacing w:after="0" w:line="131" w:lineRule="exact"/>
        <w:rPr>
          <w:sz w:val="20"/>
          <w:szCs w:val="20"/>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desire to balance the considerable benefit of continuity with the periodic injection of the fresh perspective provided by new members;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9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 additional fee of $10,000 per year for the chairman of the Audit Committee.</w:t>
      </w:r>
    </w:p>
    <w:p>
      <w:pPr>
        <w:spacing w:after="0" w:line="225"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During the year ended December 31, 2015,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2015:</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Fees Earned</w:t>
            </w:r>
          </w:p>
        </w:tc>
        <w:tc>
          <w:tcPr>
            <w:tcW w:w="780" w:type="dxa"/>
            <w:vAlign w:val="bottom"/>
          </w:tcPr>
          <w:p>
            <w:pPr>
              <w:spacing w:after="0"/>
              <w:rPr>
                <w:sz w:val="14"/>
                <w:szCs w:val="14"/>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4200" w:type="dxa"/>
            <w:vAlign w:val="bottom"/>
            <w:gridSpan w:val="3"/>
          </w:tcPr>
          <w:p>
            <w:pPr>
              <w:ind w:left="3240"/>
              <w:spacing w:after="0"/>
              <w:rPr>
                <w:sz w:val="20"/>
                <w:szCs w:val="20"/>
                <w:color w:val="auto"/>
              </w:rPr>
            </w:pPr>
            <w:r>
              <w:rPr>
                <w:rFonts w:ascii="Arial" w:cs="Arial" w:eastAsia="Arial" w:hAnsi="Arial"/>
                <w:sz w:val="14"/>
                <w:szCs w:val="14"/>
                <w:b w:val="1"/>
                <w:bCs w:val="1"/>
                <w:color w:val="auto"/>
                <w:w w:val="92"/>
              </w:rPr>
              <w:t>or Paid in Cash</w:t>
            </w:r>
          </w:p>
        </w:tc>
        <w:tc>
          <w:tcPr>
            <w:tcW w:w="7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3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c>
          <w:tcPr>
            <w:tcW w:w="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$126,000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John Ross</w:t>
            </w:r>
          </w:p>
        </w:tc>
        <w:tc>
          <w:tcPr>
            <w:tcW w:w="3340" w:type="dxa"/>
            <w:vAlign w:val="bottom"/>
            <w:gridSpan w:val="2"/>
          </w:tcPr>
          <w:p>
            <w:pPr>
              <w:ind w:left="32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133,500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$133,500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Ronald Tanemura</w:t>
            </w:r>
          </w:p>
        </w:tc>
        <w:tc>
          <w:tcPr>
            <w:tcW w:w="3340" w:type="dxa"/>
            <w:vAlign w:val="bottom"/>
            <w:gridSpan w:val="2"/>
            <w:shd w:val="clear" w:color="auto" w:fill="CCEEFF"/>
          </w:tcPr>
          <w:p>
            <w:pPr>
              <w:ind w:left="32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920" w:type="dxa"/>
            <w:vAlign w:val="bottom"/>
          </w:tcPr>
          <w:p>
            <w:pPr>
              <w:spacing w:after="0"/>
              <w:rPr>
                <w:sz w:val="24"/>
                <w:szCs w:val="24"/>
                <w:color w:val="auto"/>
              </w:rPr>
            </w:pPr>
          </w:p>
        </w:tc>
        <w:tc>
          <w:tcPr>
            <w:tcW w:w="3240" w:type="dxa"/>
            <w:vAlign w:val="bottom"/>
          </w:tcPr>
          <w:p>
            <w:pPr>
              <w:jc w:val="right"/>
              <w:ind w:right="1614"/>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Executive Officers</w:t>
      </w:r>
    </w:p>
    <w:p>
      <w:pPr>
        <w:spacing w:after="0" w:line="12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 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TSL Advisers, LLC is our external manager. Our Adviser is a Delaware limited liability company. Our Adviser acts as our investment adviser and administrator and is a registered investment adviser with the SEC under the Advisers Act.</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Adviser sources and manages our portfolio through our Investment Team,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See “The Company—About TSLX—Our Investment Adviser” for a further description of TSSP and TPG.</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AND OTHER AGREEMENTS</w:t>
      </w:r>
    </w:p>
    <w:p>
      <w:pPr>
        <w:spacing w:after="0" w:line="229" w:lineRule="exact"/>
        <w:rPr>
          <w:sz w:val="20"/>
          <w:szCs w:val="20"/>
          <w:color w:val="auto"/>
        </w:rPr>
      </w:pPr>
    </w:p>
    <w:p>
      <w:pPr>
        <w:ind w:right="560" w:firstLine="456"/>
        <w:spacing w:after="0" w:line="264" w:lineRule="auto"/>
        <w:rPr>
          <w:sz w:val="20"/>
          <w:szCs w:val="20"/>
          <w:color w:val="auto"/>
        </w:rPr>
      </w:pPr>
      <w:r>
        <w:rPr>
          <w:rFonts w:ascii="Arial" w:cs="Arial" w:eastAsia="Arial" w:hAnsi="Arial"/>
          <w:sz w:val="18"/>
          <w:szCs w:val="18"/>
          <w:color w:val="auto"/>
        </w:rPr>
        <w:t>The following description is a summary of the material terms of the Investment Advisory Agreement, Administration Agreement and License Agreement. This summary is not necessarily complete, and we refer you to these agreements as filed as exhibits to our SEC filings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 Administration Agreement; License Agreement</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those changes;</w:t>
      </w:r>
    </w:p>
    <w:p>
      <w:pPr>
        <w:spacing w:after="0" w:line="153" w:lineRule="exact"/>
        <w:rPr>
          <w:rFonts w:ascii="Arial" w:cs="Arial" w:eastAsia="Arial" w:hAnsi="Arial"/>
          <w:sz w:val="16"/>
          <w:szCs w:val="16"/>
          <w:color w:val="auto"/>
        </w:rPr>
      </w:pPr>
    </w:p>
    <w:p>
      <w:pPr>
        <w:ind w:left="900" w:right="28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closes, monitors and administers the investments we make, including the exercise of any rights in our capacity as a lender or equity holder; and</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terms of the Investment Advisory Agreement, we pay the Adviser the Management Fee and may also pay the Incentive Fees.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 ended December 31, 2015, Management Fees were $21.3 million.</w:t>
      </w:r>
    </w:p>
    <w:p>
      <w:pPr>
        <w:spacing w:after="0" w:line="225"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Adviser has voluntarily waived the Management Fee on our ownership of the TICC Shares for any period in which TICC Capital Corp. remains a portfolio company of the Company. For the year ended December 31, 2015, Management Fees of $0.1 million were waived, consisting solely of Management Fees attributable to our ownership of the TICC Shares. Any waived Management Fees are not subject to recoupment by the Adviser.</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w:t>
      </w:r>
    </w:p>
    <w:p>
      <w:pPr>
        <w:spacing w:after="0" w:line="46"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9" w:lineRule="exact"/>
        <w:rPr>
          <w:sz w:val="20"/>
          <w:szCs w:val="20"/>
          <w:color w:val="auto"/>
        </w:rPr>
      </w:pPr>
    </w:p>
    <w:p>
      <w:pPr>
        <w:ind w:left="920" w:right="16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hanging="446"/>
        <w:spacing w:after="0" w:line="270" w:lineRule="auto"/>
        <w:tabs>
          <w:tab w:leader="none" w:pos="9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depreciation. We refer to this component of the Incentive Fee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appreciation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182"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79"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accrue the Incentive Fee taking into account unrealized gains and losses; however, Section 205(b)(3) of the Advisers Act, as amended, prohibits the Adviser from receiving the payment of fees until those gains are realized, if ever. There can be no assurance that such unrealized gains will be realized in the future. For the year ended December 31, 2015, Incentive Fees were $20.2 million, comprised of fees related to pre-incentive fee net investment income. For the year ended December 31, 2015, no incentive fees were accrued related to capital gains.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Adviser has voluntarily waived the Incentive Fees attributable to pre-Incentive Fee net investment income accrued by us as a result of our ownership of the TICC Shares for any period in which TICC Capital Corp. remains our portfolio company. The Adviser has not waived any part of the Capital Gains Fee attributable to our ownership of the TICC Shares and, accordingly, any realized capital gains or losses and unrealized capital depreciation with respect to the TICC Shares will be applied against our cumulative realized capital gains on which the Capital Gains Fee is calculated.</w:t>
      </w:r>
    </w:p>
    <w:p>
      <w:pPr>
        <w:spacing w:after="0" w:line="15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our ownership of the TICC Shares. Any waived Incentive Fees are not subject to recoupment by the Adviser.</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Since our IPO, with the exception of its waiver of Management Fees and certain Incentive Fees attributable to our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our ownership of the TICC Shares, as the Adviser can discontinue the voluntary waiver at any time. Accordingly, we may be required to continue to pay the full amount of the Management Fee and Incentive Fee, including with respect to the TICC Shares, in future periods.</w:t>
      </w:r>
    </w:p>
    <w:p>
      <w:pPr>
        <w:spacing w:after="0" w:line="188"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through November 2016,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4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See “—Payment of Our Expenses”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2015, we incurred expenses of $3.6 million for administrative services payable under the terms of the Administration Agreement.</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through November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spend time on those related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activities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80"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24"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graphical representation of the calculation of the income-related portion of the Incentive Fee:</w:t>
      </w:r>
    </w:p>
    <w:p>
      <w:pPr>
        <w:spacing w:after="0" w:line="200" w:lineRule="exact"/>
        <w:rPr>
          <w:sz w:val="20"/>
          <w:szCs w:val="20"/>
          <w:color w:val="auto"/>
        </w:rPr>
      </w:pPr>
    </w:p>
    <w:p>
      <w:pPr>
        <w:spacing w:after="0" w:line="23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Quarterly Incentive Fee Based on Net Investment Income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169545</wp:posOffset>
            </wp:positionV>
            <wp:extent cx="4528185" cy="8407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281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Percentage of pre-Incentive Fee net investment income allocated to income-related portion of Incentive Fee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1.425%</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 does not exceed hurdle rate, therefore there is no Incentive Fee.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2.375%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pre-Incentive Fee net investment income, subject to the “catch-up” (4)</w:t>
      </w:r>
    </w:p>
    <w:p>
      <w:pPr>
        <w:spacing w:after="0" w:line="9" w:lineRule="exact"/>
        <w:rPr>
          <w:sz w:val="20"/>
          <w:szCs w:val="20"/>
          <w:color w:val="auto"/>
        </w:rPr>
      </w:pPr>
    </w:p>
    <w:p>
      <w:pPr>
        <w:ind w:left="1060" w:hanging="139"/>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100% × (1.8% – 1.5%)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0.3%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dividends, fees, etc.) = 3.5%</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 rate (1) = 1.5%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fee (2) = 0.375%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 (3) = 0.20%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(investment income – (management fee + other expenses)) = 2.925%</w:t>
      </w:r>
    </w:p>
    <w:p>
      <w:pPr>
        <w:spacing w:after="0" w:line="9" w:lineRule="exact"/>
        <w:rPr>
          <w:sz w:val="20"/>
          <w:szCs w:val="20"/>
          <w:color w:val="auto"/>
        </w:rPr>
      </w:pPr>
    </w:p>
    <w:p>
      <w:pPr>
        <w:ind w:left="460" w:right="3640"/>
        <w:spacing w:after="0" w:line="250" w:lineRule="auto"/>
        <w:rPr>
          <w:sz w:val="20"/>
          <w:szCs w:val="20"/>
          <w:color w:val="auto"/>
        </w:rPr>
      </w:pPr>
      <w:r>
        <w:rPr>
          <w:rFonts w:ascii="Arial" w:cs="Arial" w:eastAsia="Arial" w:hAnsi="Arial"/>
          <w:sz w:val="18"/>
          <w:szCs w:val="18"/>
          <w:color w:val="auto"/>
        </w:rPr>
        <w:t>Incentive Fee = 17.5% × pre-Incentive Fee net investment income, subject to “catch-up” (4) Incentive Fee = 100% × “catch-up” + (17.5% × (pre-Incentive Fee net investment income – 1.82%)) Catch-up = 1.82% – 1.5% = 0.32%</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Incentive Fee = (100% × 0.32%) + (17.5% × (2.925% – 1.82%))</w:t>
      </w:r>
    </w:p>
    <w:p>
      <w:pPr>
        <w:spacing w:after="0" w:line="9" w:lineRule="exact"/>
        <w:rPr>
          <w:sz w:val="20"/>
          <w:szCs w:val="20"/>
          <w:color w:val="auto"/>
        </w:rPr>
      </w:pPr>
    </w:p>
    <w:p>
      <w:pPr>
        <w:ind w:left="1060" w:hanging="139"/>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0.32% + (17.5% × 1.105%)</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0.32% + 0.193%</w:t>
      </w:r>
    </w:p>
    <w:p>
      <w:pPr>
        <w:spacing w:after="0" w:line="9" w:lineRule="exact"/>
        <w:rPr>
          <w:rFonts w:ascii="Arial" w:cs="Arial" w:eastAsia="Arial" w:hAnsi="Arial"/>
          <w:sz w:val="18"/>
          <w:szCs w:val="18"/>
          <w:color w:val="auto"/>
        </w:rPr>
      </w:pPr>
    </w:p>
    <w:p>
      <w:pPr>
        <w:ind w:left="1060" w:hanging="139"/>
        <w:spacing w:after="0"/>
        <w:tabs>
          <w:tab w:leader="none" w:pos="10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0.513%</w:t>
      </w:r>
    </w:p>
    <w:p>
      <w:pPr>
        <w:spacing w:after="0" w:line="237"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6.0% annualized hurdle rate.</w:t>
      </w:r>
    </w:p>
    <w:p>
      <w:pPr>
        <w:spacing w:after="0" w:line="252"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Represents 1.5% annualized management fee. For the purposes of these examples the management fee is assumed to be based on net assets, rather than gross assets.</w:t>
      </w:r>
    </w:p>
    <w:p>
      <w:pPr>
        <w:spacing w:after="0" w:line="197" w:lineRule="exact"/>
        <w:rPr>
          <w:rFonts w:ascii="Arial" w:cs="Arial" w:eastAsia="Arial" w:hAnsi="Arial"/>
          <w:sz w:val="18"/>
          <w:szCs w:val="18"/>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40"/>
          </w:cols>
          <w:pgMar w:left="240" w:top="459" w:right="3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80" w:hanging="452"/>
        <w:spacing w:after="0" w:line="291"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“catch-up” provision is intended to provide the Adviser with an Incentive Fee of 17.5% on all of our pre-Incentive Fee net investment income as if a hurdle rate did not apply when our net investment income exceeds 1.5% in any calendar quarter and is not applied once the Adviser has received</w:t>
      </w:r>
    </w:p>
    <w:p>
      <w:pPr>
        <w:ind w:left="460" w:right="160"/>
        <w:spacing w:after="0" w:line="290" w:lineRule="auto"/>
        <w:rPr>
          <w:rFonts w:ascii="Arial" w:cs="Arial" w:eastAsia="Arial" w:hAnsi="Arial"/>
          <w:sz w:val="16"/>
          <w:szCs w:val="16"/>
          <w:color w:val="auto"/>
        </w:rPr>
      </w:pPr>
      <w:r>
        <w:rPr>
          <w:rFonts w:ascii="Arial" w:cs="Arial" w:eastAsia="Arial" w:hAnsi="Arial"/>
          <w:sz w:val="17"/>
          <w:szCs w:val="17"/>
          <w:color w:val="auto"/>
        </w:rPr>
        <w:t>17.5% of investment income in a quarter. The “catch-up” portion of our pre-Incentive Fee Net Investment Income is the portion that exceeds the 1.5% hurdle rate but is less than or equal to approximately 1.82% (that is, 1.5% divided by (1 – 0.175)) in any fiscal quarter.</w:t>
      </w:r>
    </w:p>
    <w:p>
      <w:pPr>
        <w:spacing w:after="0" w:line="189"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131" w:lineRule="exact"/>
        <w:rPr>
          <w:sz w:val="20"/>
          <w:szCs w:val="20"/>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1: $10 million investment made in Company A (“Investment A”), $10 million investment made in Company B (“Investment B”),</w:t>
      </w:r>
    </w:p>
    <w:p>
      <w:pPr>
        <w:spacing w:after="0" w:line="23" w:lineRule="exact"/>
        <w:rPr>
          <w:rFonts w:ascii="Arial" w:cs="Arial" w:eastAsia="Arial" w:hAnsi="Arial"/>
          <w:sz w:val="18"/>
          <w:szCs w:val="18"/>
          <w:color w:val="auto"/>
        </w:rPr>
      </w:pPr>
    </w:p>
    <w:p>
      <w:pPr>
        <w:ind w:left="900" w:right="240"/>
        <w:spacing w:after="0" w:line="261" w:lineRule="auto"/>
        <w:rPr>
          <w:rFonts w:ascii="Arial" w:cs="Arial" w:eastAsia="Arial" w:hAnsi="Arial"/>
          <w:sz w:val="18"/>
          <w:szCs w:val="18"/>
          <w:color w:val="auto"/>
        </w:rPr>
      </w:pPr>
      <w:r>
        <w:rPr>
          <w:rFonts w:ascii="Arial" w:cs="Arial" w:eastAsia="Arial" w:hAnsi="Arial"/>
          <w:sz w:val="18"/>
          <w:szCs w:val="18"/>
          <w:color w:val="auto"/>
        </w:rPr>
        <w:t>$10 million investment made in Company C (“Investment C”), $10 million investment made in Company D (“Investment D”) and $10 million investment made in Company E (“Investment E”).</w:t>
      </w:r>
    </w:p>
    <w:p>
      <w:pPr>
        <w:spacing w:after="0" w:line="89"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2: Investment A sold for $20 million, fair market value (“FMV”) of Investment B determined to be $8 million, FMV of Investment C determined to be $12 million, and FMV of Investments D and E each determined to be $10 million.</w:t>
      </w:r>
    </w:p>
    <w:p>
      <w:pPr>
        <w:spacing w:after="0" w:line="75" w:lineRule="exact"/>
        <w:rPr>
          <w:rFonts w:ascii="Arial" w:cs="Arial" w:eastAsia="Arial" w:hAnsi="Arial"/>
          <w:sz w:val="18"/>
          <w:szCs w:val="18"/>
          <w:color w:val="auto"/>
        </w:rPr>
      </w:pPr>
    </w:p>
    <w:p>
      <w:pPr>
        <w:ind w:left="900" w:right="48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Year 3: IPO of the Company occurs. At IPO, FMV of Investment of B determined to be $8 million, FMV of Investment C determined to be $14 million, FMV of Investment D determined to be $14 million and FMV of Investment E determined to be $16 million.</w:t>
      </w:r>
    </w:p>
    <w:p>
      <w:pPr>
        <w:spacing w:after="0" w:line="51" w:lineRule="exact"/>
        <w:rPr>
          <w:rFonts w:ascii="Arial" w:cs="Arial" w:eastAsia="Arial" w:hAnsi="Arial"/>
          <w:sz w:val="17"/>
          <w:szCs w:val="17"/>
          <w:color w:val="auto"/>
        </w:rPr>
      </w:pPr>
    </w:p>
    <w:p>
      <w:pPr>
        <w:ind w:left="900" w:right="20" w:hanging="325"/>
        <w:spacing w:after="0" w:line="308"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Year 4: $10 million investment made in Company F (“Investment F”), Investment D sold for $12 million, FMV of Investment B determined to be $10 million, FMV of Investment C determined to be $16 million and FMV of Investment E determined to be $14 million.</w:t>
      </w:r>
    </w:p>
    <w:p>
      <w:pPr>
        <w:spacing w:after="0" w:line="51" w:lineRule="exact"/>
        <w:rPr>
          <w:rFonts w:ascii="Arial" w:cs="Arial" w:eastAsia="Arial" w:hAnsi="Arial"/>
          <w:sz w:val="17"/>
          <w:szCs w:val="17"/>
          <w:color w:val="auto"/>
        </w:rPr>
      </w:pPr>
    </w:p>
    <w:p>
      <w:pPr>
        <w:ind w:left="900" w:right="76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5: Investment C sold for $20 million, FMV of Investment B determined to be $14 million, FMV of Investment E determined to be $10 million and FMV of Investment F determined to $12 million.</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6: Investment B sold for $16 million, FMV of Investment E determined to be $8 million and FMV of Investment F determined to be $15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7: Investment E sold for $8 million and FMV of Investment F determined to be $17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Year 8: Investment F sold for $18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assumptions are summarized in the following chart: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1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20" w:type="dxa"/>
            <w:vAlign w:val="bottom"/>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Investment</w:t>
            </w:r>
          </w:p>
        </w:tc>
        <w:tc>
          <w:tcPr>
            <w:tcW w:w="900" w:type="dxa"/>
            <w:vAlign w:val="bottom"/>
          </w:tcPr>
          <w:p>
            <w:pPr>
              <w:ind w:left="140"/>
              <w:spacing w:after="0" w:line="135" w:lineRule="exact"/>
              <w:rPr>
                <w:sz w:val="20"/>
                <w:szCs w:val="20"/>
                <w:color w:val="auto"/>
              </w:rPr>
            </w:pPr>
            <w:r>
              <w:rPr>
                <w:rFonts w:ascii="Arial" w:cs="Arial" w:eastAsia="Arial" w:hAnsi="Arial"/>
                <w:sz w:val="13"/>
                <w:szCs w:val="13"/>
                <w:b w:val="1"/>
                <w:bCs w:val="1"/>
                <w:color w:val="auto"/>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Capital</w:t>
            </w: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A</w:t>
            </w:r>
          </w:p>
        </w:tc>
        <w:tc>
          <w:tcPr>
            <w:tcW w:w="920" w:type="dxa"/>
            <w:vAlign w:val="bottom"/>
          </w:tcPr>
          <w:p>
            <w:pPr>
              <w:ind w:left="420"/>
              <w:spacing w:after="0"/>
              <w:rPr>
                <w:sz w:val="20"/>
                <w:szCs w:val="20"/>
                <w:color w:val="auto"/>
              </w:rPr>
            </w:pPr>
            <w:r>
              <w:rPr>
                <w:rFonts w:ascii="Arial" w:cs="Arial" w:eastAsia="Arial" w:hAnsi="Arial"/>
                <w:sz w:val="13"/>
                <w:szCs w:val="13"/>
                <w:b w:val="1"/>
                <w:bCs w:val="1"/>
                <w:color w:val="auto"/>
              </w:rPr>
              <w:t>B</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C</w:t>
            </w:r>
          </w:p>
        </w:tc>
        <w:tc>
          <w:tcPr>
            <w:tcW w:w="1040" w:type="dxa"/>
            <w:vAlign w:val="bottom"/>
            <w:gridSpan w:val="2"/>
          </w:tcPr>
          <w:p>
            <w:pPr>
              <w:ind w:left="420"/>
              <w:spacing w:after="0"/>
              <w:rPr>
                <w:sz w:val="20"/>
                <w:szCs w:val="20"/>
                <w:color w:val="auto"/>
              </w:rPr>
            </w:pPr>
            <w:r>
              <w:rPr>
                <w:rFonts w:ascii="Arial" w:cs="Arial" w:eastAsia="Arial" w:hAnsi="Arial"/>
                <w:sz w:val="13"/>
                <w:szCs w:val="13"/>
                <w:b w:val="1"/>
                <w:bCs w:val="1"/>
                <w:color w:val="auto"/>
              </w:rPr>
              <w:t>D</w:t>
            </w:r>
          </w:p>
        </w:tc>
        <w:tc>
          <w:tcPr>
            <w:tcW w:w="900" w:type="dxa"/>
            <w:vAlign w:val="bottom"/>
          </w:tcPr>
          <w:p>
            <w:pPr>
              <w:ind w:left="400"/>
              <w:spacing w:after="0"/>
              <w:rPr>
                <w:sz w:val="20"/>
                <w:szCs w:val="20"/>
                <w:color w:val="auto"/>
              </w:rPr>
            </w:pPr>
            <w:r>
              <w:rPr>
                <w:rFonts w:ascii="Arial" w:cs="Arial" w:eastAsia="Arial" w:hAnsi="Arial"/>
                <w:sz w:val="13"/>
                <w:szCs w:val="13"/>
                <w:b w:val="1"/>
                <w:bCs w:val="1"/>
                <w:color w:val="auto"/>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Depreciation</w:t>
            </w: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15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1</w:t>
            </w:r>
          </w:p>
        </w:tc>
        <w:tc>
          <w:tcPr>
            <w:tcW w:w="8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$10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7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ind w:left="680"/>
              <w:spacing w:after="0" w:line="126" w:lineRule="exact"/>
              <w:rPr>
                <w:sz w:val="20"/>
                <w:szCs w:val="20"/>
                <w:color w:val="auto"/>
              </w:rPr>
            </w:pPr>
            <w:r>
              <w:rPr>
                <w:rFonts w:ascii="Arial" w:cs="Arial" w:eastAsia="Arial" w:hAnsi="Arial"/>
                <w:sz w:val="14"/>
                <w:szCs w:val="14"/>
                <w:color w:val="auto"/>
              </w:rPr>
              <w:t>—</w:t>
            </w:r>
          </w:p>
        </w:tc>
      </w:tr>
      <w:tr>
        <w:trPr>
          <w:trHeight w:val="167"/>
        </w:trPr>
        <w:tc>
          <w:tcPr>
            <w:tcW w:w="1580" w:type="dxa"/>
            <w:vAlign w:val="bottom"/>
            <w:shd w:val="clear" w:color="auto" w:fill="CCEEFF"/>
          </w:tcPr>
          <w:p>
            <w:pPr>
              <w:spacing w:after="0"/>
              <w:rPr>
                <w:sz w:val="14"/>
                <w:szCs w:val="14"/>
                <w:color w:val="auto"/>
              </w:rPr>
            </w:pPr>
          </w:p>
        </w:tc>
        <w:tc>
          <w:tcPr>
            <w:tcW w:w="1880" w:type="dxa"/>
            <w:vAlign w:val="bottom"/>
            <w:gridSpan w:val="3"/>
            <w:shd w:val="clear" w:color="auto" w:fill="CCEEFF"/>
          </w:tcPr>
          <w:p>
            <w:pPr>
              <w:ind w:left="840"/>
              <w:spacing w:after="0"/>
              <w:rPr>
                <w:sz w:val="20"/>
                <w:szCs w:val="20"/>
                <w:color w:val="auto"/>
              </w:rPr>
            </w:pPr>
            <w:r>
              <w:rPr>
                <w:rFonts w:ascii="Arial" w:cs="Arial" w:eastAsia="Arial" w:hAnsi="Arial"/>
                <w:sz w:val="14"/>
                <w:szCs w:val="14"/>
                <w:color w:val="auto"/>
              </w:rPr>
              <w:t>(cost basis)</w:t>
            </w: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(cost basis)</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basis)</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(cost basis)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2</w:t>
            </w:r>
          </w:p>
        </w:tc>
        <w:tc>
          <w:tcPr>
            <w:tcW w:w="1880" w:type="dxa"/>
            <w:vAlign w:val="bottom"/>
            <w:gridSpan w:val="3"/>
          </w:tcPr>
          <w:p>
            <w:pPr>
              <w:ind w:left="840"/>
              <w:spacing w:after="0" w:line="130" w:lineRule="exact"/>
              <w:rPr>
                <w:sz w:val="20"/>
                <w:szCs w:val="20"/>
                <w:color w:val="auto"/>
              </w:rPr>
            </w:pPr>
            <w:r>
              <w:rPr>
                <w:rFonts w:ascii="Arial" w:cs="Arial" w:eastAsia="Arial" w:hAnsi="Arial"/>
                <w:sz w:val="14"/>
                <w:szCs w:val="14"/>
                <w:color w:val="auto"/>
              </w:rPr>
              <w:t>$20 million</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$12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$10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00" w:type="dxa"/>
            <w:vAlign w:val="bottom"/>
          </w:tcPr>
          <w:p>
            <w:pPr>
              <w:spacing w:after="0"/>
              <w:rPr>
                <w:sz w:val="11"/>
                <w:szCs w:val="11"/>
                <w:color w:val="auto"/>
              </w:rPr>
            </w:pPr>
          </w:p>
        </w:tc>
        <w:tc>
          <w:tcPr>
            <w:tcW w:w="102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tcPr>
          <w:p>
            <w:pPr>
              <w:spacing w:after="0"/>
              <w:rPr>
                <w:sz w:val="14"/>
                <w:szCs w:val="14"/>
                <w:color w:val="auto"/>
              </w:rPr>
            </w:pPr>
          </w:p>
        </w:tc>
        <w:tc>
          <w:tcPr>
            <w:tcW w:w="1880" w:type="dxa"/>
            <w:vAlign w:val="bottom"/>
            <w:gridSpan w:val="3"/>
          </w:tcPr>
          <w:p>
            <w:pPr>
              <w:ind w:left="840"/>
              <w:spacing w:after="0"/>
              <w:rPr>
                <w:sz w:val="20"/>
                <w:szCs w:val="20"/>
                <w:color w:val="auto"/>
              </w:rPr>
            </w:pPr>
            <w:r>
              <w:rPr>
                <w:rFonts w:ascii="Arial" w:cs="Arial" w:eastAsia="Arial" w:hAnsi="Arial"/>
                <w:sz w:val="14"/>
                <w:szCs w:val="14"/>
                <w:color w:val="auto"/>
              </w:rPr>
              <w:t>(sale price)</w:t>
            </w: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3 (IPO)</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$8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$14 million</w:t>
            </w:r>
          </w:p>
        </w:tc>
        <w:tc>
          <w:tcPr>
            <w:tcW w:w="1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$16 million</w:t>
            </w:r>
          </w:p>
        </w:tc>
        <w:tc>
          <w:tcPr>
            <w:tcW w:w="10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FMV at IPO</w:t>
            </w: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FMV at IPO</w:t>
            </w: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 at IPO</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Year 4</w:t>
            </w:r>
          </w:p>
        </w:tc>
        <w:tc>
          <w:tcPr>
            <w:tcW w:w="84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tcPr>
          <w:p>
            <w:pPr>
              <w:spacing w:after="0" w:line="130" w:lineRule="exact"/>
              <w:rPr>
                <w:sz w:val="20"/>
                <w:szCs w:val="20"/>
                <w:color w:val="auto"/>
              </w:rPr>
            </w:pPr>
            <w:r>
              <w:rPr>
                <w:rFonts w:ascii="Arial" w:cs="Arial" w:eastAsia="Arial" w:hAnsi="Arial"/>
                <w:sz w:val="14"/>
                <w:szCs w:val="14"/>
                <w:color w:val="auto"/>
              </w:rPr>
              <w:t>$10 million</w:t>
            </w:r>
          </w:p>
        </w:tc>
        <w:tc>
          <w:tcPr>
            <w:tcW w:w="116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$16 million</w:t>
            </w:r>
          </w:p>
        </w:tc>
        <w:tc>
          <w:tcPr>
            <w:tcW w:w="1040" w:type="dxa"/>
            <w:vAlign w:val="bottom"/>
            <w:gridSpan w:val="2"/>
          </w:tcPr>
          <w:p>
            <w:pPr>
              <w:spacing w:after="0" w:line="130" w:lineRule="exact"/>
              <w:rPr>
                <w:sz w:val="20"/>
                <w:szCs w:val="20"/>
                <w:color w:val="auto"/>
              </w:rPr>
            </w:pPr>
            <w:r>
              <w:rPr>
                <w:rFonts w:ascii="Arial" w:cs="Arial" w:eastAsia="Arial" w:hAnsi="Arial"/>
                <w:sz w:val="14"/>
                <w:szCs w:val="14"/>
                <w:color w:val="auto"/>
              </w:rPr>
              <w:t>$12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$14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$10 million</w:t>
            </w:r>
          </w:p>
        </w:tc>
        <w:tc>
          <w:tcPr>
            <w:tcW w:w="1020" w:type="dxa"/>
            <w:vAlign w:val="bottom"/>
            <w:gridSpan w:val="2"/>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$12 million</w:t>
            </w:r>
          </w:p>
        </w:tc>
      </w:tr>
      <w:tr>
        <w:trPr>
          <w:trHeight w:val="167"/>
        </w:trPr>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tcPr>
          <w:p>
            <w:pPr>
              <w:ind w:left="120"/>
              <w:spacing w:after="0"/>
              <w:rPr>
                <w:sz w:val="20"/>
                <w:szCs w:val="20"/>
                <w:color w:val="auto"/>
              </w:rPr>
            </w:pPr>
            <w:r>
              <w:rPr>
                <w:rFonts w:ascii="Arial" w:cs="Arial" w:eastAsia="Arial" w:hAnsi="Arial"/>
                <w:sz w:val="14"/>
                <w:szCs w:val="14"/>
                <w:color w:val="auto"/>
              </w:rPr>
              <w:t>FMV</w:t>
            </w:r>
          </w:p>
        </w:tc>
        <w:tc>
          <w:tcPr>
            <w:tcW w:w="1040" w:type="dxa"/>
            <w:vAlign w:val="bottom"/>
            <w:gridSpan w:val="2"/>
          </w:tcPr>
          <w:p>
            <w:pPr>
              <w:spacing w:after="0"/>
              <w:rPr>
                <w:sz w:val="20"/>
                <w:szCs w:val="20"/>
                <w:color w:val="auto"/>
              </w:rPr>
            </w:pPr>
            <w:r>
              <w:rPr>
                <w:rFonts w:ascii="Arial" w:cs="Arial" w:eastAsia="Arial" w:hAnsi="Arial"/>
                <w:sz w:val="14"/>
                <w:szCs w:val="14"/>
                <w:color w:val="auto"/>
              </w:rPr>
              <w:t>(sale price)</w:t>
            </w:r>
          </w:p>
        </w:tc>
        <w:tc>
          <w:tcPr>
            <w:tcW w:w="900" w:type="dxa"/>
            <w:vAlign w:val="bottom"/>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(cost basis)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5</w:t>
            </w:r>
          </w:p>
        </w:tc>
        <w:tc>
          <w:tcPr>
            <w:tcW w:w="84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$14 million</w:t>
            </w:r>
          </w:p>
        </w:tc>
        <w:tc>
          <w:tcPr>
            <w:tcW w:w="11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$20 million</w:t>
            </w: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$10 million</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$12 million</w:t>
            </w:r>
          </w:p>
        </w:tc>
        <w:tc>
          <w:tcPr>
            <w:tcW w:w="102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$22 million</w:t>
            </w:r>
          </w:p>
        </w:tc>
      </w:tr>
      <w:tr>
        <w:trPr>
          <w:trHeight w:val="167"/>
        </w:trPr>
        <w:tc>
          <w:tcPr>
            <w:tcW w:w="15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c>
          <w:tcPr>
            <w:tcW w:w="120" w:type="dxa"/>
            <w:vAlign w:val="bottom"/>
          </w:tcPr>
          <w:p>
            <w:pPr>
              <w:spacing w:after="0"/>
              <w:rPr>
                <w:sz w:val="13"/>
                <w:szCs w:val="13"/>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8"/>
              </w:rPr>
              <w:t>Cumulative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Cumulative</w:t>
            </w:r>
          </w:p>
        </w:tc>
      </w:tr>
      <w:tr>
        <w:trPr>
          <w:trHeight w:val="135"/>
        </w:trPr>
        <w:tc>
          <w:tcPr>
            <w:tcW w:w="2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Realized</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Realized</w:t>
            </w:r>
          </w:p>
        </w:tc>
      </w:tr>
      <w:tr>
        <w:trPr>
          <w:trHeight w:val="135"/>
        </w:trPr>
        <w:tc>
          <w:tcPr>
            <w:tcW w:w="288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20" w:type="dxa"/>
            <w:vAlign w:val="bottom"/>
          </w:tcPr>
          <w:p>
            <w:pPr>
              <w:spacing w:after="0"/>
              <w:rPr>
                <w:sz w:val="11"/>
                <w:szCs w:val="11"/>
                <w:color w:val="auto"/>
              </w:rPr>
            </w:pPr>
          </w:p>
        </w:tc>
        <w:tc>
          <w:tcPr>
            <w:tcW w:w="10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Investment</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Investment</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Capital</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r>
      <w:tr>
        <w:trPr>
          <w:trHeight w:val="164"/>
        </w:trPr>
        <w:tc>
          <w:tcPr>
            <w:tcW w:w="28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4"/>
              </w:rPr>
              <w:t>A</w:t>
            </w: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B</w:t>
            </w:r>
          </w:p>
        </w:tc>
        <w:tc>
          <w:tcPr>
            <w:tcW w:w="9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rPr>
              <w:t>D</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1"/>
              </w:rPr>
              <w:t>E</w:t>
            </w: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F</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8"/>
              </w:rPr>
              <w:t>Depreciation</w:t>
            </w:r>
          </w:p>
        </w:tc>
        <w:tc>
          <w:tcPr>
            <w:tcW w:w="1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75"/>
              </w:rPr>
              <w:t>Losses</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82"/>
              </w:rPr>
              <w:t>Gains</w:t>
            </w:r>
          </w:p>
        </w:tc>
      </w:tr>
      <w:tr>
        <w:trPr>
          <w:trHeight w:val="126"/>
        </w:trPr>
        <w:tc>
          <w:tcPr>
            <w:tcW w:w="2880" w:type="dxa"/>
            <w:vAlign w:val="bottom"/>
            <w:tcBorders>
              <w:top w:val="single" w:sz="8" w:color="CCEEFF"/>
            </w:tcBorders>
            <w:shd w:val="clear" w:color="auto" w:fill="CCEEFF"/>
          </w:tcPr>
          <w:p>
            <w:pPr>
              <w:spacing w:after="0" w:line="126" w:lineRule="exact"/>
              <w:rPr>
                <w:sz w:val="20"/>
                <w:szCs w:val="20"/>
                <w:color w:val="auto"/>
              </w:rPr>
            </w:pPr>
            <w:r>
              <w:rPr>
                <w:rFonts w:ascii="Arial" w:cs="Arial" w:eastAsia="Arial" w:hAnsi="Arial"/>
                <w:sz w:val="14"/>
                <w:szCs w:val="14"/>
                <w:color w:val="auto"/>
              </w:rPr>
              <w:t>Year 6</w:t>
            </w:r>
          </w:p>
        </w:tc>
        <w:tc>
          <w:tcPr>
            <w:tcW w:w="80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$16 million</w:t>
            </w:r>
          </w:p>
        </w:tc>
        <w:tc>
          <w:tcPr>
            <w:tcW w:w="12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ind w:left="60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$8 million</w:t>
            </w:r>
          </w:p>
        </w:tc>
        <w:tc>
          <w:tcPr>
            <w:tcW w:w="10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$15 million</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 million</w:t>
            </w:r>
          </w:p>
        </w:tc>
        <w:tc>
          <w:tcPr>
            <w:tcW w:w="12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26"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4"/>
                <w:szCs w:val="14"/>
                <w:color w:val="auto"/>
              </w:rPr>
              <w:t>$28 million</w:t>
            </w:r>
          </w:p>
        </w:tc>
      </w:tr>
      <w:tr>
        <w:trPr>
          <w:trHeight w:val="167"/>
        </w:trPr>
        <w:tc>
          <w:tcPr>
            <w:tcW w:w="2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(sale price)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FMV</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30"/>
        </w:trPr>
        <w:tc>
          <w:tcPr>
            <w:tcW w:w="2880" w:type="dxa"/>
            <w:vAlign w:val="bottom"/>
          </w:tcPr>
          <w:p>
            <w:pPr>
              <w:spacing w:after="0" w:line="130" w:lineRule="exact"/>
              <w:rPr>
                <w:sz w:val="20"/>
                <w:szCs w:val="20"/>
                <w:color w:val="auto"/>
              </w:rPr>
            </w:pPr>
            <w:r>
              <w:rPr>
                <w:rFonts w:ascii="Arial" w:cs="Arial" w:eastAsia="Arial" w:hAnsi="Arial"/>
                <w:sz w:val="14"/>
                <w:szCs w:val="14"/>
                <w:color w:val="auto"/>
              </w:rPr>
              <w:t>Year 7</w:t>
            </w:r>
          </w:p>
        </w:tc>
        <w:tc>
          <w:tcPr>
            <w:tcW w:w="8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40" w:type="dxa"/>
            <w:vAlign w:val="bottom"/>
            <w:gridSpan w:val="2"/>
          </w:tcPr>
          <w:p>
            <w:pPr>
              <w:ind w:left="7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line="130" w:lineRule="exact"/>
              <w:rPr>
                <w:sz w:val="20"/>
                <w:szCs w:val="20"/>
                <w:color w:val="auto"/>
              </w:rPr>
            </w:pPr>
            <w:r>
              <w:rPr>
                <w:rFonts w:ascii="Arial" w:cs="Arial" w:eastAsia="Arial" w:hAnsi="Arial"/>
                <w:sz w:val="14"/>
                <w:szCs w:val="14"/>
                <w:color w:val="auto"/>
              </w:rPr>
              <w:t>—</w:t>
            </w:r>
          </w:p>
        </w:tc>
        <w:tc>
          <w:tcPr>
            <w:tcW w:w="800" w:type="dxa"/>
            <w:vAlign w:val="bottom"/>
          </w:tcPr>
          <w:p>
            <w:pPr>
              <w:ind w:left="5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$8 million</w:t>
            </w:r>
          </w:p>
        </w:tc>
        <w:tc>
          <w:tcPr>
            <w:tcW w:w="1120" w:type="dxa"/>
            <w:vAlign w:val="bottom"/>
            <w:gridSpan w:val="3"/>
          </w:tcPr>
          <w:p>
            <w:pPr>
              <w:ind w:left="100"/>
              <w:spacing w:after="0" w:line="130" w:lineRule="exact"/>
              <w:rPr>
                <w:sz w:val="20"/>
                <w:szCs w:val="20"/>
                <w:color w:val="auto"/>
              </w:rPr>
            </w:pPr>
            <w:r>
              <w:rPr>
                <w:rFonts w:ascii="Arial" w:cs="Arial" w:eastAsia="Arial" w:hAnsi="Arial"/>
                <w:sz w:val="14"/>
                <w:szCs w:val="14"/>
                <w:color w:val="auto"/>
              </w:rPr>
              <w:t>$17 million</w:t>
            </w:r>
          </w:p>
        </w:tc>
        <w:tc>
          <w:tcPr>
            <w:tcW w:w="900" w:type="dxa"/>
            <w:vAlign w:val="bottom"/>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tcPr>
          <w:p>
            <w:pPr>
              <w:spacing w:after="0" w:line="130" w:lineRule="exact"/>
              <w:rPr>
                <w:sz w:val="20"/>
                <w:szCs w:val="20"/>
                <w:color w:val="auto"/>
              </w:rPr>
            </w:pPr>
            <w:r>
              <w:rPr>
                <w:rFonts w:ascii="Arial" w:cs="Arial" w:eastAsia="Arial" w:hAnsi="Arial"/>
                <w:sz w:val="14"/>
                <w:szCs w:val="14"/>
                <w:color w:val="auto"/>
              </w:rPr>
              <w:t>$28 million</w:t>
            </w:r>
          </w:p>
        </w:tc>
      </w:tr>
      <w:tr>
        <w:trPr>
          <w:trHeight w:val="167"/>
        </w:trPr>
        <w:tc>
          <w:tcPr>
            <w:tcW w:w="2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(sale price)</w:t>
            </w:r>
          </w:p>
        </w:tc>
        <w:tc>
          <w:tcPr>
            <w:tcW w:w="1120" w:type="dxa"/>
            <w:vAlign w:val="bottom"/>
            <w:gridSpan w:val="3"/>
          </w:tcPr>
          <w:p>
            <w:pPr>
              <w:ind w:left="100"/>
              <w:spacing w:after="0"/>
              <w:rPr>
                <w:sz w:val="20"/>
                <w:szCs w:val="20"/>
                <w:color w:val="auto"/>
              </w:rPr>
            </w:pPr>
            <w:r>
              <w:rPr>
                <w:rFonts w:ascii="Arial" w:cs="Arial" w:eastAsia="Arial" w:hAnsi="Arial"/>
                <w:sz w:val="14"/>
                <w:szCs w:val="14"/>
                <w:color w:val="auto"/>
              </w:rPr>
              <w:t>FMV</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30"/>
        </w:trPr>
        <w:tc>
          <w:tcPr>
            <w:tcW w:w="28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Year 8</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ind w:left="700"/>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ind w:left="580"/>
              <w:spacing w:after="0" w:line="130" w:lineRule="exact"/>
              <w:rPr>
                <w:sz w:val="20"/>
                <w:szCs w:val="20"/>
                <w:color w:val="auto"/>
              </w:rPr>
            </w:pPr>
            <w:r>
              <w:rPr>
                <w:rFonts w:ascii="Arial" w:cs="Arial" w:eastAsia="Arial" w:hAnsi="Arial"/>
                <w:sz w:val="14"/>
                <w:szCs w:val="14"/>
                <w:color w:val="auto"/>
              </w:rPr>
              <w:t>—</w:t>
            </w:r>
          </w:p>
        </w:tc>
        <w:tc>
          <w:tcPr>
            <w:tcW w:w="112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$18 million</w:t>
            </w:r>
          </w:p>
        </w:tc>
        <w:tc>
          <w:tcPr>
            <w:tcW w:w="900" w:type="dxa"/>
            <w:vAlign w:val="bottom"/>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$2 million</w:t>
            </w:r>
          </w:p>
        </w:tc>
        <w:tc>
          <w:tcPr>
            <w:tcW w:w="9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$36 million</w:t>
            </w:r>
          </w:p>
        </w:tc>
      </w:tr>
      <w:tr>
        <w:trPr>
          <w:trHeight w:val="167"/>
        </w:trPr>
        <w:tc>
          <w:tcPr>
            <w:tcW w:w="28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(sale price)</w:t>
            </w: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would be:</w:t>
      </w:r>
    </w:p>
    <w:p>
      <w:pPr>
        <w:spacing w:after="0" w:line="131"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1: None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Year 2:</w:t>
      </w:r>
    </w:p>
    <w:p>
      <w:pPr>
        <w:spacing w:after="0" w:line="117" w:lineRule="exact"/>
        <w:rPr>
          <w:sz w:val="20"/>
          <w:szCs w:val="20"/>
          <w:color w:val="auto"/>
        </w:rPr>
      </w:pPr>
    </w:p>
    <w:p>
      <w:pPr>
        <w:ind w:left="1840" w:right="20"/>
        <w:spacing w:after="0" w:line="277" w:lineRule="auto"/>
        <w:rPr>
          <w:sz w:val="20"/>
          <w:szCs w:val="20"/>
          <w:color w:val="auto"/>
        </w:rPr>
      </w:pPr>
      <w:r>
        <w:rPr>
          <w:rFonts w:ascii="Arial" w:cs="Arial" w:eastAsia="Arial" w:hAnsi="Arial"/>
          <w:sz w:val="18"/>
          <w:szCs w:val="18"/>
          <w:color w:val="auto"/>
        </w:rPr>
        <w:t xml:space="preserve">Capital Gains Fee = 15% multiplied by ($10 million realized capital gains on sale of Investment A less $2 million cumulative capital depreciation) = </w:t>
      </w:r>
      <w:r>
        <w:rPr>
          <w:rFonts w:ascii="Arial" w:cs="Arial" w:eastAsia="Arial" w:hAnsi="Arial"/>
          <w:sz w:val="18"/>
          <w:szCs w:val="18"/>
          <w:b w:val="1"/>
          <w:bCs w:val="1"/>
          <w:color w:val="auto"/>
        </w:rPr>
        <w:t>$1.2 million</w:t>
      </w:r>
    </w:p>
    <w:p>
      <w:pPr>
        <w:spacing w:after="0" w:line="76" w:lineRule="exact"/>
        <w:rPr>
          <w:sz w:val="20"/>
          <w:szCs w:val="20"/>
          <w:color w:val="auto"/>
        </w:rPr>
      </w:pPr>
    </w:p>
    <w:p>
      <w:pPr>
        <w:ind w:left="900" w:hanging="325"/>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Year 3:</w:t>
      </w:r>
    </w:p>
    <w:p>
      <w:pPr>
        <w:spacing w:after="0" w:line="117" w:lineRule="exact"/>
        <w:rPr>
          <w:sz w:val="20"/>
          <w:szCs w:val="20"/>
          <w:color w:val="auto"/>
        </w:rPr>
      </w:pPr>
    </w:p>
    <w:p>
      <w:pPr>
        <w:ind w:left="1840" w:right="220"/>
        <w:spacing w:after="0" w:line="342" w:lineRule="auto"/>
        <w:rPr>
          <w:sz w:val="20"/>
          <w:szCs w:val="20"/>
          <w:color w:val="auto"/>
        </w:rPr>
      </w:pPr>
      <w:r>
        <w:rPr>
          <w:rFonts w:ascii="Arial" w:cs="Arial" w:eastAsia="Arial" w:hAnsi="Arial"/>
          <w:sz w:val="16"/>
          <w:szCs w:val="16"/>
          <w:color w:val="auto"/>
        </w:rPr>
        <w:t xml:space="preserve">Capital Gains Fee = (Weighted Percentage multiplied by ($10 million cumulative realized capital gains less $2 million cumulative capital depreciation)) less $1.2 million cumulative Capital Gains Fee previously paid = $1.2 million less $1.2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20"/>
        <w:spacing w:after="0" w:line="277" w:lineRule="auto"/>
        <w:rPr>
          <w:sz w:val="20"/>
          <w:szCs w:val="20"/>
          <w:color w:val="auto"/>
        </w:rPr>
      </w:pPr>
      <w:r>
        <w:rPr>
          <w:rFonts w:ascii="Arial" w:cs="Arial" w:eastAsia="Arial" w:hAnsi="Arial"/>
          <w:sz w:val="18"/>
          <w:szCs w:val="18"/>
          <w:color w:val="auto"/>
        </w:rPr>
        <w:t xml:space="preserve">Weighted Percentage = (15% multiplied by ($10 million Pre-IPO Gain Amount divided by $10 million Total Gain Amount ))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Year 4:</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($12 million cumulative realized capital gains)) less $1.2 million cumulative Capital Gains Fee previously paid = $1.8 million less $1.2 million = </w:t>
      </w:r>
      <w:r>
        <w:rPr>
          <w:rFonts w:ascii="Arial" w:cs="Arial" w:eastAsia="Arial" w:hAnsi="Arial"/>
          <w:sz w:val="18"/>
          <w:szCs w:val="18"/>
          <w:b w:val="1"/>
          <w:bCs w:val="1"/>
          <w:color w:val="auto"/>
        </w:rPr>
        <w:t>$0.6 million</w:t>
      </w:r>
    </w:p>
    <w:p>
      <w:pPr>
        <w:spacing w:after="0" w:line="62" w:lineRule="exact"/>
        <w:rPr>
          <w:sz w:val="20"/>
          <w:szCs w:val="20"/>
          <w:color w:val="auto"/>
        </w:rPr>
      </w:pPr>
    </w:p>
    <w:p>
      <w:pPr>
        <w:ind w:left="1840" w:right="280"/>
        <w:spacing w:after="0" w:line="277" w:lineRule="auto"/>
        <w:rPr>
          <w:sz w:val="20"/>
          <w:szCs w:val="20"/>
          <w:color w:val="auto"/>
        </w:rPr>
      </w:pPr>
      <w:r>
        <w:rPr>
          <w:rFonts w:ascii="Arial" w:cs="Arial" w:eastAsia="Arial" w:hAnsi="Arial"/>
          <w:sz w:val="18"/>
          <w:szCs w:val="18"/>
          <w:color w:val="auto"/>
        </w:rPr>
        <w:t xml:space="preserve">Weighted Percentage = (15% multiplied by ($12 million Pre-IPO Gain Amount divided by $12 million Total Gain Amount)) plus (17.5% multiplied by ($0 Post-IPO Gain Amount divided by $10 million Total Gain Amount)) = </w:t>
      </w:r>
      <w:r>
        <w:rPr>
          <w:rFonts w:ascii="Arial" w:cs="Arial" w:eastAsia="Arial" w:hAnsi="Arial"/>
          <w:sz w:val="18"/>
          <w:szCs w:val="18"/>
          <w:b w:val="1"/>
          <w:bCs w:val="1"/>
          <w:color w:val="auto"/>
        </w:rPr>
        <w:t>15%</w:t>
      </w:r>
    </w:p>
    <w:p>
      <w:pPr>
        <w:spacing w:after="0" w:line="76"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Year 5:</w:t>
      </w:r>
    </w:p>
    <w:p>
      <w:pPr>
        <w:spacing w:after="0" w:line="117" w:lineRule="exact"/>
        <w:rPr>
          <w:sz w:val="20"/>
          <w:szCs w:val="20"/>
          <w:color w:val="auto"/>
        </w:rPr>
      </w:pPr>
    </w:p>
    <w:p>
      <w:pPr>
        <w:ind w:left="1840" w:right="800"/>
        <w:spacing w:after="0" w:line="277" w:lineRule="auto"/>
        <w:rPr>
          <w:sz w:val="20"/>
          <w:szCs w:val="20"/>
          <w:color w:val="auto"/>
        </w:rPr>
      </w:pPr>
      <w:r>
        <w:rPr>
          <w:rFonts w:ascii="Arial" w:cs="Arial" w:eastAsia="Arial" w:hAnsi="Arial"/>
          <w:sz w:val="18"/>
          <w:szCs w:val="18"/>
          <w:color w:val="auto"/>
        </w:rPr>
        <w:t xml:space="preserve">Capital Gains Fee = (Weighted Percentage multiplied by ($22 million cumulative realized capital gains)) less $1.8 million cumulative Capital Gains Fee previously paid = $3.45 million less $1.8 million = </w:t>
      </w:r>
      <w:r>
        <w:rPr>
          <w:rFonts w:ascii="Arial" w:cs="Arial" w:eastAsia="Arial" w:hAnsi="Arial"/>
          <w:sz w:val="18"/>
          <w:szCs w:val="18"/>
          <w:b w:val="1"/>
          <w:bCs w:val="1"/>
          <w:color w:val="auto"/>
        </w:rPr>
        <w:t>$1.65 million</w:t>
      </w:r>
    </w:p>
    <w:p>
      <w:pPr>
        <w:spacing w:after="0" w:line="62"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$22 million Total Gain Amount)) plus (17.5% multiplied by ($6 million Post-IPO Gain Amount divided by $22 million Total Gain Amount)) = </w:t>
      </w:r>
      <w:r>
        <w:rPr>
          <w:rFonts w:ascii="Arial" w:cs="Arial" w:eastAsia="Arial" w:hAnsi="Arial"/>
          <w:sz w:val="17"/>
          <w:szCs w:val="17"/>
          <w:b w:val="1"/>
          <w:bCs w:val="1"/>
          <w:color w:val="auto"/>
        </w:rPr>
        <w:t>15.68%</w:t>
      </w:r>
    </w:p>
    <w:p>
      <w:pPr>
        <w:spacing w:after="0" w:line="52" w:lineRule="exact"/>
        <w:rPr>
          <w:sz w:val="20"/>
          <w:szCs w:val="20"/>
          <w:color w:val="auto"/>
        </w:rPr>
      </w:pPr>
    </w:p>
    <w:p>
      <w:pPr>
        <w:ind w:left="900" w:hanging="325"/>
        <w:spacing w:after="0"/>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Year 6:</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($28 million cumulative realized capital gains less $2 million cumulative capital depreciation)) less $3.45 million cumulative Capital Gains Fee previously paid = $4.18 million less $3.45 million = </w:t>
      </w:r>
      <w:r>
        <w:rPr>
          <w:rFonts w:ascii="Arial" w:cs="Arial" w:eastAsia="Arial" w:hAnsi="Arial"/>
          <w:sz w:val="18"/>
          <w:szCs w:val="18"/>
          <w:b w:val="1"/>
          <w:bCs w:val="1"/>
          <w:color w:val="auto"/>
        </w:rPr>
        <w:t>$0.73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Year 7:</w:t>
      </w:r>
    </w:p>
    <w:p>
      <w:pPr>
        <w:spacing w:after="0" w:line="117" w:lineRule="exact"/>
        <w:rPr>
          <w:sz w:val="20"/>
          <w:szCs w:val="20"/>
          <w:color w:val="auto"/>
        </w:rPr>
      </w:pPr>
    </w:p>
    <w:p>
      <w:pPr>
        <w:ind w:left="1840" w:right="140"/>
        <w:spacing w:after="0" w:line="342" w:lineRule="auto"/>
        <w:rPr>
          <w:sz w:val="20"/>
          <w:szCs w:val="20"/>
          <w:color w:val="auto"/>
        </w:rPr>
      </w:pPr>
      <w:r>
        <w:rPr>
          <w:rFonts w:ascii="Arial" w:cs="Arial" w:eastAsia="Arial" w:hAnsi="Arial"/>
          <w:sz w:val="16"/>
          <w:szCs w:val="16"/>
          <w:color w:val="auto"/>
        </w:rPr>
        <w:t xml:space="preserve">Capital Gains Fee = (Weighted Percentage multiplied by ($28 million cumulative realized capital gains less $2 million cumulative realized capital losses)) less $4.18 million cumulative Capital Gains Fee previously paid = $4.18 million less $4.18 million = </w:t>
      </w:r>
      <w:r>
        <w:rPr>
          <w:rFonts w:ascii="Arial" w:cs="Arial" w:eastAsia="Arial" w:hAnsi="Arial"/>
          <w:sz w:val="16"/>
          <w:szCs w:val="16"/>
          <w:b w:val="1"/>
          <w:bCs w:val="1"/>
          <w:color w:val="auto"/>
        </w:rPr>
        <w:t>$0.00</w:t>
      </w:r>
    </w:p>
    <w:p>
      <w:pPr>
        <w:spacing w:after="0" w:line="16"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$28 million Total Gain Amount)) plus (17.5% multiplied by ($12 million Post-IPO Gain Amount divided by $28 million Total Gain Amount)) = </w:t>
      </w:r>
      <w:r>
        <w:rPr>
          <w:rFonts w:ascii="Arial" w:cs="Arial" w:eastAsia="Arial" w:hAnsi="Arial"/>
          <w:sz w:val="17"/>
          <w:szCs w:val="17"/>
          <w:b w:val="1"/>
          <w:bCs w:val="1"/>
          <w:color w:val="auto"/>
        </w:rPr>
        <w:t>16.07%</w:t>
      </w:r>
    </w:p>
    <w:p>
      <w:pPr>
        <w:spacing w:after="0" w:line="52" w:lineRule="exact"/>
        <w:rPr>
          <w:sz w:val="20"/>
          <w:szCs w:val="20"/>
          <w:color w:val="auto"/>
        </w:rPr>
      </w:pPr>
    </w:p>
    <w:p>
      <w:pPr>
        <w:ind w:left="900" w:hanging="325"/>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Year 8:</w:t>
      </w:r>
    </w:p>
    <w:p>
      <w:pPr>
        <w:spacing w:after="0" w:line="117" w:lineRule="exact"/>
        <w:rPr>
          <w:sz w:val="20"/>
          <w:szCs w:val="20"/>
          <w:color w:val="auto"/>
        </w:rPr>
      </w:pPr>
    </w:p>
    <w:p>
      <w:pPr>
        <w:ind w:left="1840" w:right="220"/>
        <w:spacing w:after="0" w:line="264" w:lineRule="auto"/>
        <w:rPr>
          <w:sz w:val="20"/>
          <w:szCs w:val="20"/>
          <w:color w:val="auto"/>
        </w:rPr>
      </w:pPr>
      <w:r>
        <w:rPr>
          <w:rFonts w:ascii="Arial" w:cs="Arial" w:eastAsia="Arial" w:hAnsi="Arial"/>
          <w:sz w:val="18"/>
          <w:szCs w:val="18"/>
          <w:color w:val="auto"/>
        </w:rPr>
        <w:t xml:space="preserve">Capital Gains Fee = (Weighted Percentage multiplied by ($36 million cumulative realized capital gains less $2 million cumulative realized capital losses)) less $4.18 million cumulative Capital Gains Fee previously paid = $5.57 million less $4.18 million = </w:t>
      </w:r>
      <w:r>
        <w:rPr>
          <w:rFonts w:ascii="Arial" w:cs="Arial" w:eastAsia="Arial" w:hAnsi="Arial"/>
          <w:sz w:val="18"/>
          <w:szCs w:val="18"/>
          <w:b w:val="1"/>
          <w:bCs w:val="1"/>
          <w:color w:val="auto"/>
        </w:rPr>
        <w:t>$1.39 million</w:t>
      </w:r>
    </w:p>
    <w:p>
      <w:pPr>
        <w:spacing w:after="0" w:line="73" w:lineRule="exact"/>
        <w:rPr>
          <w:sz w:val="20"/>
          <w:szCs w:val="20"/>
          <w:color w:val="auto"/>
        </w:rPr>
      </w:pPr>
    </w:p>
    <w:p>
      <w:pPr>
        <w:ind w:left="1840" w:right="280"/>
        <w:spacing w:after="0" w:line="308" w:lineRule="auto"/>
        <w:rPr>
          <w:sz w:val="20"/>
          <w:szCs w:val="20"/>
          <w:color w:val="auto"/>
        </w:rPr>
      </w:pPr>
      <w:r>
        <w:rPr>
          <w:rFonts w:ascii="Arial" w:cs="Arial" w:eastAsia="Arial" w:hAnsi="Arial"/>
          <w:sz w:val="17"/>
          <w:szCs w:val="17"/>
          <w:color w:val="auto"/>
        </w:rPr>
        <w:t xml:space="preserve">Weighted Percentage = (15% multiplied by ($16 million Pre-IPO Gain Amount divided by $36 million Total Gain Amount)) plus (17.5% multiplied by ($18 million Post-IPO Gain Amount divided by $36 million Total Gain Amount)) = </w:t>
      </w:r>
      <w:r>
        <w:rPr>
          <w:rFonts w:ascii="Arial" w:cs="Arial" w:eastAsia="Arial" w:hAnsi="Arial"/>
          <w:sz w:val="17"/>
          <w:szCs w:val="17"/>
          <w:b w:val="1"/>
          <w:bCs w:val="1"/>
          <w:color w:val="auto"/>
        </w:rPr>
        <w:t>16.39%</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Our Expenses</w:t>
      </w:r>
    </w:p>
    <w:p>
      <w:pPr>
        <w:spacing w:after="0" w:line="12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costs associated with our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Adviser’s allocable share of costs incurred in providing significant managerial assistance to those portfolio companies that request it;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140"/>
        <w:spacing w:after="0" w:line="264" w:lineRule="auto"/>
        <w:rPr>
          <w:sz w:val="20"/>
          <w:szCs w:val="20"/>
          <w:color w:val="auto"/>
        </w:rPr>
      </w:pPr>
      <w:r>
        <w:rPr>
          <w:rFonts w:ascii="Arial" w:cs="Arial" w:eastAsia="Arial" w:hAnsi="Arial"/>
          <w:sz w:val="18"/>
          <w:szCs w:val="18"/>
          <w:color w:val="auto"/>
        </w:rPr>
        <w:t>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sz w:val="20"/>
          <w:szCs w:val="20"/>
          <w:color w:val="auto"/>
        </w:rPr>
      </w:pPr>
    </w:p>
    <w:p>
      <w:pPr>
        <w:ind w:left="900" w:right="100" w:hanging="325"/>
        <w:spacing w:after="0" w:line="342" w:lineRule="auto"/>
        <w:tabs>
          <w:tab w:leader="none" w:pos="9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 expenses described above are ultimately borne by our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through November 2016,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 See “Risk Factors—Risks Related to Our Business and Structure—We are dependent upon management personnel of the Adviser, TSSP, TPG and their affiliates for our future success.”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See “Description of our Capital Stock.”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Approval of the Investment Advisory Agreement</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Board, including our Independent Directors, and holders of a majority of our outstanding securities, approved our Investment Advisory Agreement in December 2011. Our Board, including a majority of the Independent Directors, renewed it in November 2015. In its consideration of the Investment Advisory Agreement at the time of approval and renewal, the Board focused on information it had received relating to, among other things:</w:t>
      </w:r>
    </w:p>
    <w:p>
      <w:pPr>
        <w:spacing w:after="0" w:line="71" w:lineRule="exact"/>
        <w:rPr>
          <w:sz w:val="20"/>
          <w:szCs w:val="20"/>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nature, quality and extent of the advisory and other services to be provided to us by the Adviser;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investment performance and the performance of the Adviser;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extent to which economies of scale would be realized as we grow, and whether the fees payable under the Investment Advisory Agreement reflect these economies of scale for the benefit of our stockholders;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comparative data with respect to advisory fees or similar expenses paid by other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our projected operating expenses and expense ratio compared to BDCs with similar investment objectives;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existing and potential sources of indirect income to the Adviser from its relationships with us and the profitability of those income sources;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information about the services to be performed and the personnel performing those services under the Investment Advisory Agreement;</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organizational capability and financial condition of the Adviser and its respective affiliates;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possibility of obtaining similar services from other third-party service providers or through an internally managed structure.</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Board also takes into consideration the reimbursement of expenses incurred by the Adviser on our behalf, which expenses include travel expenses, when determining whether to approve renewal of the Investment Advisory Agreement and the Administration Agreement. No one factor was given greater weight than any others, but rather the Board considered all of the factors collectively as a whole.</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Based on the information reviewed and the discussion thereof, the Board, including a majority of the Independent Directors, concluded that the investment advisory fee rates are reasonable in relation to the services to be provided.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60"/>
          </w:cols>
          <w:pgMar w:left="240" w:top="459" w:right="2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RELATED-PARTY TRANSACTIONS AND CERTAIN RELATIONSHIPS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Relationship with TPG</w:t>
      </w:r>
    </w:p>
    <w:p>
      <w:pPr>
        <w:spacing w:after="0" w:line="117"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 monitoring our portfolio companies and providing operating, managerial and administrative assistance to us and to our portfolio companies as required.</w:t>
      </w:r>
    </w:p>
    <w:p>
      <w:pPr>
        <w:spacing w:after="0" w:line="14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2,772,201 shares, or 4.7%, of our common stock as of March 24, 2016.</w:t>
      </w:r>
    </w:p>
    <w:p>
      <w:pPr>
        <w:spacing w:after="0" w:line="15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believe we benefit from the Adviser’s relationships with TSSP and TPG. The Adviser has access to the contacts and industry knowledge of TSSP’s and TPG’s investment professionals, and is also able to consult with TSSP and TPG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of Loan Origination Investment Opportunities</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16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general, allocation determinations for us and funds affiliated with TSSP and TPG begin with a preliminary assessment by the legal department of TPG as to whether a particular investment opportunity is required to be allocated to a particular fund or investment vehicle, including us, or prohibited from being allocated to a particular fund or vehicle.</w:t>
      </w:r>
    </w:p>
    <w:p>
      <w:pPr>
        <w:spacing w:after="0" w:line="18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TPG’s legal department makes its preliminary assessment as to whether a particular investment opportunity is required to be allocated to us or any TPG-managed fund or investment vehicle, including us, prior to, or promptly following, the initial discussion of the potential investment at a meeting of our or the relevant fund’s investment review committee when it appears that pursuit of the investment is reasonably probable. The legal department delivers its preliminary assessment to TPG’s allocation team (or a member thereof). The allocation team is comprised of five of TPG’s senior professionals with a scope of responsibilities across all business units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360"/>
          </w:cols>
          <w:pgMar w:left="240" w:top="459" w:right="2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color w:val="auto"/>
        </w:rPr>
        <w:t>of TPG. The team is charged with ensuring that investment opportunities are allocated to us or the appropriate TPG fund. The legal department’s determination that an investment opportunity is required to be allocated to us or another fund is the presumptive final allocation decision.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Exemptive Relief</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right="300" w:firstLine="456"/>
        <w:spacing w:after="0" w:line="279" w:lineRule="auto"/>
        <w:rPr>
          <w:sz w:val="20"/>
          <w:szCs w:val="20"/>
          <w:color w:val="auto"/>
        </w:rPr>
      </w:pPr>
      <w:r>
        <w:rPr>
          <w:rFonts w:ascii="Arial" w:cs="Arial" w:eastAsia="Arial" w:hAnsi="Arial"/>
          <w:sz w:val="17"/>
          <w:szCs w:val="17"/>
          <w:color w:val="auto"/>
        </w:rPr>
        <w:t>We believe our ability to co-invest with TSSP and TPG affiliates is particularly useful where we identify larger capital commitments than otherwise would be appropriate for us. We expect that with the ability to co-invest with TSSP and TPG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7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900" w:right="54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our investment will not benefit any affiliate other than the affiliate participating in the investment, and as otherwise permitted by the order.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Non-Loan Origination Investment Opportunities</w:t>
      </w:r>
    </w:p>
    <w:p>
      <w:pPr>
        <w:spacing w:after="0" w:line="11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and TPG senior professionals. Such non-loan origination opportunities may be required to be offered to, or may be otherwise suitable for, other TPG funds or investment vehicles, including TSSP funds and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If TPG and the Adviser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if we receive an order from the SEC permitting us to do so or the investment is otherwise permitted under relevant SEC guidance.</w:t>
      </w:r>
    </w:p>
    <w:p>
      <w:pPr>
        <w:spacing w:after="0" w:line="16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Administrator</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Adviser also serves as our administrator. The administrator, on behalf of us and at our expense, may retain one or more service providers that may also be affiliates of TPG to serve as sub-administrator, custodian, accounting agent, investor services agent, transfer agent or other service provider for us. Any fees we pay, or indemnification obligations we undertake, in respect of the administrator and those other service providers that are TPG affiliates, will be set at arm’s length and approved by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Relationships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of our current directors and officers are directors or officers of the Adviser or its affiliates. See “Management—Biographical Information.”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For a discussion of our Investment Advisory Agreement, Administration Agreement and License Agreement, see “Management and Other Agreements —Investment Advisory Agreement; Administration Agreement; License Agreement.”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Approval or Ratification of Transactions with Related Persons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 S-K).</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Beneficial ownership is determined in accordance with the rules and regulations of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24, 2016 the beneficial ownership as indicated in our books and records of each current director, our Named Executive Officers, our executive officers and directors as a group, and each person known to us to beneficially own 5% or more of the outstanding shares of our common stock. With respect to persons known to us to beneficially own 5% or more of the outstanding shares of our common stock, we base such knowledge on beneficial ownership filings made by the holders with the SEC.</w:t>
      </w:r>
    </w:p>
    <w:p>
      <w:pPr>
        <w:spacing w:after="0" w:line="178"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percentage ownership is based on 59,225,688 shares of common stock outstanding as of March 24, 2016. To our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87"/>
              </w:rPr>
              <w:t>Shares of</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7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80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71"/>
        </w:trPr>
        <w:tc>
          <w:tcPr>
            <w:tcW w:w="7760" w:type="dxa"/>
            <w:vAlign w:val="bottom"/>
            <w:gridSpan w:val="2"/>
            <w:vMerge w:val="continue"/>
          </w:tcPr>
          <w:p>
            <w:pPr>
              <w:spacing w:after="0"/>
              <w:rPr>
                <w:sz w:val="14"/>
                <w:szCs w:val="14"/>
                <w:color w:val="auto"/>
              </w:rPr>
            </w:pPr>
          </w:p>
        </w:tc>
        <w:tc>
          <w:tcPr>
            <w:tcW w:w="18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3"/>
              </w:rPr>
              <w:t>Owned(1)</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Owned(1)</w:t>
            </w:r>
          </w:p>
        </w:tc>
        <w:tc>
          <w:tcPr>
            <w:tcW w:w="0" w:type="dxa"/>
            <w:vAlign w:val="bottom"/>
          </w:tcPr>
          <w:p>
            <w:pPr>
              <w:spacing w:after="0"/>
              <w:rPr>
                <w:sz w:val="1"/>
                <w:szCs w:val="1"/>
                <w:color w:val="auto"/>
              </w:rPr>
            </w:pPr>
          </w:p>
        </w:tc>
      </w:tr>
      <w:tr>
        <w:trPr>
          <w:trHeight w:val="196"/>
        </w:trPr>
        <w:tc>
          <w:tcPr>
            <w:tcW w:w="25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Directors and Executive Officers:</w:t>
            </w:r>
          </w:p>
        </w:tc>
        <w:tc>
          <w:tcPr>
            <w:tcW w:w="5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Joshua Easterly</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30,323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Michael Fishman</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36,366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Richard Higginbotham</w:t>
            </w:r>
          </w:p>
        </w:tc>
        <w:tc>
          <w:tcPr>
            <w:tcW w:w="18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John Ross</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16,575</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Ronald Tanemura</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56,516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9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tcPr>
          <w:p>
            <w:pPr>
              <w:ind w:left="360"/>
              <w:spacing w:after="0"/>
              <w:rPr>
                <w:sz w:val="20"/>
                <w:szCs w:val="20"/>
                <w:color w:val="auto"/>
              </w:rPr>
            </w:pPr>
            <w:r>
              <w:rPr>
                <w:rFonts w:ascii="Arial" w:cs="Arial" w:eastAsia="Arial" w:hAnsi="Arial"/>
                <w:sz w:val="18"/>
                <w:szCs w:val="18"/>
                <w:color w:val="auto"/>
              </w:rPr>
              <w:t>Ian Simmonds</w:t>
            </w:r>
          </w:p>
        </w:tc>
        <w:tc>
          <w:tcPr>
            <w:tcW w:w="18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(12 persons) (2)(3)</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2,889,619</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Five-Percent Stockholders:</w:t>
            </w: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Division of Investment, Department of Treasury, State of New Jersey (4)</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7,366,063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7760" w:type="dxa"/>
            <w:vAlign w:val="bottom"/>
            <w:gridSpan w:val="2"/>
          </w:tcPr>
          <w:p>
            <w:pPr>
              <w:spacing w:after="0"/>
              <w:rPr>
                <w:sz w:val="20"/>
                <w:szCs w:val="20"/>
                <w:color w:val="auto"/>
              </w:rPr>
            </w:pPr>
            <w:r>
              <w:rPr>
                <w:rFonts w:ascii="Arial" w:cs="Arial" w:eastAsia="Arial" w:hAnsi="Arial"/>
                <w:sz w:val="18"/>
                <w:szCs w:val="18"/>
                <w:color w:val="auto"/>
              </w:rPr>
              <w:t>State Teachers Retirement Board of Ohio (5)</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3,961,829</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Universities Superannuation Scheme Ltd. (6)</w:t>
            </w:r>
          </w:p>
        </w:tc>
        <w:tc>
          <w:tcPr>
            <w:tcW w:w="18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3,488,476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7760" w:type="dxa"/>
            <w:vAlign w:val="bottom"/>
            <w:gridSpan w:val="2"/>
          </w:tcPr>
          <w:p>
            <w:pPr>
              <w:spacing w:after="0"/>
              <w:rPr>
                <w:sz w:val="20"/>
                <w:szCs w:val="20"/>
                <w:color w:val="auto"/>
              </w:rPr>
            </w:pPr>
            <w:r>
              <w:rPr>
                <w:rFonts w:ascii="Arial" w:cs="Arial" w:eastAsia="Arial" w:hAnsi="Arial"/>
                <w:sz w:val="18"/>
                <w:szCs w:val="18"/>
                <w:color w:val="auto"/>
              </w:rPr>
              <w:t>FMR LLC (7)</w:t>
            </w:r>
          </w:p>
        </w:tc>
        <w:tc>
          <w:tcPr>
            <w:tcW w:w="1800" w:type="dxa"/>
            <w:vAlign w:val="bottom"/>
            <w:gridSpan w:val="2"/>
          </w:tcPr>
          <w:p>
            <w:pPr>
              <w:jc w:val="right"/>
              <w:ind w:right="840"/>
              <w:spacing w:after="0"/>
              <w:rPr>
                <w:sz w:val="20"/>
                <w:szCs w:val="20"/>
                <w:color w:val="auto"/>
              </w:rPr>
            </w:pPr>
            <w:r>
              <w:rPr>
                <w:rFonts w:ascii="Arial" w:cs="Arial" w:eastAsia="Arial" w:hAnsi="Arial"/>
                <w:sz w:val="18"/>
                <w:szCs w:val="18"/>
                <w:color w:val="auto"/>
              </w:rPr>
              <w:t>3,464,082</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131" w:lineRule="exact"/>
        <w:rPr>
          <w:sz w:val="20"/>
          <w:szCs w:val="20"/>
          <w:color w:val="auto"/>
        </w:rPr>
      </w:pPr>
    </w:p>
    <w:p>
      <w:pPr>
        <w:ind w:left="460" w:hanging="452"/>
        <w:spacing w:after="0" w:line="271"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our common stock and each director and executive officer has sole voting and/or investment power over the shares reported.</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TSL Advisers holds 2,772,201 shares of common stock, or the TSL Advisers Shares.</w:t>
      </w:r>
    </w:p>
    <w:p>
      <w:pPr>
        <w:spacing w:after="0" w:line="130"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92"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86" w:lineRule="exact"/>
        <w:rPr>
          <w:rFonts w:ascii="Arial" w:cs="Arial" w:eastAsia="Arial" w:hAnsi="Arial"/>
          <w:sz w:val="18"/>
          <w:szCs w:val="18"/>
          <w:color w:val="auto"/>
        </w:rPr>
      </w:pPr>
    </w:p>
    <w:p>
      <w:pPr>
        <w:ind w:left="460" w:right="280" w:hanging="452"/>
        <w:spacing w:after="0" w:line="277"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130" w:lineRule="exact"/>
        <w:rPr>
          <w:rFonts w:ascii="Arial" w:cs="Arial" w:eastAsia="Arial" w:hAnsi="Arial"/>
          <w:sz w:val="18"/>
          <w:szCs w:val="18"/>
          <w:color w:val="auto"/>
        </w:rPr>
      </w:pPr>
    </w:p>
    <w:p>
      <w:pPr>
        <w:ind w:left="460" w:right="80" w:hanging="452"/>
        <w:spacing w:after="0" w:line="276"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17, 2015 by Universities Superannuation Scheme Ltd, or USSL, as trustee for Universities Superannuation Scheme, or USS, and USS Investment Management Limited, or USSIM. USSIM serves as investment manager to USS and has discretionary and voting power over the shares held by USSL. Accordingly, USSIM may be deemed to be the beneficial owner of 3,488,476 shares, all of which are held by USSL. USSIM disclaims beneficial ownership of the shares held by USSL, except to the extent of any pecuniary interest therefrom. The address of each of USSL and USSIM is Royal Liver Building, Liverpool L3 1PY, United Kingdom.</w:t>
      </w:r>
    </w:p>
    <w:p>
      <w:pPr>
        <w:spacing w:after="0" w:line="77" w:lineRule="exact"/>
        <w:rPr>
          <w:rFonts w:ascii="Arial" w:cs="Arial" w:eastAsia="Arial" w:hAnsi="Arial"/>
          <w:sz w:val="17"/>
          <w:szCs w:val="17"/>
          <w:color w:val="auto"/>
        </w:rPr>
      </w:pPr>
    </w:p>
    <w:p>
      <w:pPr>
        <w:ind w:left="460" w:right="20" w:hanging="452"/>
        <w:spacing w:after="0" w:line="287" w:lineRule="auto"/>
        <w:tabs>
          <w:tab w:leader="none" w:pos="4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upon a Schedule 13G filed with the SEC on February 12, 2016 by FMR LLC and Abigail P. Johnson. FMR LLC has (i) sole power to vote 120,741 shares and (ii) sole power to dispose of 3,464,082 shares. Abigail P. Johnson has sole power to dispose of 3,464,082 shares. Abigail P. Johnson is a Director, the Vice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Owned by Directors in the Company</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following table sets forth the dollar range of our equity securities beneficially owned by each director as of March 24, 2016. We are not part of a “family of investment companies,” as that term is defined in the 1940 Act.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Dollar Range of our</w:t>
            </w:r>
          </w:p>
        </w:tc>
      </w:tr>
      <w:tr>
        <w:trPr>
          <w:trHeight w:val="149"/>
        </w:trPr>
        <w:tc>
          <w:tcPr>
            <w:tcW w:w="536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 Stock Beneficially</w:t>
            </w:r>
          </w:p>
        </w:tc>
      </w:tr>
      <w:tr>
        <w:trPr>
          <w:trHeight w:val="185"/>
        </w:trPr>
        <w:tc>
          <w:tcPr>
            <w:tcW w:w="536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Owned (1)(2)</w:t>
            </w: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2400" w:type="dxa"/>
            <w:vAlign w:val="bottom"/>
            <w:shd w:val="clear" w:color="auto" w:fill="CCEEFF"/>
          </w:tcPr>
          <w:p>
            <w:pPr>
              <w:spacing w:after="0"/>
              <w:rPr>
                <w:sz w:val="17"/>
                <w:szCs w:val="17"/>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Joshua Easterly</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Michael Fishman</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tcPr>
          <w:p>
            <w:pPr>
              <w:spacing w:after="0"/>
              <w:rPr>
                <w:sz w:val="20"/>
                <w:szCs w:val="20"/>
                <w:color w:val="auto"/>
              </w:rPr>
            </w:pPr>
            <w:r>
              <w:rPr>
                <w:rFonts w:ascii="Arial" w:cs="Arial" w:eastAsia="Arial" w:hAnsi="Arial"/>
                <w:sz w:val="18"/>
                <w:szCs w:val="18"/>
                <w:i w:val="1"/>
                <w:iCs w:val="1"/>
                <w:color w:val="auto"/>
              </w:rPr>
              <w:t>Independent Directors</w:t>
            </w:r>
          </w:p>
        </w:tc>
        <w:tc>
          <w:tcPr>
            <w:tcW w:w="2400" w:type="dxa"/>
            <w:vAlign w:val="bottom"/>
          </w:tcPr>
          <w:p>
            <w:pPr>
              <w:spacing w:after="0"/>
              <w:rPr>
                <w:sz w:val="18"/>
                <w:szCs w:val="18"/>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Richard Higginbotham</w:t>
            </w:r>
          </w:p>
        </w:tc>
        <w:tc>
          <w:tcPr>
            <w:tcW w:w="24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John Ross</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over $100,000</w:t>
            </w: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Ronald Tanemura</w:t>
            </w:r>
          </w:p>
        </w:tc>
        <w:tc>
          <w:tcPr>
            <w:tcW w:w="2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over $100,000</w:t>
            </w:r>
          </w:p>
        </w:tc>
      </w:tr>
    </w:tbl>
    <w:p>
      <w:pPr>
        <w:spacing w:after="0" w:line="229"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24, 2016, multiplied by the closing sale price of our common stock as reported on the NYSE as of March 24, 2016.</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340"/>
          </w:cols>
          <w:pgMar w:left="240" w:top="459" w:right="3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 connection with certain future offerings of shares of our common stock, our Board or an authorized committee of our Board will be required to make the determination that we are not selling shares of our common stock at a price below the then current net asset value of our common stock at the time at which the sale is made. Our Board or an authorized committee will consider the following factors, among others, in making a determination:</w:t>
      </w:r>
    </w:p>
    <w:p>
      <w:pPr>
        <w:spacing w:after="0" w:line="71" w:lineRule="exact"/>
        <w:rPr>
          <w:sz w:val="20"/>
          <w:szCs w:val="20"/>
          <w:color w:val="auto"/>
        </w:rPr>
      </w:pPr>
    </w:p>
    <w:p>
      <w:pPr>
        <w:ind w:left="900" w:hanging="325"/>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w:t>
      </w:r>
    </w:p>
    <w:p>
      <w:pPr>
        <w:spacing w:after="0" w:line="86" w:lineRule="exact"/>
        <w:rPr>
          <w:rFonts w:ascii="Arial" w:cs="Arial" w:eastAsia="Arial" w:hAnsi="Arial"/>
          <w:sz w:val="18"/>
          <w:szCs w:val="18"/>
          <w:color w:val="auto"/>
        </w:rPr>
      </w:pPr>
    </w:p>
    <w:p>
      <w:pPr>
        <w:ind w:left="900" w:right="220" w:hanging="325"/>
        <w:spacing w:after="0" w:line="257" w:lineRule="auto"/>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w:t>
      </w:r>
    </w:p>
    <w:p>
      <w:pPr>
        <w:spacing w:after="0" w:line="188"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These processes and procedures are part of our compliance policies and procedures. Records will be made contemporaneously with all determinations described in this section and these records will be maintained with other records that we are required to maintain under the 1940 Act.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REINVESTMENT PLAN</w:t>
      </w:r>
    </w:p>
    <w:p>
      <w:pPr>
        <w:spacing w:after="0" w:line="229"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18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No action is required on the part of a registered stockholder to have its cash dividend or other distribution reinvested in our common stock. A registered stockholder is able to elect to receive an entire cash dividend or distribution in cash by notifying State Street Bank and Trust Company,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Those stockholders whose shares are held by a broker or other financial intermediary may receive cash dividends and other distributions in cash by notifying their broker or other financial intermediary of their election.</w:t>
      </w:r>
    </w:p>
    <w:p>
      <w:pPr>
        <w:spacing w:after="0" w:line="1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expect to use primarily newly issued shares to make distributions under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73"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18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w:t>
      </w:r>
    </w:p>
    <w:p>
      <w:pPr>
        <w:spacing w:after="0" w:line="17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All correspondence concerning the plan should be directed to the plan administrator by mail at State Street Corporation, Transfer Agency—TPG Specialty Lending, Box 5493, Boston, Massachusetts, 02206-5433.</w:t>
      </w:r>
    </w:p>
    <w:p>
      <w:pPr>
        <w:spacing w:after="0" w:line="170"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w:t>
      </w:r>
    </w:p>
    <w:p>
      <w:pPr>
        <w:spacing w:after="0" w:line="78" w:lineRule="exact"/>
        <w:rPr>
          <w:sz w:val="20"/>
          <w:szCs w:val="20"/>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stockholders subject to the alternative minimum tax;</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tax-exempt organizations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dealers in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securities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pension plans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trusts (except as discussed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entities taxed as partnerships or partners therein;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holding shares of common stock or preferred stock as part of a “straddle”, “hedge”, “conversion transaction,” “synthetic security” or other integrated investment;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received our stock as compensation;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persons who hold our stock on behalf of another person as a nominee;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U.S. expatriates,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U.S. stockholders (as defined below) who have a “functional currency” other than the U.S. dollar.</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Finally, this summary does not address other U.S. federal tax consequences (such as estate, gift and Medicare contribution tax consequences) or any state, local or foreign tax consequences.</w:t>
      </w:r>
    </w:p>
    <w:p>
      <w:pPr>
        <w:spacing w:after="0" w:line="17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discussion below is based upon the provisions of the Code, and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w:t>
      </w:r>
    </w:p>
    <w:p>
      <w:pPr>
        <w:spacing w:after="0" w:line="18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w:t>
      </w:r>
    </w:p>
    <w:p>
      <w:pPr>
        <w:spacing w:after="0" w:line="158"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For purposes of this discussion under the heading “Material U.S. Federal Income Tax Considerations,” a “U.S. stockholder” is a beneficial owner of shares of our common stock or preferred stock that is, for U.S. federal income tax purposes, an individual who is a citizen or resident of the United States or a domestic corporation or otherwise subject to U.S. federal income tax on a net income basis in respect of our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 “Non-U.S. stockholder” is a beneficial owner of shares of our common stock or preferred stock that is not a U.S. stockholder and not an entity taxed as a partnership.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Investment Company Classification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maintain our status as a RIC, we must, among other things:</w:t>
      </w:r>
    </w:p>
    <w:p>
      <w:pPr>
        <w:spacing w:after="0" w:line="131" w:lineRule="exact"/>
        <w:rPr>
          <w:sz w:val="20"/>
          <w:szCs w:val="20"/>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our election under the 1940 Act to be treated as a BDC;</w:t>
      </w:r>
    </w:p>
    <w:p>
      <w:pPr>
        <w:spacing w:after="0" w:line="130" w:lineRule="exact"/>
        <w:rPr>
          <w:rFonts w:ascii="Arial" w:cs="Arial" w:eastAsia="Arial" w:hAnsi="Arial"/>
          <w:sz w:val="18"/>
          <w:szCs w:val="18"/>
          <w:color w:val="auto"/>
        </w:rPr>
      </w:pPr>
    </w:p>
    <w:p>
      <w:pPr>
        <w:ind w:left="900" w:right="700" w:hanging="325"/>
        <w:spacing w:after="0" w:line="277" w:lineRule="auto"/>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gains from the sale or other disposition of stock or securities and other specified categories of investment income;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maintain diversified holdings so that, subject to certain exceptions and cure periods, at the end of each quarter of our taxable year:</w:t>
      </w:r>
    </w:p>
    <w:p>
      <w:pPr>
        <w:spacing w:after="0" w:line="130" w:lineRule="exact"/>
        <w:rPr>
          <w:rFonts w:ascii="Arial" w:cs="Arial" w:eastAsia="Arial" w:hAnsi="Arial"/>
          <w:sz w:val="18"/>
          <w:szCs w:val="18"/>
          <w:color w:val="auto"/>
        </w:rPr>
      </w:pPr>
    </w:p>
    <w:p>
      <w:pPr>
        <w:ind w:left="1480" w:hanging="446"/>
        <w:spacing w:after="0" w:line="312" w:lineRule="auto"/>
        <w:tabs>
          <w:tab w:leader="none" w:pos="148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pacing w:after="0" w:line="52" w:lineRule="exact"/>
        <w:rPr>
          <w:rFonts w:ascii="Arial" w:cs="Arial" w:eastAsia="Arial" w:hAnsi="Arial"/>
          <w:sz w:val="16"/>
          <w:szCs w:val="16"/>
          <w:color w:val="auto"/>
        </w:rPr>
      </w:pPr>
    </w:p>
    <w:p>
      <w:pPr>
        <w:ind w:left="1480" w:right="60" w:hanging="446"/>
        <w:spacing w:after="0" w:line="286" w:lineRule="auto"/>
        <w:tabs>
          <w:tab w:leader="none" w:pos="148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6"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84" w:lineRule="exact"/>
        <w:rPr>
          <w:sz w:val="20"/>
          <w:szCs w:val="20"/>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98% of our net ordinary income, excluding certain ordinary gains and losses, recognized during a calendar year;</w:t>
      </w:r>
    </w:p>
    <w:p>
      <w:pPr>
        <w:spacing w:after="0" w:line="130" w:lineRule="exact"/>
        <w:rPr>
          <w:rFonts w:ascii="Arial" w:cs="Arial" w:eastAsia="Arial" w:hAnsi="Arial"/>
          <w:sz w:val="18"/>
          <w:szCs w:val="18"/>
          <w:color w:val="auto"/>
        </w:rPr>
      </w:pPr>
    </w:p>
    <w:p>
      <w:pPr>
        <w:ind w:left="900" w:right="780" w:hanging="325"/>
        <w:spacing w:after="0" w:line="277" w:lineRule="auto"/>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98.2% of our capital gain net income, adjusted for certain ordinary gains and losses, recognized for the twelve-month period ending on October 31 of such calendar year;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100% of any income or gains recognized, but not distributed, in preceding years.</w:t>
      </w:r>
    </w:p>
    <w:p>
      <w:pPr>
        <w:spacing w:after="0" w:line="22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generally expect to distribute substantially all of our earnings on a quarterly basis, but will reinvest dividends and distributions on behalf of those investors that do not elect to receive their dividends in cash. See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“Price Range of Common Stock and Distributions” and “Dividend Reinvestment Plan” for a description of our dividend policy and obligations. One or more of the considerations described below, however, could result in the deferral of dividend distributions until the end of the fiscal year:</w:t>
      </w:r>
    </w:p>
    <w:p>
      <w:pPr>
        <w:spacing w:after="0" w:line="52" w:lineRule="exact"/>
        <w:rPr>
          <w:sz w:val="20"/>
          <w:szCs w:val="20"/>
          <w:color w:val="auto"/>
        </w:rPr>
      </w:pPr>
    </w:p>
    <w:p>
      <w:pPr>
        <w:ind w:left="900" w:right="120" w:hanging="325"/>
        <w:spacing w:after="0" w:line="312" w:lineRule="auto"/>
        <w:tabs>
          <w:tab w:leader="none" w:pos="9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w:t>
      </w:r>
    </w:p>
    <w:p>
      <w:pPr>
        <w:spacing w:after="0" w:line="52"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8"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ten years.</w:t>
      </w:r>
    </w:p>
    <w:p>
      <w:pPr>
        <w:spacing w:after="0" w:line="166"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of 20%. In this regard, it is anticipated that our distributions generally will not be attributable to dividends received by us and, therefore, generally will not qualify for the 20% maximum rate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U.S. stockholders as long-term capital gain regardless of how long particular U.S. stockholders have held their shares. Distributions in excess of our current and accumulated earnings and profits first will reduce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U.S. stockholder’s adjusted tax basis in such U.S. stockholder’s common stock or preferred stock and, after the adjusted tax basis is reduced to zero, will constitute capital gains to such U.S. stockholder.</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on December 31 of the previous calendar year. In addition, we may elect to relate any undistributed investment company taxable income or net capital gains eligible for distribution as a dividend back to our immediately prior taxable year if we:</w:t>
      </w:r>
    </w:p>
    <w:p>
      <w:pPr>
        <w:spacing w:after="0" w:line="92" w:lineRule="exact"/>
        <w:rPr>
          <w:sz w:val="20"/>
          <w:szCs w:val="20"/>
          <w:color w:val="auto"/>
        </w:rPr>
      </w:pPr>
    </w:p>
    <w:p>
      <w:pPr>
        <w:ind w:left="900" w:right="20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declare such dividend prior to the earlier of the 15th day of the ninth month following the close of that taxable year, or any applicable extended due date of our U.S. federal corporate income tax return for such prior taxable year;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distribute such amount in the 12-month period following the close of such prior taxable year; and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make an election in our U.S. federal corporate income tax return for the taxable year in which such undistributed investment company taxable income or net capital gains were recognized.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Any such election will not alter the general rule that a U.S. stockholder will be treated as receiving a dividend in the taxable year in which the dividend is distributed, subject to the October, November, or December dividend declaration rule discussed immediately above.</w:t>
      </w:r>
    </w:p>
    <w:p>
      <w:pPr>
        <w:spacing w:after="0" w:line="170"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w:t>
      </w:r>
    </w:p>
    <w:p>
      <w:pPr>
        <w:spacing w:after="0" w:line="14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6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w:t>
      </w:r>
    </w:p>
    <w:p>
      <w:pPr>
        <w:spacing w:after="0" w:line="181"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If a U.S. stockholder sells or otherwise disposes of shares of our common stock or preferred stock, the U.S. stockholder will recognize gain or loss equal to the difference between its adjusted tax basis in the shares sold or otherwise disposed of and the amount received. Any such gain or loss will be treated as a capital gain or loss and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w:t>
      </w:r>
    </w:p>
    <w:p>
      <w:pPr>
        <w:spacing w:after="0" w:line="179"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Limitation with Respect to Certain U.S. Stockholders on Deductions for Certain Fees and Expenses</w:t>
      </w:r>
    </w:p>
    <w:p>
      <w:pPr>
        <w:spacing w:after="0" w:line="11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deductible by such U.S. stockholder only to the extent that the aggregate of such U.S. stockholder’s miscellaneous itemized deductions exceeds 2% of such U.S. stockholder’s adjusted gross income for U.S. federal income tax purposes, are not deductible for purposes of the alternative minimum tax and are subject to the overall limitation on itemized deductions under Section 67 of the Code.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Stockholders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w:t>
      </w:r>
    </w:p>
    <w:p>
      <w:pPr>
        <w:spacing w:after="0" w:line="18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w:t>
      </w:r>
    </w:p>
    <w:p>
      <w:pPr>
        <w:spacing w:after="0" w:line="15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459" w:right="2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w:t>
      </w:r>
    </w:p>
    <w:p>
      <w:pPr>
        <w:spacing w:after="0" w:line="16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case of distributions made by the Company, and in the case of gross proceeds from the sale or other of shares of our common stock or preferred stock paid on or after January 1, 2019,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w:t>
      </w:r>
    </w:p>
    <w:p>
      <w:pPr>
        <w:spacing w:after="0" w:line="16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 RIC is a corporation for U.S. federal income tax purposes. Under current law, a Non-U.S. stockholder will not be considered to be engaged in the conduct of a business in the United States solely by reason of its ownership in a RIC.</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Non-U.S. stockholders should consult their own tax advisors with respect to the U.S. federal income tax and withholding tax, and state, local and foreign tax consequences of an investment in the shares of our common stock or preferred stock.</w:t>
      </w:r>
    </w:p>
    <w:p>
      <w:pPr>
        <w:spacing w:after="0" w:line="17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w:t>
      </w:r>
    </w:p>
    <w:p>
      <w:pPr>
        <w:spacing w:after="0" w:line="2" w:lineRule="exact"/>
        <w:rPr>
          <w:sz w:val="20"/>
          <w:szCs w:val="20"/>
          <w:color w:val="auto"/>
        </w:rPr>
      </w:pPr>
    </w:p>
    <w:p>
      <w:pPr>
        <w:ind w:left="220" w:hanging="212"/>
        <w:spacing w:after="0"/>
        <w:tabs>
          <w:tab w:leader="none" w:pos="2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is a United States person, (ii) derives 50% or more of its gross income for certain periods from the conduct of a trade or business in the United States,</w:t>
      </w:r>
    </w:p>
    <w:p>
      <w:pPr>
        <w:spacing w:after="0" w:line="32" w:lineRule="exact"/>
        <w:rPr>
          <w:rFonts w:ascii="Arial" w:cs="Arial" w:eastAsia="Arial" w:hAnsi="Arial"/>
          <w:sz w:val="16"/>
          <w:szCs w:val="16"/>
          <w:color w:val="auto"/>
        </w:rPr>
      </w:pPr>
    </w:p>
    <w:p>
      <w:pPr>
        <w:ind w:right="60" w:firstLine="8"/>
        <w:spacing w:after="0" w:line="323" w:lineRule="auto"/>
        <w:tabs>
          <w:tab w:leader="none" w:pos="31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w:t>
      </w:r>
    </w:p>
    <w:p>
      <w:pPr>
        <w:spacing w:after="0" w:line="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60"/>
          </w:cols>
          <w:pgMar w:left="240" w:top="459" w:right="2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documentary evidence in its records that the holder is a Non-U.S. stockholder and certain conditions are met, or 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w:t>
      </w: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00"/>
          </w:cols>
          <w:pgMar w:left="240" w:top="459" w:right="3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SECURITIES</w:t>
      </w:r>
    </w:p>
    <w:p>
      <w:pPr>
        <w:spacing w:after="0" w:line="229"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right="680" w:firstLine="456"/>
        <w:spacing w:after="0" w:line="264" w:lineRule="auto"/>
        <w:rPr>
          <w:sz w:val="20"/>
          <w:szCs w:val="20"/>
          <w:color w:val="auto"/>
        </w:rPr>
      </w:pPr>
      <w:r>
        <w:rPr>
          <w:rFonts w:ascii="Arial" w:cs="Arial" w:eastAsia="Arial" w:hAnsi="Arial"/>
          <w:sz w:val="18"/>
          <w:szCs w:val="18"/>
          <w:color w:val="auto"/>
        </w:rPr>
        <w:t>The following description is based on relevant portions of the DGCL and on our certificate of incorporation and bylaws. This summary is not necessarily complete, and we refer you to the DGCL and our certificate of incorporation and bylaws for a more detailed description of the provisions summarized below.</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Under the terms of our certificate of incorporation, which was adopted on March 8, 2011 and amended on March 10, 2014, our authorized capital stock consists of 400,000,000 shares of common stock, par value $0.01 per share, of which 59,225,688 shares are outstanding as of March 24, 2016, and 100,000,000 shares of preferred stock, par value $0.01 per share, of which no shares are outstanding as of March 24, 2016.</w:t>
      </w:r>
    </w:p>
    <w:p>
      <w:pPr>
        <w:spacing w:after="0" w:line="166"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On December 3, 2013, our Board approved a stock split in the form of a stock dividend pursuant to which our stockholders of record as of December 4, 2013 received 65.676 additional shares of common stock for each share of common stock held. We distributed the shares on December 5, 2013 and paid cash for fractional shares without interest or deduction. We have retroactively applied the effect of the stock split to the financial information presented in this prospectus by multiplying numbers of shares outstanding by 66.676 and dividing per share amounts by 66.676.</w:t>
      </w:r>
    </w:p>
    <w:p>
      <w:pPr>
        <w:spacing w:after="0" w:line="17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our outstanding classes of securities as of March 24,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Held by Us or for</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Amount Outstanding</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Class</w:t>
            </w:r>
          </w:p>
        </w:tc>
        <w:tc>
          <w:tcPr>
            <w:tcW w:w="2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Amount Authorized</w:t>
            </w:r>
          </w:p>
        </w:tc>
        <w:tc>
          <w:tcPr>
            <w:tcW w:w="2980" w:type="dxa"/>
            <w:vAlign w:val="bottom"/>
            <w:gridSpan w:val="2"/>
            <w:vMerge w:val="continue"/>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Exclusive of Amount Held by</w:t>
            </w:r>
          </w:p>
        </w:tc>
        <w:tc>
          <w:tcPr>
            <w:tcW w:w="0" w:type="dxa"/>
            <w:vAlign w:val="bottom"/>
          </w:tcPr>
          <w:p>
            <w:pPr>
              <w:spacing w:after="0"/>
              <w:rPr>
                <w:sz w:val="1"/>
                <w:szCs w:val="1"/>
                <w:color w:val="auto"/>
              </w:rPr>
            </w:pPr>
          </w:p>
        </w:tc>
      </w:tr>
      <w:tr>
        <w:trPr>
          <w:trHeight w:val="185"/>
        </w:trPr>
        <w:tc>
          <w:tcPr>
            <w:tcW w:w="2880" w:type="dxa"/>
            <w:vAlign w:val="bottom"/>
            <w:gridSpan w:val="2"/>
            <w:vMerge w:val="continue"/>
          </w:tcPr>
          <w:p>
            <w:pPr>
              <w:spacing w:after="0"/>
              <w:rPr>
                <w:sz w:val="16"/>
                <w:szCs w:val="16"/>
                <w:color w:val="auto"/>
              </w:rPr>
            </w:pPr>
          </w:p>
        </w:tc>
        <w:tc>
          <w:tcPr>
            <w:tcW w:w="2880" w:type="dxa"/>
            <w:vAlign w:val="bottom"/>
            <w:gridSpan w:val="2"/>
            <w:vMerge w:val="continue"/>
          </w:tcPr>
          <w:p>
            <w:pPr>
              <w:spacing w:after="0"/>
              <w:rPr>
                <w:sz w:val="16"/>
                <w:szCs w:val="16"/>
                <w:color w:val="auto"/>
              </w:rPr>
            </w:pPr>
          </w:p>
        </w:tc>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Our Account</w:t>
            </w: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5"/>
              </w:rPr>
              <w:t>Us or for Our Account</w:t>
            </w:r>
          </w:p>
        </w:tc>
        <w:tc>
          <w:tcPr>
            <w:tcW w:w="0" w:type="dxa"/>
            <w:vAlign w:val="bottom"/>
          </w:tcPr>
          <w:p>
            <w:pPr>
              <w:spacing w:after="0"/>
              <w:rPr>
                <w:sz w:val="1"/>
                <w:szCs w:val="1"/>
                <w:color w:val="auto"/>
              </w:rPr>
            </w:pPr>
          </w:p>
        </w:tc>
      </w:tr>
      <w:tr>
        <w:trPr>
          <w:trHeight w:val="224"/>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w:t>
            </w:r>
          </w:p>
        </w:tc>
        <w:tc>
          <w:tcPr>
            <w:tcW w:w="2060" w:type="dxa"/>
            <w:vAlign w:val="bottom"/>
          </w:tcPr>
          <w:p>
            <w:pPr>
              <w:spacing w:after="0"/>
              <w:rPr>
                <w:sz w:val="20"/>
                <w:szCs w:val="20"/>
                <w:color w:val="auto"/>
              </w:rPr>
            </w:pPr>
            <w:r>
              <w:rPr>
                <w:rFonts w:ascii="Arial" w:cs="Arial" w:eastAsia="Arial" w:hAnsi="Arial"/>
                <w:sz w:val="18"/>
                <w:szCs w:val="18"/>
                <w:color w:val="auto"/>
              </w:rPr>
              <w:t>Stock</w:t>
            </w:r>
          </w:p>
        </w:tc>
        <w:tc>
          <w:tcPr>
            <w:tcW w:w="26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400,000,000</w:t>
            </w:r>
          </w:p>
        </w:tc>
        <w:tc>
          <w:tcPr>
            <w:tcW w:w="2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89,080</w:t>
            </w:r>
          </w:p>
        </w:tc>
        <w:tc>
          <w:tcPr>
            <w:tcW w:w="22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59,225,688</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140" w:firstLine="456"/>
        <w:spacing w:after="0" w:line="288" w:lineRule="auto"/>
        <w:rPr>
          <w:sz w:val="20"/>
          <w:szCs w:val="20"/>
          <w:color w:val="auto"/>
        </w:rPr>
      </w:pPr>
      <w:r>
        <w:rPr>
          <w:rFonts w:ascii="Arial" w:cs="Arial" w:eastAsia="Arial" w:hAnsi="Arial"/>
          <w:sz w:val="16"/>
          <w:szCs w:val="16"/>
          <w:color w:val="auto"/>
        </w:rPr>
        <w:t>Prior to our IPO, we conducted private offerings of our common stock to investors in reliance on the exemptions from the registration requirements of the Securities Act. At the closing of each private offering, investors made capital commitments to purchase our common stock from time to time at net asset value. On January 31, 2013, we reached a $1.5 billion cap on private offering commitments agreed to with our pre-IPO investors, which included a</w:t>
      </w:r>
    </w:p>
    <w:p>
      <w:pPr>
        <w:ind w:right="180"/>
        <w:spacing w:after="0" w:line="261" w:lineRule="auto"/>
        <w:rPr>
          <w:sz w:val="20"/>
          <w:szCs w:val="20"/>
          <w:color w:val="auto"/>
        </w:rPr>
      </w:pPr>
      <w:r>
        <w:rPr>
          <w:rFonts w:ascii="Arial" w:cs="Arial" w:eastAsia="Arial" w:hAnsi="Arial"/>
          <w:sz w:val="18"/>
          <w:szCs w:val="18"/>
          <w:color w:val="auto"/>
        </w:rPr>
        <w:t>$100 million capital commitment by our Adviser. Our pre-IPO investors’ obligations to purchase additional shares from the undrawn portion of their capital commitments terminated upon the completion of the IPO.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459" w:right="2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Under the terms of our certificate of incorporation, our Board is authorized to issue shares of preferred stock in one or more series without stockholder approval. See “Description of Our Preferred Stock.”</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certification of incorporation limits our directors’ liability to the fullest extent permitted under Delaware corporate law and the 1940 Act.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Specifically, our directors will not be personally liable to us or our stockholders for any breach of fiduciary duty as a director, except for any liability:</w:t>
      </w:r>
    </w:p>
    <w:p>
      <w:pPr>
        <w:spacing w:after="0" w:line="128"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acts or omissions not in good faith or which involve willful misconduct, gross negligence, bad faith, reckless disregard or a knowing violation of law,</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under Section 174 of the DGCL, which relates to unlawful payment of dividends or unlawful stock purchases or redemptions,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w:t>
      </w:r>
    </w:p>
    <w:p>
      <w:pPr>
        <w:spacing w:after="0" w:line="147"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380"/>
          </w:cols>
          <w:pgMar w:left="240" w:top="459" w:right="2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Under the Investment Advisory Agreement, we have, to the extent permitted by applicable law, indemnified the Adviser and certain of its affiliates, as described under “Management and Other Agreements—Indemnification.”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w:t>
      </w:r>
    </w:p>
    <w:p>
      <w:pPr>
        <w:spacing w:after="0" w:line="17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certificate of incorporation and bylaws provide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be divided into three classes, as nearly equal in size as possible, with staggered three-year terms (and the number of directors shall not be fewer than four or greater than nine);</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80" w:hanging="325"/>
        <w:spacing w:after="0" w:line="277"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of a majority of the directors then in office.</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bylaws also provide that:</w:t>
      </w:r>
    </w:p>
    <w:p>
      <w:pPr>
        <w:spacing w:after="0" w:line="131" w:lineRule="exact"/>
        <w:rPr>
          <w:sz w:val="20"/>
          <w:szCs w:val="20"/>
          <w:color w:val="auto"/>
        </w:rPr>
      </w:pPr>
    </w:p>
    <w:p>
      <w:pPr>
        <w:ind w:left="900" w:right="40" w:hanging="325"/>
        <w:spacing w:after="0" w:line="277"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special meetings of the stockholders may only be called by our Board, Chairman, or a Chief Executive Officer.</w:t>
      </w:r>
    </w:p>
    <w:p>
      <w:pPr>
        <w:spacing w:after="0" w:line="22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w:t>
      </w:r>
    </w:p>
    <w:p>
      <w:pPr>
        <w:spacing w:after="0" w:line="166"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66"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any person who, whether directly or indirectly and whether alone or together with its affiliates and associates, beneficially owns 10% or more of the outstanding shares of our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10% holder transactions subject to these special approval requirements are:</w:t>
      </w:r>
    </w:p>
    <w:p>
      <w:pPr>
        <w:spacing w:after="0" w:line="131" w:lineRule="exact"/>
        <w:rPr>
          <w:sz w:val="20"/>
          <w:szCs w:val="20"/>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merger or consolidation of us or any subsidiary of ours with or into any principal stockholder;</w:t>
      </w:r>
    </w:p>
    <w:p>
      <w:pPr>
        <w:spacing w:after="0" w:line="130" w:lineRule="exact"/>
        <w:rPr>
          <w:rFonts w:ascii="Arial" w:cs="Arial" w:eastAsia="Arial" w:hAnsi="Arial"/>
          <w:sz w:val="18"/>
          <w:szCs w:val="18"/>
          <w:color w:val="auto"/>
        </w:rPr>
      </w:pPr>
    </w:p>
    <w:p>
      <w:pPr>
        <w:jc w:val="both"/>
        <w:ind w:left="900" w:right="300" w:hanging="325"/>
        <w:spacing w:after="0" w:line="286" w:lineRule="auto"/>
        <w:tabs>
          <w:tab w:leader="none" w:pos="9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w:t>
      </w:r>
    </w:p>
    <w:p>
      <w:pPr>
        <w:spacing w:after="0" w:line="70" w:lineRule="exact"/>
        <w:rPr>
          <w:rFonts w:ascii="Arial" w:cs="Arial" w:eastAsia="Arial" w:hAnsi="Arial"/>
          <w:sz w:val="17"/>
          <w:szCs w:val="17"/>
          <w:color w:val="auto"/>
        </w:rPr>
      </w:pPr>
    </w:p>
    <w:p>
      <w:pPr>
        <w:ind w:left="900" w:right="200" w:hanging="325"/>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w:t>
      </w:r>
    </w:p>
    <w:p>
      <w:pPr>
        <w:spacing w:after="0" w:line="86" w:lineRule="exact"/>
        <w:rPr>
          <w:rFonts w:ascii="Arial" w:cs="Arial" w:eastAsia="Arial" w:hAnsi="Arial"/>
          <w:sz w:val="18"/>
          <w:szCs w:val="18"/>
          <w:color w:val="auto"/>
        </w:rPr>
      </w:pPr>
    </w:p>
    <w:p>
      <w:pPr>
        <w:ind w:left="900" w:right="60" w:hanging="325"/>
        <w:spacing w:after="0" w:line="264"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1940 Act defines “a majority of the outstanding voting securities” as the lesser of:</w:t>
      </w:r>
    </w:p>
    <w:p>
      <w:pPr>
        <w:spacing w:after="0" w:line="131" w:lineRule="exact"/>
        <w:rPr>
          <w:sz w:val="20"/>
          <w:szCs w:val="20"/>
          <w:color w:val="auto"/>
        </w:rPr>
      </w:pPr>
    </w:p>
    <w:p>
      <w:pPr>
        <w:ind w:left="900" w:hanging="325"/>
        <w:spacing w:after="0" w:line="277" w:lineRule="auto"/>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67% or more of the company’s voting stock present at a meeting if more than 50% of the outstanding voting securities of the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more than 50% of the outstanding voting securities of the company.</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187"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Our Board has determined that provisions with respect to the Board and the stockholder voting requirements described above, which voting requirements are greater than the minimum requirements under Delaware law or the 1940 Act, are in the best interest of stockholders generally.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w:t>
      </w:r>
    </w:p>
    <w:p>
      <w:pPr>
        <w:spacing w:after="0" w:line="178" w:lineRule="exact"/>
        <w:rPr>
          <w:sz w:val="20"/>
          <w:szCs w:val="20"/>
          <w:color w:val="auto"/>
        </w:rPr>
      </w:pPr>
    </w:p>
    <w:p>
      <w:pPr>
        <w:ind w:right="340" w:firstLine="456"/>
        <w:spacing w:after="0" w:line="291" w:lineRule="auto"/>
        <w:rPr>
          <w:sz w:val="20"/>
          <w:szCs w:val="20"/>
          <w:color w:val="auto"/>
        </w:rPr>
      </w:pPr>
      <w:r>
        <w:rPr>
          <w:rFonts w:ascii="Arial" w:cs="Arial" w:eastAsia="Arial" w:hAnsi="Arial"/>
          <w:sz w:val="16"/>
          <w:szCs w:val="16"/>
          <w:color w:val="auto"/>
        </w:rPr>
        <w:t>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w:t>
      </w:r>
    </w:p>
    <w:p>
      <w:pPr>
        <w:spacing w:after="0" w:line="255" w:lineRule="auto"/>
        <w:rPr>
          <w:sz w:val="20"/>
          <w:szCs w:val="20"/>
          <w:color w:val="auto"/>
        </w:rPr>
      </w:pPr>
      <w:r>
        <w:rPr>
          <w:rFonts w:ascii="Arial" w:cs="Arial" w:eastAsia="Arial" w:hAnsi="Arial"/>
          <w:sz w:val="18"/>
          <w:szCs w:val="18"/>
          <w:color w:val="auto"/>
        </w:rPr>
        <w:t>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w:t>
      </w:r>
    </w:p>
    <w:p>
      <w:pPr>
        <w:spacing w:after="0" w:line="96" w:lineRule="exact"/>
        <w:rPr>
          <w:sz w:val="20"/>
          <w:szCs w:val="20"/>
          <w:color w:val="auto"/>
        </w:rPr>
      </w:pPr>
    </w:p>
    <w:p>
      <w:pPr>
        <w:ind w:left="900" w:right="100" w:hanging="325"/>
        <w:spacing w:after="0" w:line="277" w:lineRule="auto"/>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immediately after issuance and before any distribution is made with respect to common stock, we must meet a coverage ratio of total assets (less total liabilities other than indebtedness) to total indebtedness plus preferred stock, of at least 200%; and</w:t>
      </w:r>
    </w:p>
    <w:p>
      <w:pPr>
        <w:spacing w:after="0" w:line="75" w:lineRule="exact"/>
        <w:rPr>
          <w:rFonts w:ascii="Arial" w:cs="Arial" w:eastAsia="Arial" w:hAnsi="Arial"/>
          <w:sz w:val="18"/>
          <w:szCs w:val="18"/>
          <w:color w:val="auto"/>
        </w:rPr>
      </w:pPr>
    </w:p>
    <w:p>
      <w:pPr>
        <w:ind w:left="900" w:right="140" w:hanging="325"/>
        <w:spacing w:after="0" w:line="308" w:lineRule="auto"/>
        <w:tabs>
          <w:tab w:leader="none" w:pos="9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features of the preferred stock are further limited by the requirements applicable to RICs under the Code.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For any series of preferred stock that we may issue, our Board will determine and the amendment to our certificate of incorporation and the prospectus supplement relating to such series will describe:</w:t>
      </w:r>
    </w:p>
    <w:p>
      <w:pPr>
        <w:spacing w:after="0" w:line="76" w:lineRule="exact"/>
        <w:rPr>
          <w:sz w:val="20"/>
          <w:szCs w:val="20"/>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130" w:lineRule="exact"/>
        <w:rPr>
          <w:rFonts w:ascii="Arial" w:cs="Arial" w:eastAsia="Arial" w:hAnsi="Arial"/>
          <w:sz w:val="18"/>
          <w:szCs w:val="18"/>
          <w:color w:val="auto"/>
        </w:rPr>
      </w:pPr>
    </w:p>
    <w:p>
      <w:pPr>
        <w:ind w:left="900" w:right="5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participating or non-participating;</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 including adjustments to the conversion price of such series;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other relative powers, preferences and participating, optional or special rights of shares of such series, and the qualifications, limitations or restrictions thereof.</w:t>
      </w:r>
    </w:p>
    <w:p>
      <w:pPr>
        <w:spacing w:after="0" w:line="17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54" w:lineRule="exact"/>
        <w:rPr>
          <w:sz w:val="20"/>
          <w:szCs w:val="20"/>
          <w:color w:val="auto"/>
        </w:rPr>
      </w:pPr>
    </w:p>
    <w:p>
      <w:pPr>
        <w:ind w:left="90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period of time the offering would remain open (which shall be open a minimum number of days such that all record holders would be eligible to participate in the offering and shall not be open longer than 120 days);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exercise price for such subscription rights (or method of calculation thereof);</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ratio of the offering (which, in the case of transferable rights, will require a minimum of three shares to be held of record before a person is entitled to purchase an additional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number of such subscription rights issued to each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 and the market on which they may be traded if they are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if applicable, a discussion of certain U.S. federal income tax considerations applicable to the issuance or exercise of such subscription rights;</w:t>
      </w:r>
    </w:p>
    <w:p>
      <w:pPr>
        <w:spacing w:after="0" w:line="153" w:lineRule="exact"/>
        <w:rPr>
          <w:rFonts w:ascii="Arial" w:cs="Arial" w:eastAsia="Arial" w:hAnsi="Arial"/>
          <w:sz w:val="16"/>
          <w:szCs w:val="16"/>
          <w:color w:val="auto"/>
        </w:rPr>
      </w:pPr>
    </w:p>
    <w:p>
      <w:pPr>
        <w:ind w:left="900" w:right="3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shall commence, and the date on which such right shall expire (subject to any extension);</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 and the terms of such over-subscription privilege;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termination right we may have in connection with such subscription rights offering; and</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exercise, settlement and other procedures and limitations relating to the transfer and exercise of such subscription rights.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Subscription Rights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w:t>
      </w:r>
    </w:p>
    <w:p>
      <w:pPr>
        <w:spacing w:after="0" w:line="171"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360"/>
          </w:cols>
          <w:pgMar w:left="240" w:top="459" w:right="29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Dilutive Effects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86"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shall commence and the date on which such right will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00"/>
          </w:cols>
          <w:pgMar w:left="240" w:top="460" w:right="2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“—Events of Default—Remedies If an Event of Default Occurs.” Second, the trustee performs certain administrative duties for us.</w:t>
      </w:r>
    </w:p>
    <w:p>
      <w:pPr>
        <w:spacing w:after="0" w:line="17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A copy of the form of indenture is attached as an exhibit to the registration statement of which this prospectus is a part. See “Available Information” for information on how to obtain a copy of the indenture.</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prospectus supplement, which will accompany this prospectus, will describe the particular series of debt securities being offered, including, among other things:</w:t>
      </w:r>
    </w:p>
    <w:p>
      <w:pPr>
        <w:spacing w:after="0" w:line="76" w:lineRule="exact"/>
        <w:rPr>
          <w:sz w:val="20"/>
          <w:szCs w:val="20"/>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any interest may be paid by issuing additional securities of the same series in lieu of cash (and the terms upon which any such interest may be paid by issuing additional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jc w:val="both"/>
        <w:ind w:left="900" w:right="240" w:hanging="325"/>
        <w:spacing w:after="0" w:line="264"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Borough of Manhattan in the City of New York, of payment, transfer, conversion and/or exchange of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 (if other than $1,000 and any integral multiple thereof);</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series of debt securities is issuable in certificated form;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U.S. federal income tax considerations relating to original issue discount;</w:t>
      </w:r>
    </w:p>
    <w:p>
      <w:pPr>
        <w:spacing w:after="0" w:line="153" w:lineRule="exact"/>
        <w:rPr>
          <w:rFonts w:ascii="Arial" w:cs="Arial" w:eastAsia="Arial" w:hAnsi="Arial"/>
          <w:sz w:val="16"/>
          <w:szCs w:val="16"/>
          <w:color w:val="auto"/>
        </w:rPr>
      </w:pPr>
    </w:p>
    <w:p>
      <w:pPr>
        <w:ind w:left="900" w:right="500" w:hanging="325"/>
        <w:spacing w:after="0" w:line="342" w:lineRule="auto"/>
        <w:tabs>
          <w:tab w:leader="none" w:pos="9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whether the debt securities are secured and the terms of any security interest;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debt securities may be secured or unsecured obligations. Unless the prospectus supplement states otherwise, principal (and premium, if any) and interest, if any, will be paid by us in immediately available funds.</w:t>
      </w:r>
    </w:p>
    <w:p>
      <w:pPr>
        <w:spacing w:after="0" w:line="17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shares senior to our common stock if our asset coverage, calculated pursuant to the 1940 Act, is at least equal to 200%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200%. We may also borrow amounts up to 5% of the value of our total assets for temporary or emergency purposes without regard to asset coverage. For a discussion of the risks associated with leverage, see “Risk Factors—Risks Relating to Our Business and Structure—Regulations governing our operation as a BDC affect our ability to, and the way in which we, raise additional capital.”</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indenture does not contain any provisions that give you protection in the event we issue a large amount of debt or we are acquired by another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that we will usually issue debt securities in book-entry only form represented by global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Global Securities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Certificated Securities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When Offices Are Closed</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248"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term “Event of Default” in respect of the debt securities of your series means any of the following (unless the prospectus supplement relating to such debt securities states otherwise):</w:t>
      </w:r>
    </w:p>
    <w:p>
      <w:pPr>
        <w:spacing w:after="0" w:line="76" w:lineRule="exact"/>
        <w:rPr>
          <w:sz w:val="20"/>
          <w:szCs w:val="20"/>
          <w:color w:val="auto"/>
        </w:rPr>
      </w:pPr>
    </w:p>
    <w:p>
      <w:pPr>
        <w:ind w:left="900" w:hanging="325"/>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We do not pay the principal of, or any premium on, a debt security of the series on its due date, and do not cure this default within five days.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when due, and such default is not cured within 30 days.</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 and do not cure this default within five days.</w:t>
      </w:r>
    </w:p>
    <w:p>
      <w:pPr>
        <w:spacing w:after="0" w:line="75" w:lineRule="exact"/>
        <w:rPr>
          <w:rFonts w:ascii="Arial" w:cs="Arial" w:eastAsia="Arial" w:hAnsi="Arial"/>
          <w:sz w:val="18"/>
          <w:szCs w:val="18"/>
          <w:color w:val="auto"/>
        </w:rPr>
      </w:pPr>
    </w:p>
    <w:p>
      <w:pPr>
        <w:ind w:left="900" w:right="80" w:hanging="325"/>
        <w:spacing w:after="0" w:line="342" w:lineRule="auto"/>
        <w:tabs>
          <w:tab w:leader="none" w:pos="9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29" w:lineRule="exact"/>
        <w:rPr>
          <w:rFonts w:ascii="Arial" w:cs="Arial" w:eastAsia="Arial" w:hAnsi="Arial"/>
          <w:sz w:val="16"/>
          <w:szCs w:val="16"/>
          <w:color w:val="auto"/>
        </w:rPr>
      </w:pPr>
    </w:p>
    <w:p>
      <w:pPr>
        <w:ind w:left="900" w:right="500" w:hanging="325"/>
        <w:spacing w:after="0" w:line="277"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 remain undischarged or unstayed for a period of 90 days.</w:t>
      </w:r>
    </w:p>
    <w:p>
      <w:pPr>
        <w:spacing w:after="0" w:line="75"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On the last business day of each of twenty-four consecutive calendar months, we have an asset coverage of less than 100%, giving effect to any amendments to Section 18(a)(1)(C)(ii) and Section 61 of the 1940 Act or to any exemptive relief granted to us by the SEC.</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460" w:right="2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applicable prospectus supplement occurs.</w:t>
      </w:r>
    </w:p>
    <w:p>
      <w:pPr>
        <w:spacing w:after="0" w:line="225" w:lineRule="exact"/>
        <w:rPr>
          <w:sz w:val="20"/>
          <w:szCs w:val="20"/>
          <w:color w:val="auto"/>
        </w:rPr>
      </w:pPr>
    </w:p>
    <w:p>
      <w:pPr>
        <w:ind w:right="240" w:firstLine="456"/>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Remedies If an Event of Default Occurs</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If an Event of Default has occurred and has not been cured, the trustee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73"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You must give your trustee written notice that an Event of Default has occurred and remains uncured.</w:t>
      </w:r>
    </w:p>
    <w:p>
      <w:pPr>
        <w:spacing w:after="0" w:line="130" w:lineRule="exact"/>
        <w:rPr>
          <w:rFonts w:ascii="Arial" w:cs="Arial" w:eastAsia="Arial" w:hAnsi="Arial"/>
          <w:sz w:val="18"/>
          <w:szCs w:val="18"/>
          <w:color w:val="auto"/>
        </w:rPr>
      </w:pPr>
    </w:p>
    <w:p>
      <w:pPr>
        <w:ind w:left="900" w:right="520" w:hanging="325"/>
        <w:spacing w:after="0" w:line="342" w:lineRule="auto"/>
        <w:tabs>
          <w:tab w:leader="none" w:pos="90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 day period.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a majority in principal amount of the debt securities of the affected series may waive any past defaults other than:</w:t>
      </w:r>
    </w:p>
    <w:p>
      <w:pPr>
        <w:spacing w:after="0" w:line="131" w:lineRule="exact"/>
        <w:rPr>
          <w:sz w:val="20"/>
          <w:szCs w:val="20"/>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payment of principal, any premium or interest;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respect of a covenant that cannot be modified or amended without the consent of each holder.</w:t>
      </w:r>
    </w:p>
    <w:p>
      <w:pPr>
        <w:spacing w:after="0" w:line="221"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Consolidation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w:t>
      </w:r>
    </w:p>
    <w:p>
      <w:pPr>
        <w:spacing w:after="0" w:line="87" w:lineRule="exact"/>
        <w:rPr>
          <w:sz w:val="20"/>
          <w:szCs w:val="20"/>
          <w:color w:val="auto"/>
        </w:rPr>
      </w:pPr>
    </w:p>
    <w:p>
      <w:pPr>
        <w:ind w:left="900" w:right="240" w:hanging="325"/>
        <w:spacing w:after="0" w:line="277"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we merge out of existence or sell all or substantially all our assets, the resulting entity or transferee must agree to be legally responsible for our obligations under the debt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54" w:lineRule="exact"/>
        <w:rPr>
          <w:sz w:val="20"/>
          <w:szCs w:val="20"/>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change the place (except as otherwise described in the prospectus or prospectus supplement) or currency of payment on a debt security;</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debt securities;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00"/>
          </w:cols>
          <w:pgMar w:left="240" w:top="460" w:right="2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900" w:hanging="32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If the change affects only one series of debt securities, it must be approved by the holders of a majority in principal amount of that series.</w:t>
      </w:r>
    </w:p>
    <w:p>
      <w:pPr>
        <w:spacing w:after="0" w:line="142" w:lineRule="exact"/>
        <w:rPr>
          <w:rFonts w:ascii="Arial" w:cs="Arial" w:eastAsia="Arial" w:hAnsi="Arial"/>
          <w:sz w:val="17"/>
          <w:szCs w:val="17"/>
          <w:color w:val="auto"/>
        </w:rPr>
      </w:pPr>
    </w:p>
    <w:p>
      <w:pPr>
        <w:ind w:left="900" w:right="140" w:hanging="325"/>
        <w:spacing w:after="0" w:line="342" w:lineRule="auto"/>
        <w:tabs>
          <w:tab w:leader="none" w:pos="90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900" w:right="16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30"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 —Full Defeasance.”</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debt securities or request a waiver.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00"/>
          </w:cols>
          <w:pgMar w:left="240" w:top="459" w:right="2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Defeasance</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w:t>
      </w:r>
    </w:p>
    <w:p>
      <w:pPr>
        <w:spacing w:after="0" w:line="94" w:lineRule="exact"/>
        <w:rPr>
          <w:sz w:val="20"/>
          <w:szCs w:val="20"/>
          <w:color w:val="auto"/>
        </w:rPr>
      </w:pPr>
    </w:p>
    <w:p>
      <w:pPr>
        <w:ind w:left="900" w:right="180" w:hanging="325"/>
        <w:spacing w:after="0" w:line="286"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w:t>
      </w:r>
    </w:p>
    <w:p>
      <w:pPr>
        <w:spacing w:after="0" w:line="86"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covenant defeasance have been complied with.</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Defeasance</w:t>
      </w:r>
    </w:p>
    <w:p>
      <w:pPr>
        <w:spacing w:after="0" w:line="117"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900" w:right="180" w:hanging="325"/>
        <w:spacing w:after="0" w:line="286"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w:t>
      </w:r>
    </w:p>
    <w:p>
      <w:pPr>
        <w:spacing w:after="0" w:line="77" w:lineRule="exact"/>
        <w:rPr>
          <w:rFonts w:ascii="Arial" w:cs="Arial" w:eastAsia="Arial" w:hAnsi="Arial"/>
          <w:sz w:val="17"/>
          <w:szCs w:val="17"/>
          <w:color w:val="auto"/>
        </w:rPr>
      </w:pPr>
    </w:p>
    <w:p>
      <w:pPr>
        <w:ind w:left="5580" w:hanging="5005"/>
        <w:spacing w:after="0" w:line="449"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 162</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Holders may exchange their certificated securities, if any,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w:t>
      </w:r>
    </w:p>
    <w:p>
      <w:pPr>
        <w:spacing w:after="0" w:line="181" w:lineRule="exact"/>
        <w:rPr>
          <w:sz w:val="20"/>
          <w:szCs w:val="20"/>
          <w:color w:val="auto"/>
        </w:rPr>
      </w:pPr>
    </w:p>
    <w:p>
      <w:pPr>
        <w:jc w:val="both"/>
        <w:ind w:right="160" w:firstLine="456"/>
        <w:spacing w:after="0" w:line="342" w:lineRule="auto"/>
        <w:rPr>
          <w:sz w:val="20"/>
          <w:szCs w:val="20"/>
          <w:color w:val="auto"/>
        </w:rPr>
      </w:pPr>
      <w:r>
        <w:rPr>
          <w:rFonts w:ascii="Arial" w:cs="Arial" w:eastAsia="Arial" w:hAnsi="Arial"/>
          <w:sz w:val="16"/>
          <w:szCs w:val="16"/>
          <w:color w:val="auto"/>
        </w:rPr>
        <w:t>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w:t>
      </w:r>
    </w:p>
    <w:p>
      <w:pPr>
        <w:spacing w:after="0" w:line="12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right="280" w:firstLine="456"/>
        <w:spacing w:after="0" w:line="286" w:lineRule="auto"/>
        <w:rPr>
          <w:sz w:val="20"/>
          <w:szCs w:val="20"/>
          <w:color w:val="auto"/>
        </w:rPr>
      </w:pPr>
      <w:r>
        <w:rPr>
          <w:rFonts w:ascii="Arial" w:cs="Arial" w:eastAsia="Arial" w:hAnsi="Arial"/>
          <w:sz w:val="17"/>
          <w:szCs w:val="17"/>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65"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900" w:right="140" w:hanging="325"/>
        <w:spacing w:after="0" w:line="259" w:lineRule="auto"/>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225"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Indebtedness and Ranking</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w:t>
      </w:r>
    </w:p>
    <w:p>
      <w:pPr>
        <w:spacing w:after="0" w:line="166"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w:t>
      </w:r>
    </w:p>
    <w:p>
      <w:pPr>
        <w:spacing w:after="0" w:line="15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Wells Fargo Bank, National Association, will serve as the trustee under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21" w:lineRule="exact"/>
        <w:rPr>
          <w:sz w:val="20"/>
          <w:szCs w:val="20"/>
          <w:color w:val="auto"/>
        </w:rPr>
      </w:pPr>
    </w:p>
    <w:p>
      <w:pPr>
        <w:ind w:right="260" w:firstLine="456"/>
        <w:spacing w:after="0" w:line="297" w:lineRule="auto"/>
        <w:rPr>
          <w:sz w:val="20"/>
          <w:szCs w:val="20"/>
          <w:color w:val="auto"/>
        </w:rPr>
      </w:pPr>
      <w:r>
        <w:rPr>
          <w:rFonts w:ascii="Arial" w:cs="Arial" w:eastAsia="Arial" w:hAnsi="Arial"/>
          <w:sz w:val="16"/>
          <w:szCs w:val="16"/>
          <w:color w:val="auto"/>
        </w:rPr>
        <w:t>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w:t>
      </w:r>
    </w:p>
    <w:p>
      <w:pPr>
        <w:spacing w:after="0" w:line="158"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w:t>
      </w:r>
    </w:p>
    <w:p>
      <w:pPr>
        <w:spacing w:after="0" w:line="19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w:t>
      </w:r>
    </w:p>
    <w:p>
      <w:pPr>
        <w:spacing w:after="0" w:line="19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Redemption notices shall be sent to DTC. If less than all of the debt securities within an issue are being redeemed, DTC’s practice is to determine by lot the amount of the interest of each Direct Participant in such issue to be redeemed.</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w:t>
      </w:r>
    </w:p>
    <w:p>
      <w:pPr>
        <w:spacing w:after="0" w:line="18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information in this section concerning DTC and DTC’s book-entry system has been obtained from sources that we believe to be reliable, but we take no responsibility for the accuracy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could occur, could adversely affect the prevailing market price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 general, under Rule 144 under the Securities Act, or Rule 144, a person (or persons whose shares are aggregated) who is not deemed to have been an affiliate of ours at any time during the three-months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1% of the then outstanding shares of our common stock or the average weekly trading volume of our common stock during the four calendar weeks preceding such sale. Such sales are also subject to certain manner of sale provisions, notice requirements and the availability of current public information about us (which requires that we are current in our periodic reports under the Exchange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a BDC, we are permitted, under specified conditions, to issue multiple classes of indebtedness and one class of shares senior to our common stock if our asset coverage, as defined in the 1940 Act, is at least equal to 200% immediately after any borrowing or issuance.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“Risk Factors— Risks Related to Our Business and Structure—We borrow money, which magnifies the potential for gain or loss and increases the risk of investing in us.”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2014, our asset coverage was 225.7% and 311.0%, respectively.</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w:t>
      </w:r>
    </w:p>
    <w:p>
      <w:pPr>
        <w:spacing w:after="0" w:line="87" w:lineRule="exact"/>
        <w:rPr>
          <w:sz w:val="20"/>
          <w:szCs w:val="20"/>
          <w:color w:val="auto"/>
        </w:rPr>
      </w:pPr>
    </w:p>
    <w:p>
      <w:pPr>
        <w:ind w:left="900" w:right="40" w:hanging="325"/>
        <w:spacing w:after="0" w:line="277" w:lineRule="auto"/>
        <w:tabs>
          <w:tab w:leader="none" w:pos="9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67% or more of such company’s voting securities present at a meeting if more than 50% of the outstanding voting securities of such company are present or represented by proxy;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more than 50% of the outstanding voting securities of such company. We do not anticipate any substantial change in the nature of our business.</w:t>
      </w:r>
    </w:p>
    <w:p>
      <w:pPr>
        <w:spacing w:after="0" w:line="24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“Material U.S. Federal Income Tax Considerations—Regulated Investment Company Classification” for more information.</w:t>
      </w:r>
    </w:p>
    <w:p>
      <w:pPr>
        <w:spacing w:after="0" w:line="165"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00"/>
          </w:cols>
          <w:pgMar w:left="240" w:top="460" w:right="2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generally not able to issue and sell our common stock at a price below net asset value per share. See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We may in the future seek such approval;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Affiliates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and TPG in middle-market loan origination activities for companies domiciled in the United States and certain “follow-on” investments in companies in which we have already co-invested pursuant to the order and remain invested. See “Related-Party Transactions and Certain Relationships—Exemptive Relief” for more information on the terms of the exemptive order.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87" w:lineRule="exact"/>
        <w:rPr>
          <w:sz w:val="20"/>
          <w:szCs w:val="20"/>
          <w:color w:val="auto"/>
        </w:rPr>
      </w:pPr>
    </w:p>
    <w:p>
      <w:pPr>
        <w:ind w:left="900" w:right="200" w:hanging="325"/>
        <w:spacing w:after="0" w:line="259"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us) or a company that would be an investment company but for certain exclusions under the 1940 Act;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130" w:lineRule="exact"/>
        <w:rPr>
          <w:rFonts w:ascii="Arial" w:cs="Arial" w:eastAsia="Arial" w:hAnsi="Arial"/>
          <w:sz w:val="18"/>
          <w:szCs w:val="18"/>
          <w:color w:val="auto"/>
        </w:rPr>
      </w:pPr>
    </w:p>
    <w:p>
      <w:pPr>
        <w:ind w:left="1480" w:right="600" w:hanging="446"/>
        <w:spacing w:after="0" w:line="277" w:lineRule="auto"/>
        <w:tabs>
          <w:tab w:leader="none" w:pos="14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has an equity market capitalization of less than $250 million or does not have any class of securities listed on a national securities exchange;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00"/>
          </w:cols>
          <w:pgMar w:left="240" w:top="460" w:right="2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180" w:hanging="446"/>
        <w:spacing w:after="0" w:line="264" w:lineRule="auto"/>
        <w:tabs>
          <w:tab w:leader="none" w:pos="14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is a small and solvent company having total assets of not more than $4 million and capital and surplus of not less than $2 million.</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of any eligible portfolio company that we control.</w:t>
      </w:r>
    </w:p>
    <w:p>
      <w:pPr>
        <w:spacing w:after="0" w:line="13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92"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3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Our Adviser will monitor the creditworthiness of the counterparties with which we enter into repurchase agreement transactions.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12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As required by the Advisers Act and the 1940 Act, we and the Adviser have adopted codes of ethics which apply to, among others, our and our Adviser’s executive officers, including our Co-Chief Executive Officers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00"/>
          </w:cols>
          <w:pgMar w:left="240" w:top="459" w:right="2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You may read and copy the codes of ethics at the SEC’s Public Reference Room in Washington, D.C. You may obtain information on the operation of the Public Reference Room by calling the SEC at 1-800-SEC-0330. In addition, the codes of ethics are attached as exhibits to the registration statement of which this prospectus is a part, and are available on the SEC’s internet site at http://www.sec.gov. You may also obtain copies of the codes of ethics, after paying a duplicating fee, by electronic request at the following e-mail address: publicinfo@sec.gov, or by writing the SEC’s Public Reference Section at 100 F Street, N.E., Room 1580, Washington, D.C. 20549. We also hereby undertake to provide a copy of these codes to any person, without charge, upon request. Requests for a copy of the codes may be made in writing addressed to our Secretary, Jennifer Gordon, 888 7th Avenue, 35th Floor, New York, NY 10106, Attention: TSLX Investor Relations, or by emailing us at IRTSL@tpg.com.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12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certain publicly held companies and their insiders. Assuming certain requirements are met, many of these requirements affect us. For example:</w:t>
      </w:r>
    </w:p>
    <w:p>
      <w:pPr>
        <w:spacing w:after="0" w:line="76" w:lineRule="exact"/>
        <w:rPr>
          <w:sz w:val="20"/>
          <w:szCs w:val="20"/>
          <w:color w:val="auto"/>
        </w:rPr>
      </w:pPr>
    </w:p>
    <w:p>
      <w:pPr>
        <w:ind w:left="900" w:right="12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Rule 13a-14 of the Exchange Act, our Co-Chief Executive Officers and Chief Financial Officer certify the accuracy of the financial statements contained in our periodic reports;</w:t>
      </w:r>
    </w:p>
    <w:p>
      <w:pPr>
        <w:spacing w:after="0" w:line="75"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disclose our conclusions about the effectiveness of our disclosure controls and procedures;</w:t>
      </w:r>
    </w:p>
    <w:p>
      <w:pPr>
        <w:spacing w:after="0" w:line="75" w:lineRule="exact"/>
        <w:rPr>
          <w:rFonts w:ascii="Arial" w:cs="Arial" w:eastAsia="Arial" w:hAnsi="Arial"/>
          <w:sz w:val="18"/>
          <w:szCs w:val="18"/>
          <w:color w:val="auto"/>
        </w:rPr>
      </w:pPr>
    </w:p>
    <w:p>
      <w:pPr>
        <w:ind w:left="900" w:right="100" w:hanging="325"/>
        <w:spacing w:after="0" w:line="264" w:lineRule="auto"/>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pursuant to Rule 13a-15 of the Exchange Act, subject to certain assumptions, our management is required to prepare an annual report regarding its assessment of our internal control over financial reporting, which is required to be audited by our independent registered public accounting firm; and</w:t>
      </w:r>
    </w:p>
    <w:p>
      <w:pPr>
        <w:spacing w:after="0" w:line="86" w:lineRule="exact"/>
        <w:rPr>
          <w:rFonts w:ascii="Arial" w:cs="Arial" w:eastAsia="Arial" w:hAnsi="Arial"/>
          <w:sz w:val="18"/>
          <w:szCs w:val="18"/>
          <w:color w:val="auto"/>
        </w:rPr>
      </w:pPr>
    </w:p>
    <w:p>
      <w:pPr>
        <w:ind w:left="900" w:right="60" w:hanging="325"/>
        <w:spacing w:after="0" w:line="286"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pursuant to Item 308 of Regulation S-K and Rule 13a-15 of the Exchange Act, our periodic reports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66"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Sarbanes-Oxley Act requires us to review our policies and procedures to determine whether we comply with the Sarbanes-Oxley Act and the regulations promulgated thereunder. We continue to monitor our compliance with all regulations that are adopted under the Sarbanes-Oxley Act and take actions necessary to ensure that we are in compliance therewith.</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NYSE Corporate Governance Rules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NYSE has adopted corporate governance rules that listed companies must comply with. We believe we are in compliance with these rules.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340"/>
          </w:cols>
          <w:pgMar w:left="240" w:top="459" w:right="3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 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178"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You may obtain information about how the Adviser voted proxies, free of charge, by making a written request for proxy voting information to: TSL Advisers, 888 7th Avenue, 35th Floor, New York, NY 10106, Attention: TSLX Investor Relations, or by emailing us at IRTSL@tpg.com. The SEC also maintains a website at http://www.sec.gov that contains such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Obligations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8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We make available on our website (www.tpgspecialtylending.com) our proxy statements, our annual reports on Form 10-K, quarterly reports on Form 10-Q and our current reports on Form 8-K. We also provide electronic or paper copies of our filings free of charge upon request. Requests may be made in writing addressed to us at 888 7th Avenue, 35th Floor, New York, NY 10106, Attention: TSLX Investor Relations, or by emailing us at IRTSL@tpg.com.</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Investors and the public may also read and copy any materials we file with the SEC at the SEC’s Public Reference Room at 100 F Street, N.E., Room 1580, Washington, DC 20549. The public may also obtain information on the operation of the Public Reference Room by calling the SEC at 1-800-SEC-0330. The SEC also maintains a website (www.sec.gov) that contains this information.</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60"/>
          </w:cols>
          <w:pgMar w:left="240" w:top="460" w:right="3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CUSTODIAN, TRANSFER AND DIVIDEND PAYING AGENT AND REGISTRAR</w:t>
      </w:r>
    </w:p>
    <w:p>
      <w:pPr>
        <w:spacing w:after="0" w:line="229"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securities and loan documents are held by State Street Bank and Trust Company pursuant to a custodian agreement, and will serve as our transfer agent, distribution paying agent and registrar. The principal business address of State Street Bank and Trust Company is 1 Lincoln Street, Boston, Massachusetts 02111.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BROKERAGE ALLOCATION AND OTHER PRACTICES</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Since we will acquire and dispose of many of our investments in privately negotiated transactions, many of the transactions that we engage in will not require the use of brokers or the payment of brokerage commissions.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pay brokerage commissions incurred in connection with purchases pursuant to the Company 10b5-1 Plan.</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aggregate amount of brokerage commissions paid by us during the three most recent fiscal years is $36,196, all of which was paid during fiscal year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may offer, from time to time, in one or more offerings or series, up to $750 million of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or a combination of these methods.</w:t>
      </w:r>
    </w:p>
    <w:p>
      <w:pPr>
        <w:spacing w:after="0" w:line="18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may sell the securities through underwriters or dealers, directly to one or more purchasers, including existing stockholders in a rights offering, through agents designated from time to time by us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w:t>
      </w:r>
    </w:p>
    <w:p>
      <w:pPr>
        <w:spacing w:after="0" w:line="17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w:t>
      </w:r>
    </w:p>
    <w:p>
      <w:pPr>
        <w:spacing w:after="0" w:line="17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420"/>
          </w:cols>
          <w:pgMar w:left="240" w:top="459" w:right="2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w:t>
      </w:r>
    </w:p>
    <w:p>
      <w:pPr>
        <w:spacing w:after="0" w:line="18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w:t>
      </w:r>
    </w:p>
    <w:p>
      <w:pPr>
        <w:spacing w:after="0" w:line="19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w:t>
      </w:r>
    </w:p>
    <w:p>
      <w:pPr>
        <w:spacing w:after="0" w:line="193"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order to comply with the securities laws of certain states, if applicable, the securities offered hereby will be sold in such jurisdictions only through registered or licensed brokers or dealers.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380"/>
          </w:cols>
          <w:pgMar w:left="240" w:top="460" w:right="2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also represents the Adviser. Certain legal matters in connection with the offering will be passed upon for the underwriters, if any, by the counsel named in the prospectus supplement.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consolidated financial statements of TPG Specialty Lending, Inc. (and subsidiaries) as of December 31, 2015 and 2014, and for each of the years in the three-year period ended December 31, 2015 and the Senior Securities schedule under the heading “Senior Securities” have been included herein and in the registration statement in reliance upon the reports of KPMG LLP, 345 Park Avenue, New York, New York 10154, independent registered public accounting firm, appearing elsewhere herein, and upon the authority of said firm as experts in accounting and auditing.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w:t>
      </w:r>
    </w:p>
    <w:p>
      <w:pPr>
        <w:spacing w:after="0" w:line="18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file with or submit to the SEC periodic and current reports, proxy statements and other information meeting the informational requirements of the Exchange Act. You may inspect and copy these reports, proxy statements and other information, as well as the registration statement and related exhibits and schedules, at the SEC’s Public Reference Room at 100 F Street, N.E., Washington, D.C. 20549-0102. You may obtain information on the operation of the Public Reference Room by calling the SEC at 1-800-SEC-0330.</w:t>
      </w:r>
    </w:p>
    <w:p>
      <w:pPr>
        <w:spacing w:after="0" w:line="187"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maintain a website at http://www.tpgspecialtylending.com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35th Floor, New York, NY 10106, Attention: TSLX Investor Relations, or by emailing us at IRTSL@tpg.com.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or by writing the SEC’s Public Reference Section, 100 F Street, N.E., Washington, D.C. 20549-0102.</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420"/>
          </w:cols>
          <w:pgMar w:left="240" w:top="460" w:right="2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9520" w:type="dxa"/>
            <w:vAlign w:val="bottom"/>
            <w:gridSpan w:val="9"/>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80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1800" w:type="dxa"/>
            <w:vAlign w:val="bottom"/>
          </w:tcPr>
          <w:p>
            <w:pPr>
              <w:spacing w:after="0"/>
              <w:rPr>
                <w:sz w:val="24"/>
                <w:szCs w:val="24"/>
                <w:color w:val="auto"/>
              </w:rPr>
            </w:pPr>
          </w:p>
        </w:tc>
        <w:tc>
          <w:tcPr>
            <w:tcW w:w="6360" w:type="dxa"/>
            <w:vAlign w:val="bottom"/>
            <w:gridSpan w:val="7"/>
          </w:tcPr>
          <w:p>
            <w:pPr>
              <w:jc w:val="center"/>
              <w:ind w:right="124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0" w:type="dxa"/>
            <w:vAlign w:val="bottom"/>
          </w:tcPr>
          <w:p>
            <w:pPr>
              <w:spacing w:after="0"/>
              <w:rPr>
                <w:sz w:val="24"/>
                <w:szCs w:val="24"/>
                <w:color w:val="auto"/>
              </w:rPr>
            </w:pPr>
          </w:p>
        </w:tc>
      </w:tr>
      <w:tr>
        <w:trPr>
          <w:trHeight w:val="445"/>
        </w:trPr>
        <w:tc>
          <w:tcPr>
            <w:tcW w:w="9520" w:type="dxa"/>
            <w:vAlign w:val="bottom"/>
            <w:gridSpan w:val="9"/>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800" w:type="dxa"/>
            <w:vAlign w:val="bottom"/>
          </w:tcPr>
          <w:p>
            <w:pPr>
              <w:spacing w:after="0"/>
              <w:rPr>
                <w:sz w:val="24"/>
                <w:szCs w:val="24"/>
                <w:color w:val="auto"/>
              </w:rPr>
            </w:pPr>
          </w:p>
        </w:tc>
      </w:tr>
      <w:tr>
        <w:trPr>
          <w:trHeight w:val="190"/>
        </w:trPr>
        <w:tc>
          <w:tcPr>
            <w:tcW w:w="9520" w:type="dxa"/>
            <w:vAlign w:val="bottom"/>
            <w:gridSpan w:val="9"/>
          </w:tcPr>
          <w:p>
            <w:pPr>
              <w:spacing w:after="0" w:line="190" w:lineRule="exact"/>
              <w:rPr>
                <w:rFonts w:ascii="Arial" w:cs="Arial" w:eastAsia="Arial" w:hAnsi="Arial"/>
                <w:sz w:val="18"/>
                <w:szCs w:val="18"/>
                <w:color w:val="0000EE"/>
              </w:rPr>
            </w:pPr>
            <w:hyperlink w:anchor="page185">
              <w:r>
                <w:rPr>
                  <w:rFonts w:ascii="Arial" w:cs="Arial" w:eastAsia="Arial" w:hAnsi="Arial"/>
                  <w:sz w:val="18"/>
                  <w:szCs w:val="18"/>
                  <w:color w:val="0000EE"/>
                </w:rPr>
                <w:t>Report of Independent Registered Public Accounting Firm</w:t>
              </w:r>
            </w:hyperlink>
          </w:p>
        </w:tc>
        <w:tc>
          <w:tcPr>
            <w:tcW w:w="18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86">
              <w:r>
                <w:rPr>
                  <w:rFonts w:ascii="Arial" w:cs="Arial" w:eastAsia="Arial" w:hAnsi="Arial"/>
                  <w:sz w:val="18"/>
                  <w:szCs w:val="18"/>
                  <w:color w:val="0000EE"/>
                  <w:w w:val="88"/>
                </w:rPr>
                <w:t>Consolidated Balance Sheets as of December 31, 2015 and 2014</w:t>
              </w:r>
            </w:hyperlink>
          </w:p>
        </w:tc>
        <w:tc>
          <w:tcPr>
            <w:tcW w:w="4860" w:type="dxa"/>
            <w:vAlign w:val="bottom"/>
            <w:gridSpan w:val="5"/>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69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87">
              <w:r>
                <w:rPr>
                  <w:rFonts w:ascii="Arial" w:cs="Arial" w:eastAsia="Arial" w:hAnsi="Arial"/>
                  <w:sz w:val="18"/>
                  <w:szCs w:val="18"/>
                  <w:color w:val="0000EE"/>
                  <w:w w:val="89"/>
                </w:rPr>
                <w:t>Consolidated Statements of Operations for the Years Ended December 31, 2015, 2014 and 2013</w:t>
              </w:r>
            </w:hyperlink>
          </w:p>
        </w:tc>
        <w:tc>
          <w:tcPr>
            <w:tcW w:w="2600" w:type="dxa"/>
            <w:vAlign w:val="bottom"/>
            <w:gridSpan w:val="3"/>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Consolidated Schedules of Investments as of December 31, 2015 and 2014</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9520" w:type="dxa"/>
            <w:vAlign w:val="bottom"/>
            <w:gridSpan w:val="9"/>
          </w:tcPr>
          <w:p>
            <w:pPr>
              <w:spacing w:after="0" w:line="196" w:lineRule="exact"/>
              <w:rPr>
                <w:rFonts w:ascii="Arial" w:cs="Arial" w:eastAsia="Arial" w:hAnsi="Arial"/>
                <w:sz w:val="18"/>
                <w:szCs w:val="18"/>
                <w:color w:val="0000EE"/>
              </w:rPr>
            </w:pPr>
            <w:hyperlink w:anchor="page196">
              <w:r>
                <w:rPr>
                  <w:rFonts w:ascii="Arial" w:cs="Arial" w:eastAsia="Arial" w:hAnsi="Arial"/>
                  <w:sz w:val="18"/>
                  <w:szCs w:val="18"/>
                  <w:color w:val="0000EE"/>
                </w:rPr>
                <w:t>Consolidated Statements of Changes in Net Assets for the Years Ended December 31, 2015, 2014 and 2013</w:t>
              </w:r>
            </w:hyperlink>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r>
      <w:tr>
        <w:trPr>
          <w:trHeight w:val="196"/>
        </w:trPr>
        <w:tc>
          <w:tcPr>
            <w:tcW w:w="7740" w:type="dxa"/>
            <w:vAlign w:val="bottom"/>
            <w:tcBorders>
              <w:top w:val="single" w:sz="8" w:color="0000EE"/>
            </w:tcBorders>
            <w:gridSpan w:val="8"/>
          </w:tcPr>
          <w:p>
            <w:pPr>
              <w:spacing w:after="0" w:line="196" w:lineRule="exact"/>
              <w:rPr>
                <w:rFonts w:ascii="Arial" w:cs="Arial" w:eastAsia="Arial" w:hAnsi="Arial"/>
                <w:sz w:val="18"/>
                <w:szCs w:val="18"/>
                <w:color w:val="0000EE"/>
                <w:w w:val="99"/>
              </w:rPr>
            </w:pPr>
            <w:hyperlink w:anchor="page197">
              <w:r>
                <w:rPr>
                  <w:rFonts w:ascii="Arial" w:cs="Arial" w:eastAsia="Arial" w:hAnsi="Arial"/>
                  <w:sz w:val="18"/>
                  <w:szCs w:val="18"/>
                  <w:color w:val="0000EE"/>
                  <w:w w:val="99"/>
                </w:rPr>
                <w:t>Consolidated Statements of Cash Flows for the Years Ended December 31, 2015, 2014 and 2013</w:t>
              </w:r>
            </w:hyperlink>
          </w:p>
        </w:tc>
        <w:tc>
          <w:tcPr>
            <w:tcW w:w="1780" w:type="dxa"/>
            <w:vAlign w:val="bottom"/>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69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98">
              <w:r>
                <w:rPr>
                  <w:rFonts w:ascii="Arial" w:cs="Arial" w:eastAsia="Arial" w:hAnsi="Arial"/>
                  <w:sz w:val="18"/>
                  <w:szCs w:val="18"/>
                  <w:color w:val="0000EE"/>
                </w:rPr>
                <w:t>Notes to Consolidated Financial Statements</w:t>
              </w:r>
            </w:hyperlink>
          </w:p>
        </w:tc>
        <w:tc>
          <w:tcPr>
            <w:tcW w:w="2560" w:type="dxa"/>
            <w:vAlign w:val="bottom"/>
            <w:gridSpan w:val="2"/>
          </w:tcPr>
          <w:p>
            <w:pPr>
              <w:spacing w:after="0"/>
              <w:rPr>
                <w:sz w:val="17"/>
                <w:szCs w:val="17"/>
                <w:color w:val="auto"/>
              </w:rPr>
            </w:pPr>
          </w:p>
        </w:tc>
        <w:tc>
          <w:tcPr>
            <w:tcW w:w="1800" w:type="dxa"/>
            <w:vAlign w:val="bottom"/>
          </w:tcPr>
          <w:p>
            <w:pPr>
              <w:jc w:val="right"/>
              <w:spacing w:after="0" w:line="196" w:lineRule="exact"/>
              <w:rPr>
                <w:sz w:val="20"/>
                <w:szCs w:val="20"/>
                <w:color w:val="auto"/>
              </w:rPr>
            </w:pPr>
            <w:r>
              <w:rPr>
                <w:rFonts w:ascii="Arial" w:cs="Arial" w:eastAsia="Arial" w:hAnsi="Arial"/>
                <w:sz w:val="18"/>
                <w:szCs w:val="18"/>
                <w:color w:val="auto"/>
              </w:rPr>
              <w:t>F-15</w:t>
            </w:r>
          </w:p>
        </w:tc>
      </w:tr>
      <w:tr>
        <w:trPr>
          <w:trHeight w:val="385"/>
        </w:trPr>
        <w:tc>
          <w:tcPr>
            <w:tcW w:w="136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4"/>
          </w:tcPr>
          <w:p>
            <w:pPr>
              <w:jc w:val="center"/>
              <w:ind w:right="3500"/>
              <w:spacing w:after="0"/>
              <w:rPr>
                <w:sz w:val="20"/>
                <w:szCs w:val="20"/>
                <w:color w:val="auto"/>
              </w:rPr>
            </w:pPr>
            <w:r>
              <w:rPr>
                <w:rFonts w:ascii="Arial" w:cs="Arial" w:eastAsia="Arial" w:hAnsi="Arial"/>
                <w:sz w:val="18"/>
                <w:szCs w:val="18"/>
                <w:color w:val="auto"/>
                <w:w w:val="96"/>
              </w:rPr>
              <w:t>F-1</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We have audited the accompanying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We also have audited TPG Specialty Lending, Inc.’s internal control over financial reporting as of December 31, 2015,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an opinion on the Company’s internal control over financial reporting based on our audits.</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procedures included confirmation of securities owned as of December 31, 2015 and 2014, by correspondence with custodians, or by other appropriate auditing procedures.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balance sheets of TPG Specialty Lending, Inc. (and subsidiaries), including the consolidated schedules of investments, as of December 31, 2015 and 2014, and the related consolidated statements of operations, changes in net assets, and cash flows for each of the years in the three-year period ended December 31, 2015, in conformity with U.S. generally accepted accounting principles. Also in our opinion, TPG Specialty Lending,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9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2016</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60" w:right="2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Non-controlled, non-affiliated investments (amortized cost of $1,443,017 and $1,225,672, respectively)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1,422,211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$86,659 and $47,580, respectively)</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$1,529,676 and $1,273,252,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1,485,709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1,263,511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2,431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18,245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1,516,933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652,788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395,864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4,915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21,124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696,192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468,326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54,166,959 and 53,798,357 shares issued, respectively;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54,163,960 and 53,797,358 shares outstanding, respectively</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812,586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808,053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2,999 and 999 shares held, respectively</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27,521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(28,380)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20,072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820,741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1,516,933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1,303,731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right"/>
              <w:ind w:right="100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3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Income</w:t>
            </w: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non-controlled, non-affiliated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157,964</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90,374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Dividend income</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948</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Other income</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9,162</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from cash and cash equivalents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non-controlled, non-affiliated investments</w:t>
            </w:r>
          </w:p>
        </w:tc>
        <w:tc>
          <w:tcPr>
            <w:tcW w:w="4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166,537</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160,183</w:t>
            </w:r>
          </w:p>
        </w:tc>
        <w:tc>
          <w:tcPr>
            <w:tcW w:w="7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Investment income from controlled, 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from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2,994</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Other income</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investment income from controlled, 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960"/>
              <w:spacing w:after="0"/>
              <w:rPr>
                <w:sz w:val="20"/>
                <w:szCs w:val="20"/>
                <w:color w:val="auto"/>
              </w:rPr>
            </w:pPr>
            <w:r>
              <w:rPr>
                <w:rFonts w:ascii="Arial" w:cs="Arial" w:eastAsia="Arial" w:hAnsi="Arial"/>
                <w:sz w:val="16"/>
                <w:szCs w:val="16"/>
                <w:b w:val="1"/>
                <w:bCs w:val="1"/>
                <w:color w:val="auto"/>
              </w:rPr>
              <w:t>Total Investment Income</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173,415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163,320</w:t>
            </w:r>
          </w:p>
        </w:tc>
        <w:tc>
          <w:tcPr>
            <w:tcW w:w="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Expenses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Interest</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22,010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15,078</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10,469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fees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21,276</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18,296</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Incentive fees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20,180</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17,839</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11,790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Professional fees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8,166</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4,752</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Directors’ fees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342</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Other general and administrative</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4,830</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3,858</w:t>
            </w:r>
          </w:p>
        </w:tc>
        <w:tc>
          <w:tcPr>
            <w:tcW w:w="7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640"/>
              <w:spacing w:after="0"/>
              <w:rPr>
                <w:sz w:val="20"/>
                <w:szCs w:val="20"/>
                <w:color w:val="auto"/>
              </w:rPr>
            </w:pPr>
            <w:r>
              <w:rPr>
                <w:rFonts w:ascii="Arial" w:cs="Arial" w:eastAsia="Arial" w:hAnsi="Arial"/>
                <w:sz w:val="16"/>
                <w:szCs w:val="16"/>
                <w:color w:val="auto"/>
              </w:rPr>
              <w:t>Total expenses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76,843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60,165</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Management and incentive fees waived (Note 3)</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(226)</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(2,464)</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(7,135)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00" w:type="dxa"/>
            <w:vAlign w:val="bottom"/>
          </w:tcPr>
          <w:p>
            <w:pPr>
              <w:ind w:left="960"/>
              <w:spacing w:after="0"/>
              <w:rPr>
                <w:sz w:val="20"/>
                <w:szCs w:val="20"/>
                <w:color w:val="auto"/>
              </w:rPr>
            </w:pPr>
            <w:r>
              <w:rPr>
                <w:rFonts w:ascii="Arial" w:cs="Arial" w:eastAsia="Arial" w:hAnsi="Arial"/>
                <w:sz w:val="16"/>
                <w:szCs w:val="16"/>
                <w:b w:val="1"/>
                <w:bCs w:val="1"/>
                <w:color w:val="auto"/>
              </w:rPr>
              <w:t>Net Expenses</w:t>
            </w:r>
          </w:p>
        </w:tc>
        <w:tc>
          <w:tcPr>
            <w:tcW w:w="4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76,617</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57,701</w:t>
            </w:r>
          </w:p>
        </w:tc>
        <w:tc>
          <w:tcPr>
            <w:tcW w:w="7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 Before Income Taxes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96,798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105,619</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6"/>
                <w:szCs w:val="16"/>
                <w:color w:val="auto"/>
              </w:rPr>
              <w:t>Income taxes, including excise taxes</w:t>
            </w:r>
          </w:p>
        </w:tc>
        <w:tc>
          <w:tcPr>
            <w:tcW w:w="4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Investment Income</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95,298</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104,475</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6"/>
                <w:szCs w:val="16"/>
                <w:b w:val="1"/>
                <w:bCs w:val="1"/>
                <w:color w:val="auto"/>
              </w:rPr>
              <w:t>Unrealized and Realized Gains (Losses)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Net change in unrealized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(17,008)</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6"/>
                <w:szCs w:val="16"/>
                <w:color w:val="auto"/>
              </w:rPr>
              <w:t>(22,950)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Controlled, 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(17,217)</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(5,945)</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Translation of assets and liabilities in foreign currencies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6,275</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8,909</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rate swaps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(618)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Foreign currency forward contracts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1,244</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Total net change in unrealized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(28,568)</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(17,722)</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Realized gains (losses):</w:t>
            </w:r>
          </w:p>
        </w:tc>
        <w:tc>
          <w:tcPr>
            <w:tcW w:w="4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Non-controlled, non-affiliated investments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(5,042)</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320"/>
              <w:spacing w:after="0"/>
              <w:rPr>
                <w:sz w:val="20"/>
                <w:szCs w:val="20"/>
                <w:color w:val="auto"/>
              </w:rPr>
            </w:pPr>
            <w:r>
              <w:rPr>
                <w:rFonts w:ascii="Arial" w:cs="Arial" w:eastAsia="Arial" w:hAnsi="Arial"/>
                <w:sz w:val="16"/>
                <w:szCs w:val="16"/>
                <w:color w:val="auto"/>
              </w:rPr>
              <w:t>Interest rate swaps</w:t>
            </w: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1,851</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8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transactions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(1,839)</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960"/>
              <w:spacing w:after="0"/>
              <w:rPr>
                <w:sz w:val="20"/>
                <w:szCs w:val="20"/>
                <w:color w:val="auto"/>
              </w:rPr>
            </w:pPr>
            <w:r>
              <w:rPr>
                <w:rFonts w:ascii="Arial" w:cs="Arial" w:eastAsia="Arial" w:hAnsi="Arial"/>
                <w:sz w:val="16"/>
                <w:szCs w:val="16"/>
                <w:color w:val="auto"/>
              </w:rPr>
              <w:t>Total realized gains (losses)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6"/>
                <w:szCs w:val="16"/>
                <w:color w:val="auto"/>
              </w:rPr>
              <w:t>(3,162)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Arial" w:cs="Arial" w:eastAsia="Arial" w:hAnsi="Arial"/>
                <w:sz w:val="16"/>
                <w:szCs w:val="16"/>
                <w:color w:val="auto"/>
              </w:rPr>
              <w:t>(1,703)</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shd w:val="clear" w:color="auto" w:fill="CCEEFF"/>
          </w:tcPr>
          <w:p>
            <w:pPr>
              <w:ind w:left="1280"/>
              <w:spacing w:after="0"/>
              <w:rPr>
                <w:sz w:val="20"/>
                <w:szCs w:val="20"/>
                <w:color w:val="auto"/>
              </w:rPr>
            </w:pPr>
            <w:r>
              <w:rPr>
                <w:rFonts w:ascii="Arial" w:cs="Arial" w:eastAsia="Arial" w:hAnsi="Arial"/>
                <w:sz w:val="16"/>
                <w:szCs w:val="16"/>
                <w:b w:val="1"/>
                <w:bCs w:val="1"/>
                <w:color w:val="auto"/>
              </w:rPr>
              <w:t>Total Unrealized and Realized Gains (Losses)</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(31,730)</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720"/>
              <w:spacing w:after="0"/>
              <w:rPr>
                <w:sz w:val="20"/>
                <w:szCs w:val="20"/>
                <w:color w:val="auto"/>
              </w:rPr>
            </w:pPr>
            <w:r>
              <w:rPr>
                <w:rFonts w:ascii="Arial" w:cs="Arial" w:eastAsia="Arial" w:hAnsi="Arial"/>
                <w:sz w:val="16"/>
                <w:szCs w:val="16"/>
                <w:color w:val="auto"/>
              </w:rPr>
              <w:t>(19,425)</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vMerge w:val="restart"/>
          </w:tcPr>
          <w:p>
            <w:pPr>
              <w:ind w:left="1280"/>
              <w:spacing w:after="0"/>
              <w:rPr>
                <w:sz w:val="20"/>
                <w:szCs w:val="20"/>
                <w:color w:val="auto"/>
              </w:rPr>
            </w:pPr>
            <w:r>
              <w:rPr>
                <w:rFonts w:ascii="Arial" w:cs="Arial" w:eastAsia="Arial" w:hAnsi="Arial"/>
                <w:sz w:val="16"/>
                <w:szCs w:val="16"/>
                <w:b w:val="1"/>
                <w:bCs w:val="1"/>
                <w:color w:val="auto"/>
              </w:rPr>
              <w:t>Increase in Net Assets Resulting from Operations</w:t>
            </w: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5800" w:type="dxa"/>
            <w:vAlign w:val="bottom"/>
            <w:vMerge w:val="continue"/>
          </w:tcPr>
          <w:p>
            <w:pPr>
              <w:spacing w:after="0"/>
              <w:rPr>
                <w:sz w:val="17"/>
                <w:szCs w:val="17"/>
                <w:color w:val="auto"/>
              </w:rPr>
            </w:pPr>
          </w:p>
        </w:tc>
        <w:tc>
          <w:tcPr>
            <w:tcW w:w="60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63,568</w:t>
            </w:r>
          </w:p>
        </w:tc>
        <w:tc>
          <w:tcPr>
            <w:tcW w:w="420" w:type="dxa"/>
            <w:vAlign w:val="bottom"/>
          </w:tcPr>
          <w:p>
            <w:pPr>
              <w:spacing w:after="0"/>
              <w:rPr>
                <w:sz w:val="17"/>
                <w:szCs w:val="17"/>
                <w:color w:val="auto"/>
              </w:rPr>
            </w:pPr>
          </w:p>
        </w:tc>
        <w:tc>
          <w:tcPr>
            <w:tcW w:w="50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85,050</w:t>
            </w:r>
          </w:p>
        </w:tc>
        <w:tc>
          <w:tcPr>
            <w:tcW w:w="7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66,983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6"/>
                <w:szCs w:val="16"/>
                <w:color w:val="auto"/>
              </w:rPr>
              <w:t>Earnings per common share—basic and diluted</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4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820" w:type="dxa"/>
            <w:vAlign w:val="bottom"/>
            <w:gridSpan w:val="2"/>
          </w:tcPr>
          <w:p>
            <w:pPr>
              <w:spacing w:after="0"/>
              <w:rPr>
                <w:sz w:val="20"/>
                <w:szCs w:val="20"/>
                <w:color w:val="auto"/>
              </w:rPr>
            </w:pPr>
            <w:r>
              <w:rPr>
                <w:rFonts w:ascii="Arial" w:cs="Arial" w:eastAsia="Arial" w:hAnsi="Arial"/>
                <w:sz w:val="16"/>
                <w:szCs w:val="16"/>
                <w:color w:val="auto"/>
              </w:rPr>
              <w:t>Weighted average shares of common stock outstanding—basic and diluted</w:t>
            </w:r>
          </w:p>
        </w:tc>
        <w:tc>
          <w:tcPr>
            <w:tcW w:w="4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54,006,322</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50,509,692</w:t>
            </w:r>
          </w:p>
        </w:tc>
        <w:tc>
          <w:tcPr>
            <w:tcW w:w="7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34,635,208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Consolidated Schedule of Investments as of December 31,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6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Initial</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3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0"/>
                <w:szCs w:val="10"/>
                <w:b w:val="1"/>
                <w:bCs w:val="1"/>
                <w:color w:val="auto"/>
              </w:rPr>
              <w:t>(1)</w:t>
            </w:r>
          </w:p>
        </w:tc>
        <w:tc>
          <w:tcPr>
            <w:tcW w:w="222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6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1"/>
              </w:rPr>
              <w:t>Amortized</w:t>
            </w:r>
          </w:p>
        </w:tc>
        <w:tc>
          <w:tcPr>
            <w:tcW w:w="300" w:type="dxa"/>
            <w:vAlign w:val="bottom"/>
          </w:tcPr>
          <w:p>
            <w:pPr>
              <w:spacing w:after="0"/>
              <w:rPr>
                <w:sz w:val="11"/>
                <w:szCs w:val="11"/>
                <w:color w:val="auto"/>
              </w:rPr>
            </w:pPr>
          </w:p>
        </w:tc>
        <w:tc>
          <w:tcPr>
            <w:tcW w:w="9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320" w:type="dxa"/>
            <w:vAlign w:val="bottom"/>
            <w:gridSpan w:val="2"/>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Date</w:t>
            </w: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8"/>
              </w:rPr>
              <w:t xml:space="preserve">Cost </w:t>
            </w:r>
            <w:r>
              <w:rPr>
                <w:rFonts w:ascii="Arial" w:cs="Arial" w:eastAsia="Arial" w:hAnsi="Arial"/>
                <w:sz w:val="10"/>
                <w:szCs w:val="10"/>
                <w:b w:val="1"/>
                <w:bCs w:val="1"/>
                <w:color w:val="auto"/>
                <w:w w:val="98"/>
              </w:rPr>
              <w:t>(2)(8)</w:t>
            </w:r>
          </w:p>
        </w:tc>
        <w:tc>
          <w:tcPr>
            <w:tcW w:w="300" w:type="dxa"/>
            <w:vAlign w:val="bottom"/>
          </w:tcPr>
          <w:p>
            <w:pPr>
              <w:spacing w:after="0"/>
              <w:rPr>
                <w:sz w:val="13"/>
                <w:szCs w:val="13"/>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660" w:type="dxa"/>
            <w:vAlign w:val="bottom"/>
            <w:shd w:val="clear" w:color="auto" w:fill="CCEEFF"/>
          </w:tcPr>
          <w:p>
            <w:pPr>
              <w:spacing w:after="0" w:line="20" w:lineRule="exact"/>
              <w:rPr>
                <w:sz w:val="1"/>
                <w:szCs w:val="1"/>
                <w:color w:val="auto"/>
              </w:rPr>
            </w:pPr>
          </w:p>
        </w:tc>
        <w:tc>
          <w:tcPr>
            <w:tcW w:w="222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Debt Investments Automotive</w:t>
            </w:r>
          </w:p>
        </w:tc>
        <w:tc>
          <w:tcPr>
            <w:tcW w:w="2220" w:type="dxa"/>
            <w:vAlign w:val="bottom"/>
            <w:tcBorders>
              <w:right w:val="single" w:sz="8" w:color="CCEEFF"/>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Heartland Automotive Holdings, LLC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($31,271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6/2017)</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$ 30,977</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$ 30,176</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96"/>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($2,722 par, due 6/2017)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8/28/2012</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2,528</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33,652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32,704</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Beverage, food and tobacco</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AFS Technologies, Inc.</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($63,660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3/3/2014</w:t>
            </w:r>
          </w:p>
        </w:tc>
        <w:tc>
          <w:tcPr>
            <w:tcW w:w="620" w:type="dxa"/>
            <w:vAlign w:val="bottom"/>
          </w:tcPr>
          <w:p>
            <w:pPr>
              <w:jc w:val="right"/>
              <w:spacing w:after="0"/>
              <w:rPr>
                <w:sz w:val="20"/>
                <w:szCs w:val="20"/>
                <w:color w:val="auto"/>
              </w:rPr>
            </w:pPr>
            <w:r>
              <w:rPr>
                <w:rFonts w:ascii="Arial" w:cs="Arial" w:eastAsia="Arial" w:hAnsi="Arial"/>
                <w:sz w:val="16"/>
                <w:szCs w:val="16"/>
                <w:color w:val="auto"/>
              </w:rPr>
              <w:t>62,575</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62,705</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6"/>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Business services</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Actian Corporation</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($59,915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4/2018)</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780" w:type="dxa"/>
            <w:vAlign w:val="bottom"/>
          </w:tcPr>
          <w:p>
            <w:pPr>
              <w:jc w:val="right"/>
              <w:spacing w:after="0"/>
              <w:rPr>
                <w:sz w:val="20"/>
                <w:szCs w:val="20"/>
                <w:color w:val="auto"/>
              </w:rPr>
            </w:pPr>
            <w:r>
              <w:rPr>
                <w:rFonts w:ascii="Arial" w:cs="Arial" w:eastAsia="Arial" w:hAnsi="Arial"/>
                <w:sz w:val="16"/>
                <w:szCs w:val="16"/>
                <w:color w:val="auto"/>
              </w:rPr>
              <w:t>4/11/2013</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58,781</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62,462</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Bullhorn, Inc.</w:t>
            </w:r>
            <w:r>
              <w:rPr>
                <w:rFonts w:ascii="Arial" w:cs="Arial" w:eastAsia="Arial" w:hAnsi="Arial"/>
                <w:sz w:val="23"/>
                <w:szCs w:val="23"/>
                <w:color w:val="auto"/>
                <w:vertAlign w:val="superscript"/>
              </w:rPr>
              <w:t>(3)(5)</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11/2020)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11/12/2015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43,916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43,763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Clarabridge,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($22,388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4/2019)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5/20/2015</w:t>
            </w:r>
          </w:p>
        </w:tc>
        <w:tc>
          <w:tcPr>
            <w:tcW w:w="620" w:type="dxa"/>
            <w:vAlign w:val="bottom"/>
          </w:tcPr>
          <w:p>
            <w:pPr>
              <w:jc w:val="right"/>
              <w:spacing w:after="0"/>
              <w:rPr>
                <w:sz w:val="20"/>
                <w:szCs w:val="20"/>
                <w:color w:val="auto"/>
              </w:rPr>
            </w:pPr>
            <w:r>
              <w:rPr>
                <w:rFonts w:ascii="Arial" w:cs="Arial" w:eastAsia="Arial" w:hAnsi="Arial"/>
                <w:sz w:val="16"/>
                <w:szCs w:val="16"/>
                <w:color w:val="auto"/>
              </w:rPr>
              <w:t>21,963</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21,641</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Idera,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($62,500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4/2021)</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10/9/2015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56,446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55,937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Leaf US Holdings, Inc.</w:t>
            </w:r>
            <w:r>
              <w:rPr>
                <w:rFonts w:ascii="Arial" w:cs="Arial" w:eastAsia="Arial" w:hAnsi="Arial"/>
                <w:sz w:val="22"/>
                <w:szCs w:val="22"/>
                <w:color w:val="auto"/>
                <w:vertAlign w:val="superscript"/>
              </w:rPr>
              <w:t>(3)(4)</w:t>
            </w:r>
          </w:p>
        </w:tc>
        <w:tc>
          <w:tcPr>
            <w:tcW w:w="2220" w:type="dxa"/>
            <w:vAlign w:val="bottom"/>
          </w:tcPr>
          <w:p>
            <w:pPr>
              <w:spacing w:after="0"/>
              <w:rPr>
                <w:sz w:val="20"/>
                <w:szCs w:val="20"/>
                <w:color w:val="auto"/>
              </w:rPr>
            </w:pPr>
            <w:r>
              <w:rPr>
                <w:rFonts w:ascii="Arial" w:cs="Arial" w:eastAsia="Arial" w:hAnsi="Arial"/>
                <w:sz w:val="16"/>
                <w:szCs w:val="16"/>
                <w:color w:val="auto"/>
                <w:w w:val="96"/>
              </w:rPr>
              <w:t>First-lien loan ($28,565 par, due</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6/2019)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6/30/2014</w:t>
            </w:r>
          </w:p>
        </w:tc>
        <w:tc>
          <w:tcPr>
            <w:tcW w:w="620" w:type="dxa"/>
            <w:vAlign w:val="bottom"/>
          </w:tcPr>
          <w:p>
            <w:pPr>
              <w:jc w:val="right"/>
              <w:spacing w:after="0"/>
              <w:rPr>
                <w:sz w:val="20"/>
                <w:szCs w:val="20"/>
                <w:color w:val="auto"/>
              </w:rPr>
            </w:pPr>
            <w:r>
              <w:rPr>
                <w:rFonts w:ascii="Arial" w:cs="Arial" w:eastAsia="Arial" w:hAnsi="Arial"/>
                <w:sz w:val="16"/>
                <w:szCs w:val="16"/>
                <w:color w:val="auto"/>
              </w:rPr>
              <w:t>28,085</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27,877</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Network Merchants,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($25,782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9/12/2013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25,481</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25,981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ScentAir Technologies,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rPr>
              <w:t>First-lien loan ($18,857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12/2019)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12/30/2014</w:t>
            </w:r>
          </w:p>
        </w:tc>
        <w:tc>
          <w:tcPr>
            <w:tcW w:w="620" w:type="dxa"/>
            <w:vAlign w:val="bottom"/>
          </w:tcPr>
          <w:p>
            <w:pPr>
              <w:jc w:val="right"/>
              <w:spacing w:after="0"/>
              <w:rPr>
                <w:sz w:val="20"/>
                <w:szCs w:val="20"/>
                <w:color w:val="auto"/>
              </w:rPr>
            </w:pPr>
            <w:r>
              <w:rPr>
                <w:rFonts w:ascii="Arial" w:cs="Arial" w:eastAsia="Arial" w:hAnsi="Arial"/>
                <w:sz w:val="16"/>
                <w:szCs w:val="16"/>
                <w:color w:val="auto"/>
              </w:rPr>
              <w:t>18,505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18,463</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253,177</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256,124</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204"/>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Chemicals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Vertellus Specialties, Inc.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($10,839 par,</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10/2019)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10/31/2014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7,804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Education</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Campus Management, Inc.</w:t>
            </w:r>
            <w:r>
              <w:rPr>
                <w:rFonts w:ascii="Arial" w:cs="Arial" w:eastAsia="Arial" w:hAnsi="Arial"/>
                <w:sz w:val="22"/>
                <w:szCs w:val="22"/>
                <w:color w:val="auto"/>
                <w:vertAlign w:val="superscript"/>
              </w:rPr>
              <w:t>(3)(5)</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($26,277 par,</w:t>
            </w: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9/2018)</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9/30/2013</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25,879</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26,277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Electronics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shd w:val="clear" w:color="auto" w:fill="CCEEFF"/>
          </w:tcPr>
          <w:p>
            <w:pPr>
              <w:spacing w:after="0" w:line="192" w:lineRule="exact"/>
              <w:rPr>
                <w:sz w:val="20"/>
                <w:szCs w:val="20"/>
                <w:color w:val="auto"/>
              </w:rPr>
            </w:pPr>
            <w:r>
              <w:rPr>
                <w:rFonts w:ascii="Arial" w:cs="Arial" w:eastAsia="Arial" w:hAnsi="Arial"/>
                <w:sz w:val="14"/>
                <w:szCs w:val="14"/>
                <w:color w:val="auto"/>
              </w:rPr>
              <w:t>MyAlarm Center, LLC</w:t>
            </w:r>
            <w:r>
              <w:rPr>
                <w:rFonts w:ascii="Arial" w:cs="Arial" w:eastAsia="Arial" w:hAnsi="Arial"/>
                <w:sz w:val="22"/>
                <w:szCs w:val="22"/>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($62,371 par,</w:t>
            </w: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1/2019)</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1/9/2014</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61,887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rPr>
                <w:sz w:val="20"/>
                <w:szCs w:val="20"/>
                <w:color w:val="auto"/>
              </w:rPr>
            </w:pPr>
            <w:r>
              <w:rPr>
                <w:rFonts w:ascii="Arial" w:cs="Arial" w:eastAsia="Arial" w:hAnsi="Arial"/>
                <w:sz w:val="16"/>
                <w:szCs w:val="16"/>
                <w:color w:val="auto"/>
              </w:rPr>
              <w:t>APX Group Inc.</w:t>
            </w:r>
          </w:p>
        </w:tc>
        <w:tc>
          <w:tcPr>
            <w:tcW w:w="2220" w:type="dxa"/>
            <w:vAlign w:val="bottom"/>
          </w:tcPr>
          <w:p>
            <w:pPr>
              <w:spacing w:after="0"/>
              <w:rPr>
                <w:sz w:val="20"/>
                <w:szCs w:val="20"/>
                <w:color w:val="auto"/>
              </w:rPr>
            </w:pPr>
            <w:r>
              <w:rPr>
                <w:rFonts w:ascii="Arial" w:cs="Arial" w:eastAsia="Arial" w:hAnsi="Arial"/>
                <w:sz w:val="16"/>
                <w:szCs w:val="16"/>
                <w:color w:val="auto"/>
              </w:rPr>
              <w:t>Senior notes 8.75% ($24,818</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par, due 12/2020)</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12/11/2014</w:t>
            </w: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21,689</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20,165</w:t>
            </w:r>
          </w:p>
        </w:tc>
        <w:tc>
          <w:tcPr>
            <w:tcW w:w="3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0"/>
        </w:trPr>
        <w:tc>
          <w:tcPr>
            <w:tcW w:w="6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83,455</w:t>
            </w: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82,052</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4"/>
        </w:trPr>
        <w:tc>
          <w:tcPr>
            <w:tcW w:w="4320" w:type="dxa"/>
            <w:vAlign w:val="bottom"/>
            <w:gridSpan w:val="2"/>
          </w:tcPr>
          <w:p>
            <w:pPr>
              <w:ind w:left="340"/>
              <w:spacing w:after="0"/>
              <w:rPr>
                <w:sz w:val="20"/>
                <w:szCs w:val="20"/>
                <w:color w:val="auto"/>
              </w:rPr>
            </w:pPr>
            <w:r>
              <w:rPr>
                <w:rFonts w:ascii="Arial" w:cs="Arial" w:eastAsia="Arial" w:hAnsi="Arial"/>
                <w:sz w:val="16"/>
                <w:szCs w:val="16"/>
                <w:b w:val="1"/>
                <w:bCs w:val="1"/>
                <w:color w:val="auto"/>
              </w:rPr>
              <w:t>Financial services</w:t>
            </w:r>
          </w:p>
        </w:tc>
        <w:tc>
          <w:tcPr>
            <w:tcW w:w="2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AppStar Financial, LLC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6"/>
              </w:rPr>
              <w:t>First-lien loan ($23,400 par, due</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8/2020)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8/18/2015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22,862</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22,765</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AvidXchange, Inc.</w:t>
            </w:r>
            <w:r>
              <w:rPr>
                <w:rFonts w:ascii="Arial" w:cs="Arial" w:eastAsia="Arial" w:hAnsi="Arial"/>
                <w:sz w:val="22"/>
                <w:szCs w:val="22"/>
                <w:color w:val="auto"/>
                <w:vertAlign w:val="superscript"/>
              </w:rPr>
              <w:t>(3)</w:t>
            </w:r>
          </w:p>
        </w:tc>
        <w:tc>
          <w:tcPr>
            <w:tcW w:w="2220" w:type="dxa"/>
            <w:vAlign w:val="bottom"/>
          </w:tcPr>
          <w:p>
            <w:pPr>
              <w:spacing w:after="0"/>
              <w:rPr>
                <w:sz w:val="20"/>
                <w:szCs w:val="20"/>
                <w:color w:val="auto"/>
              </w:rPr>
            </w:pPr>
            <w:r>
              <w:rPr>
                <w:rFonts w:ascii="Arial" w:cs="Arial" w:eastAsia="Arial" w:hAnsi="Arial"/>
                <w:sz w:val="16"/>
                <w:szCs w:val="16"/>
                <w:color w:val="auto"/>
                <w:w w:val="99"/>
              </w:rPr>
              <w:t>Second-lien loan ($31,897 par,</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10.50%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8/2020)</w:t>
            </w:r>
          </w:p>
        </w:tc>
        <w:tc>
          <w:tcPr>
            <w:tcW w:w="1120" w:type="dxa"/>
            <w:vAlign w:val="bottom"/>
            <w:gridSpan w:val="2"/>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8/7/2015</w:t>
            </w:r>
          </w:p>
        </w:tc>
        <w:tc>
          <w:tcPr>
            <w:tcW w:w="620" w:type="dxa"/>
            <w:vAlign w:val="bottom"/>
          </w:tcPr>
          <w:p>
            <w:pPr>
              <w:jc w:val="right"/>
              <w:spacing w:after="0"/>
              <w:rPr>
                <w:sz w:val="20"/>
                <w:szCs w:val="20"/>
                <w:color w:val="auto"/>
              </w:rPr>
            </w:pPr>
            <w:r>
              <w:rPr>
                <w:rFonts w:ascii="Arial" w:cs="Arial" w:eastAsia="Arial" w:hAnsi="Arial"/>
                <w:sz w:val="16"/>
                <w:szCs w:val="16"/>
                <w:color w:val="auto"/>
              </w:rPr>
              <w:t>31,380</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30,910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9"/>
        </w:trPr>
        <w:tc>
          <w:tcPr>
            <w:tcW w:w="432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PayLease, LLC</w:t>
            </w:r>
            <w:r>
              <w:rPr>
                <w:rFonts w:ascii="Arial" w:cs="Arial" w:eastAsia="Arial" w:hAnsi="Arial"/>
                <w:sz w:val="23"/>
                <w:szCs w:val="23"/>
                <w:color w:val="auto"/>
                <w:vertAlign w:val="superscript"/>
              </w:rPr>
              <w:t>(3)</w:t>
            </w: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($33,639 par,</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2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3/2020)</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5"/>
              </w:rPr>
              <w:t>(incl. 2.50%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3660" w:type="dxa"/>
            <w:vAlign w:val="bottom"/>
            <w:shd w:val="clear" w:color="auto" w:fill="CCEEFF"/>
          </w:tcPr>
          <w:p>
            <w:pPr>
              <w:spacing w:after="0"/>
              <w:rPr>
                <w:sz w:val="19"/>
                <w:szCs w:val="19"/>
                <w:color w:val="auto"/>
              </w:rPr>
            </w:pPr>
          </w:p>
        </w:tc>
        <w:tc>
          <w:tcPr>
            <w:tcW w:w="2220" w:type="dxa"/>
            <w:vAlign w:val="bottom"/>
            <w:tcBorders>
              <w:right w:val="single" w:sz="8" w:color="CCEEFF"/>
            </w:tcBorders>
            <w:shd w:val="clear" w:color="auto" w:fill="CCEEFF"/>
          </w:tcPr>
          <w:p>
            <w:pPr>
              <w:spacing w:after="0"/>
              <w:rPr>
                <w:sz w:val="19"/>
                <w:szCs w:val="19"/>
                <w:color w:val="auto"/>
              </w:rPr>
            </w:pPr>
          </w:p>
        </w:tc>
        <w:tc>
          <w:tcPr>
            <w:tcW w:w="112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3/6/2015</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32,980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32,769</w:t>
            </w:r>
          </w:p>
        </w:tc>
        <w:tc>
          <w:tcPr>
            <w:tcW w:w="3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6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87,222</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86,444</w:t>
            </w:r>
          </w:p>
        </w:tc>
        <w:tc>
          <w:tcPr>
            <w:tcW w:w="3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3"/>
        </w:trPr>
        <w:tc>
          <w:tcPr>
            <w:tcW w:w="432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Healthcare</w:t>
            </w:r>
          </w:p>
        </w:tc>
        <w:tc>
          <w:tcPr>
            <w:tcW w:w="222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20" w:type="dxa"/>
            <w:vAlign w:val="bottom"/>
            <w:gridSpan w:val="2"/>
          </w:tcPr>
          <w:p>
            <w:pPr>
              <w:spacing w:after="0" w:line="192" w:lineRule="exact"/>
              <w:rPr>
                <w:sz w:val="20"/>
                <w:szCs w:val="20"/>
                <w:color w:val="auto"/>
              </w:rPr>
            </w:pPr>
            <w:r>
              <w:rPr>
                <w:rFonts w:ascii="Arial" w:cs="Arial" w:eastAsia="Arial" w:hAnsi="Arial"/>
                <w:sz w:val="14"/>
                <w:szCs w:val="14"/>
                <w:color w:val="auto"/>
              </w:rPr>
              <w:t>Aesynt Incorporated</w:t>
            </w:r>
            <w:r>
              <w:rPr>
                <w:rFonts w:ascii="Arial" w:cs="Arial" w:eastAsia="Arial" w:hAnsi="Arial"/>
                <w:sz w:val="22"/>
                <w:szCs w:val="22"/>
                <w:color w:val="auto"/>
                <w:vertAlign w:val="superscript"/>
              </w:rPr>
              <w:t>(3)(5)</w:t>
            </w:r>
          </w:p>
        </w:tc>
        <w:tc>
          <w:tcPr>
            <w:tcW w:w="2220" w:type="dxa"/>
            <w:vAlign w:val="bottom"/>
          </w:tcPr>
          <w:p>
            <w:pPr>
              <w:spacing w:after="0"/>
              <w:rPr>
                <w:sz w:val="20"/>
                <w:szCs w:val="20"/>
                <w:color w:val="auto"/>
              </w:rPr>
            </w:pPr>
            <w:r>
              <w:rPr>
                <w:rFonts w:ascii="Arial" w:cs="Arial" w:eastAsia="Arial" w:hAnsi="Arial"/>
                <w:sz w:val="16"/>
                <w:szCs w:val="16"/>
                <w:color w:val="auto"/>
              </w:rPr>
              <w:t>First-lien loan ($33,250 par,</w:t>
            </w:r>
          </w:p>
        </w:tc>
        <w:tc>
          <w:tcPr>
            <w:tcW w:w="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due 5/2019)</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5/8/2014</w:t>
            </w:r>
          </w:p>
        </w:tc>
        <w:tc>
          <w:tcPr>
            <w:tcW w:w="620" w:type="dxa"/>
            <w:vAlign w:val="bottom"/>
          </w:tcPr>
          <w:p>
            <w:pPr>
              <w:jc w:val="right"/>
              <w:spacing w:after="0"/>
              <w:rPr>
                <w:sz w:val="20"/>
                <w:szCs w:val="20"/>
                <w:color w:val="auto"/>
              </w:rPr>
            </w:pPr>
            <w:r>
              <w:rPr>
                <w:rFonts w:ascii="Arial" w:cs="Arial" w:eastAsia="Arial" w:hAnsi="Arial"/>
                <w:sz w:val="16"/>
                <w:szCs w:val="16"/>
                <w:color w:val="auto"/>
              </w:rPr>
              <w:t>32,598</w:t>
            </w: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rPr>
              <w:t>33,918</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400" w:type="dxa"/>
            <w:vAlign w:val="bottom"/>
            <w:vMerge w:val="restart"/>
          </w:tcPr>
          <w:p>
            <w:pPr>
              <w:ind w:left="880"/>
              <w:spacing w:after="0"/>
              <w:rPr>
                <w:sz w:val="20"/>
                <w:szCs w:val="20"/>
                <w:color w:val="auto"/>
              </w:rPr>
            </w:pPr>
            <w:r>
              <w:rPr>
                <w:rFonts w:ascii="Arial" w:cs="Arial" w:eastAsia="Arial" w:hAnsi="Arial"/>
                <w:sz w:val="13"/>
                <w:szCs w:val="13"/>
                <w:b w:val="1"/>
                <w:bCs w:val="1"/>
                <w:color w:val="auto"/>
              </w:rPr>
              <w:t>Investment</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88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128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780" w:type="dxa"/>
            <w:vAlign w:val="bottom"/>
            <w:gridSpan w:val="2"/>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Interest</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8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128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400" w:type="dxa"/>
            <w:vAlign w:val="bottom"/>
            <w:tcBorders>
              <w:right w:val="single" w:sz="8" w:color="CCEEFF"/>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780" w:type="dxa"/>
            <w:vAlign w:val="bottom"/>
            <w:gridSpan w:val="2"/>
            <w:shd w:val="clear" w:color="auto" w:fill="CCEEFF"/>
          </w:tcPr>
          <w:p>
            <w:pPr>
              <w:spacing w:after="0" w:line="187" w:lineRule="exact"/>
              <w:rPr>
                <w:sz w:val="20"/>
                <w:szCs w:val="20"/>
                <w:color w:val="auto"/>
              </w:rPr>
            </w:pPr>
            <w:r>
              <w:rPr>
                <w:rFonts w:ascii="Arial" w:cs="Arial" w:eastAsia="Arial" w:hAnsi="Arial"/>
                <w:sz w:val="13"/>
                <w:szCs w:val="13"/>
                <w:color w:val="auto"/>
              </w:rPr>
              <w:t>Helix Health, Ltd.</w:t>
            </w:r>
            <w:r>
              <w:rPr>
                <w:rFonts w:ascii="Arial" w:cs="Arial" w:eastAsia="Arial" w:hAnsi="Arial"/>
                <w:sz w:val="21"/>
                <w:szCs w:val="21"/>
                <w:color w:val="auto"/>
                <w:vertAlign w:val="superscript"/>
              </w:rPr>
              <w:t>(3)(4)</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(EUR</w:t>
            </w:r>
          </w:p>
        </w:tc>
        <w:tc>
          <w:tcPr>
            <w:tcW w:w="7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40,572</w:t>
            </w:r>
          </w:p>
        </w:tc>
        <w:tc>
          <w:tcPr>
            <w:tcW w:w="320" w:type="dxa"/>
            <w:vAlign w:val="bottom"/>
            <w:vMerge w:val="continue"/>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35,912 par, due 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42,402</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(EUR 37,349)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435</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(EUR 300 par, 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11.50%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261</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(EUR 400)</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MatrixCare, Inc.</w:t>
            </w:r>
            <w:r>
              <w:rPr>
                <w:rFonts w:ascii="Arial" w:cs="Arial" w:eastAsia="Arial" w:hAnsi="Arial"/>
                <w:sz w:val="23"/>
                <w:szCs w:val="23"/>
                <w:color w:val="auto"/>
                <w:vertAlign w:val="superscript"/>
              </w:rPr>
              <w:t>(3)(5)</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($45,000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12/2021)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6.25%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12/17/2015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44,184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44,100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MedeAnalytics,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($45,411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9/2020)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44,022</w:t>
            </w:r>
          </w:p>
        </w:tc>
        <w:tc>
          <w:tcPr>
            <w:tcW w:w="960" w:type="dxa"/>
            <w:vAlign w:val="bottom"/>
          </w:tcPr>
          <w:p>
            <w:pPr>
              <w:jc w:val="right"/>
              <w:spacing w:after="0"/>
              <w:rPr>
                <w:sz w:val="20"/>
                <w:szCs w:val="20"/>
                <w:color w:val="auto"/>
              </w:rPr>
            </w:pPr>
            <w:r>
              <w:rPr>
                <w:rFonts w:ascii="Arial" w:cs="Arial" w:eastAsia="Arial" w:hAnsi="Arial"/>
                <w:sz w:val="16"/>
                <w:szCs w:val="16"/>
                <w:color w:val="auto"/>
              </w:rPr>
              <w:t>43,708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 xml:space="preserve">Mediware Information Systems, Inc. </w:t>
            </w:r>
            <w:r>
              <w:rPr>
                <w:rFonts w:ascii="Arial" w:cs="Arial" w:eastAsia="Arial" w:hAnsi="Arial"/>
                <w:sz w:val="23"/>
                <w:szCs w:val="23"/>
                <w:color w:val="auto"/>
                <w:vertAlign w:val="superscript"/>
              </w:rPr>
              <w:t>(3)(5)</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($67,574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5/2018)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7.00%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11/9/2012</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66,725</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68,250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SRS Software, LLC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($31,875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12/2017)</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12/28/2012</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31,508</w:t>
            </w:r>
          </w:p>
        </w:tc>
        <w:tc>
          <w:tcPr>
            <w:tcW w:w="960" w:type="dxa"/>
            <w:vAlign w:val="bottom"/>
          </w:tcPr>
          <w:p>
            <w:pPr>
              <w:jc w:val="right"/>
              <w:spacing w:after="0"/>
              <w:rPr>
                <w:sz w:val="20"/>
                <w:szCs w:val="20"/>
                <w:color w:val="auto"/>
              </w:rPr>
            </w:pPr>
            <w:r>
              <w:rPr>
                <w:rFonts w:ascii="Arial" w:cs="Arial" w:eastAsia="Arial" w:hAnsi="Arial"/>
                <w:sz w:val="16"/>
                <w:szCs w:val="16"/>
                <w:color w:val="auto"/>
              </w:rPr>
              <w:t>31,477</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($2,000 par, due 12/2017)</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4"/>
              </w:rPr>
              <w:t>12/28/2012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263,655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264,398</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Hotel, gaming, and leisure</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CrunchTime Information Systems, Inc.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($25,452 par, due</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4/2020)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2.50%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4/16/2015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24,873</w:t>
            </w:r>
          </w:p>
        </w:tc>
        <w:tc>
          <w:tcPr>
            <w:tcW w:w="960" w:type="dxa"/>
            <w:vAlign w:val="bottom"/>
          </w:tcPr>
          <w:p>
            <w:pPr>
              <w:jc w:val="right"/>
              <w:spacing w:after="0"/>
              <w:rPr>
                <w:sz w:val="20"/>
                <w:szCs w:val="20"/>
                <w:color w:val="auto"/>
              </w:rPr>
            </w:pPr>
            <w:r>
              <w:rPr>
                <w:rFonts w:ascii="Arial" w:cs="Arial" w:eastAsia="Arial" w:hAnsi="Arial"/>
                <w:sz w:val="16"/>
                <w:szCs w:val="16"/>
                <w:color w:val="auto"/>
              </w:rPr>
              <w:t>24,200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IRGSE Holding Corp.</w:t>
            </w:r>
            <w:r>
              <w:rPr>
                <w:rFonts w:ascii="Arial" w:cs="Arial" w:eastAsia="Arial" w:hAnsi="Arial"/>
                <w:sz w:val="23"/>
                <w:szCs w:val="23"/>
                <w:color w:val="auto"/>
                <w:vertAlign w:val="superscript"/>
              </w:rPr>
              <w:t>(3)(7)</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($20,260 par, due</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9/2019)</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19"/>
                <w:szCs w:val="19"/>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20,260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19,500</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3"/>
        </w:trPr>
        <w:tc>
          <w:tcPr>
            <w:tcW w:w="6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w w:val="95"/>
              </w:rPr>
              <w:t>First-lien revolver loan ($7,448 par,</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10.10%</w:t>
            </w: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9/2019)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(incl. 5.00%</w:t>
            </w: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PIK)</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9/29/2015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7,448</w:t>
            </w:r>
          </w:p>
        </w:tc>
        <w:tc>
          <w:tcPr>
            <w:tcW w:w="960" w:type="dxa"/>
            <w:vAlign w:val="bottom"/>
          </w:tcPr>
          <w:p>
            <w:pPr>
              <w:jc w:val="right"/>
              <w:spacing w:after="0"/>
              <w:rPr>
                <w:sz w:val="20"/>
                <w:szCs w:val="20"/>
                <w:color w:val="auto"/>
              </w:rPr>
            </w:pPr>
            <w:r>
              <w:rPr>
                <w:rFonts w:ascii="Arial" w:cs="Arial" w:eastAsia="Arial" w:hAnsi="Arial"/>
                <w:sz w:val="16"/>
                <w:szCs w:val="16"/>
                <w:color w:val="auto"/>
              </w:rPr>
              <w:t>7,169</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Soho House</w:t>
            </w:r>
            <w:r>
              <w:rPr>
                <w:rFonts w:ascii="Arial" w:cs="Arial" w:eastAsia="Arial" w:hAnsi="Arial"/>
                <w:sz w:val="23"/>
                <w:szCs w:val="23"/>
                <w:color w:val="auto"/>
                <w:vertAlign w:val="superscript"/>
              </w:rPr>
              <w:t>(4)</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3"/>
              </w:rPr>
              <w:t>Second-lien bond (GBP 20,375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30,781</w:t>
            </w: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0" w:type="dxa"/>
            <w:vAlign w:val="bottom"/>
            <w:shd w:val="clear" w:color="auto" w:fill="CCEEFF"/>
          </w:tcPr>
          <w:p>
            <w:pPr>
              <w:spacing w:after="0"/>
              <w:rPr>
                <w:sz w:val="19"/>
                <w:szCs w:val="19"/>
                <w:color w:val="auto"/>
              </w:rPr>
            </w:pPr>
          </w:p>
        </w:tc>
        <w:tc>
          <w:tcPr>
            <w:tcW w:w="3160" w:type="dxa"/>
            <w:vAlign w:val="bottom"/>
            <w:shd w:val="clear" w:color="auto" w:fill="CCEEFF"/>
          </w:tcPr>
          <w:p>
            <w:pPr>
              <w:spacing w:after="0"/>
              <w:rPr>
                <w:sz w:val="19"/>
                <w:szCs w:val="19"/>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10/2018)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9.13%</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9/20/2013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33,055</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(GBP 20,884)</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85,636</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81,650</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Human Resource Support Services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Saba Software,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($54,725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3/2021)</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3/30/2015</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54,141</w:t>
            </w:r>
          </w:p>
        </w:tc>
        <w:tc>
          <w:tcPr>
            <w:tcW w:w="960" w:type="dxa"/>
            <w:vAlign w:val="bottom"/>
          </w:tcPr>
          <w:p>
            <w:pPr>
              <w:jc w:val="right"/>
              <w:spacing w:after="0"/>
              <w:rPr>
                <w:sz w:val="20"/>
                <w:szCs w:val="20"/>
                <w:color w:val="auto"/>
              </w:rPr>
            </w:pPr>
            <w:r>
              <w:rPr>
                <w:rFonts w:ascii="Arial" w:cs="Arial" w:eastAsia="Arial" w:hAnsi="Arial"/>
                <w:sz w:val="16"/>
                <w:szCs w:val="16"/>
                <w:color w:val="auto"/>
              </w:rPr>
              <w:t>53,767</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199"/>
        </w:trPr>
        <w:tc>
          <w:tcPr>
            <w:tcW w:w="378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Skillsoft</w:t>
            </w:r>
            <w:r>
              <w:rPr>
                <w:rFonts w:ascii="Arial" w:cs="Arial" w:eastAsia="Arial" w:hAnsi="Arial"/>
                <w:sz w:val="23"/>
                <w:szCs w:val="23"/>
                <w:color w:val="auto"/>
                <w:vertAlign w:val="superscript"/>
              </w:rPr>
              <w:t>(3)</w:t>
            </w: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loan ($500 par,</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due 4/2021)</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5.75%</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11/5/2015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54,579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54,152</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Insurance</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Insurity,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($65,452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10/2020)</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w w:val="94"/>
              </w:rPr>
              <w:t>10/31/2014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64,782</w:t>
            </w:r>
          </w:p>
        </w:tc>
        <w:tc>
          <w:tcPr>
            <w:tcW w:w="960" w:type="dxa"/>
            <w:vAlign w:val="bottom"/>
          </w:tcPr>
          <w:p>
            <w:pPr>
              <w:jc w:val="right"/>
              <w:spacing w:after="0"/>
              <w:rPr>
                <w:sz w:val="20"/>
                <w:szCs w:val="20"/>
                <w:color w:val="auto"/>
              </w:rPr>
            </w:pPr>
            <w:r>
              <w:rPr>
                <w:rFonts w:ascii="Arial" w:cs="Arial" w:eastAsia="Arial" w:hAnsi="Arial"/>
                <w:sz w:val="16"/>
                <w:szCs w:val="16"/>
                <w:color w:val="auto"/>
              </w:rPr>
              <w:t>63,980</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6"/>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Internet Services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Highwinds Capital, Inc.</w:t>
            </w:r>
            <w:r>
              <w:rPr>
                <w:rFonts w:ascii="Arial" w:cs="Arial" w:eastAsia="Arial" w:hAnsi="Arial"/>
                <w:sz w:val="22"/>
                <w:szCs w:val="22"/>
                <w:color w:val="auto"/>
                <w:vertAlign w:val="superscript"/>
              </w:rPr>
              <w:t>(3)</w:t>
            </w:r>
          </w:p>
        </w:tc>
        <w:tc>
          <w:tcPr>
            <w:tcW w:w="2400" w:type="dxa"/>
            <w:vAlign w:val="bottom"/>
          </w:tcPr>
          <w:p>
            <w:pPr>
              <w:spacing w:after="0"/>
              <w:rPr>
                <w:sz w:val="20"/>
                <w:szCs w:val="20"/>
                <w:color w:val="auto"/>
              </w:rPr>
            </w:pPr>
            <w:r>
              <w:rPr>
                <w:rFonts w:ascii="Arial" w:cs="Arial" w:eastAsia="Arial" w:hAnsi="Arial"/>
                <w:sz w:val="16"/>
                <w:szCs w:val="16"/>
                <w:color w:val="auto"/>
              </w:rPr>
              <w:t>First-lien loan ($50,987 par, due</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7/2018)</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3/7/2014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50,474</w:t>
            </w:r>
          </w:p>
        </w:tc>
        <w:tc>
          <w:tcPr>
            <w:tcW w:w="960" w:type="dxa"/>
            <w:vAlign w:val="bottom"/>
          </w:tcPr>
          <w:p>
            <w:pPr>
              <w:jc w:val="right"/>
              <w:spacing w:after="0"/>
              <w:rPr>
                <w:sz w:val="20"/>
                <w:szCs w:val="20"/>
                <w:color w:val="auto"/>
              </w:rPr>
            </w:pPr>
            <w:r>
              <w:rPr>
                <w:rFonts w:ascii="Arial" w:cs="Arial" w:eastAsia="Arial" w:hAnsi="Arial"/>
                <w:sz w:val="16"/>
                <w:szCs w:val="16"/>
                <w:color w:val="auto"/>
              </w:rPr>
              <w:t>50,095</w:t>
            </w:r>
          </w:p>
        </w:tc>
        <w:tc>
          <w:tcPr>
            <w:tcW w:w="3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revolving loan ($2,800</w:t>
            </w: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2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par, due 7/2018)</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9.00%</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3/7/2014</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53,249</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52,843</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Manufacturing</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Jeeves Information Systems AB</w:t>
            </w:r>
            <w:r>
              <w:rPr>
                <w:rFonts w:ascii="Arial" w:cs="Arial" w:eastAsia="Arial" w:hAnsi="Arial"/>
                <w:sz w:val="22"/>
                <w:szCs w:val="22"/>
                <w:color w:val="auto"/>
                <w:vertAlign w:val="superscript"/>
              </w:rPr>
              <w:t>(3)(4)(5)</w:t>
            </w:r>
          </w:p>
        </w:tc>
        <w:tc>
          <w:tcPr>
            <w:tcW w:w="2400" w:type="dxa"/>
            <w:vAlign w:val="bottom"/>
          </w:tcPr>
          <w:p>
            <w:pPr>
              <w:spacing w:after="0"/>
              <w:rPr>
                <w:sz w:val="20"/>
                <w:szCs w:val="20"/>
                <w:color w:val="auto"/>
              </w:rPr>
            </w:pPr>
            <w:r>
              <w:rPr>
                <w:rFonts w:ascii="Arial" w:cs="Arial" w:eastAsia="Arial" w:hAnsi="Arial"/>
                <w:sz w:val="16"/>
                <w:szCs w:val="16"/>
                <w:color w:val="auto"/>
              </w:rPr>
              <w:t>First-lien loan (SEK 192,573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23,470</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8.75%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6/5/2013</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29,289</w:t>
            </w: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w w:val="95"/>
              </w:rPr>
              <w:t>(SEK 197,869)</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6"/>
        </w:trPr>
        <w:tc>
          <w:tcPr>
            <w:tcW w:w="3780" w:type="dxa"/>
            <w:vAlign w:val="bottom"/>
            <w:gridSpan w:val="2"/>
            <w:shd w:val="clear" w:color="auto" w:fill="CCEEFF"/>
          </w:tcPr>
          <w:p>
            <w:pPr>
              <w:ind w:left="340"/>
              <w:spacing w:after="0"/>
              <w:rPr>
                <w:sz w:val="20"/>
                <w:szCs w:val="20"/>
                <w:color w:val="auto"/>
              </w:rPr>
            </w:pPr>
            <w:r>
              <w:rPr>
                <w:rFonts w:ascii="Arial" w:cs="Arial" w:eastAsia="Arial" w:hAnsi="Arial"/>
                <w:sz w:val="16"/>
                <w:szCs w:val="16"/>
                <w:b w:val="1"/>
                <w:bCs w:val="1"/>
                <w:color w:val="auto"/>
              </w:rPr>
              <w:t>Office products</w:t>
            </w:r>
          </w:p>
        </w:tc>
        <w:tc>
          <w:tcPr>
            <w:tcW w:w="2400" w:type="dxa"/>
            <w:vAlign w:val="bottom"/>
            <w:tcBorders>
              <w:right w:val="single" w:sz="8" w:color="CCEEFF"/>
            </w:tcBorders>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780" w:type="dxa"/>
            <w:vAlign w:val="bottom"/>
            <w:gridSpan w:val="2"/>
          </w:tcPr>
          <w:p>
            <w:pPr>
              <w:spacing w:after="0" w:line="192" w:lineRule="exact"/>
              <w:rPr>
                <w:sz w:val="20"/>
                <w:szCs w:val="20"/>
                <w:color w:val="auto"/>
              </w:rPr>
            </w:pPr>
            <w:r>
              <w:rPr>
                <w:rFonts w:ascii="Arial" w:cs="Arial" w:eastAsia="Arial" w:hAnsi="Arial"/>
                <w:sz w:val="14"/>
                <w:szCs w:val="14"/>
                <w:color w:val="auto"/>
              </w:rPr>
              <w:t>Ecommerce Industries, Inc.</w:t>
            </w:r>
            <w:r>
              <w:rPr>
                <w:rFonts w:ascii="Arial" w:cs="Arial" w:eastAsia="Arial" w:hAnsi="Arial"/>
                <w:sz w:val="22"/>
                <w:szCs w:val="22"/>
                <w:color w:val="auto"/>
                <w:vertAlign w:val="superscript"/>
              </w:rPr>
              <w:t>(3)(5)</w:t>
            </w:r>
          </w:p>
        </w:tc>
        <w:tc>
          <w:tcPr>
            <w:tcW w:w="2400" w:type="dxa"/>
            <w:vAlign w:val="bottom"/>
          </w:tcPr>
          <w:p>
            <w:pPr>
              <w:spacing w:after="0"/>
              <w:rPr>
                <w:sz w:val="20"/>
                <w:szCs w:val="20"/>
                <w:color w:val="auto"/>
              </w:rPr>
            </w:pPr>
            <w:r>
              <w:rPr>
                <w:rFonts w:ascii="Arial" w:cs="Arial" w:eastAsia="Arial" w:hAnsi="Arial"/>
                <w:sz w:val="16"/>
                <w:szCs w:val="16"/>
                <w:color w:val="auto"/>
              </w:rPr>
              <w:t>First-lien loan ($36,811 par,</w:t>
            </w: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due 3/2019)</w:t>
            </w:r>
          </w:p>
        </w:tc>
        <w:tc>
          <w:tcPr>
            <w:tcW w:w="1140" w:type="dxa"/>
            <w:vAlign w:val="bottom"/>
            <w:gridSpan w:val="2"/>
          </w:tcPr>
          <w:p>
            <w:pPr>
              <w:jc w:val="right"/>
              <w:ind w:right="300"/>
              <w:spacing w:after="0"/>
              <w:rPr>
                <w:sz w:val="20"/>
                <w:szCs w:val="20"/>
                <w:color w:val="auto"/>
              </w:rPr>
            </w:pPr>
            <w:r>
              <w:rPr>
                <w:rFonts w:ascii="Arial" w:cs="Arial" w:eastAsia="Arial" w:hAnsi="Arial"/>
                <w:sz w:val="16"/>
                <w:szCs w:val="16"/>
                <w:color w:val="auto"/>
              </w:rPr>
              <w:t>7.25%</w:t>
            </w:r>
          </w:p>
        </w:tc>
        <w:tc>
          <w:tcPr>
            <w:tcW w:w="1080" w:type="dxa"/>
            <w:vAlign w:val="bottom"/>
            <w:gridSpan w:val="2"/>
          </w:tcPr>
          <w:p>
            <w:pPr>
              <w:jc w:val="right"/>
              <w:ind w:right="300"/>
              <w:spacing w:after="0"/>
              <w:rPr>
                <w:sz w:val="20"/>
                <w:szCs w:val="20"/>
                <w:color w:val="auto"/>
              </w:rPr>
            </w:pPr>
            <w:r>
              <w:rPr>
                <w:rFonts w:ascii="Arial" w:cs="Arial" w:eastAsia="Arial" w:hAnsi="Arial"/>
                <w:sz w:val="16"/>
                <w:szCs w:val="16"/>
                <w:color w:val="auto"/>
              </w:rPr>
              <w:t>3/11/2014</w:t>
            </w: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36,579</w:t>
            </w:r>
          </w:p>
        </w:tc>
        <w:tc>
          <w:tcPr>
            <w:tcW w:w="960" w:type="dxa"/>
            <w:vAlign w:val="bottom"/>
          </w:tcPr>
          <w:p>
            <w:pPr>
              <w:jc w:val="right"/>
              <w:spacing w:after="0"/>
              <w:rPr>
                <w:sz w:val="20"/>
                <w:szCs w:val="20"/>
                <w:color w:val="auto"/>
              </w:rPr>
            </w:pPr>
            <w:r>
              <w:rPr>
                <w:rFonts w:ascii="Arial" w:cs="Arial" w:eastAsia="Arial" w:hAnsi="Arial"/>
                <w:sz w:val="16"/>
                <w:szCs w:val="16"/>
                <w:color w:val="auto"/>
              </w:rPr>
              <w:t>36,370</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9"/>
              </w:rPr>
              <w:t>Initial</w:t>
            </w: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740" w:type="dxa"/>
            <w:vAlign w:val="bottom"/>
          </w:tcPr>
          <w:p>
            <w:pPr>
              <w:spacing w:after="0"/>
              <w:rPr>
                <w:sz w:val="11"/>
                <w:szCs w:val="11"/>
                <w:color w:val="auto"/>
              </w:rPr>
            </w:pPr>
          </w:p>
        </w:tc>
        <w:tc>
          <w:tcPr>
            <w:tcW w:w="2360" w:type="dxa"/>
            <w:vAlign w:val="bottom"/>
            <w:gridSpan w:val="2"/>
            <w:vMerge w:val="restart"/>
          </w:tcPr>
          <w:p>
            <w:pPr>
              <w:ind w:left="820"/>
              <w:spacing w:after="0"/>
              <w:rPr>
                <w:sz w:val="20"/>
                <w:szCs w:val="20"/>
                <w:color w:val="auto"/>
              </w:rPr>
            </w:pPr>
            <w:r>
              <w:rPr>
                <w:rFonts w:ascii="Arial" w:cs="Arial" w:eastAsia="Arial" w:hAnsi="Arial"/>
                <w:sz w:val="13"/>
                <w:szCs w:val="13"/>
                <w:b w:val="1"/>
                <w:bCs w:val="1"/>
                <w:color w:val="auto"/>
              </w:rPr>
              <w:t>Investment</w:t>
            </w: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7"/>
              </w:rPr>
              <w:t>Acquisition</w:t>
            </w:r>
          </w:p>
        </w:tc>
        <w:tc>
          <w:tcPr>
            <w:tcW w:w="96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w w:val="94"/>
              </w:rPr>
              <w:t>Amortized</w:t>
            </w:r>
          </w:p>
        </w:tc>
        <w:tc>
          <w:tcPr>
            <w:tcW w:w="110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Fair</w:t>
            </w:r>
          </w:p>
        </w:tc>
        <w:tc>
          <w:tcPr>
            <w:tcW w:w="86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3260" w:type="dxa"/>
            <w:vAlign w:val="bottom"/>
            <w:gridSpan w:val="3"/>
            <w:vMerge w:val="continue"/>
          </w:tcPr>
          <w:p>
            <w:pPr>
              <w:spacing w:after="0"/>
              <w:rPr>
                <w:sz w:val="13"/>
                <w:szCs w:val="13"/>
                <w:color w:val="auto"/>
              </w:rPr>
            </w:pPr>
          </w:p>
        </w:tc>
        <w:tc>
          <w:tcPr>
            <w:tcW w:w="740" w:type="dxa"/>
            <w:vAlign w:val="bottom"/>
          </w:tcPr>
          <w:p>
            <w:pPr>
              <w:spacing w:after="0"/>
              <w:rPr>
                <w:sz w:val="13"/>
                <w:szCs w:val="13"/>
                <w:color w:val="auto"/>
              </w:rPr>
            </w:pPr>
          </w:p>
        </w:tc>
        <w:tc>
          <w:tcPr>
            <w:tcW w:w="2360" w:type="dxa"/>
            <w:vAlign w:val="bottom"/>
            <w:gridSpan w:val="2"/>
            <w:vMerge w:val="continue"/>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Interest</w:t>
            </w: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Date</w:t>
            </w:r>
          </w:p>
        </w:tc>
        <w:tc>
          <w:tcPr>
            <w:tcW w:w="9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Cost</w:t>
            </w:r>
            <w:r>
              <w:rPr>
                <w:rFonts w:ascii="Arial" w:cs="Arial" w:eastAsia="Arial" w:hAnsi="Arial"/>
                <w:sz w:val="10"/>
                <w:szCs w:val="10"/>
                <w:b w:val="1"/>
                <w:bCs w:val="1"/>
                <w:color w:val="auto"/>
              </w:rPr>
              <w:t>(2)(8)</w:t>
            </w:r>
          </w:p>
        </w:tc>
        <w:tc>
          <w:tcPr>
            <w:tcW w:w="11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Value</w:t>
            </w:r>
          </w:p>
        </w:tc>
        <w:tc>
          <w:tcPr>
            <w:tcW w:w="8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79"/>
              </w:rPr>
              <w:t>of Net Assets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auto"/>
            </w:tcBorders>
            <w:shd w:val="clear" w:color="auto" w:fill="CCEEFF"/>
          </w:tcPr>
          <w:p>
            <w:pPr>
              <w:ind w:left="320"/>
              <w:spacing w:after="0" w:line="183" w:lineRule="exact"/>
              <w:rPr>
                <w:sz w:val="20"/>
                <w:szCs w:val="20"/>
                <w:color w:val="auto"/>
              </w:rPr>
            </w:pPr>
            <w:r>
              <w:rPr>
                <w:rFonts w:ascii="Arial" w:cs="Arial" w:eastAsia="Arial" w:hAnsi="Arial"/>
                <w:sz w:val="16"/>
                <w:szCs w:val="16"/>
                <w:b w:val="1"/>
                <w:bCs w:val="1"/>
                <w:color w:val="auto"/>
              </w:rPr>
              <w:t>Oil,</w:t>
            </w:r>
          </w:p>
        </w:tc>
        <w:tc>
          <w:tcPr>
            <w:tcW w:w="2640" w:type="dxa"/>
            <w:vAlign w:val="bottom"/>
            <w:tcBorders>
              <w:top w:val="single" w:sz="8" w:color="CCEEFF"/>
            </w:tcBorders>
            <w:shd w:val="clear" w:color="auto" w:fill="CCEEFF"/>
          </w:tcPr>
          <w:p>
            <w:pPr>
              <w:jc w:val="right"/>
              <w:ind w:right="799"/>
              <w:spacing w:after="0" w:line="183" w:lineRule="exact"/>
              <w:rPr>
                <w:sz w:val="20"/>
                <w:szCs w:val="20"/>
                <w:color w:val="auto"/>
              </w:rPr>
            </w:pPr>
            <w:r>
              <w:rPr>
                <w:rFonts w:ascii="Arial" w:cs="Arial" w:eastAsia="Arial" w:hAnsi="Arial"/>
                <w:sz w:val="16"/>
                <w:szCs w:val="16"/>
                <w:b w:val="1"/>
                <w:bCs w:val="1"/>
                <w:color w:val="auto"/>
                <w:w w:val="86"/>
              </w:rPr>
              <w:t>gas and consumable fuels</w:t>
            </w:r>
          </w:p>
        </w:tc>
        <w:tc>
          <w:tcPr>
            <w:tcW w:w="74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2"/>
          </w:tcPr>
          <w:p>
            <w:pPr>
              <w:spacing w:after="0" w:line="192" w:lineRule="exact"/>
              <w:rPr>
                <w:sz w:val="20"/>
                <w:szCs w:val="20"/>
                <w:color w:val="auto"/>
              </w:rPr>
            </w:pPr>
            <w:r>
              <w:rPr>
                <w:rFonts w:ascii="Arial" w:cs="Arial" w:eastAsia="Arial" w:hAnsi="Arial"/>
                <w:sz w:val="14"/>
                <w:szCs w:val="14"/>
                <w:color w:val="auto"/>
              </w:rPr>
              <w:t>Key Energy Services</w:t>
            </w:r>
            <w:r>
              <w:rPr>
                <w:rFonts w:ascii="Arial" w:cs="Arial" w:eastAsia="Arial" w:hAnsi="Arial"/>
                <w:sz w:val="22"/>
                <w:szCs w:val="22"/>
                <w:color w:val="auto"/>
                <w:vertAlign w:val="superscript"/>
              </w:rPr>
              <w:t>(3)</w:t>
            </w:r>
          </w:p>
        </w:tc>
        <w:tc>
          <w:tcPr>
            <w:tcW w:w="3100" w:type="dxa"/>
            <w:vAlign w:val="bottom"/>
            <w:gridSpan w:val="3"/>
          </w:tcPr>
          <w:p>
            <w:pPr>
              <w:ind w:left="740"/>
              <w:spacing w:after="0"/>
              <w:rPr>
                <w:sz w:val="20"/>
                <w:szCs w:val="20"/>
                <w:color w:val="auto"/>
              </w:rPr>
            </w:pPr>
            <w:r>
              <w:rPr>
                <w:rFonts w:ascii="Arial" w:cs="Arial" w:eastAsia="Arial" w:hAnsi="Arial"/>
                <w:sz w:val="16"/>
                <w:szCs w:val="16"/>
                <w:color w:val="auto"/>
              </w:rPr>
              <w:t>First-lien loan ($13,504 par,</w:t>
            </w: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100" w:type="dxa"/>
            <w:vAlign w:val="bottom"/>
            <w:gridSpan w:val="3"/>
          </w:tcPr>
          <w:p>
            <w:pPr>
              <w:ind w:left="740"/>
              <w:spacing w:after="0"/>
              <w:rPr>
                <w:sz w:val="20"/>
                <w:szCs w:val="20"/>
                <w:color w:val="auto"/>
              </w:rPr>
            </w:pPr>
            <w:r>
              <w:rPr>
                <w:rFonts w:ascii="Arial" w:cs="Arial" w:eastAsia="Arial" w:hAnsi="Arial"/>
                <w:sz w:val="16"/>
                <w:szCs w:val="16"/>
                <w:color w:val="auto"/>
              </w:rPr>
              <w:t>due 6/2020)</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10.25%</w:t>
            </w: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5/27/2015</w:t>
            </w:r>
          </w:p>
        </w:tc>
        <w:tc>
          <w:tcPr>
            <w:tcW w:w="660" w:type="dxa"/>
            <w:vAlign w:val="bottom"/>
          </w:tcPr>
          <w:p>
            <w:pPr>
              <w:jc w:val="right"/>
              <w:spacing w:after="0"/>
              <w:rPr>
                <w:sz w:val="20"/>
                <w:szCs w:val="20"/>
                <w:color w:val="auto"/>
              </w:rPr>
            </w:pPr>
            <w:r>
              <w:rPr>
                <w:rFonts w:ascii="Arial" w:cs="Arial" w:eastAsia="Arial" w:hAnsi="Arial"/>
                <w:sz w:val="16"/>
                <w:szCs w:val="16"/>
                <w:color w:val="auto"/>
              </w:rPr>
              <w:t>13,043</w:t>
            </w: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10,533</w:t>
            </w:r>
          </w:p>
        </w:tc>
        <w:tc>
          <w:tcPr>
            <w:tcW w:w="32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199" w:lineRule="exact"/>
              <w:rPr>
                <w:sz w:val="20"/>
                <w:szCs w:val="20"/>
                <w:color w:val="auto"/>
              </w:rPr>
            </w:pPr>
            <w:r>
              <w:rPr>
                <w:rFonts w:ascii="Arial" w:cs="Arial" w:eastAsia="Arial" w:hAnsi="Arial"/>
                <w:sz w:val="14"/>
                <w:szCs w:val="14"/>
                <w:color w:val="auto"/>
              </w:rPr>
              <w:t>Mississippi Resources, LLC</w:t>
            </w:r>
            <w:r>
              <w:rPr>
                <w:rFonts w:ascii="Arial" w:cs="Arial" w:eastAsia="Arial" w:hAnsi="Arial"/>
                <w:sz w:val="23"/>
                <w:szCs w:val="23"/>
                <w:color w:val="auto"/>
                <w:vertAlign w:val="superscript"/>
              </w:rPr>
              <w:t>(3)(7)</w:t>
            </w: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First-lien loan ($46,679 par,</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13.00%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due 6/2018)</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8"/>
              </w:rPr>
              <w:t>(incl. 1.50%</w:t>
            </w: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PIK)</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6/4/2014</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46,081</w:t>
            </w: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36,682</w:t>
            </w:r>
          </w:p>
        </w:tc>
        <w:tc>
          <w:tcPr>
            <w:tcW w:w="3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59,124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47,215</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Pharmaceuticals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Nektar Therapeutics</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Secured note ($74,950 par, due</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gridSpan w:val="3"/>
          </w:tcPr>
          <w:p>
            <w:pPr>
              <w:jc w:val="right"/>
              <w:ind w:right="1479"/>
              <w:spacing w:after="0"/>
              <w:rPr>
                <w:sz w:val="20"/>
                <w:szCs w:val="20"/>
                <w:color w:val="auto"/>
              </w:rPr>
            </w:pPr>
            <w:r>
              <w:rPr>
                <w:rFonts w:ascii="Arial" w:cs="Arial" w:eastAsia="Arial" w:hAnsi="Arial"/>
                <w:sz w:val="13"/>
                <w:szCs w:val="13"/>
                <w:color w:val="auto"/>
              </w:rPr>
              <w:t>(4)(5)(9)</w:t>
            </w:r>
          </w:p>
        </w:tc>
        <w:tc>
          <w:tcPr>
            <w:tcW w:w="3000" w:type="dxa"/>
            <w:vAlign w:val="bottom"/>
            <w:gridSpan w:val="2"/>
            <w:vMerge w:val="restart"/>
          </w:tcPr>
          <w:p>
            <w:pPr>
              <w:ind w:left="740"/>
              <w:spacing w:after="0"/>
              <w:rPr>
                <w:sz w:val="20"/>
                <w:szCs w:val="20"/>
                <w:color w:val="auto"/>
              </w:rPr>
            </w:pPr>
            <w:r>
              <w:rPr>
                <w:rFonts w:ascii="Arial" w:cs="Arial" w:eastAsia="Arial" w:hAnsi="Arial"/>
                <w:sz w:val="15"/>
                <w:szCs w:val="15"/>
                <w:color w:val="auto"/>
              </w:rPr>
              <w:t>10/2020)</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7.75%</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10/5/2015</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74,005</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73,076</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8.9%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Real Estate</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JL Secured Promissory Note</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Secured note ($10,224 par, due</w:t>
            </w:r>
          </w:p>
        </w:tc>
        <w:tc>
          <w:tcPr>
            <w:tcW w:w="110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7.00%</w:t>
            </w: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260" w:type="dxa"/>
            <w:vAlign w:val="bottom"/>
            <w:gridSpan w:val="3"/>
          </w:tcPr>
          <w:p>
            <w:pPr>
              <w:jc w:val="right"/>
              <w:ind w:right="1259"/>
              <w:spacing w:after="0"/>
              <w:rPr>
                <w:sz w:val="20"/>
                <w:szCs w:val="20"/>
                <w:color w:val="auto"/>
              </w:rPr>
            </w:pPr>
            <w:r>
              <w:rPr>
                <w:rFonts w:ascii="Arial" w:cs="Arial" w:eastAsia="Arial" w:hAnsi="Arial"/>
                <w:sz w:val="13"/>
                <w:szCs w:val="13"/>
                <w:color w:val="auto"/>
              </w:rPr>
              <w:t>(4)</w:t>
            </w:r>
          </w:p>
        </w:tc>
        <w:tc>
          <w:tcPr>
            <w:tcW w:w="3000" w:type="dxa"/>
            <w:vAlign w:val="bottom"/>
            <w:gridSpan w:val="2"/>
            <w:vMerge w:val="restart"/>
          </w:tcPr>
          <w:p>
            <w:pPr>
              <w:ind w:left="740"/>
              <w:spacing w:after="0"/>
              <w:rPr>
                <w:sz w:val="20"/>
                <w:szCs w:val="20"/>
                <w:color w:val="auto"/>
              </w:rPr>
            </w:pPr>
            <w:r>
              <w:rPr>
                <w:rFonts w:ascii="Arial" w:cs="Arial" w:eastAsia="Arial" w:hAnsi="Arial"/>
                <w:sz w:val="15"/>
                <w:szCs w:val="15"/>
                <w:color w:val="auto"/>
              </w:rPr>
              <w:t>9/2017)</w:t>
            </w:r>
          </w:p>
        </w:tc>
        <w:tc>
          <w:tcPr>
            <w:tcW w:w="100" w:type="dxa"/>
            <w:vAlign w:val="bottom"/>
          </w:tcPr>
          <w:p>
            <w:pPr>
              <w:spacing w:after="0"/>
              <w:rPr>
                <w:sz w:val="13"/>
                <w:szCs w:val="13"/>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5"/>
                <w:szCs w:val="15"/>
                <w:color w:val="auto"/>
              </w:rPr>
              <w:t>PIK</w:t>
            </w: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9/29/2015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10,224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10,224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b w:val="1"/>
                <w:bCs w:val="1"/>
                <w:color w:val="auto"/>
              </w:rPr>
              <w:t>Retail and consumer products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American Achievement Corporation</w:t>
            </w:r>
            <w:r>
              <w:rPr>
                <w:rFonts w:ascii="Arial" w:cs="Arial" w:eastAsia="Arial" w:hAnsi="Arial"/>
                <w:sz w:val="13"/>
                <w:szCs w:val="13"/>
                <w:color w:val="auto"/>
              </w:rPr>
              <w:t>(3)(5)</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loan ($25,000 par, due</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000" w:type="dxa"/>
            <w:vAlign w:val="bottom"/>
            <w:gridSpan w:val="2"/>
          </w:tcPr>
          <w:p>
            <w:pPr>
              <w:ind w:left="740"/>
              <w:spacing w:after="0"/>
              <w:rPr>
                <w:sz w:val="20"/>
                <w:szCs w:val="20"/>
                <w:color w:val="auto"/>
              </w:rPr>
            </w:pPr>
            <w:r>
              <w:rPr>
                <w:rFonts w:ascii="Arial" w:cs="Arial" w:eastAsia="Arial" w:hAnsi="Arial"/>
                <w:sz w:val="15"/>
                <w:szCs w:val="15"/>
                <w:color w:val="auto"/>
              </w:rPr>
              <w:t>9/2020)</w:t>
            </w:r>
          </w:p>
        </w:tc>
        <w:tc>
          <w:tcPr>
            <w:tcW w:w="100" w:type="dxa"/>
            <w:vAlign w:val="bottom"/>
          </w:tcPr>
          <w:p>
            <w:pPr>
              <w:spacing w:after="0"/>
              <w:rPr>
                <w:sz w:val="15"/>
                <w:szCs w:val="15"/>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9/30/2015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24,664</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24,563</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Quiksilver - Boardriders SA</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w w:val="97"/>
              </w:rPr>
              <w:t>Bond (EUR 7,599 par, due 12/2017)</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5"/>
                <w:szCs w:val="15"/>
                <w:color w:val="auto"/>
              </w:rPr>
              <w:t>7,801</w:t>
            </w: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8.88%</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5/26/2015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8,062</w:t>
            </w:r>
          </w:p>
        </w:tc>
        <w:tc>
          <w:tcPr>
            <w:tcW w:w="3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(EUR 7,181)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Sears </w:t>
            </w:r>
            <w:r>
              <w:rPr>
                <w:rFonts w:ascii="Arial" w:cs="Arial" w:eastAsia="Arial" w:hAnsi="Arial"/>
                <w:sz w:val="13"/>
                <w:szCs w:val="13"/>
                <w:color w:val="auto"/>
              </w:rPr>
              <w:t>(4)(6)</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ABL revolving loan ($303</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par, due 4/2016)</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2.84%</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4/15/2015</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116</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257</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Sports Authority</w:t>
            </w:r>
            <w:r>
              <w:rPr>
                <w:rFonts w:ascii="Arial" w:cs="Arial" w:eastAsia="Arial" w:hAnsi="Arial"/>
                <w:sz w:val="13"/>
                <w:szCs w:val="13"/>
                <w:color w:val="auto"/>
              </w:rPr>
              <w:t>(3)(5)</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First-lien loan ($45,000 par,</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due 6/2017)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7.40%</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11/3/2015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44,249</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43,762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First-lien loan ($51,000 par,</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due 10/2019)</w:t>
            </w:r>
          </w:p>
        </w:tc>
        <w:tc>
          <w:tcPr>
            <w:tcW w:w="1100" w:type="dxa"/>
            <w:vAlign w:val="bottom"/>
            <w:gridSpan w:val="2"/>
          </w:tcPr>
          <w:p>
            <w:pPr>
              <w:jc w:val="right"/>
              <w:ind w:right="260"/>
              <w:spacing w:after="0"/>
              <w:rPr>
                <w:sz w:val="20"/>
                <w:szCs w:val="20"/>
                <w:color w:val="auto"/>
              </w:rPr>
            </w:pPr>
            <w:r>
              <w:rPr>
                <w:rFonts w:ascii="Arial" w:cs="Arial" w:eastAsia="Arial" w:hAnsi="Arial"/>
                <w:sz w:val="15"/>
                <w:szCs w:val="15"/>
                <w:color w:val="auto"/>
              </w:rPr>
              <w:t>8.25%</w:t>
            </w: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10/10/2014</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50,313</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49,470</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127,404</w:t>
            </w:r>
          </w:p>
        </w:tc>
        <w:tc>
          <w:tcPr>
            <w:tcW w:w="3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125,853</w:t>
            </w:r>
          </w:p>
        </w:tc>
        <w:tc>
          <w:tcPr>
            <w:tcW w:w="3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15.3%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gridSpan w:val="2"/>
          </w:tcPr>
          <w:p>
            <w:pPr>
              <w:ind w:left="300"/>
              <w:spacing w:after="0" w:line="169" w:lineRule="exact"/>
              <w:rPr>
                <w:sz w:val="20"/>
                <w:szCs w:val="20"/>
                <w:color w:val="auto"/>
              </w:rPr>
            </w:pPr>
            <w:r>
              <w:rPr>
                <w:rFonts w:ascii="Arial" w:cs="Arial" w:eastAsia="Arial" w:hAnsi="Arial"/>
                <w:sz w:val="15"/>
                <w:szCs w:val="15"/>
                <w:b w:val="1"/>
                <w:bCs w:val="1"/>
                <w:color w:val="auto"/>
              </w:rPr>
              <w:t>Transportation</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Carrix, Inc.</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First-lien loan ($13,441 par,</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24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(3)</w:t>
            </w:r>
          </w:p>
        </w:tc>
        <w:tc>
          <w:tcPr>
            <w:tcW w:w="3100" w:type="dxa"/>
            <w:vAlign w:val="bottom"/>
            <w:gridSpan w:val="3"/>
            <w:vMerge w:val="restart"/>
            <w:shd w:val="clear" w:color="auto" w:fill="CCEEFF"/>
          </w:tcPr>
          <w:p>
            <w:pPr>
              <w:ind w:left="740"/>
              <w:spacing w:after="0"/>
              <w:rPr>
                <w:sz w:val="20"/>
                <w:szCs w:val="20"/>
                <w:color w:val="auto"/>
              </w:rPr>
            </w:pPr>
            <w:r>
              <w:rPr>
                <w:rFonts w:ascii="Arial" w:cs="Arial" w:eastAsia="Arial" w:hAnsi="Arial"/>
                <w:sz w:val="15"/>
                <w:szCs w:val="15"/>
                <w:color w:val="auto"/>
              </w:rPr>
              <w:t>due 1/2019)</w:t>
            </w:r>
          </w:p>
        </w:tc>
        <w:tc>
          <w:tcPr>
            <w:tcW w:w="11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4.50%</w:t>
            </w:r>
          </w:p>
        </w:tc>
        <w:tc>
          <w:tcPr>
            <w:tcW w:w="104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3/17/2015</w:t>
            </w: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5"/>
                <w:szCs w:val="15"/>
                <w:color w:val="auto"/>
              </w:rPr>
              <w:t>12,631</w:t>
            </w:r>
          </w:p>
        </w:tc>
        <w:tc>
          <w:tcPr>
            <w:tcW w:w="11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color w:val="auto"/>
              </w:rPr>
              <w:t>12,500</w:t>
            </w: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3100" w:type="dxa"/>
            <w:vAlign w:val="bottom"/>
            <w:gridSpan w:val="3"/>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Second-lien loan ($62,500 par,</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260" w:type="dxa"/>
            <w:vAlign w:val="bottom"/>
            <w:gridSpan w:val="3"/>
          </w:tcPr>
          <w:p>
            <w:pPr>
              <w:jc w:val="right"/>
              <w:ind w:right="2119"/>
              <w:spacing w:after="0"/>
              <w:rPr>
                <w:sz w:val="20"/>
                <w:szCs w:val="20"/>
                <w:color w:val="auto"/>
              </w:rPr>
            </w:pPr>
            <w:r>
              <w:rPr>
                <w:rFonts w:ascii="Arial" w:cs="Arial" w:eastAsia="Arial" w:hAnsi="Arial"/>
                <w:sz w:val="13"/>
                <w:szCs w:val="13"/>
                <w:color w:val="auto"/>
              </w:rPr>
              <w:t>(3)(4)</w:t>
            </w:r>
          </w:p>
        </w:tc>
        <w:tc>
          <w:tcPr>
            <w:tcW w:w="3100" w:type="dxa"/>
            <w:vAlign w:val="bottom"/>
            <w:gridSpan w:val="3"/>
            <w:vMerge w:val="restart"/>
          </w:tcPr>
          <w:p>
            <w:pPr>
              <w:ind w:left="740"/>
              <w:spacing w:after="0"/>
              <w:rPr>
                <w:sz w:val="20"/>
                <w:szCs w:val="20"/>
                <w:color w:val="auto"/>
              </w:rPr>
            </w:pPr>
            <w:r>
              <w:rPr>
                <w:rFonts w:ascii="Arial" w:cs="Arial" w:eastAsia="Arial" w:hAnsi="Arial"/>
                <w:sz w:val="15"/>
                <w:szCs w:val="15"/>
                <w:color w:val="auto"/>
              </w:rPr>
              <w:t>due 10/2019)</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9.50%</w:t>
            </w: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10/2/2013</w:t>
            </w: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5"/>
                <w:szCs w:val="15"/>
                <w:color w:val="auto"/>
              </w:rPr>
              <w:t>61,614</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5"/>
                <w:szCs w:val="15"/>
                <w:color w:val="auto"/>
              </w:rPr>
              <w:t>59,531</w:t>
            </w:r>
          </w:p>
        </w:tc>
        <w:tc>
          <w:tcPr>
            <w:tcW w:w="86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3100" w:type="dxa"/>
            <w:vAlign w:val="bottom"/>
            <w:gridSpan w:val="3"/>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74,245</w:t>
            </w:r>
          </w:p>
        </w:tc>
        <w:tc>
          <w:tcPr>
            <w:tcW w:w="11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72,031</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Total Debt Investments</w:t>
            </w: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2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w w:val="95"/>
              </w:rPr>
              <w:t>1,488,879</w:t>
            </w:r>
          </w:p>
        </w:tc>
        <w:tc>
          <w:tcPr>
            <w:tcW w:w="300" w:type="dxa"/>
            <w:vAlign w:val="bottom"/>
          </w:tcPr>
          <w:p>
            <w:pPr>
              <w:spacing w:after="0"/>
              <w:rPr>
                <w:sz w:val="15"/>
                <w:szCs w:val="15"/>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1,459,372</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177.7%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Equity and Other Investments</w:t>
            </w: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Business services</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Non-Voting Preferred Units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(774,099 units)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9/12/2013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780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1,119</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240" w:type="dxa"/>
            <w:vAlign w:val="bottom"/>
            <w:gridSpan w:val="2"/>
          </w:tcPr>
          <w:p>
            <w:pPr>
              <w:ind w:left="300"/>
              <w:spacing w:after="0" w:line="162" w:lineRule="exact"/>
              <w:rPr>
                <w:sz w:val="20"/>
                <w:szCs w:val="20"/>
                <w:color w:val="auto"/>
              </w:rPr>
            </w:pPr>
            <w:r>
              <w:rPr>
                <w:rFonts w:ascii="Arial" w:cs="Arial" w:eastAsia="Arial" w:hAnsi="Arial"/>
                <w:sz w:val="15"/>
                <w:szCs w:val="15"/>
                <w:b w:val="1"/>
                <w:bCs w:val="1"/>
                <w:color w:val="auto"/>
              </w:rPr>
              <w:t>Financial Services</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AvidXchange, Inc.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Series E Preferred Equity (214,132</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8/7/2015</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3,846</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32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TICC Capital Corp.</w:t>
            </w:r>
          </w:p>
        </w:tc>
        <w:tc>
          <w:tcPr>
            <w:tcW w:w="3100" w:type="dxa"/>
            <w:vAlign w:val="bottom"/>
            <w:gridSpan w:val="3"/>
            <w:shd w:val="clear" w:color="auto" w:fill="CCEEFF"/>
          </w:tcPr>
          <w:p>
            <w:pPr>
              <w:ind w:left="740"/>
              <w:spacing w:after="0" w:line="6" w:lineRule="exact"/>
              <w:rPr>
                <w:sz w:val="20"/>
                <w:szCs w:val="20"/>
                <w:color w:val="auto"/>
              </w:rPr>
            </w:pPr>
            <w:r>
              <w:rPr>
                <w:rFonts w:ascii="Arial" w:cs="Arial" w:eastAsia="Arial" w:hAnsi="Arial"/>
                <w:sz w:val="1"/>
                <w:szCs w:val="1"/>
                <w:color w:val="auto"/>
              </w:rPr>
              <w:t>Common Shares (1,633,660 shares)</w:t>
            </w:r>
          </w:p>
        </w:tc>
        <w:tc>
          <w:tcPr>
            <w:tcW w:w="7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4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8/5/2015</w:t>
            </w:r>
          </w:p>
        </w:tc>
        <w:tc>
          <w:tcPr>
            <w:tcW w:w="960" w:type="dxa"/>
            <w:vAlign w:val="bottom"/>
            <w:gridSpan w:val="2"/>
            <w:shd w:val="clear" w:color="auto" w:fill="CCEEFF"/>
          </w:tcPr>
          <w:p>
            <w:pPr>
              <w:jc w:val="right"/>
              <w:ind w:right="300"/>
              <w:spacing w:after="0" w:line="6" w:lineRule="exact"/>
              <w:rPr>
                <w:sz w:val="20"/>
                <w:szCs w:val="20"/>
                <w:color w:val="auto"/>
              </w:rPr>
            </w:pPr>
            <w:r>
              <w:rPr>
                <w:rFonts w:ascii="Arial" w:cs="Arial" w:eastAsia="Arial" w:hAnsi="Arial"/>
                <w:sz w:val="1"/>
                <w:szCs w:val="1"/>
                <w:color w:val="auto"/>
              </w:rPr>
              <w:t>10,943</w:t>
            </w:r>
          </w:p>
        </w:tc>
        <w:tc>
          <w:tcPr>
            <w:tcW w:w="78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9,933</w:t>
            </w:r>
          </w:p>
        </w:tc>
        <w:tc>
          <w:tcPr>
            <w:tcW w:w="32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jc w:val="right"/>
              <w:ind w:right="40"/>
              <w:spacing w:after="0" w:line="6" w:lineRule="exact"/>
              <w:rPr>
                <w:sz w:val="20"/>
                <w:szCs w:val="20"/>
                <w:color w:val="auto"/>
              </w:rPr>
            </w:pPr>
            <w:r>
              <w:rPr>
                <w:rFonts w:ascii="Arial" w:cs="Arial" w:eastAsia="Arial" w:hAnsi="Arial"/>
                <w:sz w:val="1"/>
                <w:szCs w:val="1"/>
                <w:color w:val="auto"/>
              </w:rPr>
              <w:t>1.2%</w:t>
            </w:r>
          </w:p>
        </w:tc>
        <w:tc>
          <w:tcPr>
            <w:tcW w:w="0" w:type="dxa"/>
            <w:vAlign w:val="bottom"/>
          </w:tcPr>
          <w:p>
            <w:pPr>
              <w:spacing w:after="0" w:line="20" w:lineRule="exact"/>
              <w:rPr>
                <w:sz w:val="1"/>
                <w:szCs w:val="1"/>
                <w:color w:val="auto"/>
              </w:rPr>
            </w:pPr>
          </w:p>
        </w:tc>
      </w:tr>
      <w:tr>
        <w:trPr>
          <w:trHeight w:val="163"/>
        </w:trPr>
        <w:tc>
          <w:tcPr>
            <w:tcW w:w="3260" w:type="dxa"/>
            <w:vAlign w:val="bottom"/>
            <w:gridSpan w:val="3"/>
          </w:tcPr>
          <w:p>
            <w:pPr>
              <w:jc w:val="right"/>
              <w:ind w:right="1799"/>
              <w:spacing w:after="0"/>
              <w:rPr>
                <w:sz w:val="20"/>
                <w:szCs w:val="20"/>
                <w:color w:val="auto"/>
              </w:rPr>
            </w:pPr>
            <w:r>
              <w:rPr>
                <w:rFonts w:ascii="Arial" w:cs="Arial" w:eastAsia="Arial" w:hAnsi="Arial"/>
                <w:sz w:val="13"/>
                <w:szCs w:val="13"/>
                <w:color w:val="auto"/>
              </w:rPr>
              <w:t>(4)</w:t>
            </w: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14,789</w:t>
            </w:r>
          </w:p>
        </w:tc>
        <w:tc>
          <w:tcPr>
            <w:tcW w:w="110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13,779</w:t>
            </w:r>
          </w:p>
        </w:tc>
        <w:tc>
          <w:tcPr>
            <w:tcW w:w="86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240" w:type="dxa"/>
            <w:vAlign w:val="bottom"/>
            <w:gridSpan w:val="2"/>
          </w:tcPr>
          <w:p>
            <w:pPr>
              <w:ind w:left="300"/>
              <w:spacing w:after="0" w:line="152" w:lineRule="exact"/>
              <w:rPr>
                <w:sz w:val="20"/>
                <w:szCs w:val="20"/>
                <w:color w:val="auto"/>
              </w:rPr>
            </w:pPr>
            <w:r>
              <w:rPr>
                <w:rFonts w:ascii="Arial" w:cs="Arial" w:eastAsia="Arial" w:hAnsi="Arial"/>
                <w:sz w:val="15"/>
                <w:szCs w:val="15"/>
                <w:b w:val="1"/>
                <w:bCs w:val="1"/>
                <w:color w:val="auto"/>
              </w:rPr>
              <w:t>Healthcare and</w:t>
            </w:r>
          </w:p>
        </w:tc>
        <w:tc>
          <w:tcPr>
            <w:tcW w:w="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40" w:type="dxa"/>
            <w:vAlign w:val="bottom"/>
            <w:gridSpan w:val="2"/>
          </w:tcPr>
          <w:p>
            <w:pPr>
              <w:ind w:left="300"/>
              <w:spacing w:after="0"/>
              <w:rPr>
                <w:sz w:val="20"/>
                <w:szCs w:val="20"/>
                <w:color w:val="auto"/>
              </w:rPr>
            </w:pPr>
            <w:r>
              <w:rPr>
                <w:rFonts w:ascii="Arial" w:cs="Arial" w:eastAsia="Arial" w:hAnsi="Arial"/>
                <w:sz w:val="15"/>
                <w:szCs w:val="15"/>
                <w:b w:val="1"/>
                <w:bCs w:val="1"/>
                <w:color w:val="auto"/>
              </w:rPr>
              <w:t>pharmaceuticals</w:t>
            </w:r>
          </w:p>
        </w:tc>
        <w:tc>
          <w:tcPr>
            <w:tcW w:w="7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Common Shares Class A (598</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3/11/2014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467</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729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Common Shares Class B (196</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rPr>
              <w:t>3/11/2014</w:t>
            </w:r>
          </w:p>
        </w:tc>
        <w:tc>
          <w:tcPr>
            <w:tcW w:w="960" w:type="dxa"/>
            <w:vAlign w:val="bottom"/>
            <w:gridSpan w:val="2"/>
          </w:tcPr>
          <w:p>
            <w:pPr>
              <w:jc w:val="right"/>
              <w:ind w:right="300"/>
              <w:spacing w:after="0"/>
              <w:rPr>
                <w:sz w:val="20"/>
                <w:szCs w:val="20"/>
                <w:color w:val="auto"/>
              </w:rPr>
            </w:pPr>
            <w:r>
              <w:rPr>
                <w:rFonts w:ascii="Arial" w:cs="Arial" w:eastAsia="Arial" w:hAnsi="Arial"/>
                <w:sz w:val="15"/>
                <w:szCs w:val="15"/>
                <w:color w:val="auto"/>
              </w:rPr>
              <w:t>137</w:t>
            </w:r>
          </w:p>
        </w:tc>
        <w:tc>
          <w:tcPr>
            <w:tcW w:w="1100" w:type="dxa"/>
            <w:vAlign w:val="bottom"/>
            <w:gridSpan w:val="2"/>
          </w:tcPr>
          <w:p>
            <w:pPr>
              <w:jc w:val="right"/>
              <w:ind w:right="320"/>
              <w:spacing w:after="0"/>
              <w:rPr>
                <w:sz w:val="20"/>
                <w:szCs w:val="20"/>
                <w:color w:val="auto"/>
              </w:rPr>
            </w:pPr>
            <w:r>
              <w:rPr>
                <w:rFonts w:ascii="Arial" w:cs="Arial" w:eastAsia="Arial" w:hAnsi="Arial"/>
                <w:sz w:val="15"/>
                <w:szCs w:val="15"/>
                <w:color w:val="auto"/>
              </w:rPr>
              <w:t>214</w:t>
            </w: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(4)</w:t>
            </w: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rPr>
              <w:t>Warrants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5"/>
                <w:szCs w:val="15"/>
                <w:color w:val="auto"/>
              </w:rPr>
              <w:t>965</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9/30/2014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877</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(EUR 888)</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3100" w:type="dxa"/>
            <w:vAlign w:val="bottom"/>
            <w:gridSpan w:val="3"/>
          </w:tcPr>
          <w:p>
            <w:pPr>
              <w:ind w:left="740"/>
              <w:spacing w:after="0" w:line="149" w:lineRule="exact"/>
              <w:rPr>
                <w:sz w:val="20"/>
                <w:szCs w:val="20"/>
                <w:color w:val="auto"/>
              </w:rPr>
            </w:pPr>
            <w:r>
              <w:rPr>
                <w:rFonts w:ascii="Arial" w:cs="Arial" w:eastAsia="Arial" w:hAnsi="Arial"/>
                <w:sz w:val="15"/>
                <w:szCs w:val="15"/>
                <w:color w:val="auto"/>
              </w:rPr>
              <w:t>Common Shares Class A</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100" w:type="dxa"/>
            <w:vAlign w:val="bottom"/>
            <w:gridSpan w:val="3"/>
          </w:tcPr>
          <w:p>
            <w:pPr>
              <w:ind w:left="740"/>
              <w:spacing w:after="0"/>
              <w:rPr>
                <w:sz w:val="20"/>
                <w:szCs w:val="20"/>
                <w:color w:val="auto"/>
              </w:rPr>
            </w:pPr>
            <w:r>
              <w:rPr>
                <w:rFonts w:ascii="Arial" w:cs="Arial" w:eastAsia="Arial" w:hAnsi="Arial"/>
                <w:sz w:val="15"/>
                <w:szCs w:val="15"/>
                <w:color w:val="auto"/>
              </w:rPr>
              <w:t>(1,980 shares)</w:t>
            </w:r>
          </w:p>
        </w:tc>
        <w:tc>
          <w:tcPr>
            <w:tcW w:w="7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5"/>
                <w:szCs w:val="15"/>
                <w:color w:val="auto"/>
                <w:w w:val="95"/>
              </w:rPr>
              <w:t>12/28/2012</w:t>
            </w:r>
          </w:p>
        </w:tc>
        <w:tc>
          <w:tcPr>
            <w:tcW w:w="660" w:type="dxa"/>
            <w:vAlign w:val="bottom"/>
          </w:tcPr>
          <w:p>
            <w:pPr>
              <w:jc w:val="right"/>
              <w:spacing w:after="0"/>
              <w:rPr>
                <w:sz w:val="20"/>
                <w:szCs w:val="20"/>
                <w:color w:val="auto"/>
              </w:rPr>
            </w:pPr>
            <w:r>
              <w:rPr>
                <w:rFonts w:ascii="Arial" w:cs="Arial" w:eastAsia="Arial" w:hAnsi="Arial"/>
                <w:sz w:val="15"/>
                <w:szCs w:val="15"/>
                <w:color w:val="auto"/>
              </w:rPr>
              <w:t>1,980</w:t>
            </w: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1,173</w:t>
            </w:r>
          </w:p>
        </w:tc>
        <w:tc>
          <w:tcPr>
            <w:tcW w:w="32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3100" w:type="dxa"/>
            <w:vAlign w:val="bottom"/>
            <w:gridSpan w:val="3"/>
            <w:shd w:val="clear" w:color="auto" w:fill="CCEEFF"/>
          </w:tcPr>
          <w:p>
            <w:pPr>
              <w:ind w:left="740"/>
              <w:spacing w:after="0" w:line="149" w:lineRule="exact"/>
              <w:rPr>
                <w:sz w:val="20"/>
                <w:szCs w:val="20"/>
                <w:color w:val="auto"/>
              </w:rPr>
            </w:pPr>
            <w:r>
              <w:rPr>
                <w:rFonts w:ascii="Arial" w:cs="Arial" w:eastAsia="Arial" w:hAnsi="Arial"/>
                <w:sz w:val="15"/>
                <w:szCs w:val="15"/>
                <w:color w:val="auto"/>
                <w:w w:val="95"/>
              </w:rPr>
              <w:t>Common Shares Class B (2,953,020</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ind w:left="740"/>
              <w:spacing w:after="0"/>
              <w:rPr>
                <w:sz w:val="20"/>
                <w:szCs w:val="20"/>
                <w:color w:val="auto"/>
              </w:rPr>
            </w:pPr>
            <w:r>
              <w:rPr>
                <w:rFonts w:ascii="Arial" w:cs="Arial" w:eastAsia="Arial" w:hAnsi="Arial"/>
                <w:sz w:val="15"/>
                <w:szCs w:val="15"/>
                <w:color w:val="auto"/>
              </w:rPr>
              <w:t>shares)</w:t>
            </w:r>
          </w:p>
        </w:tc>
        <w:tc>
          <w:tcPr>
            <w:tcW w:w="7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95"/>
              </w:rPr>
              <w:t>12/28/2012</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3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30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5"/>
                <w:szCs w:val="15"/>
                <w:color w:val="auto"/>
              </w:rPr>
              <w:t>3,093</w:t>
            </w:r>
          </w:p>
        </w:tc>
        <w:tc>
          <w:tcPr>
            <w:tcW w:w="320" w:type="dxa"/>
            <w:vAlign w:val="bottom"/>
          </w:tcPr>
          <w:p>
            <w:pPr>
              <w:spacing w:after="0"/>
              <w:rPr>
                <w:sz w:val="14"/>
                <w:szCs w:val="14"/>
                <w:color w:val="auto"/>
              </w:rPr>
            </w:pPr>
          </w:p>
        </w:tc>
        <w:tc>
          <w:tcPr>
            <w:tcW w:w="86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2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4"/>
              </w:rPr>
              <w:t>Initial</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r>
              <w:rPr>
                <w:rFonts w:ascii="Arial" w:cs="Arial" w:eastAsia="Arial" w:hAnsi="Arial"/>
                <w:sz w:val="10"/>
                <w:szCs w:val="10"/>
                <w:b w:val="1"/>
                <w:bCs w:val="1"/>
                <w:color w:val="auto"/>
              </w:rPr>
              <w:t>(1)</w:t>
            </w:r>
          </w:p>
        </w:tc>
        <w:tc>
          <w:tcPr>
            <w:tcW w:w="2320" w:type="dxa"/>
            <w:vAlign w:val="bottom"/>
            <w:gridSpan w:val="2"/>
            <w:vMerge w:val="restart"/>
          </w:tcPr>
          <w:p>
            <w:pPr>
              <w:ind w:left="800"/>
              <w:spacing w:after="0"/>
              <w:rPr>
                <w:sz w:val="20"/>
                <w:szCs w:val="20"/>
                <w:color w:val="auto"/>
              </w:rPr>
            </w:pPr>
            <w:r>
              <w:rPr>
                <w:rFonts w:ascii="Arial" w:cs="Arial" w:eastAsia="Arial" w:hAnsi="Arial"/>
                <w:sz w:val="13"/>
                <w:szCs w:val="13"/>
                <w:b w:val="1"/>
                <w:bCs w:val="1"/>
                <w:color w:val="auto"/>
              </w:rPr>
              <w:t>Investment</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Acquisition</w:t>
            </w:r>
          </w:p>
        </w:tc>
        <w:tc>
          <w:tcPr>
            <w:tcW w:w="20" w:type="dxa"/>
            <w:vAlign w:val="bottom"/>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Amortized</w:t>
            </w:r>
          </w:p>
        </w:tc>
        <w:tc>
          <w:tcPr>
            <w:tcW w:w="980" w:type="dxa"/>
            <w:vAlign w:val="bottom"/>
            <w:gridSpan w:val="2"/>
          </w:tcPr>
          <w:p>
            <w:pPr>
              <w:jc w:val="right"/>
              <w:ind w:right="520"/>
              <w:spacing w:after="0" w:line="135" w:lineRule="exact"/>
              <w:rPr>
                <w:sz w:val="20"/>
                <w:szCs w:val="20"/>
                <w:color w:val="auto"/>
              </w:rPr>
            </w:pPr>
            <w:r>
              <w:rPr>
                <w:rFonts w:ascii="Arial" w:cs="Arial" w:eastAsia="Arial" w:hAnsi="Arial"/>
                <w:sz w:val="13"/>
                <w:szCs w:val="13"/>
                <w:b w:val="1"/>
                <w:bCs w:val="1"/>
                <w:color w:val="auto"/>
              </w:rPr>
              <w:t>Fair</w:t>
            </w: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w w:val="88"/>
              </w:rPr>
              <w:t>Percentage</w:t>
            </w:r>
          </w:p>
        </w:tc>
        <w:tc>
          <w:tcPr>
            <w:tcW w:w="0" w:type="dxa"/>
            <w:vAlign w:val="bottom"/>
          </w:tcPr>
          <w:p>
            <w:pPr>
              <w:spacing w:after="0"/>
              <w:rPr>
                <w:sz w:val="1"/>
                <w:szCs w:val="1"/>
                <w:color w:val="auto"/>
              </w:rPr>
            </w:pPr>
          </w:p>
        </w:tc>
      </w:tr>
      <w:tr>
        <w:trPr>
          <w:trHeight w:val="153"/>
        </w:trPr>
        <w:tc>
          <w:tcPr>
            <w:tcW w:w="4420" w:type="dxa"/>
            <w:vAlign w:val="bottom"/>
            <w:gridSpan w:val="2"/>
            <w:vMerge w:val="continue"/>
          </w:tcPr>
          <w:p>
            <w:pPr>
              <w:spacing w:after="0"/>
              <w:rPr>
                <w:sz w:val="13"/>
                <w:szCs w:val="13"/>
                <w:color w:val="auto"/>
              </w:rPr>
            </w:pPr>
          </w:p>
        </w:tc>
        <w:tc>
          <w:tcPr>
            <w:tcW w:w="2320" w:type="dxa"/>
            <w:vAlign w:val="bottom"/>
            <w:gridSpan w:val="2"/>
            <w:vMerge w:val="continue"/>
          </w:tcPr>
          <w:p>
            <w:pPr>
              <w:spacing w:after="0"/>
              <w:rPr>
                <w:sz w:val="13"/>
                <w:szCs w:val="13"/>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Interest</w:t>
            </w:r>
          </w:p>
        </w:tc>
        <w:tc>
          <w:tcPr>
            <w:tcW w:w="10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Date</w:t>
            </w:r>
          </w:p>
        </w:tc>
        <w:tc>
          <w:tcPr>
            <w:tcW w:w="20" w:type="dxa"/>
            <w:vAlign w:val="bottom"/>
          </w:tcPr>
          <w:p>
            <w:pPr>
              <w:spacing w:after="0"/>
              <w:rPr>
                <w:sz w:val="13"/>
                <w:szCs w:val="13"/>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3"/>
              </w:rPr>
              <w:t>Cost</w:t>
            </w:r>
            <w:r>
              <w:rPr>
                <w:rFonts w:ascii="Arial" w:cs="Arial" w:eastAsia="Arial" w:hAnsi="Arial"/>
                <w:sz w:val="10"/>
                <w:szCs w:val="10"/>
                <w:b w:val="1"/>
                <w:bCs w:val="1"/>
                <w:color w:val="auto"/>
                <w:w w:val="93"/>
              </w:rPr>
              <w:t>(2)(8)</w:t>
            </w:r>
          </w:p>
        </w:tc>
        <w:tc>
          <w:tcPr>
            <w:tcW w:w="9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Value</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1"/>
              </w:rPr>
              <w:t>of Net Assets</w:t>
            </w:r>
          </w:p>
        </w:tc>
        <w:tc>
          <w:tcPr>
            <w:tcW w:w="0" w:type="dxa"/>
            <w:vAlign w:val="bottom"/>
          </w:tcPr>
          <w:p>
            <w:pPr>
              <w:spacing w:after="0"/>
              <w:rPr>
                <w:sz w:val="1"/>
                <w:szCs w:val="1"/>
                <w:color w:val="auto"/>
              </w:rPr>
            </w:pPr>
          </w:p>
        </w:tc>
      </w:tr>
      <w:tr>
        <w:trPr>
          <w:trHeight w:val="142"/>
        </w:trPr>
        <w:tc>
          <w:tcPr>
            <w:tcW w:w="6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w w:val="71"/>
              </w:rPr>
              <w:t>Hotel,</w:t>
            </w:r>
          </w:p>
        </w:tc>
        <w:tc>
          <w:tcPr>
            <w:tcW w:w="3800" w:type="dxa"/>
            <w:vAlign w:val="bottom"/>
            <w:tcBorders>
              <w:top w:val="single" w:sz="8" w:color="CCEEFF"/>
            </w:tcBorders>
            <w:shd w:val="clear" w:color="auto" w:fill="CCEEFF"/>
          </w:tcPr>
          <w:p>
            <w:pPr>
              <w:ind w:left="120"/>
              <w:spacing w:after="0" w:line="142" w:lineRule="exact"/>
              <w:rPr>
                <w:sz w:val="20"/>
                <w:szCs w:val="20"/>
                <w:color w:val="auto"/>
              </w:rPr>
            </w:pPr>
            <w:r>
              <w:rPr>
                <w:rFonts w:ascii="Arial" w:cs="Arial" w:eastAsia="Arial" w:hAnsi="Arial"/>
                <w:sz w:val="15"/>
                <w:szCs w:val="15"/>
                <w:b w:val="1"/>
                <w:bCs w:val="1"/>
                <w:color w:val="auto"/>
              </w:rPr>
              <w:t>gaming, and leisure</w:t>
            </w:r>
          </w:p>
        </w:tc>
        <w:tc>
          <w:tcPr>
            <w:tcW w:w="2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IRGSE Holding Corp.</w:t>
            </w:r>
          </w:p>
        </w:tc>
        <w:tc>
          <w:tcPr>
            <w:tcW w:w="23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Units (5,000,000 units)</w:t>
            </w: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2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9/29/2015</w:t>
            </w:r>
          </w:p>
        </w:tc>
        <w:tc>
          <w:tcPr>
            <w:tcW w:w="720" w:type="dxa"/>
            <w:vAlign w:val="bottom"/>
            <w:gridSpan w:val="3"/>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3,897</w:t>
            </w: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97</w:t>
            </w:r>
          </w:p>
        </w:tc>
        <w:tc>
          <w:tcPr>
            <w:tcW w:w="280" w:type="dxa"/>
            <w:vAlign w:val="bottom"/>
            <w:shd w:val="clear" w:color="auto" w:fill="CCEEFF"/>
          </w:tcPr>
          <w:p>
            <w:pPr>
              <w:spacing w:after="0" w:line="20" w:lineRule="exact"/>
              <w:rPr>
                <w:sz w:val="1"/>
                <w:szCs w:val="1"/>
                <w:color w:val="auto"/>
              </w:rPr>
            </w:pPr>
          </w:p>
        </w:tc>
        <w:tc>
          <w:tcPr>
            <w:tcW w:w="9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0.0%</w:t>
            </w:r>
          </w:p>
        </w:tc>
        <w:tc>
          <w:tcPr>
            <w:tcW w:w="0" w:type="dxa"/>
            <w:vAlign w:val="bottom"/>
          </w:tcPr>
          <w:p>
            <w:pPr>
              <w:spacing w:after="0" w:line="20" w:lineRule="exact"/>
              <w:rPr>
                <w:sz w:val="1"/>
                <w:szCs w:val="1"/>
                <w:color w:val="auto"/>
              </w:rPr>
            </w:pPr>
          </w:p>
        </w:tc>
      </w:tr>
      <w:tr>
        <w:trPr>
          <w:trHeight w:val="156"/>
        </w:trPr>
        <w:tc>
          <w:tcPr>
            <w:tcW w:w="4420" w:type="dxa"/>
            <w:vAlign w:val="bottom"/>
            <w:gridSpan w:val="2"/>
          </w:tcPr>
          <w:p>
            <w:pPr>
              <w:ind w:left="1380"/>
              <w:spacing w:after="0"/>
              <w:rPr>
                <w:sz w:val="20"/>
                <w:szCs w:val="20"/>
                <w:color w:val="auto"/>
              </w:rPr>
            </w:pPr>
            <w:r>
              <w:rPr>
                <w:rFonts w:ascii="Arial" w:cs="Arial" w:eastAsia="Arial" w:hAnsi="Arial"/>
                <w:sz w:val="13"/>
                <w:szCs w:val="13"/>
                <w:color w:val="auto"/>
              </w:rPr>
              <w:t>(7)</w:t>
            </w:r>
          </w:p>
        </w:tc>
        <w:tc>
          <w:tcPr>
            <w:tcW w:w="2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23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Class C-1 Units (8,800,000 units)</w:t>
            </w: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9/29/2015</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100</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3,997</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147</w:t>
            </w: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xml:space="preserve">Mississippi Resources, LLC </w:t>
            </w:r>
            <w:r>
              <w:rPr>
                <w:rFonts w:ascii="Arial" w:cs="Arial" w:eastAsia="Arial" w:hAnsi="Arial"/>
                <w:sz w:val="13"/>
                <w:szCs w:val="13"/>
                <w:color w:val="auto"/>
              </w:rPr>
              <w:t>(7)</w:t>
            </w:r>
          </w:p>
        </w:tc>
        <w:tc>
          <w:tcPr>
            <w:tcW w:w="2320" w:type="dxa"/>
            <w:vAlign w:val="bottom"/>
            <w:gridSpan w:val="2"/>
          </w:tcPr>
          <w:p>
            <w:pPr>
              <w:spacing w:after="0" w:line="162" w:lineRule="exact"/>
              <w:rPr>
                <w:sz w:val="20"/>
                <w:szCs w:val="20"/>
                <w:color w:val="auto"/>
              </w:rPr>
            </w:pPr>
            <w:r>
              <w:rPr>
                <w:rFonts w:ascii="Arial" w:cs="Arial" w:eastAsia="Arial" w:hAnsi="Arial"/>
                <w:sz w:val="15"/>
                <w:szCs w:val="15"/>
                <w:color w:val="auto"/>
              </w:rPr>
              <w:t>Class A Member Units (933 units)</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6/4/2014</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8,874</w:t>
            </w:r>
          </w:p>
        </w:tc>
        <w:tc>
          <w:tcPr>
            <w:tcW w:w="260" w:type="dxa"/>
            <w:vAlign w:val="bottom"/>
          </w:tcPr>
          <w:p>
            <w:pPr>
              <w:spacing w:after="0"/>
              <w:rPr>
                <w:sz w:val="14"/>
                <w:szCs w:val="14"/>
                <w:color w:val="auto"/>
              </w:rPr>
            </w:pPr>
          </w:p>
        </w:tc>
        <w:tc>
          <w:tcPr>
            <w:tcW w:w="98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 xml:space="preserve">Oak Hill Credit Partners </w:t>
            </w:r>
            <w:r>
              <w:rPr>
                <w:rFonts w:ascii="Arial" w:cs="Arial" w:eastAsia="Arial" w:hAnsi="Arial"/>
                <w:sz w:val="13"/>
                <w:szCs w:val="13"/>
                <w:color w:val="auto"/>
              </w:rPr>
              <w:t>(4)(6)</w:t>
            </w:r>
          </w:p>
        </w:tc>
        <w:tc>
          <w:tcPr>
            <w:tcW w:w="2320" w:type="dxa"/>
            <w:vAlign w:val="bottom"/>
            <w:gridSpan w:val="2"/>
          </w:tcPr>
          <w:p>
            <w:pPr>
              <w:spacing w:after="0" w:line="162" w:lineRule="exact"/>
              <w:rPr>
                <w:sz w:val="20"/>
                <w:szCs w:val="20"/>
                <w:color w:val="auto"/>
              </w:rPr>
            </w:pPr>
            <w:r>
              <w:rPr>
                <w:rFonts w:ascii="Arial" w:cs="Arial" w:eastAsia="Arial" w:hAnsi="Arial"/>
                <w:sz w:val="15"/>
                <w:szCs w:val="15"/>
                <w:color w:val="auto"/>
              </w:rPr>
              <w:t>Structured Product</w:t>
            </w:r>
          </w:p>
        </w:tc>
        <w:tc>
          <w:tcPr>
            <w:tcW w:w="80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5.82%</w:t>
            </w:r>
          </w:p>
        </w:tc>
        <w:tc>
          <w:tcPr>
            <w:tcW w:w="102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8/21/2015</w:t>
            </w:r>
          </w:p>
        </w:tc>
        <w:tc>
          <w:tcPr>
            <w:tcW w:w="720" w:type="dxa"/>
            <w:vAlign w:val="bottom"/>
            <w:gridSpan w:val="3"/>
          </w:tcPr>
          <w:p>
            <w:pPr>
              <w:jc w:val="right"/>
              <w:ind w:right="20"/>
              <w:spacing w:after="0" w:line="162" w:lineRule="exact"/>
              <w:rPr>
                <w:sz w:val="20"/>
                <w:szCs w:val="20"/>
                <w:color w:val="auto"/>
              </w:rPr>
            </w:pPr>
            <w:r>
              <w:rPr>
                <w:rFonts w:ascii="Arial" w:cs="Arial" w:eastAsia="Arial" w:hAnsi="Arial"/>
                <w:sz w:val="15"/>
                <w:szCs w:val="15"/>
                <w:color w:val="auto"/>
              </w:rPr>
              <w:t>3,293</w:t>
            </w:r>
          </w:p>
        </w:tc>
        <w:tc>
          <w:tcPr>
            <w:tcW w:w="26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3,099</w:t>
            </w:r>
          </w:p>
        </w:tc>
        <w:tc>
          <w:tcPr>
            <w:tcW w:w="280" w:type="dxa"/>
            <w:vAlign w:val="bottom"/>
          </w:tcPr>
          <w:p>
            <w:pPr>
              <w:spacing w:after="0"/>
              <w:rPr>
                <w:sz w:val="14"/>
                <w:szCs w:val="14"/>
                <w:color w:val="auto"/>
              </w:rPr>
            </w:pPr>
          </w:p>
        </w:tc>
        <w:tc>
          <w:tcPr>
            <w:tcW w:w="9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0.4%</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 xml:space="preserve">Symphony </w:t>
            </w:r>
            <w:r>
              <w:rPr>
                <w:rFonts w:ascii="Arial" w:cs="Arial" w:eastAsia="Arial" w:hAnsi="Arial"/>
                <w:sz w:val="13"/>
                <w:szCs w:val="13"/>
                <w:color w:val="auto"/>
              </w:rPr>
              <w:t>(4)(6)</w:t>
            </w:r>
          </w:p>
        </w:tc>
        <w:tc>
          <w:tcPr>
            <w:tcW w:w="232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Structured Product</w:t>
            </w:r>
          </w:p>
        </w:tc>
        <w:tc>
          <w:tcPr>
            <w:tcW w:w="8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6.07%</w:t>
            </w:r>
          </w:p>
        </w:tc>
        <w:tc>
          <w:tcPr>
            <w:tcW w:w="102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w w:val="95"/>
              </w:rPr>
              <w:t>11/17/2014</w:t>
            </w: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5,583</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5,100</w:t>
            </w:r>
          </w:p>
        </w:tc>
        <w:tc>
          <w:tcPr>
            <w:tcW w:w="2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color w:val="auto"/>
              </w:rPr>
              <w:t>8,876</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8,199</w:t>
            </w:r>
          </w:p>
        </w:tc>
        <w:tc>
          <w:tcPr>
            <w:tcW w:w="280" w:type="dxa"/>
            <w:vAlign w:val="bottom"/>
          </w:tcPr>
          <w:p>
            <w:pPr>
              <w:spacing w:after="0"/>
              <w:rPr>
                <w:sz w:val="14"/>
                <w:szCs w:val="14"/>
                <w:color w:val="auto"/>
              </w:rPr>
            </w:pPr>
          </w:p>
        </w:tc>
        <w:tc>
          <w:tcPr>
            <w:tcW w:w="9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40,797</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26,337</w:t>
            </w:r>
          </w:p>
        </w:tc>
        <w:tc>
          <w:tcPr>
            <w:tcW w:w="9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8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87"/>
              </w:rPr>
              <w:t>$</w:t>
            </w:r>
            <w:r>
              <w:rPr>
                <w:rFonts w:ascii="Arial" w:cs="Arial" w:eastAsia="Arial" w:hAnsi="Arial"/>
                <w:sz w:val="15"/>
                <w:szCs w:val="15"/>
                <w:b w:val="1"/>
                <w:bCs w:val="1"/>
                <w:color w:val="auto"/>
                <w:w w:val="87"/>
              </w:rPr>
              <w:t>1,529,676</w:t>
            </w:r>
          </w:p>
        </w:tc>
        <w:tc>
          <w:tcPr>
            <w:tcW w:w="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1,485,709</w:t>
            </w:r>
          </w:p>
        </w:tc>
        <w:tc>
          <w:tcPr>
            <w:tcW w:w="280" w:type="dxa"/>
            <w:vAlign w:val="bottom"/>
          </w:tcPr>
          <w:p>
            <w:pPr>
              <w:spacing w:after="0"/>
              <w:rPr>
                <w:sz w:val="14"/>
                <w:szCs w:val="14"/>
                <w:color w:val="auto"/>
              </w:rPr>
            </w:pPr>
          </w:p>
        </w:tc>
        <w:tc>
          <w:tcPr>
            <w:tcW w:w="9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180.8%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40" w:hanging="332"/>
        <w:spacing w:after="0" w:line="225"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line="225"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ind w:left="340" w:right="60" w:hanging="332"/>
        <w:spacing w:after="0" w:line="232" w:lineRule="auto"/>
        <w:tabs>
          <w:tab w:leader="none" w:pos="34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2015 in which the issuer was an Affiliated Person of and was deemed to Control a portfolio company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Fair Value at</w:t>
            </w:r>
          </w:p>
        </w:tc>
        <w:tc>
          <w:tcPr>
            <w:tcW w:w="80" w:type="dxa"/>
            <w:vAlign w:val="bottom"/>
          </w:tcPr>
          <w:p>
            <w:pPr>
              <w:spacing w:after="0"/>
              <w:rPr>
                <w:sz w:val="13"/>
                <w:szCs w:val="13"/>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9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0"/>
              </w:rPr>
              <w:t>Fair Value at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7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Company</w:t>
            </w:r>
          </w:p>
        </w:tc>
        <w:tc>
          <w:tcPr>
            <w:tcW w:w="1060" w:type="dxa"/>
            <w:vAlign w:val="bottom"/>
          </w:tcPr>
          <w:p>
            <w:pPr>
              <w:spacing w:after="0"/>
              <w:rPr>
                <w:sz w:val="11"/>
                <w:szCs w:val="11"/>
                <w:color w:val="auto"/>
              </w:rPr>
            </w:pPr>
          </w:p>
        </w:tc>
        <w:tc>
          <w:tcPr>
            <w:tcW w:w="1120" w:type="dxa"/>
            <w:vAlign w:val="bottom"/>
            <w:gridSpan w:val="3"/>
          </w:tcPr>
          <w:p>
            <w:pPr>
              <w:jc w:val="right"/>
              <w:ind w:right="400"/>
              <w:spacing w:after="0" w:line="135" w:lineRule="exact"/>
              <w:rPr>
                <w:sz w:val="20"/>
                <w:szCs w:val="20"/>
                <w:color w:val="auto"/>
              </w:rPr>
            </w:pPr>
            <w:r>
              <w:rPr>
                <w:rFonts w:ascii="Arial" w:cs="Arial" w:eastAsia="Arial" w:hAnsi="Arial"/>
                <w:sz w:val="13"/>
                <w:szCs w:val="13"/>
                <w:b w:val="1"/>
                <w:bCs w:val="1"/>
                <w:color w:val="auto"/>
                <w:w w:val="82"/>
              </w:rPr>
              <w:t>December 31,</w:t>
            </w:r>
          </w:p>
        </w:tc>
        <w:tc>
          <w:tcPr>
            <w:tcW w:w="7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Additions</w:t>
            </w:r>
          </w:p>
        </w:tc>
        <w:tc>
          <w:tcPr>
            <w:tcW w:w="2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Reductions</w:t>
            </w:r>
          </w:p>
        </w:tc>
        <w:tc>
          <w:tcPr>
            <w:tcW w:w="10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Realized</w:t>
            </w:r>
          </w:p>
        </w:tc>
        <w:tc>
          <w:tcPr>
            <w:tcW w:w="380" w:type="dxa"/>
            <w:vAlign w:val="bottom"/>
          </w:tcPr>
          <w:p>
            <w:pPr>
              <w:spacing w:after="0"/>
              <w:rPr>
                <w:sz w:val="11"/>
                <w:szCs w:val="11"/>
                <w:color w:val="auto"/>
              </w:rPr>
            </w:pPr>
          </w:p>
        </w:tc>
        <w:tc>
          <w:tcPr>
            <w:tcW w:w="940" w:type="dxa"/>
            <w:vAlign w:val="bottom"/>
            <w:gridSpan w:val="3"/>
          </w:tcPr>
          <w:p>
            <w:pPr>
              <w:jc w:val="right"/>
              <w:ind w:right="200"/>
              <w:spacing w:after="0" w:line="135" w:lineRule="exact"/>
              <w:rPr>
                <w:sz w:val="20"/>
                <w:szCs w:val="20"/>
                <w:color w:val="auto"/>
              </w:rPr>
            </w:pPr>
            <w:r>
              <w:rPr>
                <w:rFonts w:ascii="Arial" w:cs="Arial" w:eastAsia="Arial" w:hAnsi="Arial"/>
                <w:sz w:val="13"/>
                <w:szCs w:val="13"/>
                <w:b w:val="1"/>
                <w:bCs w:val="1"/>
                <w:color w:val="auto"/>
                <w:w w:val="85"/>
              </w:rPr>
              <w:t>December 31,</w:t>
            </w:r>
          </w:p>
        </w:tc>
        <w:tc>
          <w:tcPr>
            <w:tcW w:w="180" w:type="dxa"/>
            <w:vAlign w:val="bottom"/>
          </w:tcPr>
          <w:p>
            <w:pPr>
              <w:spacing w:after="0"/>
              <w:rPr>
                <w:sz w:val="11"/>
                <w:szCs w:val="11"/>
                <w:color w:val="auto"/>
              </w:rPr>
            </w:pP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2780" w:type="dxa"/>
            <w:vAlign w:val="bottom"/>
            <w:gridSpan w:val="3"/>
            <w:vMerge w:val="continue"/>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87"/>
              <w:spacing w:after="0"/>
              <w:rPr>
                <w:sz w:val="20"/>
                <w:szCs w:val="20"/>
                <w:color w:val="auto"/>
              </w:rPr>
            </w:pPr>
            <w:r>
              <w:rPr>
                <w:rFonts w:ascii="Arial" w:cs="Arial" w:eastAsia="Arial" w:hAnsi="Arial"/>
                <w:sz w:val="13"/>
                <w:szCs w:val="13"/>
                <w:b w:val="1"/>
                <w:bCs w:val="1"/>
                <w:color w:val="auto"/>
              </w:rPr>
              <w:t>2014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(a)</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6"/>
              </w:rPr>
              <w:t>(b)</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7"/>
              <w:spacing w:after="0"/>
              <w:rPr>
                <w:sz w:val="20"/>
                <w:szCs w:val="20"/>
                <w:color w:val="auto"/>
              </w:rPr>
            </w:pPr>
            <w:r>
              <w:rPr>
                <w:rFonts w:ascii="Arial" w:cs="Arial" w:eastAsia="Arial" w:hAnsi="Arial"/>
                <w:sz w:val="13"/>
                <w:szCs w:val="13"/>
                <w:b w:val="1"/>
                <w:bCs w:val="1"/>
                <w:color w:val="auto"/>
              </w:rPr>
              <w:t>2015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w w:val="73"/>
              </w:rPr>
              <w:t>Mississippi</w:t>
            </w:r>
          </w:p>
        </w:tc>
        <w:tc>
          <w:tcPr>
            <w:tcW w:w="22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0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3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7,833</w:t>
            </w:r>
          </w:p>
        </w:tc>
        <w:tc>
          <w:tcPr>
            <w:tcW w:w="1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500" w:type="dxa"/>
            <w:vAlign w:val="bottom"/>
            <w:tcBorders>
              <w:top w:val="single" w:sz="8" w:color="auto"/>
            </w:tcBorders>
            <w:shd w:val="clear" w:color="auto" w:fill="CCEEFF"/>
          </w:tcPr>
          <w:p>
            <w:pPr>
              <w:ind w:left="220"/>
              <w:spacing w:after="0" w:line="156" w:lineRule="exact"/>
              <w:rPr>
                <w:sz w:val="20"/>
                <w:szCs w:val="20"/>
                <w:color w:val="auto"/>
              </w:rPr>
            </w:pPr>
            <w:r>
              <w:rPr>
                <w:rFonts w:ascii="Arial" w:cs="Arial" w:eastAsia="Arial" w:hAnsi="Arial"/>
                <w:sz w:val="15"/>
                <w:szCs w:val="15"/>
                <w:color w:val="auto"/>
                <w:w w:val="74"/>
              </w:rPr>
              <w:t>(459)</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85"/>
              </w:rPr>
              <w:t>(12,328)</w:t>
            </w:r>
          </w:p>
        </w:tc>
        <w:tc>
          <w:tcPr>
            <w:tcW w:w="4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line="156" w:lineRule="exact"/>
              <w:rPr>
                <w:sz w:val="20"/>
                <w:szCs w:val="20"/>
                <w:color w:val="auto"/>
              </w:rPr>
            </w:pPr>
            <w:r>
              <w:rPr>
                <w:rFonts w:ascii="Arial" w:cs="Arial" w:eastAsia="Arial" w:hAnsi="Arial"/>
                <w:sz w:val="15"/>
                <w:szCs w:val="15"/>
                <w:color w:val="auto"/>
              </w:rPr>
              <w:t>—</w:t>
            </w:r>
          </w:p>
        </w:tc>
        <w:tc>
          <w:tcPr>
            <w:tcW w:w="3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12"/>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36,682</w:t>
            </w:r>
          </w:p>
        </w:tc>
        <w:tc>
          <w:tcPr>
            <w:tcW w:w="2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219</w:t>
            </w:r>
          </w:p>
        </w:tc>
        <w:tc>
          <w:tcPr>
            <w:tcW w:w="3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1"/>
              </w:rPr>
              <w:t>$6,003</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60" w:type="dxa"/>
            <w:vAlign w:val="bottom"/>
            <w:gridSpan w:val="2"/>
          </w:tcPr>
          <w:p>
            <w:pPr>
              <w:spacing w:after="0" w:line="162" w:lineRule="exact"/>
              <w:rPr>
                <w:sz w:val="20"/>
                <w:szCs w:val="20"/>
                <w:color w:val="auto"/>
              </w:rPr>
            </w:pPr>
            <w:r>
              <w:rPr>
                <w:rFonts w:ascii="Arial" w:cs="Arial" w:eastAsia="Arial" w:hAnsi="Arial"/>
                <w:sz w:val="15"/>
                <w:szCs w:val="15"/>
                <w:color w:val="auto"/>
              </w:rPr>
              <w:t>IRGSE Holding Corp.</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7"/>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spacing w:after="0" w:line="162" w:lineRule="exact"/>
              <w:rPr>
                <w:sz w:val="20"/>
                <w:szCs w:val="20"/>
                <w:color w:val="auto"/>
              </w:rPr>
            </w:pPr>
            <w:r>
              <w:rPr>
                <w:rFonts w:ascii="Arial" w:cs="Arial" w:eastAsia="Arial" w:hAnsi="Arial"/>
                <w:sz w:val="15"/>
                <w:szCs w:val="15"/>
                <w:color w:val="auto"/>
                <w:w w:val="91"/>
              </w:rPr>
              <w:t>31,704</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ind w:left="28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40"/>
              <w:spacing w:after="0" w:line="162" w:lineRule="exact"/>
              <w:rPr>
                <w:sz w:val="20"/>
                <w:szCs w:val="20"/>
                <w:color w:val="auto"/>
              </w:rPr>
            </w:pPr>
            <w:r>
              <w:rPr>
                <w:rFonts w:ascii="Arial" w:cs="Arial" w:eastAsia="Arial" w:hAnsi="Arial"/>
                <w:sz w:val="15"/>
                <w:szCs w:val="15"/>
                <w:color w:val="auto"/>
              </w:rPr>
              <w:t>(4,888)</w:t>
            </w:r>
          </w:p>
        </w:tc>
        <w:tc>
          <w:tcPr>
            <w:tcW w:w="120" w:type="dxa"/>
            <w:vAlign w:val="bottom"/>
          </w:tcPr>
          <w:p>
            <w:pPr>
              <w:spacing w:after="0"/>
              <w:rPr>
                <w:sz w:val="14"/>
                <w:szCs w:val="14"/>
                <w:color w:val="auto"/>
              </w:rPr>
            </w:pPr>
          </w:p>
        </w:tc>
        <w:tc>
          <w:tcPr>
            <w:tcW w:w="620" w:type="dxa"/>
            <w:vAlign w:val="bottom"/>
          </w:tcPr>
          <w:p>
            <w:pPr>
              <w:ind w:left="400"/>
              <w:spacing w:after="0" w:line="162" w:lineRule="exact"/>
              <w:rPr>
                <w:sz w:val="20"/>
                <w:szCs w:val="20"/>
                <w:color w:val="auto"/>
              </w:rPr>
            </w:pPr>
            <w:r>
              <w:rPr>
                <w:rFonts w:ascii="Arial" w:cs="Arial" w:eastAsia="Arial" w:hAnsi="Arial"/>
                <w:sz w:val="15"/>
                <w:szCs w:val="15"/>
                <w:color w:val="auto"/>
              </w:rPr>
              <w:t>—</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26,816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jc w:val="right"/>
              <w:spacing w:after="0" w:line="162" w:lineRule="exact"/>
              <w:rPr>
                <w:sz w:val="20"/>
                <w:szCs w:val="20"/>
                <w:color w:val="auto"/>
              </w:rPr>
            </w:pPr>
            <w:r>
              <w:rPr>
                <w:rFonts w:ascii="Arial" w:cs="Arial" w:eastAsia="Arial" w:hAnsi="Arial"/>
                <w:sz w:val="15"/>
                <w:szCs w:val="15"/>
                <w:color w:val="auto"/>
              </w:rPr>
              <w:t>21</w:t>
            </w:r>
          </w:p>
        </w:tc>
        <w:tc>
          <w:tcPr>
            <w:tcW w:w="380" w:type="dxa"/>
            <w:vAlign w:val="bottom"/>
          </w:tcPr>
          <w:p>
            <w:pPr>
              <w:spacing w:after="0"/>
              <w:rPr>
                <w:sz w:val="14"/>
                <w:szCs w:val="14"/>
                <w:color w:val="auto"/>
              </w:rPr>
            </w:pPr>
          </w:p>
        </w:tc>
        <w:tc>
          <w:tcPr>
            <w:tcW w:w="5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76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w:t>
            </w:r>
          </w:p>
        </w:tc>
        <w:tc>
          <w:tcPr>
            <w:tcW w:w="1220" w:type="dxa"/>
            <w:vAlign w:val="bottom"/>
            <w:gridSpan w:val="2"/>
            <w:shd w:val="clear" w:color="auto" w:fill="CCEEFF"/>
          </w:tcPr>
          <w:p>
            <w:pPr>
              <w:jc w:val="right"/>
              <w:ind w:right="42"/>
              <w:spacing w:after="0" w:line="162" w:lineRule="exact"/>
              <w:rPr>
                <w:sz w:val="20"/>
                <w:szCs w:val="20"/>
                <w:color w:val="auto"/>
              </w:rPr>
            </w:pPr>
            <w:r>
              <w:rPr>
                <w:rFonts w:ascii="Arial" w:cs="Arial" w:eastAsia="Arial" w:hAnsi="Arial"/>
                <w:sz w:val="15"/>
                <w:szCs w:val="15"/>
                <w:b w:val="1"/>
                <w:bCs w:val="1"/>
                <w:color w:val="auto"/>
              </w:rPr>
              <w:t>$</w:t>
            </w:r>
          </w:p>
        </w:tc>
        <w:tc>
          <w:tcPr>
            <w:tcW w:w="9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41,636</w:t>
            </w:r>
          </w:p>
        </w:tc>
        <w:tc>
          <w:tcPr>
            <w:tcW w:w="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w w:val="71"/>
              </w:rPr>
              <w:t>$</w:t>
            </w:r>
          </w:p>
        </w:tc>
        <w:tc>
          <w:tcPr>
            <w:tcW w:w="6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w w:val="91"/>
              </w:rPr>
              <w:t>39,537</w:t>
            </w:r>
          </w:p>
        </w:tc>
        <w:tc>
          <w:tcPr>
            <w:tcW w:w="300" w:type="dxa"/>
            <w:vAlign w:val="bottom"/>
            <w:gridSpan w:val="2"/>
            <w:shd w:val="clear" w:color="auto" w:fill="CCEEFF"/>
          </w:tcPr>
          <w:p>
            <w:pPr>
              <w:ind w:left="200"/>
              <w:spacing w:after="0" w:line="162" w:lineRule="exact"/>
              <w:rPr>
                <w:sz w:val="20"/>
                <w:szCs w:val="20"/>
                <w:color w:val="auto"/>
              </w:rPr>
            </w:pPr>
            <w:r>
              <w:rPr>
                <w:rFonts w:ascii="Arial" w:cs="Arial" w:eastAsia="Arial" w:hAnsi="Arial"/>
                <w:sz w:val="15"/>
                <w:szCs w:val="15"/>
                <w:b w:val="1"/>
                <w:bCs w:val="1"/>
                <w:color w:val="auto"/>
                <w:w w:val="95"/>
              </w:rPr>
              <w:t>$</w:t>
            </w:r>
          </w:p>
        </w:tc>
        <w:tc>
          <w:tcPr>
            <w:tcW w:w="9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(459)</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900" w:type="dxa"/>
            <w:vAlign w:val="bottom"/>
            <w:gridSpan w:val="2"/>
            <w:shd w:val="clear" w:color="auto" w:fill="CCEEFF"/>
          </w:tcPr>
          <w:p>
            <w:pPr>
              <w:jc w:val="right"/>
              <w:ind w:right="340"/>
              <w:spacing w:after="0" w:line="162" w:lineRule="exact"/>
              <w:rPr>
                <w:sz w:val="20"/>
                <w:szCs w:val="20"/>
                <w:color w:val="auto"/>
              </w:rPr>
            </w:pPr>
            <w:r>
              <w:rPr>
                <w:rFonts w:ascii="Arial" w:cs="Arial" w:eastAsia="Arial" w:hAnsi="Arial"/>
                <w:sz w:val="15"/>
                <w:szCs w:val="15"/>
                <w:b w:val="1"/>
                <w:bCs w:val="1"/>
                <w:color w:val="auto"/>
                <w:w w:val="96"/>
              </w:rPr>
              <w:t>(17,216)</w:t>
            </w:r>
          </w:p>
        </w:tc>
        <w:tc>
          <w:tcPr>
            <w:tcW w:w="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ind w:left="400"/>
              <w:spacing w:after="0" w:line="162" w:lineRule="exact"/>
              <w:rPr>
                <w:sz w:val="20"/>
                <w:szCs w:val="20"/>
                <w:color w:val="auto"/>
              </w:rPr>
            </w:pPr>
            <w:r>
              <w:rPr>
                <w:rFonts w:ascii="Arial" w:cs="Arial" w:eastAsia="Arial" w:hAnsi="Arial"/>
                <w:sz w:val="15"/>
                <w:szCs w:val="15"/>
                <w:b w:val="1"/>
                <w:bCs w:val="1"/>
                <w:color w:val="auto"/>
              </w:rPr>
              <w:t>—</w:t>
            </w:r>
          </w:p>
        </w:tc>
        <w:tc>
          <w:tcPr>
            <w:tcW w:w="540" w:type="dxa"/>
            <w:vAlign w:val="bottom"/>
            <w:gridSpan w:val="2"/>
            <w:shd w:val="clear" w:color="auto" w:fill="CCEEFF"/>
          </w:tcPr>
          <w:p>
            <w:pPr>
              <w:jc w:val="right"/>
              <w:ind w:right="12"/>
              <w:spacing w:after="0" w:line="162" w:lineRule="exact"/>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63,498</w:t>
            </w:r>
          </w:p>
        </w:tc>
        <w:tc>
          <w:tcPr>
            <w:tcW w:w="30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b w:val="1"/>
                <w:bCs w:val="1"/>
                <w:color w:val="auto"/>
              </w:rPr>
              <w:t>$</w:t>
            </w:r>
          </w:p>
        </w:tc>
        <w:tc>
          <w:tcPr>
            <w:tcW w:w="660" w:type="dxa"/>
            <w:vAlign w:val="bottom"/>
            <w:gridSpan w:val="2"/>
            <w:shd w:val="clear" w:color="auto" w:fill="CCEEFF"/>
          </w:tcPr>
          <w:p>
            <w:pPr>
              <w:jc w:val="right"/>
              <w:ind w:right="380"/>
              <w:spacing w:after="0" w:line="162" w:lineRule="exact"/>
              <w:rPr>
                <w:sz w:val="20"/>
                <w:szCs w:val="20"/>
                <w:color w:val="auto"/>
              </w:rPr>
            </w:pPr>
            <w:r>
              <w:rPr>
                <w:rFonts w:ascii="Arial" w:cs="Arial" w:eastAsia="Arial" w:hAnsi="Arial"/>
                <w:sz w:val="15"/>
                <w:szCs w:val="15"/>
                <w:b w:val="1"/>
                <w:bCs w:val="1"/>
                <w:color w:val="auto"/>
              </w:rPr>
              <w:t>240</w:t>
            </w:r>
          </w:p>
        </w:tc>
        <w:tc>
          <w:tcPr>
            <w:tcW w:w="52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6,639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line="225" w:lineRule="auto"/>
        <w:tabs>
          <w:tab w:leader="none" w:pos="3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As of December 31, 2015, the tax cost of the Company’s investments approximates their amortized cost.</w:t>
      </w:r>
    </w:p>
    <w:p>
      <w:pPr>
        <w:ind w:left="340" w:right="400" w:hanging="332"/>
        <w:spacing w:after="0" w:line="239" w:lineRule="auto"/>
        <w:tabs>
          <w:tab w:leader="none" w:pos="34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Notes contain a fixed rate structure. The Company entered into an interest rate swap agreement to swap to a floating rate. Refer to Note 5 for further information related to the Company’s interest rate swaps.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as of December 31,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Initial</w:t>
            </w:r>
          </w:p>
        </w:tc>
        <w:tc>
          <w:tcPr>
            <w:tcW w:w="14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840" w:type="dxa"/>
            <w:vAlign w:val="bottom"/>
          </w:tcPr>
          <w:p>
            <w:pPr>
              <w:spacing w:after="0"/>
              <w:rPr>
                <w:sz w:val="12"/>
                <w:szCs w:val="12"/>
                <w:color w:val="auto"/>
              </w:rPr>
            </w:pPr>
          </w:p>
        </w:tc>
        <w:tc>
          <w:tcPr>
            <w:tcW w:w="2300" w:type="dxa"/>
            <w:vAlign w:val="bottom"/>
            <w:gridSpan w:val="2"/>
            <w:vMerge w:val="restart"/>
          </w:tcPr>
          <w:p>
            <w:pPr>
              <w:ind w:left="740"/>
              <w:spacing w:after="0"/>
              <w:rPr>
                <w:sz w:val="20"/>
                <w:szCs w:val="20"/>
                <w:color w:val="auto"/>
              </w:rPr>
            </w:pPr>
            <w:r>
              <w:rPr>
                <w:rFonts w:ascii="Arial" w:cs="Arial" w:eastAsia="Arial" w:hAnsi="Arial"/>
                <w:sz w:val="14"/>
                <w:szCs w:val="14"/>
                <w:b w:val="1"/>
                <w:bCs w:val="1"/>
                <w:color w:val="auto"/>
              </w:rPr>
              <w:t>Investment</w:t>
            </w:r>
          </w:p>
        </w:tc>
        <w:tc>
          <w:tcPr>
            <w:tcW w:w="10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8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(2)(9)</w:t>
            </w: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27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80" w:type="dxa"/>
            <w:vAlign w:val="bottom"/>
            <w:gridSpan w:val="2"/>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Debt Investments Automotive</w:t>
            </w:r>
          </w:p>
        </w:tc>
        <w:tc>
          <w:tcPr>
            <w:tcW w:w="840" w:type="dxa"/>
            <w:vAlign w:val="bottom"/>
            <w:shd w:val="clear" w:color="auto" w:fill="CCEEFF"/>
          </w:tcPr>
          <w:p>
            <w:pPr>
              <w:spacing w:after="0"/>
              <w:rPr>
                <w:sz w:val="12"/>
                <w:szCs w:val="12"/>
                <w:color w:val="auto"/>
              </w:rPr>
            </w:pPr>
          </w:p>
        </w:tc>
        <w:tc>
          <w:tcPr>
            <w:tcW w:w="2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Heartland Automotive Holdings, LLC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($32,826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234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6/2017)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9.75%</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8/28/2012</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  32,340</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5"/>
              </w:rPr>
              <w:t>$ 30,447</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3.6%</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revolving loan</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($4,500 par, due 6/2017)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10.75%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8/28/2012</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4,421</w:t>
            </w: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4,097</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36,761</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34,544</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Beverage, food and tobacco</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AFS Technologies,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($64,399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46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3/2020)</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6.25%</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3/3/2014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63,102</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63,111</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7.6%</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Great Atlantic &amp; Pacific Tea Co.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($22,787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shd w:val="clear" w:color="auto" w:fill="CCEEFF"/>
          </w:tcPr>
          <w:p>
            <w:pPr>
              <w:ind w:left="228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shd w:val="clear" w:color="auto" w:fill="CCEEFF"/>
          </w:tcPr>
          <w:p>
            <w:pPr>
              <w:ind w:left="840"/>
              <w:spacing w:after="0"/>
              <w:rPr>
                <w:sz w:val="20"/>
                <w:szCs w:val="20"/>
                <w:color w:val="auto"/>
              </w:rPr>
            </w:pPr>
            <w:r>
              <w:rPr>
                <w:rFonts w:ascii="Arial" w:cs="Arial" w:eastAsia="Arial" w:hAnsi="Arial"/>
                <w:sz w:val="15"/>
                <w:szCs w:val="15"/>
                <w:color w:val="auto"/>
              </w:rPr>
              <w:t>due 9/2019)</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9.85%</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9/17/2014</w:t>
            </w:r>
          </w:p>
        </w:tc>
        <w:tc>
          <w:tcPr>
            <w:tcW w:w="14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22,426</w:t>
            </w:r>
          </w:p>
        </w:tc>
        <w:tc>
          <w:tcPr>
            <w:tcW w:w="2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22,274</w:t>
            </w:r>
          </w:p>
        </w:tc>
        <w:tc>
          <w:tcPr>
            <w:tcW w:w="260" w:type="dxa"/>
            <w:vAlign w:val="bottom"/>
            <w:vMerge w:val="restart"/>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140" w:type="dxa"/>
            <w:vAlign w:val="bottom"/>
            <w:gridSpan w:val="3"/>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85,528</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85,385</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10.3%</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Business services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Actian Corporation </w:t>
            </w:r>
            <w:r>
              <w:rPr>
                <w:rFonts w:ascii="Arial" w:cs="Arial" w:eastAsia="Arial" w:hAnsi="Arial"/>
                <w:sz w:val="13"/>
                <w:szCs w:val="13"/>
                <w:color w:val="auto"/>
              </w:rPr>
              <w:t>(3)(4)(6)</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($63,933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4/2018)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4/11/2013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62,282</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63,933</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Leaf US Holdings, Inc.</w:t>
            </w:r>
            <w:r>
              <w:rPr>
                <w:rFonts w:ascii="Arial" w:cs="Arial" w:eastAsia="Arial" w:hAnsi="Arial"/>
                <w:sz w:val="13"/>
                <w:szCs w:val="13"/>
                <w:color w:val="auto"/>
              </w:rPr>
              <w:t>(3)(4)(5)</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loan ($16,418 par, due</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020" w:type="dxa"/>
            <w:vAlign w:val="bottom"/>
            <w:gridSpan w:val="2"/>
            <w:shd w:val="clear" w:color="auto" w:fill="CCEEFF"/>
          </w:tcPr>
          <w:p>
            <w:pPr>
              <w:ind w:left="840"/>
              <w:spacing w:after="0"/>
              <w:rPr>
                <w:sz w:val="20"/>
                <w:szCs w:val="20"/>
                <w:color w:val="auto"/>
              </w:rPr>
            </w:pPr>
            <w:r>
              <w:rPr>
                <w:rFonts w:ascii="Arial" w:cs="Arial" w:eastAsia="Arial" w:hAnsi="Arial"/>
                <w:sz w:val="15"/>
                <w:szCs w:val="15"/>
                <w:color w:val="auto"/>
              </w:rPr>
              <w:t>6/2019)</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6/30/2014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16,077</w:t>
            </w: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16,003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Network Merchants, Inc</w:t>
            </w:r>
            <w:r>
              <w:rPr>
                <w:rFonts w:ascii="Arial" w:cs="Arial" w:eastAsia="Arial" w:hAnsi="Arial"/>
                <w:sz w:val="13"/>
                <w:szCs w:val="13"/>
                <w:color w:val="auto"/>
              </w:rPr>
              <w:t>(3)(4)</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($29,659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9/2018)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9/12/2013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29,204</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29,506</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ScentAir Technologies, Inc</w:t>
            </w:r>
            <w:r>
              <w:rPr>
                <w:rFonts w:ascii="Arial" w:cs="Arial" w:eastAsia="Arial" w:hAnsi="Arial"/>
                <w:sz w:val="13"/>
                <w:szCs w:val="13"/>
                <w:color w:val="auto"/>
              </w:rPr>
              <w:t>(3)(4)</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loan ($16,071 par,</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due 12/2019)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12/30/2014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15,628</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15,621</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123,191</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125,063</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Chemicals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Vertellus Specialties,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($19,950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56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10/2019)</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10.50%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w w:val="95"/>
              </w:rPr>
              <w:t>10/31/2014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19,267</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18,753</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Communications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IPC Systems,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Second-lien loan ($17,000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10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5/2021)</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9.50%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5/2/2014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16,935</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17,680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Containers and packaging</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The Newark Group, Inc.</w:t>
            </w:r>
            <w:r>
              <w:rPr>
                <w:rFonts w:ascii="Arial" w:cs="Arial" w:eastAsia="Arial" w:hAnsi="Arial"/>
                <w:sz w:val="13"/>
                <w:szCs w:val="13"/>
                <w:color w:val="auto"/>
              </w:rPr>
              <w:t>(3)(4)</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($39,240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2/2018)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8.50%</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2/8/2013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38,984</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40,025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Education</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Campus Management, Inc.</w:t>
            </w:r>
            <w:r>
              <w:rPr>
                <w:rFonts w:ascii="Arial" w:cs="Arial" w:eastAsia="Arial" w:hAnsi="Arial"/>
                <w:sz w:val="13"/>
                <w:szCs w:val="13"/>
                <w:color w:val="auto"/>
              </w:rPr>
              <w:t>(3)(4)(6)</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loan ($28,125 par,</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due 9/2018)</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rPr>
              <w:t>9/30/2013</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27,576</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27,914</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3.3%</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Electronics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MyAlarm Center, LLC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($61,861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420"/>
              <w:spacing w:after="0"/>
              <w:rPr>
                <w:sz w:val="20"/>
                <w:szCs w:val="20"/>
                <w:color w:val="auto"/>
              </w:rPr>
            </w:pPr>
            <w:r>
              <w:rPr>
                <w:rFonts w:ascii="Arial" w:cs="Arial" w:eastAsia="Arial" w:hAnsi="Arial"/>
                <w:sz w:val="13"/>
                <w:szCs w:val="13"/>
                <w:color w:val="auto"/>
              </w:rPr>
              <w:t>(3)(4)</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1/2018)</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8.50%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1/9/2014</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61,013</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60,893</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MyAlarm Center, LLC</w:t>
            </w: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Mezzanine loan ($4,887 par, due</w:t>
            </w: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16.25%</w:t>
            </w: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3020" w:type="dxa"/>
            <w:vAlign w:val="bottom"/>
            <w:gridSpan w:val="2"/>
            <w:shd w:val="clear" w:color="auto" w:fill="CCEEFF"/>
          </w:tcPr>
          <w:p>
            <w:pPr>
              <w:ind w:left="840"/>
              <w:spacing w:after="0" w:line="162" w:lineRule="exact"/>
              <w:rPr>
                <w:sz w:val="20"/>
                <w:szCs w:val="20"/>
                <w:color w:val="auto"/>
              </w:rPr>
            </w:pPr>
            <w:r>
              <w:rPr>
                <w:rFonts w:ascii="Arial" w:cs="Arial" w:eastAsia="Arial" w:hAnsi="Arial"/>
                <w:sz w:val="15"/>
                <w:szCs w:val="15"/>
                <w:color w:val="auto"/>
              </w:rPr>
              <w:t>7/2018)</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line="162" w:lineRule="exact"/>
              <w:rPr>
                <w:sz w:val="20"/>
                <w:szCs w:val="20"/>
                <w:color w:val="auto"/>
              </w:rPr>
            </w:pPr>
            <w:r>
              <w:rPr>
                <w:rFonts w:ascii="Arial" w:cs="Arial" w:eastAsia="Arial" w:hAnsi="Arial"/>
                <w:sz w:val="15"/>
                <w:szCs w:val="15"/>
                <w:color w:val="auto"/>
                <w:w w:val="99"/>
              </w:rPr>
              <w:t>(incl. 4.25%</w:t>
            </w: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rPr>
              <w:t>PIK)</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1/9/2014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4,849</w:t>
            </w:r>
          </w:p>
        </w:tc>
        <w:tc>
          <w:tcPr>
            <w:tcW w:w="2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4,520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49"/>
        </w:trPr>
        <w:tc>
          <w:tcPr>
            <w:tcW w:w="3480" w:type="dxa"/>
            <w:vAlign w:val="bottom"/>
            <w:gridSpan w:val="2"/>
          </w:tcPr>
          <w:p>
            <w:pPr>
              <w:spacing w:after="0" w:line="149" w:lineRule="exact"/>
              <w:rPr>
                <w:sz w:val="20"/>
                <w:szCs w:val="20"/>
                <w:color w:val="auto"/>
              </w:rPr>
            </w:pPr>
            <w:r>
              <w:rPr>
                <w:rFonts w:ascii="Arial" w:cs="Arial" w:eastAsia="Arial" w:hAnsi="Arial"/>
                <w:sz w:val="15"/>
                <w:szCs w:val="15"/>
                <w:color w:val="auto"/>
              </w:rPr>
              <w:t>APX Group Inc.</w:t>
            </w:r>
          </w:p>
        </w:tc>
        <w:tc>
          <w:tcPr>
            <w:tcW w:w="3140" w:type="dxa"/>
            <w:vAlign w:val="bottom"/>
            <w:gridSpan w:val="3"/>
          </w:tcPr>
          <w:p>
            <w:pPr>
              <w:ind w:left="840"/>
              <w:spacing w:after="0" w:line="149" w:lineRule="exact"/>
              <w:rPr>
                <w:sz w:val="20"/>
                <w:szCs w:val="20"/>
                <w:color w:val="auto"/>
              </w:rPr>
            </w:pPr>
            <w:r>
              <w:rPr>
                <w:rFonts w:ascii="Arial" w:cs="Arial" w:eastAsia="Arial" w:hAnsi="Arial"/>
                <w:sz w:val="15"/>
                <w:szCs w:val="15"/>
                <w:color w:val="auto"/>
              </w:rPr>
              <w:t>First-lien bond 6.375% ($5,000</w:t>
            </w: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3140" w:type="dxa"/>
            <w:vAlign w:val="bottom"/>
            <w:gridSpan w:val="3"/>
          </w:tcPr>
          <w:p>
            <w:pPr>
              <w:ind w:left="840"/>
              <w:spacing w:after="0"/>
              <w:rPr>
                <w:sz w:val="20"/>
                <w:szCs w:val="20"/>
                <w:color w:val="auto"/>
              </w:rPr>
            </w:pPr>
            <w:r>
              <w:rPr>
                <w:rFonts w:ascii="Arial" w:cs="Arial" w:eastAsia="Arial" w:hAnsi="Arial"/>
                <w:sz w:val="15"/>
                <w:szCs w:val="15"/>
                <w:color w:val="auto"/>
              </w:rPr>
              <w:t>par, due 12/2019)</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6.38%</w:t>
            </w:r>
          </w:p>
        </w:tc>
        <w:tc>
          <w:tcPr>
            <w:tcW w:w="860" w:type="dxa"/>
            <w:vAlign w:val="bottom"/>
            <w:gridSpan w:val="2"/>
          </w:tcPr>
          <w:p>
            <w:pPr>
              <w:jc w:val="right"/>
              <w:ind w:right="120"/>
              <w:spacing w:after="0"/>
              <w:rPr>
                <w:sz w:val="20"/>
                <w:szCs w:val="20"/>
                <w:color w:val="auto"/>
              </w:rPr>
            </w:pPr>
            <w:r>
              <w:rPr>
                <w:rFonts w:ascii="Arial" w:cs="Arial" w:eastAsia="Arial" w:hAnsi="Arial"/>
                <w:sz w:val="15"/>
                <w:szCs w:val="15"/>
                <w:color w:val="auto"/>
                <w:w w:val="95"/>
              </w:rPr>
              <w:t>12/12/2014</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4,727</w:t>
            </w:r>
          </w:p>
        </w:tc>
        <w:tc>
          <w:tcPr>
            <w:tcW w:w="28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5"/>
                <w:szCs w:val="15"/>
                <w:color w:val="auto"/>
              </w:rPr>
              <w:t>4,788</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0.6%</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3140" w:type="dxa"/>
            <w:vAlign w:val="bottom"/>
            <w:gridSpan w:val="3"/>
            <w:shd w:val="clear" w:color="auto" w:fill="CCEEFF"/>
          </w:tcPr>
          <w:p>
            <w:pPr>
              <w:ind w:left="840"/>
              <w:spacing w:after="0" w:line="149" w:lineRule="exact"/>
              <w:rPr>
                <w:sz w:val="20"/>
                <w:szCs w:val="20"/>
                <w:color w:val="auto"/>
              </w:rPr>
            </w:pPr>
            <w:r>
              <w:rPr>
                <w:rFonts w:ascii="Arial" w:cs="Arial" w:eastAsia="Arial" w:hAnsi="Arial"/>
                <w:sz w:val="15"/>
                <w:szCs w:val="15"/>
                <w:color w:val="auto"/>
              </w:rPr>
              <w:t>First-lien bond 8.75% ($10,000</w:t>
            </w: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3140" w:type="dxa"/>
            <w:vAlign w:val="bottom"/>
            <w:gridSpan w:val="3"/>
            <w:shd w:val="clear" w:color="auto" w:fill="CCEEFF"/>
          </w:tcPr>
          <w:p>
            <w:pPr>
              <w:ind w:left="840"/>
              <w:spacing w:after="0"/>
              <w:rPr>
                <w:sz w:val="20"/>
                <w:szCs w:val="20"/>
                <w:color w:val="auto"/>
              </w:rPr>
            </w:pPr>
            <w:r>
              <w:rPr>
                <w:rFonts w:ascii="Arial" w:cs="Arial" w:eastAsia="Arial" w:hAnsi="Arial"/>
                <w:sz w:val="15"/>
                <w:szCs w:val="15"/>
                <w:color w:val="auto"/>
              </w:rPr>
              <w:t>par, due 12/2020)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8.75%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95"/>
              </w:rPr>
              <w:t>12/11/2014</w:t>
            </w: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8,566</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8,444</w:t>
            </w:r>
          </w:p>
        </w:tc>
        <w:tc>
          <w:tcPr>
            <w:tcW w:w="2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79,155</w:t>
            </w:r>
          </w:p>
        </w:tc>
        <w:tc>
          <w:tcPr>
            <w:tcW w:w="280" w:type="dxa"/>
            <w:vAlign w:val="bottom"/>
          </w:tcPr>
          <w:p>
            <w:pPr>
              <w:spacing w:after="0"/>
              <w:rPr>
                <w:sz w:val="15"/>
                <w:szCs w:val="15"/>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78,645</w:t>
            </w:r>
          </w:p>
        </w:tc>
        <w:tc>
          <w:tcPr>
            <w:tcW w:w="260" w:type="dxa"/>
            <w:vAlign w:val="bottom"/>
          </w:tcPr>
          <w:p>
            <w:pPr>
              <w:spacing w:after="0"/>
              <w:rPr>
                <w:sz w:val="15"/>
                <w:szCs w:val="15"/>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348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Financial services</w:t>
            </w:r>
          </w:p>
        </w:tc>
        <w:tc>
          <w:tcPr>
            <w:tcW w:w="840" w:type="dxa"/>
            <w:vAlign w:val="bottom"/>
            <w:shd w:val="clear" w:color="auto" w:fill="CCEEFF"/>
          </w:tcPr>
          <w:p>
            <w:pPr>
              <w:spacing w:after="0"/>
              <w:rPr>
                <w:sz w:val="14"/>
                <w:szCs w:val="14"/>
                <w:color w:val="auto"/>
              </w:rPr>
            </w:pPr>
          </w:p>
        </w:tc>
        <w:tc>
          <w:tcPr>
            <w:tcW w:w="2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Embarcadero Technologies,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($40,243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ind w:left="198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tcPr>
          <w:p>
            <w:pPr>
              <w:ind w:left="840"/>
              <w:spacing w:after="0"/>
              <w:rPr>
                <w:sz w:val="20"/>
                <w:szCs w:val="20"/>
                <w:color w:val="auto"/>
              </w:rPr>
            </w:pPr>
            <w:r>
              <w:rPr>
                <w:rFonts w:ascii="Arial" w:cs="Arial" w:eastAsia="Arial" w:hAnsi="Arial"/>
                <w:sz w:val="15"/>
                <w:szCs w:val="15"/>
                <w:color w:val="auto"/>
              </w:rPr>
              <w:t>due 12/2017)</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8.00%</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w w:val="95"/>
              </w:rPr>
              <w:t>12/28/2012</w:t>
            </w:r>
          </w:p>
        </w:tc>
        <w:tc>
          <w:tcPr>
            <w:tcW w:w="800" w:type="dxa"/>
            <w:vAlign w:val="bottom"/>
            <w:gridSpan w:val="2"/>
            <w:vMerge w:val="restart"/>
          </w:tcPr>
          <w:p>
            <w:pPr>
              <w:jc w:val="right"/>
              <w:spacing w:after="0"/>
              <w:rPr>
                <w:sz w:val="20"/>
                <w:szCs w:val="20"/>
                <w:color w:val="auto"/>
              </w:rPr>
            </w:pPr>
            <w:r>
              <w:rPr>
                <w:rFonts w:ascii="Arial" w:cs="Arial" w:eastAsia="Arial" w:hAnsi="Arial"/>
                <w:sz w:val="15"/>
                <w:szCs w:val="15"/>
                <w:color w:val="auto"/>
              </w:rPr>
              <w:t>39,585</w:t>
            </w:r>
          </w:p>
        </w:tc>
        <w:tc>
          <w:tcPr>
            <w:tcW w:w="280" w:type="dxa"/>
            <w:vAlign w:val="bottom"/>
          </w:tcPr>
          <w:p>
            <w:pPr>
              <w:spacing w:after="0"/>
              <w:rPr>
                <w:sz w:val="14"/>
                <w:szCs w:val="14"/>
                <w:color w:val="auto"/>
              </w:rPr>
            </w:pP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40,544</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140" w:type="dxa"/>
            <w:vAlign w:val="bottom"/>
            <w:gridSpan w:val="3"/>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4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Rogue Wave Holdings, Inc.</w:t>
            </w:r>
          </w:p>
        </w:tc>
        <w:tc>
          <w:tcPr>
            <w:tcW w:w="3140" w:type="dxa"/>
            <w:vAlign w:val="bottom"/>
            <w:gridSpan w:val="3"/>
            <w:shd w:val="clear" w:color="auto" w:fill="CCEEFF"/>
          </w:tcPr>
          <w:p>
            <w:pPr>
              <w:ind w:left="840"/>
              <w:spacing w:after="0" w:line="6" w:lineRule="exact"/>
              <w:rPr>
                <w:sz w:val="20"/>
                <w:szCs w:val="20"/>
                <w:color w:val="auto"/>
              </w:rPr>
            </w:pPr>
            <w:r>
              <w:rPr>
                <w:rFonts w:ascii="Arial" w:cs="Arial" w:eastAsia="Arial" w:hAnsi="Arial"/>
                <w:sz w:val="1"/>
                <w:szCs w:val="1"/>
                <w:color w:val="auto"/>
              </w:rPr>
              <w:t>First-lien loan ($66,470 par,</w:t>
            </w: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shd w:val="clear" w:color="auto" w:fill="CCEEFF"/>
          </w:tcPr>
          <w:p>
            <w:pPr>
              <w:ind w:left="1700"/>
              <w:spacing w:after="0"/>
              <w:rPr>
                <w:sz w:val="20"/>
                <w:szCs w:val="20"/>
                <w:color w:val="auto"/>
              </w:rPr>
            </w:pPr>
            <w:r>
              <w:rPr>
                <w:rFonts w:ascii="Arial" w:cs="Arial" w:eastAsia="Arial" w:hAnsi="Arial"/>
                <w:sz w:val="13"/>
                <w:szCs w:val="13"/>
                <w:color w:val="auto"/>
              </w:rPr>
              <w:t>(3)(4)(6)</w:t>
            </w:r>
          </w:p>
        </w:tc>
        <w:tc>
          <w:tcPr>
            <w:tcW w:w="3140" w:type="dxa"/>
            <w:vAlign w:val="bottom"/>
            <w:gridSpan w:val="3"/>
            <w:vMerge w:val="restart"/>
            <w:shd w:val="clear" w:color="auto" w:fill="CCEEFF"/>
          </w:tcPr>
          <w:p>
            <w:pPr>
              <w:ind w:left="840"/>
              <w:spacing w:after="0"/>
              <w:rPr>
                <w:sz w:val="20"/>
                <w:szCs w:val="20"/>
                <w:color w:val="auto"/>
              </w:rPr>
            </w:pPr>
            <w:r>
              <w:rPr>
                <w:rFonts w:ascii="Arial" w:cs="Arial" w:eastAsia="Arial" w:hAnsi="Arial"/>
                <w:sz w:val="15"/>
                <w:szCs w:val="15"/>
                <w:color w:val="auto"/>
              </w:rPr>
              <w:t>due 12/2018)</w:t>
            </w: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7.50%</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w w:val="95"/>
              </w:rPr>
              <w:t>11/21/2012</w:t>
            </w:r>
          </w:p>
        </w:tc>
        <w:tc>
          <w:tcPr>
            <w:tcW w:w="140" w:type="dxa"/>
            <w:vAlign w:val="bottom"/>
            <w:vMerge w:val="restart"/>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65,344</w:t>
            </w:r>
          </w:p>
        </w:tc>
        <w:tc>
          <w:tcPr>
            <w:tcW w:w="28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65,971</w:t>
            </w:r>
          </w:p>
        </w:tc>
        <w:tc>
          <w:tcPr>
            <w:tcW w:w="260" w:type="dxa"/>
            <w:vAlign w:val="bottom"/>
            <w:vMerge w:val="restart"/>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3140" w:type="dxa"/>
            <w:vAlign w:val="bottom"/>
            <w:gridSpan w:val="3"/>
            <w:vMerge w:val="continue"/>
            <w:shd w:val="clear" w:color="auto" w:fill="CCEEFF"/>
          </w:tcPr>
          <w:p>
            <w:pPr>
              <w:spacing w:after="0"/>
              <w:rPr>
                <w:sz w:val="13"/>
                <w:szCs w:val="13"/>
                <w:color w:val="auto"/>
              </w:rPr>
            </w:pPr>
          </w:p>
        </w:tc>
        <w:tc>
          <w:tcPr>
            <w:tcW w:w="10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260" w:type="dxa"/>
            <w:vAlign w:val="bottom"/>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Arial" w:cs="Arial" w:eastAsia="Arial" w:hAnsi="Arial"/>
                <w:sz w:val="15"/>
                <w:szCs w:val="15"/>
                <w:color w:val="auto"/>
              </w:rPr>
              <w:t>104,929</w:t>
            </w:r>
          </w:p>
        </w:tc>
        <w:tc>
          <w:tcPr>
            <w:tcW w:w="28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5"/>
                <w:szCs w:val="15"/>
                <w:color w:val="auto"/>
              </w:rPr>
              <w:t>106,515</w:t>
            </w:r>
          </w:p>
        </w:tc>
        <w:tc>
          <w:tcPr>
            <w:tcW w:w="260" w:type="dxa"/>
            <w:vAlign w:val="bottom"/>
          </w:tcPr>
          <w:p>
            <w:pPr>
              <w:spacing w:after="0"/>
              <w:rPr>
                <w:sz w:val="14"/>
                <w:szCs w:val="14"/>
                <w:color w:val="auto"/>
              </w:rPr>
            </w:pP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12.8%</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Initial</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Fair</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3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Investment</w:t>
            </w:r>
          </w:p>
        </w:tc>
        <w:tc>
          <w:tcPr>
            <w:tcW w:w="10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Acquisition</w:t>
            </w:r>
          </w:p>
        </w:tc>
        <w:tc>
          <w:tcPr>
            <w:tcW w:w="94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Date</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Cost</w:t>
            </w:r>
            <w:r>
              <w:rPr>
                <w:rFonts w:ascii="Arial" w:cs="Arial" w:eastAsia="Arial" w:hAnsi="Arial"/>
                <w:sz w:val="12"/>
                <w:szCs w:val="12"/>
                <w:b w:val="1"/>
                <w:bCs w:val="1"/>
                <w:color w:val="auto"/>
                <w:w w:val="99"/>
              </w:rPr>
              <w:t>(2)(9)</w:t>
            </w: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Value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3200" w:type="dxa"/>
            <w:vAlign w:val="bottom"/>
            <w:shd w:val="clear" w:color="auto" w:fill="CCEEFF"/>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920" w:type="dxa"/>
            <w:vAlign w:val="bottom"/>
            <w:gridSpan w:val="2"/>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rPr>
              <w:t>Healthcare</w:t>
            </w:r>
          </w:p>
        </w:tc>
        <w:tc>
          <w:tcPr>
            <w:tcW w:w="2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Aesynt Incorporated </w:t>
            </w:r>
            <w:r>
              <w:rPr>
                <w:rFonts w:ascii="Arial" w:cs="Arial" w:eastAsia="Arial" w:hAnsi="Arial"/>
                <w:sz w:val="13"/>
                <w:szCs w:val="13"/>
                <w:color w:val="auto"/>
              </w:rPr>
              <w:t>(3)(4)(6)</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($34,563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due 5/2019)</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5/8/2014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33,714</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33,526</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Global Healthcare Exchange,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($46,250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208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3/2020)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8.50%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3/11/2014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45,149</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45,139</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(3)(5)</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(EUR 28,014 par,</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11.50%</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340" w:type="dxa"/>
            <w:vAlign w:val="bottom"/>
            <w:gridSpan w:val="2"/>
          </w:tcPr>
          <w:p>
            <w:pPr>
              <w:spacing w:after="0" w:line="162" w:lineRule="exact"/>
              <w:rPr>
                <w:sz w:val="20"/>
                <w:szCs w:val="20"/>
                <w:color w:val="auto"/>
              </w:rPr>
            </w:pPr>
            <w:r>
              <w:rPr>
                <w:rFonts w:ascii="Arial" w:cs="Arial" w:eastAsia="Arial" w:hAnsi="Arial"/>
                <w:sz w:val="15"/>
                <w:szCs w:val="15"/>
                <w:color w:val="auto"/>
              </w:rPr>
              <w:t>due 9/2019)</w:t>
            </w: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3.00%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80"/>
              <w:spacing w:after="0" w:line="162" w:lineRule="exact"/>
              <w:rPr>
                <w:sz w:val="20"/>
                <w:szCs w:val="20"/>
                <w:color w:val="auto"/>
              </w:rPr>
            </w:pPr>
            <w:r>
              <w:rPr>
                <w:rFonts w:ascii="Arial" w:cs="Arial" w:eastAsia="Arial" w:hAnsi="Arial"/>
                <w:sz w:val="15"/>
                <w:szCs w:val="15"/>
                <w:color w:val="auto"/>
              </w:rPr>
              <w:t>32,373</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33,761</w:t>
            </w:r>
          </w:p>
        </w:tc>
        <w:tc>
          <w:tcPr>
            <w:tcW w:w="1160" w:type="dxa"/>
            <w:vAlign w:val="bottom"/>
            <w:gridSpan w:val="2"/>
          </w:tcPr>
          <w:p>
            <w:pPr>
              <w:jc w:val="right"/>
              <w:ind w:right="240"/>
              <w:spacing w:after="0"/>
              <w:rPr>
                <w:sz w:val="20"/>
                <w:szCs w:val="20"/>
                <w:color w:val="auto"/>
              </w:rPr>
            </w:pPr>
            <w:r>
              <w:rPr>
                <w:rFonts w:ascii="Arial" w:cs="Arial" w:eastAsia="Arial" w:hAnsi="Arial"/>
                <w:sz w:val="15"/>
                <w:szCs w:val="15"/>
                <w:color w:val="auto"/>
                <w:w w:val="98"/>
              </w:rPr>
              <w:t>(EUR 26,753)</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227</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(EUR 300 par, due 9/2019)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235</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(EUR 188)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 xml:space="preserve">Mediware Information Systems, Inc. </w:t>
            </w:r>
            <w:r>
              <w:rPr>
                <w:rFonts w:ascii="Arial" w:cs="Arial" w:eastAsia="Arial" w:hAnsi="Arial"/>
                <w:sz w:val="13"/>
                <w:szCs w:val="13"/>
                <w:color w:val="auto"/>
              </w:rPr>
              <w:t>(3)(4)(6)</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($69,405 par,</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due 5/2018)</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7.00%</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11/9/2012</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68,221</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68,885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8.2%</w:t>
            </w: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SRS Software, LLC</w:t>
            </w:r>
            <w:r>
              <w:rPr>
                <w:rFonts w:ascii="Arial" w:cs="Arial" w:eastAsia="Arial" w:hAnsi="Arial"/>
                <w:sz w:val="13"/>
                <w:szCs w:val="13"/>
                <w:color w:val="auto"/>
              </w:rPr>
              <w:t>(3)(4)</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($33,750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12/2017)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12/28/2012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33,192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33,834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4.1%</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revolving loan</w:t>
            </w: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340" w:type="dxa"/>
            <w:vAlign w:val="bottom"/>
            <w:gridSpan w:val="2"/>
          </w:tcPr>
          <w:p>
            <w:pPr>
              <w:spacing w:after="0"/>
              <w:rPr>
                <w:sz w:val="20"/>
                <w:szCs w:val="20"/>
                <w:color w:val="auto"/>
              </w:rPr>
            </w:pPr>
            <w:r>
              <w:rPr>
                <w:rFonts w:ascii="Arial" w:cs="Arial" w:eastAsia="Arial" w:hAnsi="Arial"/>
                <w:sz w:val="15"/>
                <w:szCs w:val="15"/>
                <w:color w:val="auto"/>
              </w:rPr>
              <w:t>($2,000 par, due 12/2017)</w:t>
            </w:r>
          </w:p>
        </w:tc>
        <w:tc>
          <w:tcPr>
            <w:tcW w:w="1060" w:type="dxa"/>
            <w:vAlign w:val="bottom"/>
            <w:gridSpan w:val="2"/>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w w:val="95"/>
              </w:rPr>
              <w:t>12/28/2012</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1,933</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2,005</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216,205</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215,989</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169"/>
        </w:trPr>
        <w:tc>
          <w:tcPr>
            <w:tcW w:w="392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Hotel, gaming, and leisure</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Centaur,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($10,000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86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2/2020)</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2/15/2013</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9,931</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9,913</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5"/>
                <w:szCs w:val="15"/>
                <w:color w:val="auto"/>
              </w:rPr>
              <w:t>IRG Sports &amp; Entertainment, LLC</w:t>
            </w:r>
            <w:r>
              <w:rPr>
                <w:rFonts w:ascii="Arial" w:cs="Arial" w:eastAsia="Arial" w:hAnsi="Arial"/>
                <w:sz w:val="13"/>
                <w:szCs w:val="13"/>
                <w:color w:val="auto"/>
              </w:rPr>
              <w:t>(3)(4)</w:t>
            </w:r>
          </w:p>
        </w:tc>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($43,653 par, due</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5"/>
                <w:szCs w:val="15"/>
                <w:color w:val="auto"/>
              </w:rPr>
              <w:t>12.00%</w:t>
            </w: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40" w:type="dxa"/>
            <w:vAlign w:val="bottom"/>
          </w:tcPr>
          <w:p>
            <w:pPr>
              <w:spacing w:after="0" w:line="162" w:lineRule="exact"/>
              <w:rPr>
                <w:sz w:val="20"/>
                <w:szCs w:val="20"/>
                <w:color w:val="auto"/>
              </w:rPr>
            </w:pPr>
            <w:r>
              <w:rPr>
                <w:rFonts w:ascii="Arial" w:cs="Arial" w:eastAsia="Arial" w:hAnsi="Arial"/>
                <w:sz w:val="15"/>
                <w:szCs w:val="15"/>
                <w:color w:val="auto"/>
              </w:rPr>
              <w:t>9/2019)</w:t>
            </w:r>
          </w:p>
        </w:tc>
        <w:tc>
          <w:tcPr>
            <w:tcW w:w="100" w:type="dxa"/>
            <w:vAlign w:val="bottom"/>
          </w:tcPr>
          <w:p>
            <w:pPr>
              <w:spacing w:after="0"/>
              <w:rPr>
                <w:sz w:val="14"/>
                <w:szCs w:val="14"/>
                <w:color w:val="auto"/>
              </w:rPr>
            </w:pPr>
          </w:p>
        </w:tc>
        <w:tc>
          <w:tcPr>
            <w:tcW w:w="106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9"/>
              </w:rPr>
              <w:t>(incl. 5.00%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9/30/2014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41,073</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40,161</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Soho House</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bond (GBP 13,750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22,565</w:t>
            </w: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760"/>
              <w:spacing w:after="0"/>
              <w:rPr>
                <w:sz w:val="20"/>
                <w:szCs w:val="20"/>
                <w:color w:val="auto"/>
              </w:rPr>
            </w:pPr>
            <w:r>
              <w:rPr>
                <w:rFonts w:ascii="Arial" w:cs="Arial" w:eastAsia="Arial" w:hAnsi="Arial"/>
                <w:sz w:val="13"/>
                <w:szCs w:val="13"/>
                <w:color w:val="auto"/>
              </w:rPr>
              <w:t>(5)</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10/2018)</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(GBP</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vMerge w:val="continue"/>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vMerge w:val="continue"/>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9.13%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9/20/2013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22,826</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14,472)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73,830</w:t>
            </w:r>
          </w:p>
        </w:tc>
        <w:tc>
          <w:tcPr>
            <w:tcW w:w="1160" w:type="dxa"/>
            <w:vAlign w:val="bottom"/>
            <w:gridSpan w:val="2"/>
          </w:tcPr>
          <w:p>
            <w:pPr>
              <w:jc w:val="right"/>
              <w:ind w:right="280"/>
              <w:spacing w:after="0" w:line="169" w:lineRule="exact"/>
              <w:rPr>
                <w:sz w:val="20"/>
                <w:szCs w:val="20"/>
                <w:color w:val="auto"/>
              </w:rPr>
            </w:pPr>
            <w:r>
              <w:rPr>
                <w:rFonts w:ascii="Arial" w:cs="Arial" w:eastAsia="Arial" w:hAnsi="Arial"/>
                <w:sz w:val="15"/>
                <w:szCs w:val="15"/>
                <w:color w:val="auto"/>
              </w:rPr>
              <w:t>72,639</w:t>
            </w:r>
          </w:p>
        </w:tc>
        <w:tc>
          <w:tcPr>
            <w:tcW w:w="980" w:type="dxa"/>
            <w:vAlign w:val="bottom"/>
            <w:gridSpan w:val="2"/>
          </w:tcPr>
          <w:p>
            <w:pPr>
              <w:jc w:val="right"/>
              <w:ind w:right="40"/>
              <w:spacing w:after="0" w:line="169" w:lineRule="exact"/>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62"/>
        </w:trPr>
        <w:tc>
          <w:tcPr>
            <w:tcW w:w="39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Insurance</w:t>
            </w: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Infogix,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($35,438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76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6/2017)</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10.00%</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6/1/2012</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35,034</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35,260</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revolving loan ($2,010</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par, due 6/2017)</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11.00%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6/1/2012</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1,961</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1,985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Insurity,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($65,000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780"/>
              <w:spacing w:after="0"/>
              <w:rPr>
                <w:sz w:val="20"/>
                <w:szCs w:val="20"/>
                <w:color w:val="auto"/>
              </w:rPr>
            </w:pPr>
            <w:r>
              <w:rPr>
                <w:rFonts w:ascii="Arial" w:cs="Arial" w:eastAsia="Arial" w:hAnsi="Arial"/>
                <w:sz w:val="13"/>
                <w:szCs w:val="13"/>
                <w:color w:val="auto"/>
              </w:rPr>
              <w:t>(3)(4)(6)</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10/2020)</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rPr>
              <w:t>7.50%</w:t>
            </w: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w w:val="95"/>
              </w:rPr>
              <w:t>10/31/2014</w:t>
            </w: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64,363</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5"/>
                <w:szCs w:val="15"/>
                <w:color w:val="auto"/>
              </w:rPr>
              <w:t>64,025</w:t>
            </w:r>
          </w:p>
        </w:tc>
        <w:tc>
          <w:tcPr>
            <w:tcW w:w="980" w:type="dxa"/>
            <w:vAlign w:val="bottom"/>
            <w:gridSpan w:val="2"/>
            <w:vMerge w:val="restart"/>
          </w:tcPr>
          <w:p>
            <w:pPr>
              <w:jc w:val="right"/>
              <w:ind w:right="40"/>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101,358</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101,270</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69"/>
        </w:trPr>
        <w:tc>
          <w:tcPr>
            <w:tcW w:w="3920" w:type="dxa"/>
            <w:vAlign w:val="bottom"/>
            <w:gridSpan w:val="2"/>
          </w:tcPr>
          <w:p>
            <w:pPr>
              <w:ind w:left="320"/>
              <w:spacing w:after="0" w:line="169" w:lineRule="exact"/>
              <w:rPr>
                <w:sz w:val="20"/>
                <w:szCs w:val="20"/>
                <w:color w:val="auto"/>
              </w:rPr>
            </w:pPr>
            <w:r>
              <w:rPr>
                <w:rFonts w:ascii="Arial" w:cs="Arial" w:eastAsia="Arial" w:hAnsi="Arial"/>
                <w:sz w:val="15"/>
                <w:szCs w:val="15"/>
                <w:b w:val="1"/>
                <w:bCs w:val="1"/>
                <w:color w:val="auto"/>
              </w:rPr>
              <w:t>Internet Services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Highwinds Capital,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($41,401 par, due</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460"/>
              <w:spacing w:after="0"/>
              <w:rPr>
                <w:sz w:val="20"/>
                <w:szCs w:val="20"/>
                <w:color w:val="auto"/>
              </w:rPr>
            </w:pPr>
            <w:r>
              <w:rPr>
                <w:rFonts w:ascii="Arial" w:cs="Arial" w:eastAsia="Arial" w:hAnsi="Arial"/>
                <w:sz w:val="13"/>
                <w:szCs w:val="13"/>
                <w:color w:val="auto"/>
              </w:rPr>
              <w:t>(3)(4)</w:t>
            </w:r>
          </w:p>
        </w:tc>
        <w:tc>
          <w:tcPr>
            <w:tcW w:w="2240" w:type="dxa"/>
            <w:vAlign w:val="bottom"/>
            <w:vMerge w:val="restart"/>
            <w:shd w:val="clear" w:color="auto" w:fill="CCEEFF"/>
          </w:tcPr>
          <w:p>
            <w:pPr>
              <w:spacing w:after="0"/>
              <w:rPr>
                <w:sz w:val="20"/>
                <w:szCs w:val="20"/>
                <w:color w:val="auto"/>
              </w:rPr>
            </w:pPr>
            <w:r>
              <w:rPr>
                <w:rFonts w:ascii="Arial" w:cs="Arial" w:eastAsia="Arial" w:hAnsi="Arial"/>
                <w:sz w:val="15"/>
                <w:szCs w:val="15"/>
                <w:color w:val="auto"/>
              </w:rPr>
              <w:t>7/2018)</w:t>
            </w:r>
          </w:p>
        </w:tc>
        <w:tc>
          <w:tcPr>
            <w:tcW w:w="10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9.00%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3/7/2014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40,931</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40,859</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4.9%</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2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Manufacturing</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Jeeves Information Systems AB</w:t>
            </w:r>
            <w:r>
              <w:rPr>
                <w:rFonts w:ascii="Arial" w:cs="Arial" w:eastAsia="Arial" w:hAnsi="Arial"/>
                <w:sz w:val="13"/>
                <w:szCs w:val="13"/>
                <w:color w:val="auto"/>
              </w:rPr>
              <w:t>(3)(5)(6)</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(SEK 203,140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25,690</w:t>
            </w: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340" w:type="dxa"/>
            <w:vAlign w:val="bottom"/>
            <w:gridSpan w:val="2"/>
            <w:shd w:val="clear" w:color="auto" w:fill="CCEEFF"/>
          </w:tcPr>
          <w:p>
            <w:pPr>
              <w:spacing w:after="0" w:line="162" w:lineRule="exact"/>
              <w:rPr>
                <w:sz w:val="20"/>
                <w:szCs w:val="20"/>
                <w:color w:val="auto"/>
              </w:rPr>
            </w:pPr>
            <w:r>
              <w:rPr>
                <w:rFonts w:ascii="Arial" w:cs="Arial" w:eastAsia="Arial" w:hAnsi="Arial"/>
                <w:sz w:val="15"/>
                <w:szCs w:val="15"/>
                <w:color w:val="auto"/>
              </w:rPr>
              <w:t>due 3/2019)</w:t>
            </w: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(SEK</w:t>
            </w: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8.75%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6/5/2013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30,897</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201,109)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Metals and mining</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Metalico, Inc.</w:t>
            </w:r>
            <w:r>
              <w:rPr>
                <w:rFonts w:ascii="Arial" w:cs="Arial" w:eastAsia="Arial" w:hAnsi="Arial"/>
                <w:sz w:val="13"/>
                <w:szCs w:val="13"/>
                <w:color w:val="auto"/>
              </w:rPr>
              <w:t>(3)(4)(6)</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First-lien loan ($19,973 par,</w:t>
            </w:r>
          </w:p>
        </w:tc>
        <w:tc>
          <w:tcPr>
            <w:tcW w:w="6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11/2019)</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95"/>
              </w:rPr>
              <w:t>11/21/2013</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17,699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21,321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2"/>
        </w:trPr>
        <w:tc>
          <w:tcPr>
            <w:tcW w:w="39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Office products</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Ecommerce Industries, Inc.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($35,390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700"/>
              <w:spacing w:after="0"/>
              <w:rPr>
                <w:sz w:val="20"/>
                <w:szCs w:val="20"/>
                <w:color w:val="auto"/>
              </w:rPr>
            </w:pPr>
            <w:r>
              <w:rPr>
                <w:rFonts w:ascii="Arial" w:cs="Arial" w:eastAsia="Arial" w:hAnsi="Arial"/>
                <w:sz w:val="13"/>
                <w:szCs w:val="13"/>
                <w:color w:val="auto"/>
              </w:rPr>
              <w:t>(3)(4)(6)</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3/2019)</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7.25%</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3/11/2014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35,090</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34,868</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920" w:type="dxa"/>
            <w:vAlign w:val="bottom"/>
            <w:gridSpan w:val="2"/>
          </w:tcPr>
          <w:p>
            <w:pPr>
              <w:ind w:left="320"/>
              <w:spacing w:after="0" w:line="145" w:lineRule="exact"/>
              <w:rPr>
                <w:sz w:val="20"/>
                <w:szCs w:val="20"/>
                <w:color w:val="auto"/>
              </w:rPr>
            </w:pPr>
            <w:r>
              <w:rPr>
                <w:rFonts w:ascii="Arial" w:cs="Arial" w:eastAsia="Arial" w:hAnsi="Arial"/>
                <w:sz w:val="15"/>
                <w:szCs w:val="15"/>
                <w:b w:val="1"/>
                <w:bCs w:val="1"/>
                <w:color w:val="auto"/>
              </w:rPr>
              <w:t>Oil, gas and consumable</w:t>
            </w: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3920" w:type="dxa"/>
            <w:vAlign w:val="bottom"/>
            <w:gridSpan w:val="2"/>
          </w:tcPr>
          <w:p>
            <w:pPr>
              <w:ind w:left="320"/>
              <w:spacing w:after="0"/>
              <w:rPr>
                <w:sz w:val="20"/>
                <w:szCs w:val="20"/>
                <w:color w:val="auto"/>
              </w:rPr>
            </w:pPr>
            <w:r>
              <w:rPr>
                <w:rFonts w:ascii="Arial" w:cs="Arial" w:eastAsia="Arial" w:hAnsi="Arial"/>
                <w:sz w:val="15"/>
                <w:szCs w:val="15"/>
                <w:b w:val="1"/>
                <w:bCs w:val="1"/>
                <w:color w:val="auto"/>
              </w:rPr>
              <w:t>fuels</w:t>
            </w: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Milagro Exploration,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($62,857 par,</w:t>
            </w:r>
          </w:p>
        </w:tc>
        <w:tc>
          <w:tcPr>
            <w:tcW w:w="6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shd w:val="clear" w:color="auto" w:fill="CCEEFF"/>
          </w:tcPr>
          <w:p>
            <w:pPr>
              <w:ind w:left="1620"/>
              <w:spacing w:after="0"/>
              <w:rPr>
                <w:sz w:val="20"/>
                <w:szCs w:val="20"/>
                <w:color w:val="auto"/>
              </w:rPr>
            </w:pPr>
            <w:r>
              <w:rPr>
                <w:rFonts w:ascii="Arial" w:cs="Arial" w:eastAsia="Arial" w:hAnsi="Arial"/>
                <w:sz w:val="13"/>
                <w:szCs w:val="13"/>
                <w:color w:val="auto"/>
              </w:rPr>
              <w:t>(3)(4)</w:t>
            </w:r>
          </w:p>
        </w:tc>
        <w:tc>
          <w:tcPr>
            <w:tcW w:w="2340" w:type="dxa"/>
            <w:vAlign w:val="bottom"/>
            <w:gridSpan w:val="2"/>
            <w:vMerge w:val="restart"/>
            <w:shd w:val="clear" w:color="auto" w:fill="CCEEFF"/>
          </w:tcPr>
          <w:p>
            <w:pPr>
              <w:spacing w:after="0"/>
              <w:rPr>
                <w:sz w:val="20"/>
                <w:szCs w:val="20"/>
                <w:color w:val="auto"/>
              </w:rPr>
            </w:pPr>
            <w:r>
              <w:rPr>
                <w:rFonts w:ascii="Arial" w:cs="Arial" w:eastAsia="Arial" w:hAnsi="Arial"/>
                <w:sz w:val="15"/>
                <w:szCs w:val="15"/>
                <w:color w:val="auto"/>
              </w:rPr>
              <w:t>due 9/2017)</w:t>
            </w:r>
          </w:p>
        </w:tc>
        <w:tc>
          <w:tcPr>
            <w:tcW w:w="10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color w:val="auto"/>
              </w:rPr>
              <w:t>9.50%</w:t>
            </w:r>
          </w:p>
        </w:tc>
        <w:tc>
          <w:tcPr>
            <w:tcW w:w="10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9/4/2014</w:t>
            </w:r>
          </w:p>
        </w:tc>
        <w:tc>
          <w:tcPr>
            <w:tcW w:w="9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62,130</w:t>
            </w:r>
          </w:p>
        </w:tc>
        <w:tc>
          <w:tcPr>
            <w:tcW w:w="11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color w:val="auto"/>
              </w:rPr>
              <w:t>61,457</w:t>
            </w: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55"/>
        </w:trPr>
        <w:tc>
          <w:tcPr>
            <w:tcW w:w="72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340" w:type="dxa"/>
            <w:vAlign w:val="bottom"/>
            <w:gridSpan w:val="2"/>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40" w:type="dxa"/>
            <w:vAlign w:val="bottom"/>
            <w:gridSpan w:val="2"/>
            <w:vMerge w:val="continue"/>
            <w:shd w:val="clear" w:color="auto" w:fill="CCEEFF"/>
          </w:tcPr>
          <w:p>
            <w:pPr>
              <w:spacing w:after="0"/>
              <w:rPr>
                <w:sz w:val="13"/>
                <w:szCs w:val="13"/>
                <w:color w:val="auto"/>
              </w:rPr>
            </w:pPr>
          </w:p>
        </w:tc>
        <w:tc>
          <w:tcPr>
            <w:tcW w:w="1160" w:type="dxa"/>
            <w:vAlign w:val="bottom"/>
            <w:gridSpan w:val="2"/>
            <w:vMerge w:val="continue"/>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
        </w:trPr>
        <w:tc>
          <w:tcPr>
            <w:tcW w:w="39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34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First-lien loan ($39,505 par,</w:t>
            </w:r>
          </w:p>
        </w:tc>
        <w:tc>
          <w:tcPr>
            <w:tcW w:w="106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13.00%</w:t>
            </w:r>
          </w:p>
        </w:tc>
        <w:tc>
          <w:tcPr>
            <w:tcW w:w="7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20" w:type="dxa"/>
            <w:vAlign w:val="bottom"/>
            <w:gridSpan w:val="2"/>
          </w:tcPr>
          <w:p>
            <w:pPr>
              <w:ind w:left="1740"/>
              <w:spacing w:after="0"/>
              <w:rPr>
                <w:sz w:val="20"/>
                <w:szCs w:val="20"/>
                <w:color w:val="auto"/>
              </w:rPr>
            </w:pPr>
            <w:r>
              <w:rPr>
                <w:rFonts w:ascii="Arial" w:cs="Arial" w:eastAsia="Arial" w:hAnsi="Arial"/>
                <w:sz w:val="13"/>
                <w:szCs w:val="13"/>
                <w:color w:val="auto"/>
              </w:rPr>
              <w:t>(3)(4)(8)</w:t>
            </w:r>
          </w:p>
        </w:tc>
        <w:tc>
          <w:tcPr>
            <w:tcW w:w="2340" w:type="dxa"/>
            <w:vAlign w:val="bottom"/>
            <w:gridSpan w:val="2"/>
            <w:vMerge w:val="restart"/>
          </w:tcPr>
          <w:p>
            <w:pPr>
              <w:spacing w:after="0"/>
              <w:rPr>
                <w:sz w:val="20"/>
                <w:szCs w:val="20"/>
                <w:color w:val="auto"/>
              </w:rPr>
            </w:pPr>
            <w:r>
              <w:rPr>
                <w:rFonts w:ascii="Arial" w:cs="Arial" w:eastAsia="Arial" w:hAnsi="Arial"/>
                <w:sz w:val="15"/>
                <w:szCs w:val="15"/>
                <w:color w:val="auto"/>
              </w:rPr>
              <w:t>due 6/2018)</w:t>
            </w:r>
          </w:p>
        </w:tc>
        <w:tc>
          <w:tcPr>
            <w:tcW w:w="1060" w:type="dxa"/>
            <w:vAlign w:val="bottom"/>
            <w:gridSpan w:val="2"/>
            <w:vMerge w:val="restart"/>
          </w:tcPr>
          <w:p>
            <w:pPr>
              <w:jc w:val="right"/>
              <w:ind w:right="260"/>
              <w:spacing w:after="0"/>
              <w:rPr>
                <w:sz w:val="20"/>
                <w:szCs w:val="20"/>
                <w:color w:val="auto"/>
              </w:rPr>
            </w:pPr>
            <w:r>
              <w:rPr>
                <w:rFonts w:ascii="Arial" w:cs="Arial" w:eastAsia="Arial" w:hAnsi="Arial"/>
                <w:sz w:val="15"/>
                <w:szCs w:val="15"/>
                <w:color w:val="auto"/>
                <w:w w:val="99"/>
              </w:rPr>
              <w:t>(incl. 1.50%</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7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5"/>
                <w:szCs w:val="15"/>
                <w:color w:val="auto"/>
              </w:rPr>
              <w:t>PIK)</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6/4/2014</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38,706</w:t>
            </w:r>
          </w:p>
        </w:tc>
        <w:tc>
          <w:tcPr>
            <w:tcW w:w="1160" w:type="dxa"/>
            <w:vAlign w:val="bottom"/>
            <w:gridSpan w:val="2"/>
          </w:tcPr>
          <w:p>
            <w:pPr>
              <w:jc w:val="right"/>
              <w:ind w:right="280"/>
              <w:spacing w:after="0"/>
              <w:rPr>
                <w:sz w:val="20"/>
                <w:szCs w:val="20"/>
                <w:color w:val="auto"/>
              </w:rPr>
            </w:pPr>
            <w:r>
              <w:rPr>
                <w:rFonts w:ascii="Arial" w:cs="Arial" w:eastAsia="Arial" w:hAnsi="Arial"/>
                <w:sz w:val="15"/>
                <w:szCs w:val="15"/>
                <w:color w:val="auto"/>
              </w:rPr>
              <w:t>37,381</w:t>
            </w:r>
          </w:p>
        </w:tc>
        <w:tc>
          <w:tcPr>
            <w:tcW w:w="980" w:type="dxa"/>
            <w:vAlign w:val="bottom"/>
            <w:gridSpan w:val="2"/>
          </w:tcPr>
          <w:p>
            <w:pPr>
              <w:jc w:val="right"/>
              <w:ind w:right="4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2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100,836</w:t>
            </w:r>
          </w:p>
        </w:tc>
        <w:tc>
          <w:tcPr>
            <w:tcW w:w="11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98,838</w:t>
            </w:r>
          </w:p>
        </w:tc>
        <w:tc>
          <w:tcPr>
            <w:tcW w:w="98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Initial</w:t>
            </w:r>
          </w:p>
        </w:tc>
        <w:tc>
          <w:tcPr>
            <w:tcW w:w="8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9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Fair</w:t>
            </w: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5"/>
              </w:rPr>
              <w:t>Percentage</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r>
              <w:rPr>
                <w:rFonts w:ascii="Arial" w:cs="Arial" w:eastAsia="Arial" w:hAnsi="Arial"/>
                <w:sz w:val="12"/>
                <w:szCs w:val="12"/>
                <w:b w:val="1"/>
                <w:bCs w:val="1"/>
                <w:color w:val="auto"/>
              </w:rPr>
              <w:t>(1)</w:t>
            </w:r>
          </w:p>
        </w:tc>
        <w:tc>
          <w:tcPr>
            <w:tcW w:w="218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Investment</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0"/>
              </w:rPr>
              <w:t>Interest</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Acquisition</w:t>
            </w: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2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Cost</w:t>
            </w:r>
            <w:r>
              <w:rPr>
                <w:rFonts w:ascii="Arial" w:cs="Arial" w:eastAsia="Arial" w:hAnsi="Arial"/>
                <w:sz w:val="12"/>
                <w:szCs w:val="12"/>
                <w:b w:val="1"/>
                <w:bCs w:val="1"/>
                <w:color w:val="auto"/>
                <w:w w:val="92"/>
              </w:rPr>
              <w:t>(2)(9)</w:t>
            </w:r>
          </w:p>
        </w:tc>
        <w:tc>
          <w:tcPr>
            <w:tcW w:w="14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of Net Assets</w:t>
            </w:r>
          </w:p>
        </w:tc>
        <w:tc>
          <w:tcPr>
            <w:tcW w:w="0" w:type="dxa"/>
            <w:vAlign w:val="bottom"/>
          </w:tcPr>
          <w:p>
            <w:pPr>
              <w:spacing w:after="0"/>
              <w:rPr>
                <w:sz w:val="1"/>
                <w:szCs w:val="1"/>
                <w:color w:val="auto"/>
              </w:rPr>
            </w:pPr>
          </w:p>
        </w:tc>
      </w:tr>
      <w:tr>
        <w:trPr>
          <w:trHeight w:val="142"/>
        </w:trPr>
        <w:tc>
          <w:tcPr>
            <w:tcW w:w="720" w:type="dxa"/>
            <w:vAlign w:val="bottom"/>
            <w:tcBorders>
              <w:top w:val="single" w:sz="8" w:color="auto"/>
            </w:tcBorders>
            <w:shd w:val="clear" w:color="auto" w:fill="CCEEFF"/>
          </w:tcPr>
          <w:p>
            <w:pPr>
              <w:ind w:left="320"/>
              <w:spacing w:after="0" w:line="142" w:lineRule="exact"/>
              <w:rPr>
                <w:sz w:val="20"/>
                <w:szCs w:val="20"/>
                <w:color w:val="auto"/>
              </w:rPr>
            </w:pPr>
            <w:r>
              <w:rPr>
                <w:rFonts w:ascii="Arial" w:cs="Arial" w:eastAsia="Arial" w:hAnsi="Arial"/>
                <w:sz w:val="15"/>
                <w:szCs w:val="15"/>
                <w:b w:val="1"/>
                <w:bCs w:val="1"/>
                <w:color w:val="auto"/>
                <w:w w:val="92"/>
              </w:rPr>
              <w:t>Retail</w:t>
            </w:r>
          </w:p>
        </w:tc>
        <w:tc>
          <w:tcPr>
            <w:tcW w:w="370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5"/>
                <w:szCs w:val="15"/>
                <w:b w:val="1"/>
                <w:bCs w:val="1"/>
                <w:color w:val="auto"/>
              </w:rPr>
              <w:t>and consumer products</w:t>
            </w:r>
          </w:p>
        </w:tc>
        <w:tc>
          <w:tcPr>
            <w:tcW w:w="20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5"/>
                <w:szCs w:val="15"/>
                <w:color w:val="auto"/>
              </w:rPr>
              <w:t>Toys ‘R’ Us-Delaware, Inc.</w:t>
            </w:r>
            <w:r>
              <w:rPr>
                <w:rFonts w:ascii="Arial" w:cs="Arial" w:eastAsia="Arial" w:hAnsi="Arial"/>
                <w:sz w:val="13"/>
                <w:szCs w:val="13"/>
                <w:color w:val="auto"/>
              </w:rPr>
              <w:t>(3)(4)</w:t>
            </w: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First-lien loan ($42,000 par,</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due 10/2019)</w:t>
            </w:r>
          </w:p>
        </w:tc>
        <w:tc>
          <w:tcPr>
            <w:tcW w:w="840" w:type="dxa"/>
            <w:vAlign w:val="bottom"/>
            <w:gridSpan w:val="2"/>
          </w:tcPr>
          <w:p>
            <w:pPr>
              <w:jc w:val="right"/>
              <w:ind w:right="220"/>
              <w:spacing w:after="0"/>
              <w:rPr>
                <w:sz w:val="20"/>
                <w:szCs w:val="20"/>
                <w:color w:val="auto"/>
              </w:rPr>
            </w:pPr>
            <w:r>
              <w:rPr>
                <w:rFonts w:ascii="Arial" w:cs="Arial" w:eastAsia="Arial" w:hAnsi="Arial"/>
                <w:sz w:val="15"/>
                <w:szCs w:val="15"/>
                <w:color w:val="auto"/>
              </w:rPr>
              <w:t>8.25%</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10/10/2014</w:t>
            </w: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41,149</w:t>
            </w: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41,370</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5.0%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Transportation</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Kewill, Ltd.</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Second-lien loan ($62,500 par,</w:t>
            </w: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420" w:type="dxa"/>
            <w:vAlign w:val="bottom"/>
            <w:gridSpan w:val="2"/>
          </w:tcPr>
          <w:p>
            <w:pPr>
              <w:ind w:left="760"/>
              <w:spacing w:after="0"/>
              <w:rPr>
                <w:sz w:val="20"/>
                <w:szCs w:val="20"/>
                <w:color w:val="auto"/>
              </w:rPr>
            </w:pPr>
            <w:r>
              <w:rPr>
                <w:rFonts w:ascii="Arial" w:cs="Arial" w:eastAsia="Arial" w:hAnsi="Arial"/>
                <w:sz w:val="13"/>
                <w:szCs w:val="13"/>
                <w:color w:val="auto"/>
              </w:rPr>
              <w:t>(3)(5)</w:t>
            </w: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due 10/2019)</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9.50%</w:t>
            </w: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10/2/2013</w:t>
            </w:r>
          </w:p>
        </w:tc>
        <w:tc>
          <w:tcPr>
            <w:tcW w:w="260" w:type="dxa"/>
            <w:vAlign w:val="bottom"/>
          </w:tcPr>
          <w:p>
            <w:pPr>
              <w:spacing w:after="0"/>
              <w:rPr>
                <w:sz w:val="14"/>
                <w:szCs w:val="14"/>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5"/>
                <w:szCs w:val="15"/>
                <w:color w:val="auto"/>
              </w:rPr>
              <w:t>61,428</w:t>
            </w:r>
          </w:p>
        </w:tc>
        <w:tc>
          <w:tcPr>
            <w:tcW w:w="1120" w:type="dxa"/>
            <w:vAlign w:val="bottom"/>
            <w:gridSpan w:val="3"/>
            <w:vMerge w:val="restart"/>
          </w:tcPr>
          <w:p>
            <w:pPr>
              <w:jc w:val="right"/>
              <w:ind w:right="280"/>
              <w:spacing w:after="0"/>
              <w:rPr>
                <w:sz w:val="20"/>
                <w:szCs w:val="20"/>
                <w:color w:val="auto"/>
              </w:rPr>
            </w:pPr>
            <w:r>
              <w:rPr>
                <w:rFonts w:ascii="Arial" w:cs="Arial" w:eastAsia="Arial" w:hAnsi="Arial"/>
                <w:sz w:val="15"/>
                <w:szCs w:val="15"/>
                <w:color w:val="auto"/>
              </w:rPr>
              <w:t>61,250</w:t>
            </w:r>
          </w:p>
        </w:tc>
        <w:tc>
          <w:tcPr>
            <w:tcW w:w="1000" w:type="dxa"/>
            <w:vAlign w:val="bottom"/>
            <w:gridSpan w:val="2"/>
            <w:vMerge w:val="restart"/>
          </w:tcPr>
          <w:p>
            <w:pPr>
              <w:jc w:val="right"/>
              <w:ind w:right="80"/>
              <w:spacing w:after="0"/>
              <w:rPr>
                <w:sz w:val="20"/>
                <w:szCs w:val="20"/>
                <w:color w:val="auto"/>
              </w:rPr>
            </w:pPr>
            <w:r>
              <w:rPr>
                <w:rFonts w:ascii="Arial" w:cs="Arial" w:eastAsia="Arial" w:hAnsi="Arial"/>
                <w:sz w:val="15"/>
                <w:szCs w:val="15"/>
                <w:color w:val="auto"/>
              </w:rPr>
              <w:t>7.3%</w:t>
            </w:r>
          </w:p>
        </w:tc>
        <w:tc>
          <w:tcPr>
            <w:tcW w:w="0" w:type="dxa"/>
            <w:vAlign w:val="bottom"/>
          </w:tcPr>
          <w:p>
            <w:pPr>
              <w:spacing w:after="0"/>
              <w:rPr>
                <w:sz w:val="1"/>
                <w:szCs w:val="1"/>
                <w:color w:val="auto"/>
              </w:rPr>
            </w:pPr>
          </w:p>
        </w:tc>
      </w:tr>
      <w:tr>
        <w:trPr>
          <w:trHeight w:val="155"/>
        </w:trPr>
        <w:tc>
          <w:tcPr>
            <w:tcW w:w="7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18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120" w:type="dxa"/>
            <w:vAlign w:val="bottom"/>
            <w:gridSpan w:val="3"/>
            <w:vMerge w:val="continue"/>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Debt Investments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1,251,749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1,248,618</w:t>
            </w:r>
          </w:p>
        </w:tc>
        <w:tc>
          <w:tcPr>
            <w:tcW w:w="2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149.6%</w:t>
            </w:r>
          </w:p>
        </w:tc>
        <w:tc>
          <w:tcPr>
            <w:tcW w:w="0" w:type="dxa"/>
            <w:vAlign w:val="bottom"/>
          </w:tcPr>
          <w:p>
            <w:pPr>
              <w:spacing w:after="0"/>
              <w:rPr>
                <w:sz w:val="1"/>
                <w:szCs w:val="1"/>
                <w:color w:val="auto"/>
              </w:rPr>
            </w:pPr>
          </w:p>
        </w:tc>
      </w:tr>
      <w:tr>
        <w:trPr>
          <w:trHeight w:val="169"/>
        </w:trPr>
        <w:tc>
          <w:tcPr>
            <w:tcW w:w="442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Equity and Other Investments Business services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Network Merchants, Inc</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Non-Voting Preferred Units</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(774,099 units)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9/12/2013</w:t>
            </w:r>
          </w:p>
        </w:tc>
        <w:tc>
          <w:tcPr>
            <w:tcW w:w="260" w:type="dxa"/>
            <w:vAlign w:val="bottom"/>
            <w:shd w:val="clear" w:color="auto" w:fill="CCEEFF"/>
          </w:tcPr>
          <w:p>
            <w:pPr>
              <w:spacing w:after="0"/>
              <w:rPr>
                <w:sz w:val="15"/>
                <w:szCs w:val="15"/>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780</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932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62"/>
        </w:trPr>
        <w:tc>
          <w:tcPr>
            <w:tcW w:w="4420" w:type="dxa"/>
            <w:vAlign w:val="bottom"/>
            <w:gridSpan w:val="2"/>
          </w:tcPr>
          <w:p>
            <w:pPr>
              <w:ind w:left="320"/>
              <w:spacing w:after="0" w:line="162" w:lineRule="exact"/>
              <w:rPr>
                <w:sz w:val="20"/>
                <w:szCs w:val="20"/>
                <w:color w:val="auto"/>
              </w:rPr>
            </w:pPr>
            <w:r>
              <w:rPr>
                <w:rFonts w:ascii="Arial" w:cs="Arial" w:eastAsia="Arial" w:hAnsi="Arial"/>
                <w:sz w:val="15"/>
                <w:szCs w:val="15"/>
                <w:b w:val="1"/>
                <w:bCs w:val="1"/>
                <w:color w:val="auto"/>
              </w:rPr>
              <w:t>Healthcare and pharmaceuticals</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Global Healthcare Exchange, LLC</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A (598</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shares)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3/11/2014</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467</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5"/>
                <w:szCs w:val="15"/>
                <w:color w:val="auto"/>
              </w:rPr>
              <w:t>467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B (196</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shares)</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3/11/2014</w:t>
            </w:r>
          </w:p>
        </w:tc>
        <w:tc>
          <w:tcPr>
            <w:tcW w:w="840" w:type="dxa"/>
            <w:vAlign w:val="bottom"/>
            <w:gridSpan w:val="3"/>
          </w:tcPr>
          <w:p>
            <w:pPr>
              <w:jc w:val="right"/>
              <w:ind w:right="140"/>
              <w:spacing w:after="0"/>
              <w:rPr>
                <w:sz w:val="20"/>
                <w:szCs w:val="20"/>
                <w:color w:val="auto"/>
              </w:rPr>
            </w:pPr>
            <w:r>
              <w:rPr>
                <w:rFonts w:ascii="Arial" w:cs="Arial" w:eastAsia="Arial" w:hAnsi="Arial"/>
                <w:sz w:val="15"/>
                <w:szCs w:val="15"/>
                <w:color w:val="auto"/>
              </w:rPr>
              <w:t>137</w:t>
            </w: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137</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49"/>
        </w:trPr>
        <w:tc>
          <w:tcPr>
            <w:tcW w:w="442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Helix Health, Ltd.</w:t>
            </w:r>
            <w:r>
              <w:rPr>
                <w:rFonts w:ascii="Arial" w:cs="Arial" w:eastAsia="Arial" w:hAnsi="Arial"/>
                <w:sz w:val="13"/>
                <w:szCs w:val="13"/>
                <w:color w:val="auto"/>
              </w:rPr>
              <w:t>(5)</w:t>
            </w: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Warrants</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5"/>
                <w:szCs w:val="15"/>
                <w:color w:val="auto"/>
              </w:rPr>
              <w:t>840</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20" w:type="dxa"/>
            <w:vAlign w:val="bottom"/>
            <w:shd w:val="clear" w:color="auto" w:fill="CCEEFF"/>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(EUR</w:t>
            </w: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20" w:type="dxa"/>
            <w:vAlign w:val="bottom"/>
            <w:shd w:val="clear" w:color="auto" w:fill="CCEEFF"/>
          </w:tcPr>
          <w:p>
            <w:pPr>
              <w:spacing w:after="0"/>
              <w:rPr>
                <w:sz w:val="16"/>
                <w:szCs w:val="16"/>
                <w:color w:val="auto"/>
              </w:rPr>
            </w:pPr>
          </w:p>
        </w:tc>
        <w:tc>
          <w:tcPr>
            <w:tcW w:w="37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9/30/2014</w:t>
            </w:r>
          </w:p>
        </w:tc>
        <w:tc>
          <w:tcPr>
            <w:tcW w:w="26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5"/>
                <w:szCs w:val="15"/>
                <w:color w:val="auto"/>
              </w:rPr>
              <w:t>877</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694)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5"/>
                <w:szCs w:val="15"/>
                <w:color w:val="auto"/>
              </w:rPr>
              <w:t>SRS Parent Corp.</w:t>
            </w:r>
          </w:p>
        </w:tc>
        <w:tc>
          <w:tcPr>
            <w:tcW w:w="2180" w:type="dxa"/>
            <w:vAlign w:val="bottom"/>
            <w:gridSpan w:val="2"/>
          </w:tcPr>
          <w:p>
            <w:pPr>
              <w:spacing w:after="0" w:line="149" w:lineRule="exact"/>
              <w:rPr>
                <w:sz w:val="20"/>
                <w:szCs w:val="20"/>
                <w:color w:val="auto"/>
              </w:rPr>
            </w:pPr>
            <w:r>
              <w:rPr>
                <w:rFonts w:ascii="Arial" w:cs="Arial" w:eastAsia="Arial" w:hAnsi="Arial"/>
                <w:sz w:val="15"/>
                <w:szCs w:val="15"/>
                <w:color w:val="auto"/>
              </w:rPr>
              <w:t>Common Shares Class A</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(1,980 shares)</w:t>
            </w: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w w:val="98"/>
              </w:rPr>
              <w:t>12/28/2012</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1,980</w:t>
            </w:r>
          </w:p>
        </w:tc>
        <w:tc>
          <w:tcPr>
            <w:tcW w:w="12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1,099</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0.1%</w:t>
            </w:r>
          </w:p>
        </w:tc>
        <w:tc>
          <w:tcPr>
            <w:tcW w:w="0" w:type="dxa"/>
            <w:vAlign w:val="bottom"/>
          </w:tcPr>
          <w:p>
            <w:pPr>
              <w:spacing w:after="0"/>
              <w:rPr>
                <w:sz w:val="1"/>
                <w:szCs w:val="1"/>
                <w:color w:val="auto"/>
              </w:rPr>
            </w:pPr>
          </w:p>
        </w:tc>
      </w:tr>
      <w:tr>
        <w:trPr>
          <w:trHeight w:val="149"/>
        </w:trPr>
        <w:tc>
          <w:tcPr>
            <w:tcW w:w="72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218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Common Shares Class B</w:t>
            </w: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720" w:type="dxa"/>
            <w:vAlign w:val="bottom"/>
            <w:shd w:val="clear" w:color="auto" w:fill="CCEEFF"/>
          </w:tcPr>
          <w:p>
            <w:pPr>
              <w:spacing w:after="0"/>
              <w:rPr>
                <w:sz w:val="15"/>
                <w:szCs w:val="15"/>
                <w:color w:val="auto"/>
              </w:rPr>
            </w:pPr>
          </w:p>
        </w:tc>
        <w:tc>
          <w:tcPr>
            <w:tcW w:w="3700" w:type="dxa"/>
            <w:vAlign w:val="bottom"/>
            <w:shd w:val="clear" w:color="auto" w:fill="CCEEFF"/>
          </w:tcPr>
          <w:p>
            <w:pPr>
              <w:spacing w:after="0"/>
              <w:rPr>
                <w:sz w:val="15"/>
                <w:szCs w:val="15"/>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(2,953,020 shares)</w:t>
            </w:r>
          </w:p>
        </w:tc>
        <w:tc>
          <w:tcPr>
            <w:tcW w:w="4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w w:val="98"/>
              </w:rPr>
              <w:t>12/28/2012</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3,481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2,554</w:t>
            </w:r>
          </w:p>
        </w:tc>
        <w:tc>
          <w:tcPr>
            <w:tcW w:w="280" w:type="dxa"/>
            <w:vAlign w:val="bottom"/>
          </w:tcPr>
          <w:p>
            <w:pPr>
              <w:spacing w:after="0"/>
              <w:rPr>
                <w:sz w:val="15"/>
                <w:szCs w:val="15"/>
                <w:color w:val="auto"/>
              </w:rPr>
            </w:pPr>
          </w:p>
        </w:tc>
        <w:tc>
          <w:tcPr>
            <w:tcW w:w="100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0.3%</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Hotel, gaming, and leisure</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IRG Sports &amp; Entertainment, LLC</w:t>
            </w:r>
          </w:p>
        </w:tc>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Warrants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9/30/2014</w:t>
            </w:r>
          </w:p>
        </w:tc>
        <w:tc>
          <w:tcPr>
            <w:tcW w:w="260" w:type="dxa"/>
            <w:vAlign w:val="bottom"/>
          </w:tcPr>
          <w:p>
            <w:pPr>
              <w:spacing w:after="0"/>
              <w:rPr>
                <w:sz w:val="14"/>
                <w:szCs w:val="14"/>
                <w:color w:val="auto"/>
              </w:rPr>
            </w:pPr>
          </w:p>
        </w:tc>
        <w:tc>
          <w:tcPr>
            <w:tcW w:w="7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1,494</w:t>
            </w:r>
          </w:p>
        </w:tc>
        <w:tc>
          <w:tcPr>
            <w:tcW w:w="120" w:type="dxa"/>
            <w:vAlign w:val="bottom"/>
          </w:tcPr>
          <w:p>
            <w:pPr>
              <w:spacing w:after="0"/>
              <w:rPr>
                <w:sz w:val="14"/>
                <w:szCs w:val="14"/>
                <w:color w:val="auto"/>
              </w:rPr>
            </w:pPr>
          </w:p>
        </w:tc>
        <w:tc>
          <w:tcPr>
            <w:tcW w:w="11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1,494</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0.2%</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Metals and mining</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tcPr>
          <w:p>
            <w:pPr>
              <w:spacing w:after="0" w:line="162" w:lineRule="exact"/>
              <w:rPr>
                <w:sz w:val="20"/>
                <w:szCs w:val="20"/>
                <w:color w:val="auto"/>
              </w:rPr>
            </w:pPr>
            <w:r>
              <w:rPr>
                <w:rFonts w:ascii="Arial" w:cs="Arial" w:eastAsia="Arial" w:hAnsi="Arial"/>
                <w:sz w:val="15"/>
                <w:szCs w:val="15"/>
                <w:color w:val="auto"/>
              </w:rPr>
              <w:t>Metalico, Inc.</w:t>
            </w:r>
          </w:p>
        </w:tc>
        <w:tc>
          <w:tcPr>
            <w:tcW w:w="2180" w:type="dxa"/>
            <w:vAlign w:val="bottom"/>
            <w:gridSpan w:val="2"/>
          </w:tcPr>
          <w:p>
            <w:pPr>
              <w:spacing w:after="0" w:line="162" w:lineRule="exact"/>
              <w:rPr>
                <w:sz w:val="20"/>
                <w:szCs w:val="20"/>
                <w:color w:val="auto"/>
              </w:rPr>
            </w:pPr>
            <w:r>
              <w:rPr>
                <w:rFonts w:ascii="Arial" w:cs="Arial" w:eastAsia="Arial" w:hAnsi="Arial"/>
                <w:sz w:val="15"/>
                <w:szCs w:val="15"/>
                <w:color w:val="auto"/>
              </w:rPr>
              <w:t>Warrants</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w w:val="98"/>
              </w:rPr>
              <w:t>11/21/2013</w:t>
            </w:r>
          </w:p>
        </w:tc>
        <w:tc>
          <w:tcPr>
            <w:tcW w:w="72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1,343</w:t>
            </w:r>
          </w:p>
        </w:tc>
        <w:tc>
          <w:tcPr>
            <w:tcW w:w="120" w:type="dxa"/>
            <w:vAlign w:val="bottom"/>
          </w:tcPr>
          <w:p>
            <w:pPr>
              <w:spacing w:after="0"/>
              <w:rPr>
                <w:sz w:val="14"/>
                <w:szCs w:val="14"/>
                <w:color w:val="auto"/>
              </w:rPr>
            </w:pPr>
          </w:p>
        </w:tc>
        <w:tc>
          <w:tcPr>
            <w:tcW w:w="1120" w:type="dxa"/>
            <w:vAlign w:val="bottom"/>
            <w:gridSpan w:val="3"/>
          </w:tcPr>
          <w:p>
            <w:pPr>
              <w:jc w:val="right"/>
              <w:ind w:right="280"/>
              <w:spacing w:after="0" w:line="162" w:lineRule="exact"/>
              <w:rPr>
                <w:sz w:val="20"/>
                <w:szCs w:val="20"/>
                <w:color w:val="auto"/>
              </w:rPr>
            </w:pPr>
            <w:r>
              <w:rPr>
                <w:rFonts w:ascii="Arial" w:cs="Arial" w:eastAsia="Arial" w:hAnsi="Arial"/>
                <w:sz w:val="15"/>
                <w:szCs w:val="15"/>
                <w:color w:val="auto"/>
              </w:rPr>
              <w:t>133</w:t>
            </w:r>
          </w:p>
        </w:tc>
        <w:tc>
          <w:tcPr>
            <w:tcW w:w="10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0.0%</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Oil, gas and consumable fuels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Mississippi Resources, LLC</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Class A Member Units</w:t>
            </w:r>
          </w:p>
        </w:tc>
        <w:tc>
          <w:tcPr>
            <w:tcW w:w="4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420" w:type="dxa"/>
            <w:vAlign w:val="bottom"/>
            <w:gridSpan w:val="2"/>
          </w:tcPr>
          <w:p>
            <w:pPr>
              <w:ind w:left="1740"/>
              <w:spacing w:after="0"/>
              <w:rPr>
                <w:sz w:val="20"/>
                <w:szCs w:val="20"/>
                <w:color w:val="auto"/>
              </w:rPr>
            </w:pPr>
            <w:r>
              <w:rPr>
                <w:rFonts w:ascii="Arial" w:cs="Arial" w:eastAsia="Arial" w:hAnsi="Arial"/>
                <w:sz w:val="13"/>
                <w:szCs w:val="13"/>
                <w:color w:val="auto"/>
              </w:rPr>
              <w:t>(8)</w:t>
            </w: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(933 units)</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6/4/2014</w:t>
            </w:r>
          </w:p>
        </w:tc>
        <w:tc>
          <w:tcPr>
            <w:tcW w:w="720" w:type="dxa"/>
            <w:vAlign w:val="bottom"/>
            <w:gridSpan w:val="2"/>
          </w:tcPr>
          <w:p>
            <w:pPr>
              <w:jc w:val="right"/>
              <w:ind w:right="20"/>
              <w:spacing w:after="0"/>
              <w:rPr>
                <w:sz w:val="20"/>
                <w:szCs w:val="20"/>
                <w:color w:val="auto"/>
              </w:rPr>
            </w:pPr>
            <w:r>
              <w:rPr>
                <w:rFonts w:ascii="Arial" w:cs="Arial" w:eastAsia="Arial" w:hAnsi="Arial"/>
                <w:sz w:val="15"/>
                <w:szCs w:val="15"/>
                <w:color w:val="auto"/>
              </w:rPr>
              <w:t>8,874</w:t>
            </w:r>
          </w:p>
        </w:tc>
        <w:tc>
          <w:tcPr>
            <w:tcW w:w="120" w:type="dxa"/>
            <w:vAlign w:val="bottom"/>
          </w:tcPr>
          <w:p>
            <w:pPr>
              <w:spacing w:after="0"/>
              <w:rPr>
                <w:sz w:val="15"/>
                <w:szCs w:val="15"/>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5"/>
                <w:szCs w:val="15"/>
                <w:color w:val="auto"/>
              </w:rPr>
              <w:t>4,254</w:t>
            </w:r>
          </w:p>
        </w:tc>
        <w:tc>
          <w:tcPr>
            <w:tcW w:w="1000" w:type="dxa"/>
            <w:vAlign w:val="bottom"/>
            <w:gridSpan w:val="2"/>
          </w:tcPr>
          <w:p>
            <w:pPr>
              <w:jc w:val="right"/>
              <w:ind w:right="80"/>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Other</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442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Symphony</w:t>
            </w:r>
          </w:p>
        </w:tc>
        <w:tc>
          <w:tcPr>
            <w:tcW w:w="2180" w:type="dxa"/>
            <w:vAlign w:val="bottom"/>
            <w:gridSpan w:val="2"/>
            <w:shd w:val="clear" w:color="auto" w:fill="CCEEFF"/>
          </w:tcPr>
          <w:p>
            <w:pPr>
              <w:spacing w:after="0" w:line="6" w:lineRule="exact"/>
              <w:rPr>
                <w:sz w:val="20"/>
                <w:szCs w:val="20"/>
                <w:color w:val="auto"/>
              </w:rPr>
            </w:pPr>
            <w:r>
              <w:rPr>
                <w:rFonts w:ascii="Arial" w:cs="Arial" w:eastAsia="Arial" w:hAnsi="Arial"/>
                <w:sz w:val="1"/>
                <w:szCs w:val="1"/>
                <w:color w:val="auto"/>
              </w:rPr>
              <w:t>Structured Product</w:t>
            </w:r>
          </w:p>
        </w:tc>
        <w:tc>
          <w:tcPr>
            <w:tcW w:w="840" w:type="dxa"/>
            <w:vAlign w:val="bottom"/>
            <w:gridSpan w:val="2"/>
            <w:shd w:val="clear" w:color="auto" w:fill="CCEEFF"/>
          </w:tcPr>
          <w:p>
            <w:pPr>
              <w:jc w:val="right"/>
              <w:ind w:right="220"/>
              <w:spacing w:after="0" w:line="6" w:lineRule="exact"/>
              <w:rPr>
                <w:sz w:val="20"/>
                <w:szCs w:val="20"/>
                <w:color w:val="auto"/>
              </w:rPr>
            </w:pPr>
            <w:r>
              <w:rPr>
                <w:rFonts w:ascii="Arial" w:cs="Arial" w:eastAsia="Arial" w:hAnsi="Arial"/>
                <w:sz w:val="1"/>
                <w:szCs w:val="1"/>
                <w:color w:val="auto"/>
              </w:rPr>
              <w:t>5.98%</w:t>
            </w:r>
          </w:p>
        </w:tc>
        <w:tc>
          <w:tcPr>
            <w:tcW w:w="1020" w:type="dxa"/>
            <w:vAlign w:val="bottom"/>
            <w:gridSpan w:val="2"/>
            <w:shd w:val="clear" w:color="auto" w:fill="CCEEFF"/>
          </w:tcPr>
          <w:p>
            <w:pPr>
              <w:jc w:val="right"/>
              <w:ind w:right="260"/>
              <w:spacing w:after="0" w:line="6" w:lineRule="exact"/>
              <w:rPr>
                <w:sz w:val="20"/>
                <w:szCs w:val="20"/>
                <w:color w:val="auto"/>
              </w:rPr>
            </w:pPr>
            <w:r>
              <w:rPr>
                <w:rFonts w:ascii="Arial" w:cs="Arial" w:eastAsia="Arial" w:hAnsi="Arial"/>
                <w:sz w:val="1"/>
                <w:szCs w:val="1"/>
                <w:color w:val="auto"/>
              </w:rPr>
              <w:t>11/17/2014</w:t>
            </w:r>
          </w:p>
        </w:tc>
        <w:tc>
          <w:tcPr>
            <w:tcW w:w="720" w:type="dxa"/>
            <w:vAlign w:val="bottom"/>
            <w:gridSpan w:val="2"/>
            <w:shd w:val="clear" w:color="auto" w:fill="CCEEFF"/>
          </w:tcPr>
          <w:p>
            <w:pPr>
              <w:jc w:val="right"/>
              <w:ind w:right="20"/>
              <w:spacing w:after="0" w:line="6" w:lineRule="exact"/>
              <w:rPr>
                <w:sz w:val="20"/>
                <w:szCs w:val="20"/>
                <w:color w:val="auto"/>
              </w:rPr>
            </w:pPr>
            <w:r>
              <w:rPr>
                <w:rFonts w:ascii="Arial" w:cs="Arial" w:eastAsia="Arial" w:hAnsi="Arial"/>
                <w:sz w:val="1"/>
                <w:szCs w:val="1"/>
                <w:color w:val="auto"/>
              </w:rPr>
              <w:t>5,531</w:t>
            </w:r>
          </w:p>
        </w:tc>
        <w:tc>
          <w:tcPr>
            <w:tcW w:w="120" w:type="dxa"/>
            <w:vAlign w:val="bottom"/>
            <w:shd w:val="clear" w:color="auto" w:fill="CCEEFF"/>
          </w:tcPr>
          <w:p>
            <w:pPr>
              <w:spacing w:after="0" w:line="20" w:lineRule="exact"/>
              <w:rPr>
                <w:sz w:val="1"/>
                <w:szCs w:val="1"/>
                <w:color w:val="auto"/>
              </w:rPr>
            </w:pPr>
          </w:p>
        </w:tc>
        <w:tc>
          <w:tcPr>
            <w:tcW w:w="1120" w:type="dxa"/>
            <w:vAlign w:val="bottom"/>
            <w:gridSpan w:val="3"/>
            <w:shd w:val="clear" w:color="auto" w:fill="CCEEFF"/>
          </w:tcPr>
          <w:p>
            <w:pPr>
              <w:jc w:val="right"/>
              <w:ind w:right="280"/>
              <w:spacing w:after="0" w:line="6" w:lineRule="exact"/>
              <w:rPr>
                <w:sz w:val="20"/>
                <w:szCs w:val="20"/>
                <w:color w:val="auto"/>
              </w:rPr>
            </w:pPr>
            <w:r>
              <w:rPr>
                <w:rFonts w:ascii="Arial" w:cs="Arial" w:eastAsia="Arial" w:hAnsi="Arial"/>
                <w:sz w:val="1"/>
                <w:szCs w:val="1"/>
                <w:color w:val="auto"/>
              </w:rPr>
              <w:t>5,526</w:t>
            </w:r>
          </w:p>
        </w:tc>
        <w:tc>
          <w:tcPr>
            <w:tcW w:w="1000" w:type="dxa"/>
            <w:vAlign w:val="bottom"/>
            <w:gridSpan w:val="2"/>
            <w:shd w:val="clear" w:color="auto" w:fill="CCEEFF"/>
          </w:tcPr>
          <w:p>
            <w:pPr>
              <w:jc w:val="right"/>
              <w:ind w:right="80"/>
              <w:spacing w:after="0" w:line="6" w:lineRule="exact"/>
              <w:rPr>
                <w:sz w:val="20"/>
                <w:szCs w:val="20"/>
                <w:color w:val="auto"/>
              </w:rPr>
            </w:pPr>
            <w:r>
              <w:rPr>
                <w:rFonts w:ascii="Arial" w:cs="Arial" w:eastAsia="Arial" w:hAnsi="Arial"/>
                <w:sz w:val="1"/>
                <w:szCs w:val="1"/>
                <w:color w:val="auto"/>
              </w:rPr>
              <w:t>0.7%</w:t>
            </w:r>
          </w:p>
        </w:tc>
        <w:tc>
          <w:tcPr>
            <w:tcW w:w="0" w:type="dxa"/>
            <w:vAlign w:val="bottom"/>
          </w:tcPr>
          <w:p>
            <w:pPr>
              <w:spacing w:after="0" w:line="20" w:lineRule="exact"/>
              <w:rPr>
                <w:sz w:val="1"/>
                <w:szCs w:val="1"/>
                <w:color w:val="auto"/>
              </w:rPr>
            </w:pPr>
          </w:p>
        </w:tc>
      </w:tr>
      <w:tr>
        <w:trPr>
          <w:trHeight w:val="163"/>
        </w:trPr>
        <w:tc>
          <w:tcPr>
            <w:tcW w:w="4420" w:type="dxa"/>
            <w:vAlign w:val="bottom"/>
            <w:gridSpan w:val="2"/>
          </w:tcPr>
          <w:p>
            <w:pPr>
              <w:ind w:left="680"/>
              <w:spacing w:after="0"/>
              <w:rPr>
                <w:sz w:val="20"/>
                <w:szCs w:val="20"/>
                <w:color w:val="auto"/>
              </w:rPr>
            </w:pPr>
            <w:r>
              <w:rPr>
                <w:rFonts w:ascii="Arial" w:cs="Arial" w:eastAsia="Arial" w:hAnsi="Arial"/>
                <w:sz w:val="13"/>
                <w:szCs w:val="13"/>
                <w:color w:val="auto"/>
              </w:rPr>
              <w:t>(5)(7)</w:t>
            </w: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420" w:type="dxa"/>
            <w:vAlign w:val="bottom"/>
            <w:gridSpan w:val="2"/>
            <w:shd w:val="clear" w:color="auto" w:fill="CCEEFF"/>
          </w:tcPr>
          <w:p>
            <w:pPr>
              <w:ind w:left="320"/>
              <w:spacing w:after="0" w:line="162" w:lineRule="exact"/>
              <w:rPr>
                <w:sz w:val="20"/>
                <w:szCs w:val="20"/>
                <w:color w:val="auto"/>
              </w:rPr>
            </w:pPr>
            <w:r>
              <w:rPr>
                <w:rFonts w:ascii="Arial" w:cs="Arial" w:eastAsia="Arial" w:hAnsi="Arial"/>
                <w:sz w:val="15"/>
                <w:szCs w:val="15"/>
                <w:b w:val="1"/>
                <w:bCs w:val="1"/>
                <w:color w:val="auto"/>
              </w:rPr>
              <w:t>Total Equity and Other Investments</w:t>
            </w:r>
          </w:p>
        </w:tc>
        <w:tc>
          <w:tcPr>
            <w:tcW w:w="2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gridSpan w:val="3"/>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21,503</w:t>
            </w:r>
          </w:p>
        </w:tc>
        <w:tc>
          <w:tcPr>
            <w:tcW w:w="1120" w:type="dxa"/>
            <w:vAlign w:val="bottom"/>
            <w:gridSpan w:val="3"/>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14,893</w:t>
            </w:r>
          </w:p>
        </w:tc>
        <w:tc>
          <w:tcPr>
            <w:tcW w:w="10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1.8%</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Total Investments</w:t>
            </w: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2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u w:val="single" w:color="auto"/>
                <w:color w:val="auto"/>
                <w:w w:val="90"/>
              </w:rPr>
              <w:t>$</w:t>
            </w:r>
            <w:r>
              <w:rPr>
                <w:rFonts w:ascii="Arial" w:cs="Arial" w:eastAsia="Arial" w:hAnsi="Arial"/>
                <w:sz w:val="15"/>
                <w:szCs w:val="15"/>
                <w:b w:val="1"/>
                <w:bCs w:val="1"/>
                <w:color w:val="auto"/>
                <w:w w:val="90"/>
              </w:rPr>
              <w:t>1,273,252</w:t>
            </w:r>
          </w:p>
        </w:tc>
        <w:tc>
          <w:tcPr>
            <w:tcW w:w="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w w:val="85"/>
              </w:rPr>
              <w:t>$ 1,263,511</w:t>
            </w:r>
          </w:p>
        </w:tc>
        <w:tc>
          <w:tcPr>
            <w:tcW w:w="280" w:type="dxa"/>
            <w:vAlign w:val="bottom"/>
            <w:vMerge w:val="continue"/>
          </w:tcPr>
          <w:p>
            <w:pPr>
              <w:spacing w:after="0"/>
              <w:rPr>
                <w:sz w:val="14"/>
                <w:szCs w:val="14"/>
                <w:color w:val="auto"/>
              </w:rPr>
            </w:pPr>
          </w:p>
        </w:tc>
        <w:tc>
          <w:tcPr>
            <w:tcW w:w="1000" w:type="dxa"/>
            <w:vAlign w:val="bottom"/>
            <w:gridSpan w:val="2"/>
          </w:tcPr>
          <w:p>
            <w:pPr>
              <w:jc w:val="right"/>
              <w:ind w:right="40"/>
              <w:spacing w:after="0" w:line="169" w:lineRule="exact"/>
              <w:rPr>
                <w:sz w:val="20"/>
                <w:szCs w:val="20"/>
                <w:color w:val="auto"/>
              </w:rPr>
            </w:pPr>
            <w:r>
              <w:rPr>
                <w:rFonts w:ascii="Arial" w:cs="Arial" w:eastAsia="Arial" w:hAnsi="Arial"/>
                <w:sz w:val="15"/>
                <w:szCs w:val="15"/>
                <w:b w:val="1"/>
                <w:bCs w:val="1"/>
                <w:color w:val="auto"/>
              </w:rPr>
              <w:t>151.4%</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Certain portfolio company investments are subject to contractual restrictions on sales.</w:t>
      </w:r>
    </w:p>
    <w:p>
      <w:pPr>
        <w:spacing w:after="0" w:line="1" w:lineRule="exact"/>
        <w:rPr>
          <w:rFonts w:ascii="Arial" w:cs="Arial" w:eastAsia="Arial" w:hAnsi="Arial"/>
          <w:sz w:val="15"/>
          <w:szCs w:val="15"/>
          <w:color w:val="auto"/>
        </w:rPr>
      </w:pPr>
    </w:p>
    <w:p>
      <w:pPr>
        <w:ind w:left="340" w:hanging="332"/>
        <w:spacing w:after="0"/>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amortized cost represents the original cost adjusted for the amortization of discounts and premiums, as applicable, on debt investments using the effective interest method.</w:t>
      </w:r>
    </w:p>
    <w:p>
      <w:pPr>
        <w:spacing w:after="0" w:line="1" w:lineRule="exact"/>
        <w:rPr>
          <w:rFonts w:ascii="Arial" w:cs="Arial" w:eastAsia="Arial" w:hAnsi="Arial"/>
          <w:sz w:val="14"/>
          <w:szCs w:val="14"/>
          <w:color w:val="auto"/>
        </w:rPr>
      </w:pPr>
    </w:p>
    <w:p>
      <w:pPr>
        <w:jc w:val="both"/>
        <w:ind w:left="340" w:right="240" w:hanging="332"/>
        <w:spacing w:after="0" w:line="241" w:lineRule="auto"/>
        <w:tabs>
          <w:tab w:leader="none" w:pos="34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Arial" w:cs="Arial" w:eastAsia="Arial" w:hAnsi="Arial"/>
          <w:sz w:val="14"/>
          <w:szCs w:val="14"/>
          <w:color w:val="auto"/>
        </w:rPr>
      </w:pPr>
    </w:p>
    <w:p>
      <w:pPr>
        <w:ind w:left="340" w:right="660" w:hanging="332"/>
        <w:spacing w:after="0" w:line="225" w:lineRule="auto"/>
        <w:tabs>
          <w:tab w:leader="none" w:pos="3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investment, or a portion thereof, is held within TPG SL SPV, LLC, a wholly-owned subsidiary of the Company, and was pledged as collateral supporting the amounts outstanding under the SPV Asset Facility (see Note 7).</w:t>
      </w:r>
    </w:p>
    <w:p>
      <w:pPr>
        <w:ind w:left="340" w:right="20" w:hanging="332"/>
        <w:spacing w:after="0" w:line="225" w:lineRule="auto"/>
        <w:tabs>
          <w:tab w:leader="none" w:pos="3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340" w:right="360" w:hanging="332"/>
        <w:spacing w:after="0" w:line="225" w:lineRule="auto"/>
        <w:tabs>
          <w:tab w:leader="none" w:pos="3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340" w:hanging="332"/>
        <w:spacing w:after="0"/>
        <w:tabs>
          <w:tab w:leader="none" w:pos="34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Contains a variable rate structure. Bears interest at a rate determined by three-month LIBOR.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0" w:right="60" w:hanging="332"/>
        <w:spacing w:after="0" w:line="236" w:lineRule="auto"/>
        <w:tabs>
          <w:tab w:leader="none" w:pos="34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Fair Value at</w:t>
            </w:r>
          </w:p>
        </w:tc>
        <w:tc>
          <w:tcPr>
            <w:tcW w:w="460" w:type="dxa"/>
            <w:vAlign w:val="bottom"/>
          </w:tcPr>
          <w:p>
            <w:pPr>
              <w:spacing w:after="0"/>
              <w:rPr>
                <w:sz w:val="13"/>
                <w:szCs w:val="13"/>
                <w:color w:val="auto"/>
              </w:rPr>
            </w:pPr>
          </w:p>
        </w:tc>
        <w:tc>
          <w:tcPr>
            <w:tcW w:w="96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500" w:type="dxa"/>
            <w:vAlign w:val="bottom"/>
          </w:tcPr>
          <w:p>
            <w:pPr>
              <w:jc w:val="center"/>
              <w:ind w:right="50"/>
              <w:spacing w:after="0"/>
              <w:rPr>
                <w:sz w:val="20"/>
                <w:szCs w:val="20"/>
                <w:color w:val="auto"/>
              </w:rPr>
            </w:pPr>
            <w:r>
              <w:rPr>
                <w:rFonts w:ascii="Arial" w:cs="Arial" w:eastAsia="Arial" w:hAnsi="Arial"/>
                <w:sz w:val="13"/>
                <w:szCs w:val="13"/>
                <w:b w:val="1"/>
                <w:bCs w:val="1"/>
                <w:color w:val="auto"/>
                <w:w w:val="79"/>
              </w:rPr>
              <w:t>Gross</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 at</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Company</w:t>
            </w:r>
          </w:p>
        </w:tc>
        <w:tc>
          <w:tcPr>
            <w:tcW w:w="7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5"/>
              </w:rPr>
              <w:t>December 31,</w:t>
            </w:r>
          </w:p>
        </w:tc>
        <w:tc>
          <w:tcPr>
            <w:tcW w:w="460" w:type="dxa"/>
            <w:vAlign w:val="bottom"/>
          </w:tcPr>
          <w:p>
            <w:pPr>
              <w:spacing w:after="0"/>
              <w:rPr>
                <w:sz w:val="11"/>
                <w:szCs w:val="11"/>
                <w:color w:val="auto"/>
              </w:rPr>
            </w:pPr>
          </w:p>
        </w:tc>
        <w:tc>
          <w:tcPr>
            <w:tcW w:w="96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86"/>
              </w:rPr>
              <w:t>Additions</w:t>
            </w:r>
          </w:p>
        </w:tc>
        <w:tc>
          <w:tcPr>
            <w:tcW w:w="6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4"/>
              </w:rPr>
              <w:t>Reductions</w:t>
            </w:r>
          </w:p>
        </w:tc>
        <w:tc>
          <w:tcPr>
            <w:tcW w:w="440" w:type="dxa"/>
            <w:vAlign w:val="bottom"/>
          </w:tcPr>
          <w:p>
            <w:pPr>
              <w:spacing w:after="0"/>
              <w:rPr>
                <w:sz w:val="11"/>
                <w:szCs w:val="11"/>
                <w:color w:val="auto"/>
              </w:rPr>
            </w:pPr>
          </w:p>
        </w:tc>
        <w:tc>
          <w:tcPr>
            <w:tcW w:w="108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1"/>
                <w:szCs w:val="11"/>
                <w:color w:val="auto"/>
              </w:rPr>
            </w:pPr>
          </w:p>
        </w:tc>
        <w:tc>
          <w:tcPr>
            <w:tcW w:w="64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Realized</w:t>
            </w:r>
          </w:p>
        </w:tc>
        <w:tc>
          <w:tcPr>
            <w:tcW w:w="440" w:type="dxa"/>
            <w:vAlign w:val="bottom"/>
          </w:tcPr>
          <w:p>
            <w:pPr>
              <w:spacing w:after="0"/>
              <w:rPr>
                <w:sz w:val="11"/>
                <w:szCs w:val="11"/>
                <w:color w:val="auto"/>
              </w:rPr>
            </w:pPr>
          </w:p>
        </w:tc>
        <w:tc>
          <w:tcPr>
            <w:tcW w:w="12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December 31,</w:t>
            </w:r>
          </w:p>
        </w:tc>
        <w:tc>
          <w:tcPr>
            <w:tcW w:w="84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Other</w:t>
            </w:r>
          </w:p>
        </w:tc>
        <w:tc>
          <w:tcPr>
            <w:tcW w:w="52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Interest</w:t>
            </w:r>
          </w:p>
        </w:tc>
        <w:tc>
          <w:tcPr>
            <w:tcW w:w="0" w:type="dxa"/>
            <w:vAlign w:val="bottom"/>
          </w:tcPr>
          <w:p>
            <w:pPr>
              <w:spacing w:after="0"/>
              <w:rPr>
                <w:sz w:val="1"/>
                <w:szCs w:val="1"/>
                <w:color w:val="auto"/>
              </w:rPr>
            </w:pPr>
          </w:p>
        </w:tc>
      </w:tr>
      <w:tr>
        <w:trPr>
          <w:trHeight w:val="153"/>
        </w:trPr>
        <w:tc>
          <w:tcPr>
            <w:tcW w:w="33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8"/>
              <w:spacing w:after="0"/>
              <w:rPr>
                <w:sz w:val="20"/>
                <w:szCs w:val="20"/>
                <w:color w:val="auto"/>
              </w:rPr>
            </w:pPr>
            <w:r>
              <w:rPr>
                <w:rFonts w:ascii="Arial" w:cs="Arial" w:eastAsia="Arial" w:hAnsi="Arial"/>
                <w:sz w:val="13"/>
                <w:szCs w:val="13"/>
                <w:b w:val="1"/>
                <w:bCs w:val="1"/>
                <w:color w:val="auto"/>
              </w:rPr>
              <w:t>2013</w:t>
            </w:r>
          </w:p>
        </w:tc>
        <w:tc>
          <w:tcPr>
            <w:tcW w:w="460" w:type="dxa"/>
            <w:vAlign w:val="bottom"/>
          </w:tcPr>
          <w:p>
            <w:pPr>
              <w:spacing w:after="0"/>
              <w:rPr>
                <w:sz w:val="13"/>
                <w:szCs w:val="13"/>
                <w:color w:val="auto"/>
              </w:rPr>
            </w:pPr>
          </w:p>
        </w:tc>
        <w:tc>
          <w:tcPr>
            <w:tcW w:w="96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87"/>
              </w:rPr>
              <w:t>(a)</w:t>
            </w:r>
          </w:p>
        </w:tc>
        <w:tc>
          <w:tcPr>
            <w:tcW w:w="120" w:type="dxa"/>
            <w:vAlign w:val="bottom"/>
          </w:tcPr>
          <w:p>
            <w:pPr>
              <w:spacing w:after="0"/>
              <w:rPr>
                <w:sz w:val="13"/>
                <w:szCs w:val="13"/>
                <w:color w:val="auto"/>
              </w:rPr>
            </w:pPr>
          </w:p>
        </w:tc>
        <w:tc>
          <w:tcPr>
            <w:tcW w:w="500" w:type="dxa"/>
            <w:vAlign w:val="bottom"/>
          </w:tcPr>
          <w:p>
            <w:pPr>
              <w:jc w:val="center"/>
              <w:ind w:right="50"/>
              <w:spacing w:after="0"/>
              <w:rPr>
                <w:sz w:val="20"/>
                <w:szCs w:val="20"/>
                <w:color w:val="auto"/>
              </w:rPr>
            </w:pPr>
            <w:r>
              <w:rPr>
                <w:rFonts w:ascii="Arial" w:cs="Arial" w:eastAsia="Arial" w:hAnsi="Arial"/>
                <w:sz w:val="13"/>
                <w:szCs w:val="13"/>
                <w:b w:val="1"/>
                <w:bCs w:val="1"/>
                <w:color w:val="auto"/>
                <w:w w:val="84"/>
              </w:rPr>
              <w:t>(b)</w:t>
            </w:r>
          </w:p>
        </w:tc>
        <w:tc>
          <w:tcPr>
            <w:tcW w:w="44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Gain/(Loss)</w:t>
            </w: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w w:val="83"/>
              </w:rPr>
              <w:t>Gain/(Losses)</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8"/>
              <w:spacing w:after="0"/>
              <w:rPr>
                <w:sz w:val="20"/>
                <w:szCs w:val="20"/>
                <w:color w:val="auto"/>
              </w:rPr>
            </w:pPr>
            <w:r>
              <w:rPr>
                <w:rFonts w:ascii="Arial" w:cs="Arial" w:eastAsia="Arial" w:hAnsi="Arial"/>
                <w:sz w:val="13"/>
                <w:szCs w:val="13"/>
                <w:b w:val="1"/>
                <w:bCs w:val="1"/>
                <w:color w:val="auto"/>
              </w:rPr>
              <w:t>2014</w:t>
            </w:r>
          </w:p>
        </w:tc>
        <w:tc>
          <w:tcPr>
            <w:tcW w:w="440" w:type="dxa"/>
            <w:vAlign w:val="bottom"/>
          </w:tcPr>
          <w:p>
            <w:pPr>
              <w:spacing w:after="0"/>
              <w:rPr>
                <w:sz w:val="13"/>
                <w:szCs w:val="13"/>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Income</w:t>
            </w:r>
          </w:p>
        </w:tc>
        <w:tc>
          <w:tcPr>
            <w:tcW w:w="520" w:type="dxa"/>
            <w:vAlign w:val="bottom"/>
            <w:gridSpan w:val="2"/>
          </w:tcPr>
          <w:p>
            <w:pPr>
              <w:ind w:left="20"/>
              <w:spacing w:after="0"/>
              <w:rPr>
                <w:sz w:val="20"/>
                <w:szCs w:val="20"/>
                <w:color w:val="auto"/>
              </w:rPr>
            </w:pPr>
            <w:r>
              <w:rPr>
                <w:rFonts w:ascii="Arial" w:cs="Arial" w:eastAsia="Arial" w:hAnsi="Arial"/>
                <w:sz w:val="13"/>
                <w:szCs w:val="13"/>
                <w:b w:val="1"/>
                <w:bCs w:val="1"/>
                <w:color w:val="auto"/>
              </w:rPr>
              <w:t>Income</w:t>
            </w:r>
          </w:p>
        </w:tc>
        <w:tc>
          <w:tcPr>
            <w:tcW w:w="0" w:type="dxa"/>
            <w:vAlign w:val="bottom"/>
          </w:tcPr>
          <w:p>
            <w:pPr>
              <w:spacing w:after="0"/>
              <w:rPr>
                <w:sz w:val="1"/>
                <w:szCs w:val="1"/>
                <w:color w:val="auto"/>
              </w:rPr>
            </w:pPr>
          </w:p>
        </w:tc>
      </w:tr>
      <w:tr>
        <w:trPr>
          <w:trHeight w:val="156"/>
        </w:trPr>
        <w:tc>
          <w:tcPr>
            <w:tcW w:w="540" w:type="dxa"/>
            <w:vAlign w:val="bottom"/>
            <w:tcBorders>
              <w:top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71"/>
              </w:rPr>
              <w:t>Mississippi</w:t>
            </w:r>
          </w:p>
        </w:tc>
        <w:tc>
          <w:tcPr>
            <w:tcW w:w="2840" w:type="dxa"/>
            <w:vAlign w:val="bottom"/>
            <w:tcBorders>
              <w:top w:val="single" w:sz="8" w:color="CCEEFF"/>
            </w:tcBorders>
            <w:shd w:val="clear" w:color="auto" w:fill="CCEEFF"/>
          </w:tcPr>
          <w:p>
            <w:pPr>
              <w:ind w:left="200"/>
              <w:spacing w:after="0" w:line="156" w:lineRule="exact"/>
              <w:rPr>
                <w:sz w:val="20"/>
                <w:szCs w:val="20"/>
                <w:color w:val="auto"/>
              </w:rPr>
            </w:pPr>
            <w:r>
              <w:rPr>
                <w:rFonts w:ascii="Arial" w:cs="Arial" w:eastAsia="Arial" w:hAnsi="Arial"/>
                <w:sz w:val="15"/>
                <w:szCs w:val="15"/>
                <w:color w:val="auto"/>
              </w:rPr>
              <w:t>Resources, LLC</w:t>
            </w: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80" w:type="dxa"/>
            <w:vAlign w:val="bottom"/>
            <w:tcBorders>
              <w:top w:val="single" w:sz="8" w:color="auto"/>
              <w:bottom w:val="single" w:sz="8" w:color="auto"/>
            </w:tcBorders>
            <w:shd w:val="clear" w:color="auto" w:fill="CCEEFF"/>
          </w:tcPr>
          <w:p>
            <w:pPr>
              <w:ind w:left="360"/>
              <w:spacing w:after="0" w:line="156" w:lineRule="exact"/>
              <w:rPr>
                <w:sz w:val="20"/>
                <w:szCs w:val="20"/>
                <w:color w:val="auto"/>
              </w:rPr>
            </w:pPr>
            <w:r>
              <w:rPr>
                <w:rFonts w:ascii="Arial" w:cs="Arial" w:eastAsia="Arial" w:hAnsi="Arial"/>
                <w:sz w:val="15"/>
                <w:szCs w:val="15"/>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center"/>
              <w:spacing w:after="0" w:line="156" w:lineRule="exact"/>
              <w:rPr>
                <w:sz w:val="20"/>
                <w:szCs w:val="20"/>
                <w:color w:val="auto"/>
              </w:rPr>
            </w:pPr>
            <w:r>
              <w:rPr>
                <w:rFonts w:ascii="Arial" w:cs="Arial" w:eastAsia="Arial" w:hAnsi="Arial"/>
                <w:sz w:val="15"/>
                <w:szCs w:val="15"/>
                <w:color w:val="auto"/>
                <w:w w:val="88"/>
              </w:rPr>
              <w:t>$ 47,580</w:t>
            </w: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bottom w:val="single" w:sz="8" w:color="auto"/>
            </w:tcBorders>
            <w:shd w:val="clear" w:color="auto" w:fill="CCEEFF"/>
          </w:tcPr>
          <w:p>
            <w:pPr>
              <w:ind w:left="260"/>
              <w:spacing w:after="0" w:line="156"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500" w:type="dxa"/>
            <w:vAlign w:val="bottom"/>
            <w:tcBorders>
              <w:top w:val="single" w:sz="8" w:color="auto"/>
              <w:bottom w:val="single" w:sz="8" w:color="auto"/>
            </w:tcBorders>
            <w:shd w:val="clear" w:color="auto" w:fill="CCEEFF"/>
          </w:tcPr>
          <w:p>
            <w:pPr>
              <w:ind w:left="100"/>
              <w:spacing w:after="0" w:line="156" w:lineRule="exact"/>
              <w:rPr>
                <w:sz w:val="20"/>
                <w:szCs w:val="20"/>
                <w:color w:val="auto"/>
              </w:rPr>
            </w:pPr>
            <w:r>
              <w:rPr>
                <w:rFonts w:ascii="Arial" w:cs="Arial" w:eastAsia="Arial" w:hAnsi="Arial"/>
                <w:sz w:val="15"/>
                <w:szCs w:val="15"/>
                <w:color w:val="auto"/>
                <w:w w:val="89"/>
              </w:rPr>
              <w:t>(5,944</w:t>
            </w:r>
          </w:p>
        </w:tc>
        <w:tc>
          <w:tcPr>
            <w:tcW w:w="440" w:type="dxa"/>
            <w:vAlign w:val="bottom"/>
            <w:tcBorders>
              <w:top w:val="single" w:sz="8" w:color="CCEEFF"/>
            </w:tcBorders>
            <w:shd w:val="clear" w:color="auto" w:fill="CCEEFF"/>
          </w:tcPr>
          <w:p>
            <w:pPr>
              <w:jc w:val="right"/>
              <w:ind w:right="362"/>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ind w:left="420"/>
              <w:spacing w:after="0" w:line="156" w:lineRule="exact"/>
              <w:rPr>
                <w:sz w:val="20"/>
                <w:szCs w:val="20"/>
                <w:color w:val="auto"/>
              </w:rPr>
            </w:pPr>
            <w:r>
              <w:rPr>
                <w:rFonts w:ascii="Arial" w:cs="Arial" w:eastAsia="Arial" w:hAnsi="Arial"/>
                <w:sz w:val="15"/>
                <w:szCs w:val="15"/>
                <w:color w:val="auto"/>
              </w:rPr>
              <w:t>—</w:t>
            </w:r>
          </w:p>
        </w:tc>
        <w:tc>
          <w:tcPr>
            <w:tcW w:w="4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6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41,636</w:t>
            </w:r>
          </w:p>
        </w:tc>
        <w:tc>
          <w:tcPr>
            <w:tcW w:w="4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color w:val="auto"/>
              </w:rPr>
              <w:t>$</w:t>
            </w:r>
          </w:p>
        </w:tc>
        <w:tc>
          <w:tcPr>
            <w:tcW w:w="2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143</w:t>
            </w:r>
          </w:p>
        </w:tc>
        <w:tc>
          <w:tcPr>
            <w:tcW w:w="44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5"/>
                <w:szCs w:val="15"/>
                <w:u w:val="single" w:color="auto"/>
                <w:color w:val="auto"/>
                <w:w w:val="91"/>
              </w:rPr>
              <w:t>$</w:t>
            </w:r>
            <w:r>
              <w:rPr>
                <w:rFonts w:ascii="Arial" w:cs="Arial" w:eastAsia="Arial" w:hAnsi="Arial"/>
                <w:sz w:val="15"/>
                <w:szCs w:val="15"/>
                <w:color w:val="auto"/>
                <w:w w:val="91"/>
              </w:rPr>
              <w:t>2,994</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38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w:t>
            </w:r>
          </w:p>
        </w:tc>
        <w:tc>
          <w:tcPr>
            <w:tcW w:w="1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ind w:left="360"/>
              <w:spacing w:after="0" w:line="169" w:lineRule="exact"/>
              <w:rPr>
                <w:sz w:val="20"/>
                <w:szCs w:val="20"/>
                <w:color w:val="auto"/>
              </w:rPr>
            </w:pPr>
            <w:r>
              <w:rPr>
                <w:rFonts w:ascii="Arial" w:cs="Arial" w:eastAsia="Arial" w:hAnsi="Arial"/>
                <w:sz w:val="15"/>
                <w:szCs w:val="15"/>
                <w:b w:val="1"/>
                <w:bCs w:val="1"/>
                <w:color w:val="auto"/>
              </w:rPr>
              <w:t>—</w:t>
            </w:r>
          </w:p>
        </w:tc>
        <w:tc>
          <w:tcPr>
            <w:tcW w:w="460" w:type="dxa"/>
            <w:vAlign w:val="bottom"/>
          </w:tcPr>
          <w:p>
            <w:pPr>
              <w:spacing w:after="0"/>
              <w:rPr>
                <w:sz w:val="14"/>
                <w:szCs w:val="14"/>
                <w:color w:val="auto"/>
              </w:rPr>
            </w:pPr>
          </w:p>
        </w:tc>
        <w:tc>
          <w:tcPr>
            <w:tcW w:w="52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5"/>
                <w:szCs w:val="15"/>
                <w:b w:val="1"/>
                <w:bCs w:val="1"/>
                <w:color w:val="auto"/>
                <w:w w:val="88"/>
              </w:rPr>
              <w:t>$ 47,580</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ind w:left="260"/>
              <w:spacing w:after="0" w:line="169" w:lineRule="exact"/>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ind w:left="100"/>
              <w:spacing w:after="0" w:line="169" w:lineRule="exact"/>
              <w:rPr>
                <w:sz w:val="20"/>
                <w:szCs w:val="20"/>
                <w:color w:val="auto"/>
              </w:rPr>
            </w:pPr>
            <w:r>
              <w:rPr>
                <w:rFonts w:ascii="Arial" w:cs="Arial" w:eastAsia="Arial" w:hAnsi="Arial"/>
                <w:sz w:val="15"/>
                <w:szCs w:val="15"/>
                <w:b w:val="1"/>
                <w:bCs w:val="1"/>
                <w:color w:val="auto"/>
                <w:w w:val="89"/>
              </w:rPr>
              <w:t>(5,944</w:t>
            </w:r>
          </w:p>
        </w:tc>
        <w:tc>
          <w:tcPr>
            <w:tcW w:w="440" w:type="dxa"/>
            <w:vAlign w:val="bottom"/>
          </w:tcPr>
          <w:p>
            <w:pPr>
              <w:jc w:val="right"/>
              <w:ind w:right="362"/>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w w:val="95"/>
              </w:rPr>
              <w:t>$</w:t>
            </w:r>
          </w:p>
        </w:tc>
        <w:tc>
          <w:tcPr>
            <w:tcW w:w="640" w:type="dxa"/>
            <w:vAlign w:val="bottom"/>
            <w:tcBorders>
              <w:bottom w:val="single" w:sz="8" w:color="auto"/>
            </w:tcBorders>
          </w:tcPr>
          <w:p>
            <w:pPr>
              <w:ind w:left="420"/>
              <w:spacing w:after="0" w:line="169" w:lineRule="exact"/>
              <w:rPr>
                <w:sz w:val="20"/>
                <w:szCs w:val="20"/>
                <w:color w:val="auto"/>
              </w:rPr>
            </w:pPr>
            <w:r>
              <w:rPr>
                <w:rFonts w:ascii="Arial" w:cs="Arial" w:eastAsia="Arial" w:hAnsi="Arial"/>
                <w:sz w:val="15"/>
                <w:szCs w:val="15"/>
                <w:b w:val="1"/>
                <w:bCs w:val="1"/>
                <w:color w:val="auto"/>
              </w:rPr>
              <w:t>—</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41,636</w:t>
            </w:r>
          </w:p>
        </w:tc>
        <w:tc>
          <w:tcPr>
            <w:tcW w:w="440" w:type="dxa"/>
            <w:vAlign w:val="bottom"/>
          </w:tcPr>
          <w:p>
            <w:pPr>
              <w:spacing w:after="0"/>
              <w:rPr>
                <w:sz w:val="14"/>
                <w:szCs w:val="14"/>
                <w:color w:val="auto"/>
              </w:rPr>
            </w:pPr>
          </w:p>
        </w:tc>
        <w:tc>
          <w:tcPr>
            <w:tcW w:w="12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143</w:t>
            </w:r>
          </w:p>
        </w:tc>
        <w:tc>
          <w:tcPr>
            <w:tcW w:w="440" w:type="dxa"/>
            <w:vAlign w:val="bottom"/>
          </w:tcPr>
          <w:p>
            <w:pPr>
              <w:spacing w:after="0"/>
              <w:rPr>
                <w:sz w:val="14"/>
                <w:szCs w:val="14"/>
                <w:color w:val="auto"/>
              </w:rPr>
            </w:pPr>
          </w:p>
        </w:tc>
        <w:tc>
          <w:tcPr>
            <w:tcW w:w="440" w:type="dxa"/>
            <w:vAlign w:val="bottom"/>
            <w:tcBorders>
              <w:bottom w:val="single" w:sz="8" w:color="auto"/>
            </w:tcBorders>
          </w:tcPr>
          <w:p>
            <w:pPr>
              <w:spacing w:after="0" w:line="169" w:lineRule="exact"/>
              <w:rPr>
                <w:sz w:val="20"/>
                <w:szCs w:val="20"/>
                <w:color w:val="auto"/>
              </w:rPr>
            </w:pPr>
            <w:r>
              <w:rPr>
                <w:rFonts w:ascii="Arial" w:cs="Arial" w:eastAsia="Arial" w:hAnsi="Arial"/>
                <w:sz w:val="15"/>
                <w:szCs w:val="15"/>
                <w:b w:val="1"/>
                <w:bCs w:val="1"/>
                <w:u w:val="single" w:color="auto"/>
                <w:color w:val="auto"/>
                <w:w w:val="91"/>
              </w:rPr>
              <w:t>$</w:t>
            </w:r>
            <w:r>
              <w:rPr>
                <w:rFonts w:ascii="Arial" w:cs="Arial" w:eastAsia="Arial" w:hAnsi="Arial"/>
                <w:sz w:val="15"/>
                <w:szCs w:val="15"/>
                <w:b w:val="1"/>
                <w:bCs w:val="1"/>
                <w:color w:val="auto"/>
                <w:w w:val="91"/>
              </w:rPr>
              <w:t>2,994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2" w:lineRule="exact"/>
        <w:rPr>
          <w:sz w:val="20"/>
          <w:szCs w:val="20"/>
          <w:color w:val="auto"/>
        </w:rPr>
      </w:pPr>
    </w:p>
    <w:p>
      <w:pPr>
        <w:ind w:left="800" w:right="180" w:hanging="454"/>
        <w:spacing w:after="0" w:line="233" w:lineRule="auto"/>
        <w:tabs>
          <w:tab w:leader="none" w:pos="8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Arial" w:cs="Arial" w:eastAsia="Arial" w:hAnsi="Arial"/>
          <w:sz w:val="15"/>
          <w:szCs w:val="15"/>
          <w:color w:val="auto"/>
        </w:rPr>
      </w:pPr>
    </w:p>
    <w:p>
      <w:pPr>
        <w:ind w:left="800" w:right="20" w:hanging="454"/>
        <w:spacing w:after="0" w:line="225" w:lineRule="auto"/>
        <w:tabs>
          <w:tab w:leader="none" w:pos="800" w:val="left"/>
        </w:tabs>
        <w:numPr>
          <w:ilvl w:val="1"/>
          <w:numId w:val="146"/>
        </w:numPr>
        <w:rPr>
          <w:rFonts w:ascii="Arial" w:cs="Arial" w:eastAsia="Arial" w:hAnsi="Arial"/>
          <w:sz w:val="15"/>
          <w:szCs w:val="15"/>
          <w:color w:val="auto"/>
        </w:rPr>
      </w:pPr>
      <w:r>
        <w:rPr>
          <w:rFonts w:ascii="Arial" w:cs="Arial" w:eastAsia="Arial" w:hAnsi="Arial"/>
          <w:sz w:val="15"/>
          <w:szCs w:val="15"/>
          <w:color w:val="auto"/>
        </w:rPr>
        <w:t>Gross reductions include decreases in the cost basis of investments resulting from principal collections related to investment repayments or sales, and the amortization of any discounts on debt investments, as applicable.</w:t>
      </w:r>
    </w:p>
    <w:p>
      <w:pPr>
        <w:ind w:left="340" w:hanging="332"/>
        <w:spacing w:after="0"/>
        <w:tabs>
          <w:tab w:leader="none" w:pos="34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As of December 31, 2014, the tax cost of the Company’s investments approximates their amortized cost.</w:t>
      </w:r>
    </w:p>
    <w:p>
      <w:pPr>
        <w:spacing w:after="0" w:line="19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8"/>
              </w:rPr>
              <w:t>Year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Increase in Net Assets Resulting from Operations</w:t>
            </w: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95,298</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104,475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57,501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gains (losses)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(28,568)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(17,722)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(3,162)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(1,703)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85,050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66,983</w:t>
            </w:r>
          </w:p>
        </w:tc>
        <w:tc>
          <w:tcPr>
            <w:tcW w:w="0" w:type="dxa"/>
            <w:vAlign w:val="bottom"/>
          </w:tcPr>
          <w:p>
            <w:pPr>
              <w:spacing w:after="0"/>
              <w:rPr>
                <w:sz w:val="1"/>
                <w:szCs w:val="1"/>
                <w:color w:val="auto"/>
              </w:rPr>
            </w:pPr>
          </w:p>
        </w:tc>
      </w:tr>
      <w:tr>
        <w:trPr>
          <w:trHeight w:val="205"/>
        </w:trPr>
        <w:tc>
          <w:tcPr>
            <w:tcW w:w="5640" w:type="dxa"/>
            <w:vAlign w:val="bottom"/>
          </w:tcPr>
          <w:p>
            <w:pPr>
              <w:spacing w:after="0" w:line="205" w:lineRule="exact"/>
              <w:rPr>
                <w:sz w:val="20"/>
                <w:szCs w:val="20"/>
                <w:color w:val="auto"/>
              </w:rPr>
            </w:pPr>
            <w:r>
              <w:rPr>
                <w:rFonts w:ascii="Arial" w:cs="Arial" w:eastAsia="Arial" w:hAnsi="Arial"/>
                <w:sz w:val="18"/>
                <w:szCs w:val="18"/>
                <w:b w:val="1"/>
                <w:bCs w:val="1"/>
                <w:color w:val="auto"/>
              </w:rPr>
              <w:t>Increase (Decrease) in Net Assets Resulting from Capital Share</w:t>
            </w:r>
          </w:p>
        </w:tc>
        <w:tc>
          <w:tcPr>
            <w:tcW w:w="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Transactions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shares, net of offering and underwriting costs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234,419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56,857</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Reinvestment of dividends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6,095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22,566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26,438</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treasury stock</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Dividends declared from net investment income</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(62,332)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8"/>
                <w:szCs w:val="18"/>
                <w:color w:val="auto"/>
              </w:rPr>
              <w:t>(80,077)</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(48,301)</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from realized gains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(21,966)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(1,249)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(7,084)</w:t>
            </w:r>
          </w:p>
        </w:tc>
        <w:tc>
          <w:tcPr>
            <w:tcW w:w="0" w:type="dxa"/>
            <w:vAlign w:val="bottom"/>
          </w:tcPr>
          <w:p>
            <w:pPr>
              <w:spacing w:after="0"/>
              <w:rPr>
                <w:sz w:val="1"/>
                <w:szCs w:val="1"/>
                <w:color w:val="auto"/>
              </w:rPr>
            </w:pPr>
          </w:p>
        </w:tc>
      </w:tr>
      <w:tr>
        <w:trPr>
          <w:trHeight w:val="205"/>
        </w:trPr>
        <w:tc>
          <w:tcPr>
            <w:tcW w:w="5640" w:type="dxa"/>
            <w:vAlign w:val="bottom"/>
          </w:tcPr>
          <w:p>
            <w:pPr>
              <w:ind w:left="360"/>
              <w:spacing w:after="0" w:line="205" w:lineRule="exact"/>
              <w:rPr>
                <w:sz w:val="20"/>
                <w:szCs w:val="20"/>
                <w:color w:val="auto"/>
              </w:rPr>
            </w:pPr>
            <w:r>
              <w:rPr>
                <w:rFonts w:ascii="Arial" w:cs="Arial" w:eastAsia="Arial" w:hAnsi="Arial"/>
                <w:sz w:val="18"/>
                <w:szCs w:val="18"/>
                <w:b w:val="1"/>
                <w:bCs w:val="1"/>
                <w:color w:val="auto"/>
              </w:rPr>
              <w:t>Increase in Net Assets Resulting from Capital Share</w:t>
            </w:r>
          </w:p>
        </w:tc>
        <w:tc>
          <w:tcPr>
            <w:tcW w:w="4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540"/>
              <w:spacing w:after="0"/>
              <w:rPr>
                <w:sz w:val="20"/>
                <w:szCs w:val="20"/>
                <w:color w:val="auto"/>
              </w:rPr>
            </w:pPr>
            <w:r>
              <w:rPr>
                <w:rFonts w:ascii="Arial" w:cs="Arial" w:eastAsia="Arial" w:hAnsi="Arial"/>
                <w:sz w:val="18"/>
                <w:szCs w:val="18"/>
                <w:b w:val="1"/>
                <w:bCs w:val="1"/>
                <w:color w:val="auto"/>
              </w:rPr>
              <w:t>Transactions</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color w:val="auto"/>
              </w:rPr>
              <w:t>(78,232)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175,659</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27,910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Increase (Decrease) in Net Assets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(14,664)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260,709</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94,893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assets, beginning of period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835,405</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574,696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479,803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Assets, End of Period</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820,741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835,405</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574,696</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w w:val="98"/>
              </w:rPr>
              <w:t>Undistributed Net Investment Income Included in Net Assets at the</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Arial" w:cs="Arial" w:eastAsia="Arial" w:hAnsi="Arial"/>
                <w:sz w:val="18"/>
                <w:szCs w:val="18"/>
                <w:b w:val="1"/>
                <w:bCs w:val="1"/>
                <w:color w:val="auto"/>
              </w:rPr>
              <w:t>End of the Period</w:t>
            </w:r>
          </w:p>
        </w:tc>
        <w:tc>
          <w:tcPr>
            <w:tcW w:w="6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27,521</w:t>
            </w:r>
          </w:p>
        </w:tc>
        <w:tc>
          <w:tcPr>
            <w:tcW w:w="5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6,555</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8"/>
              </w:rPr>
              <w:t>Year Ended</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4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c>
          <w:tcPr>
            <w:tcW w:w="0" w:type="dxa"/>
            <w:vAlign w:val="bottom"/>
          </w:tcPr>
          <w:p>
            <w:pPr>
              <w:spacing w:after="0"/>
              <w:rPr>
                <w:sz w:val="1"/>
                <w:szCs w:val="1"/>
                <w:color w:val="auto"/>
              </w:rPr>
            </w:pPr>
          </w:p>
        </w:tc>
      </w:tr>
      <w:tr>
        <w:trPr>
          <w:trHeight w:val="183"/>
        </w:trPr>
        <w:tc>
          <w:tcPr>
            <w:tcW w:w="61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Increase in net assets resulting from operations</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63,568</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85,050</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66,983</w:t>
            </w:r>
          </w:p>
        </w:tc>
        <w:tc>
          <w:tcPr>
            <w:tcW w:w="0" w:type="dxa"/>
            <w:vAlign w:val="bottom"/>
          </w:tcPr>
          <w:p>
            <w:pPr>
              <w:spacing w:after="0"/>
              <w:rPr>
                <w:sz w:val="1"/>
                <w:szCs w:val="1"/>
                <w:color w:val="auto"/>
              </w:rPr>
            </w:pPr>
          </w:p>
        </w:tc>
      </w:tr>
      <w:tr>
        <w:trPr>
          <w:trHeight w:val="185"/>
        </w:trPr>
        <w:tc>
          <w:tcPr>
            <w:tcW w:w="618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rPr>
              <w:t>Adjustments to reconcile increase in net assets resulting from operations to net</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used in operating activities: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change in unrealized (gains) losses on investments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34,225</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28,895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(9,630)</w:t>
            </w:r>
          </w:p>
        </w:tc>
        <w:tc>
          <w:tcPr>
            <w:tcW w:w="0" w:type="dxa"/>
            <w:vAlign w:val="bottom"/>
          </w:tcPr>
          <w:p>
            <w:pPr>
              <w:spacing w:after="0"/>
              <w:rPr>
                <w:sz w:val="1"/>
                <w:szCs w:val="1"/>
                <w:color w:val="auto"/>
              </w:rPr>
            </w:pPr>
          </w:p>
        </w:tc>
      </w:tr>
      <w:tr>
        <w:trPr>
          <w:trHeight w:val="185"/>
        </w:trPr>
        <w:tc>
          <w:tcPr>
            <w:tcW w:w="6180" w:type="dxa"/>
            <w:vAlign w:val="bottom"/>
            <w:shd w:val="clear" w:color="auto" w:fill="CCEEFF"/>
          </w:tcPr>
          <w:p>
            <w:pPr>
              <w:ind w:left="700"/>
              <w:spacing w:after="0" w:line="185" w:lineRule="exact"/>
              <w:rPr>
                <w:sz w:val="20"/>
                <w:szCs w:val="20"/>
                <w:color w:val="auto"/>
              </w:rPr>
            </w:pPr>
            <w:r>
              <w:rPr>
                <w:rFonts w:ascii="Arial" w:cs="Arial" w:eastAsia="Arial" w:hAnsi="Arial"/>
                <w:sz w:val="17"/>
                <w:szCs w:val="17"/>
                <w:color w:val="auto"/>
              </w:rPr>
              <w:t>Net change in unrealized (gains) losses on foreign currency</w:t>
            </w: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180" w:type="dxa"/>
            <w:vAlign w:val="bottom"/>
            <w:shd w:val="clear" w:color="auto" w:fill="CCEEFF"/>
          </w:tcPr>
          <w:p>
            <w:pPr>
              <w:ind w:left="860"/>
              <w:spacing w:after="0"/>
              <w:rPr>
                <w:sz w:val="20"/>
                <w:szCs w:val="20"/>
                <w:color w:val="auto"/>
              </w:rPr>
            </w:pPr>
            <w:r>
              <w:rPr>
                <w:rFonts w:ascii="Arial" w:cs="Arial" w:eastAsia="Arial" w:hAnsi="Arial"/>
                <w:sz w:val="17"/>
                <w:szCs w:val="17"/>
                <w:color w:val="auto"/>
              </w:rPr>
              <w:t>transactions</w:t>
            </w:r>
          </w:p>
        </w:tc>
        <w:tc>
          <w:tcPr>
            <w:tcW w:w="16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(6,275)</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(11,173)</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1,244</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change in unrealized losses on interest rate swaps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618</w:t>
            </w:r>
          </w:p>
        </w:tc>
        <w:tc>
          <w:tcPr>
            <w:tcW w:w="160" w:type="dxa"/>
            <w:vAlign w:val="bottom"/>
          </w:tcPr>
          <w:p>
            <w:pPr>
              <w:spacing w:after="0"/>
              <w:rPr>
                <w:sz w:val="17"/>
                <w:szCs w:val="17"/>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losses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5,042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(1,061)</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realized gains on foreign currency transactions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(195)</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Net realized gains on interest rate swaps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(1,851)</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Net amortization of discount on securities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(12,729)</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(19,627)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(6,728)</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Amortization of 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5,874</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2,553</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1,903</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Accretion of discount on Convertible Senior Notes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560</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Purchases of investments, net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(757,295)</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(974,824)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(602,988)</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Proceeds from investments, net</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39,077</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100,656</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46,390</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Repayments on investments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474,483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620,671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214,293</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Paid-in-kind interest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(5,410)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(2,748)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(2,749)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Interest receivable</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(3,725)</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(1,167)</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(2,579)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receivable paid-in-kind</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(298)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(44)</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9,836</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(12,443)</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443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Management fees 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643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3,307</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Incentive fees payable to affiliate</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(1,040)</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(181)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2,083</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Payable to affiliate</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(1,426)</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Other liabilities</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(27,378)</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31,972</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Cash Used in Operating Activities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(183,506)</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(148,831)</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(289,631)</w:t>
            </w:r>
          </w:p>
        </w:tc>
        <w:tc>
          <w:tcPr>
            <w:tcW w:w="0" w:type="dxa"/>
            <w:vAlign w:val="bottom"/>
          </w:tcPr>
          <w:p>
            <w:pPr>
              <w:spacing w:after="0"/>
              <w:rPr>
                <w:sz w:val="1"/>
                <w:szCs w:val="1"/>
                <w:color w:val="auto"/>
              </w:rPr>
            </w:pPr>
          </w:p>
        </w:tc>
      </w:tr>
      <w:tr>
        <w:trPr>
          <w:trHeight w:val="206"/>
        </w:trPr>
        <w:tc>
          <w:tcPr>
            <w:tcW w:w="61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Borrowings on debt</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847,547</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1,108,097</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902,000</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Payments on debt</w:t>
            </w:r>
          </w:p>
        </w:tc>
        <w:tc>
          <w:tcPr>
            <w:tcW w:w="160" w:type="dxa"/>
            <w:vAlign w:val="bottom"/>
          </w:tcPr>
          <w:p>
            <w:pPr>
              <w:spacing w:after="0"/>
              <w:rPr>
                <w:sz w:val="17"/>
                <w:szCs w:val="17"/>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(584,481)</w:t>
            </w:r>
          </w:p>
        </w:tc>
        <w:tc>
          <w:tcPr>
            <w:tcW w:w="160" w:type="dxa"/>
            <w:vAlign w:val="bottom"/>
          </w:tcPr>
          <w:p>
            <w:pPr>
              <w:spacing w:after="0"/>
              <w:rPr>
                <w:sz w:val="17"/>
                <w:szCs w:val="17"/>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7"/>
                <w:szCs w:val="17"/>
                <w:color w:val="auto"/>
              </w:rPr>
              <w:t>(1,135,388)</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(801,569)</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Debt issuance costs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(1,452)</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(6,766)</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(1,615)</w:t>
            </w:r>
          </w:p>
        </w:tc>
        <w:tc>
          <w:tcPr>
            <w:tcW w:w="0" w:type="dxa"/>
            <w:vAlign w:val="bottom"/>
          </w:tcPr>
          <w:p>
            <w:pPr>
              <w:spacing w:after="0"/>
              <w:rPr>
                <w:sz w:val="1"/>
                <w:szCs w:val="1"/>
                <w:color w:val="auto"/>
              </w:rPr>
            </w:pPr>
          </w:p>
        </w:tc>
      </w:tr>
      <w:tr>
        <w:trPr>
          <w:trHeight w:val="185"/>
        </w:trPr>
        <w:tc>
          <w:tcPr>
            <w:tcW w:w="6180" w:type="dxa"/>
            <w:vAlign w:val="bottom"/>
          </w:tcPr>
          <w:p>
            <w:pPr>
              <w:spacing w:after="0" w:line="185" w:lineRule="exact"/>
              <w:rPr>
                <w:sz w:val="20"/>
                <w:szCs w:val="20"/>
                <w:color w:val="auto"/>
              </w:rPr>
            </w:pPr>
            <w:r>
              <w:rPr>
                <w:rFonts w:ascii="Arial" w:cs="Arial" w:eastAsia="Arial" w:hAnsi="Arial"/>
                <w:sz w:val="17"/>
                <w:szCs w:val="17"/>
                <w:color w:val="auto"/>
              </w:rPr>
              <w:t>Proceeds from issuance of common stock, net of offering and underwriting</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Arial" w:cs="Arial" w:eastAsia="Arial" w:hAnsi="Arial"/>
                <w:sz w:val="17"/>
                <w:szCs w:val="17"/>
                <w:color w:val="auto"/>
              </w:rPr>
              <w:t>costs</w:t>
            </w:r>
          </w:p>
        </w:tc>
        <w:tc>
          <w:tcPr>
            <w:tcW w:w="160" w:type="dxa"/>
            <w:vAlign w:val="bottom"/>
          </w:tcPr>
          <w:p>
            <w:pPr>
              <w:spacing w:after="0"/>
              <w:rPr>
                <w:sz w:val="18"/>
                <w:szCs w:val="18"/>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7"/>
                <w:szCs w:val="17"/>
                <w:color w:val="auto"/>
              </w:rPr>
              <w:t>(27)</w:t>
            </w:r>
          </w:p>
        </w:tc>
        <w:tc>
          <w:tcPr>
            <w:tcW w:w="16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234,419</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56,857</w:t>
            </w:r>
          </w:p>
        </w:tc>
        <w:tc>
          <w:tcPr>
            <w:tcW w:w="0" w:type="dxa"/>
            <w:vAlign w:val="bottom"/>
          </w:tcPr>
          <w:p>
            <w:pPr>
              <w:spacing w:after="0"/>
              <w:rPr>
                <w:sz w:val="1"/>
                <w:szCs w:val="1"/>
                <w:color w:val="auto"/>
              </w:rPr>
            </w:pPr>
          </w:p>
        </w:tc>
      </w:tr>
      <w:tr>
        <w:trPr>
          <w:trHeight w:val="207"/>
        </w:trPr>
        <w:tc>
          <w:tcPr>
            <w:tcW w:w="618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to stockholders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(78,063)</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(52,589)</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(24,396)</w:t>
            </w:r>
          </w:p>
        </w:tc>
        <w:tc>
          <w:tcPr>
            <w:tcW w:w="0" w:type="dxa"/>
            <w:vAlign w:val="bottom"/>
          </w:tcPr>
          <w:p>
            <w:pPr>
              <w:spacing w:after="0"/>
              <w:rPr>
                <w:sz w:val="1"/>
                <w:szCs w:val="1"/>
                <w:color w:val="auto"/>
              </w:rPr>
            </w:pPr>
          </w:p>
        </w:tc>
      </w:tr>
      <w:tr>
        <w:trPr>
          <w:trHeight w:val="217"/>
        </w:trPr>
        <w:tc>
          <w:tcPr>
            <w:tcW w:w="6180" w:type="dxa"/>
            <w:vAlign w:val="bottom"/>
          </w:tcPr>
          <w:p>
            <w:pPr>
              <w:ind w:left="700"/>
              <w:spacing w:after="0"/>
              <w:rPr>
                <w:sz w:val="20"/>
                <w:szCs w:val="20"/>
                <w:color w:val="auto"/>
              </w:rPr>
            </w:pPr>
            <w:r>
              <w:rPr>
                <w:rFonts w:ascii="Arial" w:cs="Arial" w:eastAsia="Arial" w:hAnsi="Arial"/>
                <w:sz w:val="17"/>
                <w:szCs w:val="17"/>
                <w:b w:val="1"/>
                <w:bCs w:val="1"/>
                <w:color w:val="auto"/>
              </w:rPr>
              <w:t>Net Cash Provided by Financing Activities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183,524</w:t>
            </w:r>
          </w:p>
        </w:tc>
        <w:tc>
          <w:tcPr>
            <w:tcW w:w="8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147,773</w:t>
            </w: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131,277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Net Increase (Decrease) in Cash and Cash Equivalents</w:t>
            </w:r>
          </w:p>
        </w:tc>
        <w:tc>
          <w:tcPr>
            <w:tcW w:w="160" w:type="dxa"/>
            <w:vAlign w:val="bottom"/>
            <w:shd w:val="clear" w:color="auto" w:fill="CCEEFF"/>
          </w:tcPr>
          <w:p>
            <w:pPr>
              <w:spacing w:after="0"/>
              <w:rPr>
                <w:sz w:val="17"/>
                <w:szCs w:val="17"/>
                <w:color w:val="auto"/>
              </w:rPr>
            </w:pP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(1,058)</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(158,354)</w:t>
            </w:r>
          </w:p>
        </w:tc>
        <w:tc>
          <w:tcPr>
            <w:tcW w:w="0" w:type="dxa"/>
            <w:vAlign w:val="bottom"/>
          </w:tcPr>
          <w:p>
            <w:pPr>
              <w:spacing w:after="0"/>
              <w:rPr>
                <w:sz w:val="1"/>
                <w:szCs w:val="1"/>
                <w:color w:val="auto"/>
              </w:rPr>
            </w:pPr>
          </w:p>
        </w:tc>
      </w:tr>
      <w:tr>
        <w:trPr>
          <w:trHeight w:val="203"/>
        </w:trPr>
        <w:tc>
          <w:tcPr>
            <w:tcW w:w="618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160" w:type="dxa"/>
            <w:vAlign w:val="bottom"/>
          </w:tcPr>
          <w:p>
            <w:pPr>
              <w:spacing w:after="0"/>
              <w:rPr>
                <w:sz w:val="17"/>
                <w:szCs w:val="17"/>
                <w:color w:val="auto"/>
              </w:rPr>
            </w:pP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2,413</w:t>
            </w:r>
          </w:p>
        </w:tc>
        <w:tc>
          <w:tcPr>
            <w:tcW w:w="160" w:type="dxa"/>
            <w:vAlign w:val="bottom"/>
          </w:tcPr>
          <w:p>
            <w:pPr>
              <w:spacing w:after="0"/>
              <w:rPr>
                <w:sz w:val="17"/>
                <w:szCs w:val="17"/>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3,471</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161,825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b w:val="1"/>
                <w:bCs w:val="1"/>
                <w:color w:val="auto"/>
              </w:rPr>
              <w:t>Cash and Cash Equivalents, End of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2,431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2,413</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3,471</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Arial" w:cs="Arial" w:eastAsia="Arial" w:hAnsi="Arial"/>
                <w:sz w:val="17"/>
                <w:szCs w:val="17"/>
                <w:color w:val="auto"/>
              </w:rPr>
              <w:t>Supplemental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Interest paid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11,000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11,394</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8,792</w:t>
            </w:r>
          </w:p>
        </w:tc>
        <w:tc>
          <w:tcPr>
            <w:tcW w:w="0" w:type="dxa"/>
            <w:vAlign w:val="bottom"/>
          </w:tcPr>
          <w:p>
            <w:pPr>
              <w:spacing w:after="0"/>
              <w:rPr>
                <w:sz w:val="1"/>
                <w:szCs w:val="1"/>
                <w:color w:val="auto"/>
              </w:rPr>
            </w:pPr>
          </w:p>
        </w:tc>
      </w:tr>
      <w:tr>
        <w:trPr>
          <w:trHeight w:val="203"/>
        </w:trPr>
        <w:tc>
          <w:tcPr>
            <w:tcW w:w="6180" w:type="dxa"/>
            <w:vAlign w:val="bottom"/>
          </w:tcPr>
          <w:p>
            <w:pPr>
              <w:ind w:left="700"/>
              <w:spacing w:after="0"/>
              <w:rPr>
                <w:sz w:val="20"/>
                <w:szCs w:val="20"/>
                <w:color w:val="auto"/>
              </w:rPr>
            </w:pPr>
            <w:r>
              <w:rPr>
                <w:rFonts w:ascii="Arial" w:cs="Arial" w:eastAsia="Arial" w:hAnsi="Arial"/>
                <w:sz w:val="17"/>
                <w:szCs w:val="17"/>
                <w:color w:val="auto"/>
              </w:rPr>
              <w:t>Excise taxes paid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1,200</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199</w:t>
            </w:r>
          </w:p>
        </w:tc>
        <w:tc>
          <w:tcPr>
            <w:tcW w:w="440" w:type="dxa"/>
            <w:vAlign w:val="bottom"/>
          </w:tcPr>
          <w:p>
            <w:pPr>
              <w:spacing w:after="0"/>
              <w:rPr>
                <w:sz w:val="17"/>
                <w:szCs w:val="17"/>
                <w:color w:val="auto"/>
              </w:rPr>
            </w:pP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3"/>
        </w:trPr>
        <w:tc>
          <w:tcPr>
            <w:tcW w:w="6180" w:type="dxa"/>
            <w:vAlign w:val="bottom"/>
            <w:shd w:val="clear" w:color="auto" w:fill="CCEEFF"/>
          </w:tcPr>
          <w:p>
            <w:pPr>
              <w:ind w:left="700"/>
              <w:spacing w:after="0"/>
              <w:rPr>
                <w:sz w:val="20"/>
                <w:szCs w:val="20"/>
                <w:color w:val="auto"/>
              </w:rPr>
            </w:pPr>
            <w:r>
              <w:rPr>
                <w:rFonts w:ascii="Arial" w:cs="Arial" w:eastAsia="Arial" w:hAnsi="Arial"/>
                <w:sz w:val="17"/>
                <w:szCs w:val="17"/>
                <w:color w:val="auto"/>
              </w:rPr>
              <w:t>Dividends declared during the period</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20" w:type="dxa"/>
            <w:vAlign w:val="bottom"/>
            <w:gridSpan w:val="2"/>
            <w:shd w:val="clear" w:color="auto" w:fill="CCEEFF"/>
          </w:tcPr>
          <w:p>
            <w:pPr>
              <w:jc w:val="right"/>
              <w:ind w:right="820"/>
              <w:spacing w:after="0"/>
              <w:rPr>
                <w:sz w:val="20"/>
                <w:szCs w:val="20"/>
                <w:color w:val="auto"/>
              </w:rPr>
            </w:pPr>
            <w:r>
              <w:rPr>
                <w:rFonts w:ascii="Arial" w:cs="Arial" w:eastAsia="Arial" w:hAnsi="Arial"/>
                <w:sz w:val="17"/>
                <w:szCs w:val="17"/>
                <w:color w:val="auto"/>
              </w:rPr>
              <w:t>84,297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81,326</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55,385</w:t>
            </w:r>
          </w:p>
        </w:tc>
        <w:tc>
          <w:tcPr>
            <w:tcW w:w="0" w:type="dxa"/>
            <w:vAlign w:val="bottom"/>
          </w:tcPr>
          <w:p>
            <w:pPr>
              <w:spacing w:after="0"/>
              <w:rPr>
                <w:sz w:val="1"/>
                <w:szCs w:val="1"/>
                <w:color w:val="auto"/>
              </w:rPr>
            </w:pPr>
          </w:p>
        </w:tc>
      </w:tr>
      <w:tr>
        <w:trPr>
          <w:trHeight w:val="216"/>
        </w:trPr>
        <w:tc>
          <w:tcPr>
            <w:tcW w:w="6180" w:type="dxa"/>
            <w:vAlign w:val="bottom"/>
          </w:tcPr>
          <w:p>
            <w:pPr>
              <w:ind w:left="700"/>
              <w:spacing w:after="0"/>
              <w:rPr>
                <w:sz w:val="20"/>
                <w:szCs w:val="20"/>
                <w:color w:val="auto"/>
              </w:rPr>
            </w:pPr>
            <w:r>
              <w:rPr>
                <w:rFonts w:ascii="Arial" w:cs="Arial" w:eastAsia="Arial" w:hAnsi="Arial"/>
                <w:sz w:val="17"/>
                <w:szCs w:val="17"/>
                <w:color w:val="auto"/>
              </w:rPr>
              <w:t>Reinvestment of dividends during the period</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7"/>
                <w:szCs w:val="17"/>
                <w:color w:val="auto"/>
              </w:rPr>
              <w:t>6,094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440"/>
              <w:spacing w:after="0"/>
              <w:rPr>
                <w:sz w:val="20"/>
                <w:szCs w:val="20"/>
                <w:color w:val="auto"/>
              </w:rPr>
            </w:pPr>
            <w:r>
              <w:rPr>
                <w:rFonts w:ascii="Arial" w:cs="Arial" w:eastAsia="Arial" w:hAnsi="Arial"/>
                <w:sz w:val="17"/>
                <w:szCs w:val="17"/>
                <w:color w:val="auto"/>
              </w:rPr>
              <w:t>22,566</w:t>
            </w:r>
          </w:p>
        </w:tc>
        <w:tc>
          <w:tcPr>
            <w:tcW w:w="54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26,438</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unless otherwise indicated)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78"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On March 21, 2014, the Company completed its initial public offering (“IPO”) and the Company’s shares began trading on the New York Stock Exchange (“NYSE”) under the symbol “TSLX.”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All intercompany balances and transactions have been eliminated in consolidation.</w:t>
      </w:r>
    </w:p>
    <w:p>
      <w:pPr>
        <w:spacing w:after="0" w:line="187"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70"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 xml:space="preserve">The Company is an investment company and, therefore, applies the specialized accounting and reporting guidance in Accounting Standards Codification (“ASC”) Topic 946, </w:t>
      </w:r>
      <w:r>
        <w:rPr>
          <w:rFonts w:ascii="Arial" w:cs="Arial" w:eastAsia="Arial" w:hAnsi="Arial"/>
          <w:sz w:val="18"/>
          <w:szCs w:val="18"/>
          <w:i w:val="1"/>
          <w:iCs w:val="1"/>
          <w:color w:val="auto"/>
        </w:rPr>
        <w:t>Financial Services – Investment Companies.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fiscal year ends on December 31.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Cash and cash equivalents may consist of demand deposits and highly liquid investments (e.g., money market funds, U.S. Treasury notes, and similar type instruments) with original maturities of three months or less.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at Fair Value</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58"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7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undertakes a multi-step valuation process, which includes, among other procedures, the following:</w:t>
      </w:r>
    </w:p>
    <w:p>
      <w:pPr>
        <w:spacing w:after="0" w:line="131" w:lineRule="exact"/>
        <w:rPr>
          <w:sz w:val="20"/>
          <w:szCs w:val="20"/>
          <w:color w:val="auto"/>
        </w:rPr>
      </w:pPr>
    </w:p>
    <w:p>
      <w:pPr>
        <w:ind w:left="90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Adviser’s management reviews the preliminary valuations with the investment professionals. Agreed upon valuation recommendations are presented to the Audit Committee.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Audit Committee reviews the valuations presented and recommends values for each investment to the Board.</w:t>
      </w:r>
    </w:p>
    <w:p>
      <w:pPr>
        <w:spacing w:after="0" w:line="130" w:lineRule="exact"/>
        <w:rPr>
          <w:rFonts w:ascii="Arial" w:cs="Arial" w:eastAsia="Arial" w:hAnsi="Arial"/>
          <w:sz w:val="18"/>
          <w:szCs w:val="18"/>
          <w:color w:val="auto"/>
        </w:rPr>
      </w:pPr>
    </w:p>
    <w:p>
      <w:pPr>
        <w:jc w:val="both"/>
        <w:ind w:left="900" w:right="520" w:hanging="325"/>
        <w:spacing w:after="0" w:line="264" w:lineRule="auto"/>
        <w:tabs>
          <w:tab w:leader="none" w:pos="9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currently conducts this valuation process on a quarterly basis.</w:t>
      </w:r>
    </w:p>
    <w:p>
      <w:pPr>
        <w:spacing w:after="0" w:line="22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December 31, 2015, the independent third-party valuation firms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60"/>
          </w:cols>
          <w:pgMar w:left="240" w:top="460" w:right="2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Company applies Financial Accounting Standards Board Accounting Standards Codification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3" w:lineRule="exact"/>
        <w:rPr>
          <w:sz w:val="20"/>
          <w:szCs w:val="20"/>
          <w:color w:val="auto"/>
        </w:rPr>
      </w:pPr>
    </w:p>
    <w:p>
      <w:pPr>
        <w:ind w:left="900" w:hanging="325"/>
        <w:spacing w:after="0"/>
        <w:tabs>
          <w:tab w:leader="none" w:pos="9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right="360" w:hanging="325"/>
        <w:spacing w:after="0" w:line="277" w:lineRule="auto"/>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2—Valuations based on quoted prices in markets that are not active or for which all significant inputs are observable, either directly or indirectly.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79"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93"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and Derivative Instruments</w:t>
      </w:r>
    </w:p>
    <w:p>
      <w:pPr>
        <w:spacing w:after="0" w:line="117"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Derivatives, including the Company’s interest rate swaps, for which broker quotes are available are typically valued at those broker quotes.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Assets and Liabilities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7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currency amounts are translated into U.S. dollars on the following basis:</w:t>
      </w:r>
    </w:p>
    <w:p>
      <w:pPr>
        <w:spacing w:after="0" w:line="131" w:lineRule="exact"/>
        <w:rPr>
          <w:sz w:val="20"/>
          <w:szCs w:val="20"/>
          <w:color w:val="auto"/>
        </w:rPr>
      </w:pPr>
    </w:p>
    <w:p>
      <w:pPr>
        <w:ind w:left="900" w:right="40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purchases and sales of investments, borrowings and repayments of such borrowings, income and expenses: at the rates of exchange prevailing on the respective dates of such transactions.</w:t>
      </w:r>
    </w:p>
    <w:p>
      <w:pPr>
        <w:spacing w:after="0" w:line="170"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8"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 Expenses</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Dividend Income Recognition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8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78"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of Transaction-Related Expenses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54"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to Common Stockholders</w:t>
      </w:r>
    </w:p>
    <w:p>
      <w:pPr>
        <w:spacing w:after="0" w:line="11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81" w:lineRule="exact"/>
        <w:rPr>
          <w:sz w:val="20"/>
          <w:szCs w:val="20"/>
          <w:color w:val="auto"/>
        </w:rPr>
      </w:pPr>
    </w:p>
    <w:p>
      <w:pPr>
        <w:jc w:val="both"/>
        <w:ind w:right="220" w:firstLine="456"/>
        <w:spacing w:after="0" w:line="302" w:lineRule="auto"/>
        <w:rPr>
          <w:sz w:val="20"/>
          <w:szCs w:val="20"/>
          <w:color w:val="auto"/>
        </w:rPr>
      </w:pPr>
      <w:r>
        <w:rPr>
          <w:rFonts w:ascii="Arial" w:cs="Arial" w:eastAsia="Arial" w:hAnsi="Arial"/>
          <w:sz w:val="16"/>
          <w:szCs w:val="16"/>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primarily uses newly issued shares to implement the dividend reinvestment plan.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April 2015, the Financial Accounting Standards Board issued Accounting Standards Update No. 2015-03 (“ASU 2015-03”), </w:t>
      </w:r>
      <w:r>
        <w:rPr>
          <w:rFonts w:ascii="Arial" w:cs="Arial" w:eastAsia="Arial" w:hAnsi="Arial"/>
          <w:sz w:val="18"/>
          <w:szCs w:val="18"/>
          <w:i w:val="1"/>
          <w:iCs w:val="1"/>
          <w:color w:val="auto"/>
        </w:rPr>
        <w:t>“Interest – Imputation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Interest (Subtopic 835-30): Simplifying the Presentation of Debt Issuance Costs.” </w:t>
      </w:r>
      <w:r>
        <w:rPr>
          <w:rFonts w:ascii="Arial" w:cs="Arial" w:eastAsia="Arial" w:hAnsi="Arial"/>
          <w:sz w:val="18"/>
          <w:szCs w:val="18"/>
          <w:color w:val="auto"/>
        </w:rPr>
        <w:t>ASU 2015-03 requires that debt issuance costs be presented as a direct</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February 2015, the Financial Accounting Standards Board issued Accounting Standards Update No. 2015-02 (“ASU 2015-02”),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810): Amendments to the Consolidation Analysis.” </w:t>
      </w:r>
      <w:r>
        <w:rPr>
          <w:rFonts w:ascii="Arial" w:cs="Arial" w:eastAsia="Arial" w:hAnsi="Arial"/>
          <w:sz w:val="18"/>
          <w:szCs w:val="18"/>
          <w:color w:val="auto"/>
        </w:rPr>
        <w:t>ASU 2015-02 modifies the consolidation analysis for limited partnerships and similar type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as well as variable interests in a variable interest entity, particularly those that have fee arrangements and related party relationships. Additionally, it provides a scope exception to the consolidation guidance for certain entities. ASU No. 2015-02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60" w:right="2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 August 2014, the Financial Accounting Standards Board issued Accounting Standards Update 2014–15 (“ASU 2014-15”), “</w:t>
      </w:r>
      <w:r>
        <w:rPr>
          <w:rFonts w:ascii="Arial" w:cs="Arial" w:eastAsia="Arial" w:hAnsi="Arial"/>
          <w:sz w:val="17"/>
          <w:szCs w:val="17"/>
          <w:i w:val="1"/>
          <w:iCs w:val="1"/>
          <w:color w:val="auto"/>
        </w:rPr>
        <w:t>Presentation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Going Concern (Subtopic 205 – 40): Disclosure of Uncertainties About an Entity’s Ability to Continue as a Going Concern</w:t>
      </w:r>
      <w:r>
        <w:rPr>
          <w:rFonts w:ascii="Arial" w:cs="Arial" w:eastAsia="Arial" w:hAnsi="Arial"/>
          <w:sz w:val="17"/>
          <w:szCs w:val="17"/>
          <w:color w:val="auto"/>
        </w:rPr>
        <w:t>.” ASU</w:t>
      </w:r>
      <w:r>
        <w:rPr>
          <w:rFonts w:ascii="Arial" w:cs="Arial" w:eastAsia="Arial" w:hAnsi="Arial"/>
          <w:sz w:val="17"/>
          <w:szCs w:val="17"/>
          <w:i w:val="1"/>
          <w:iCs w:val="1"/>
          <w:color w:val="auto"/>
        </w:rPr>
        <w:t xml:space="preserve"> </w:t>
      </w:r>
      <w:r>
        <w:rPr>
          <w:rFonts w:ascii="Arial" w:cs="Arial" w:eastAsia="Arial" w:hAnsi="Arial"/>
          <w:sz w:val="17"/>
          <w:szCs w:val="17"/>
          <w:color w:val="auto"/>
        </w:rPr>
        <w:t>2014-15 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7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Accounting Standards Update 2014-09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(Topic 606).” </w:t>
      </w:r>
      <w:r>
        <w:rPr>
          <w:rFonts w:ascii="Arial" w:cs="Arial" w:eastAsia="Arial" w:hAnsi="Arial"/>
          <w:sz w:val="16"/>
          <w:szCs w:val="16"/>
          <w:color w:val="auto"/>
        </w:rPr>
        <w:t>The guidance in this ASU supersedes the revenue recognition requirements in Topic 605, Revenue Recognition. Under the new</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 and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 Agreement</w:t>
      </w:r>
    </w:p>
    <w:p>
      <w:pPr>
        <w:spacing w:after="0" w:line="117"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7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For the years ended December 31, 2015, 2014 and 2013, the Company incurred expenses of $3.6 million, $2.7 million and $1.4 million, respectively, for administrative services payable to the Adviser under the terms of the Administration Agreement.</w:t>
      </w:r>
    </w:p>
    <w:p>
      <w:pPr>
        <w:spacing w:after="0" w:line="170"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On November 3, 2015, the Board renewed the Administration Agreement. Unless earlier terminated as described below, the Administration Agreement will remain in effect until November 3, 2016,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Advisory Agreement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2015, 2014 and 2013, Management Fees were $21.3 million, $18.3 million and $13.4 million, respectively.</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Until the Company’s initial public offering ( the “IPO”), the Adviser had waived its right to receive the Management Fee in excess of the sum of</w:t>
      </w:r>
    </w:p>
    <w:p>
      <w:pPr>
        <w:spacing w:after="0" w:line="35" w:lineRule="exact"/>
        <w:rPr>
          <w:sz w:val="20"/>
          <w:szCs w:val="20"/>
          <w:color w:val="auto"/>
        </w:rPr>
      </w:pPr>
    </w:p>
    <w:p>
      <w:pPr>
        <w:ind w:right="360" w:firstLine="8"/>
        <w:spacing w:after="0" w:line="261" w:lineRule="auto"/>
        <w:tabs>
          <w:tab w:leader="none" w:pos="21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0.25% of aggregate committed but undrawn capital; and, (ii) 0.75% of aggregate drawn capital (including capital drawn to pay Company expenses) as determined as of the end of any calendar quarter (the “Pre-IPO Waiver”).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Adviser has voluntarily waived the Management Fee on the Company’s ownership of shares of common stock in TICC Capital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“TICC Shares”) for any period in which TICC Capital Corp. remains a portfolio company of the Company.</w:t>
      </w:r>
    </w:p>
    <w:p>
      <w:pPr>
        <w:spacing w:after="0" w:line="211" w:lineRule="exact"/>
        <w:rPr>
          <w:sz w:val="20"/>
          <w:szCs w:val="20"/>
          <w:color w:val="auto"/>
        </w:rPr>
      </w:pPr>
    </w:p>
    <w:p>
      <w:pPr>
        <w:ind w:right="480" w:firstLine="456"/>
        <w:spacing w:after="0" w:line="286" w:lineRule="auto"/>
        <w:rPr>
          <w:sz w:val="20"/>
          <w:szCs w:val="20"/>
          <w:color w:val="auto"/>
        </w:rPr>
      </w:pPr>
      <w:r>
        <w:rPr>
          <w:rFonts w:ascii="Arial" w:cs="Arial" w:eastAsia="Arial" w:hAnsi="Arial"/>
          <w:sz w:val="17"/>
          <w:szCs w:val="17"/>
          <w:color w:val="auto"/>
        </w:rPr>
        <w:t>For the year ended December 31, 2015, Management Fees of $0.1 million were waived, consisting solely of Management Fees attributable to the Company’s ownership of the TICC shares. For the years ended December 31, 2014 and 2013, Management Fees of $2.5 million and $7.1 million, respectively, were waived pursuant to the Pre-IPO Waiver. Any waived Management Fees are not subject to recoupment by the Adviser.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900" w:right="20" w:hanging="446"/>
        <w:spacing w:after="0" w:line="271"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1" w:lineRule="exact"/>
        <w:rPr>
          <w:sz w:val="20"/>
          <w:szCs w:val="20"/>
          <w:color w:val="auto"/>
        </w:rPr>
      </w:pPr>
    </w:p>
    <w:p>
      <w:pPr>
        <w:ind w:left="920" w:right="180"/>
        <w:spacing w:after="0" w:line="297" w:lineRule="auto"/>
        <w:rPr>
          <w:sz w:val="20"/>
          <w:szCs w:val="20"/>
          <w:color w:val="auto"/>
        </w:rPr>
      </w:pPr>
      <w:r>
        <w:rPr>
          <w:rFonts w:ascii="Arial" w:cs="Arial" w:eastAsia="Arial" w:hAnsi="Arial"/>
          <w:sz w:val="16"/>
          <w:szCs w:val="16"/>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459" w:right="2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20"/>
        <w:spacing w:after="0" w:line="264" w:lineRule="auto"/>
        <w:rPr>
          <w:sz w:val="20"/>
          <w:szCs w:val="20"/>
          <w:color w:val="auto"/>
        </w:rPr>
      </w:pPr>
      <w:r>
        <w:rPr>
          <w:rFonts w:ascii="Arial" w:cs="Arial" w:eastAsia="Arial" w:hAnsi="Arial"/>
          <w:sz w:val="18"/>
          <w:szCs w:val="18"/>
          <w:color w:val="auto"/>
        </w:rPr>
        <w:t>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3"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95" w:lineRule="exact"/>
        <w:rPr>
          <w:sz w:val="20"/>
          <w:szCs w:val="20"/>
          <w:color w:val="auto"/>
        </w:rPr>
      </w:pPr>
    </w:p>
    <w:p>
      <w:pPr>
        <w:ind w:left="900" w:right="20" w:hanging="446"/>
        <w:spacing w:after="0" w:line="289"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6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29" w:lineRule="exact"/>
        <w:rPr>
          <w:sz w:val="20"/>
          <w:szCs w:val="20"/>
          <w:color w:val="auto"/>
        </w:rPr>
      </w:pPr>
    </w:p>
    <w:p>
      <w:pPr>
        <w:ind w:left="900" w:hanging="325"/>
        <w:spacing w:after="0"/>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net assets as of the end of the calendar quarter immediately preceding the day; plus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aggregate amount of capital drawn from investors (or reinvested pursuant to the dividend reinvestment plan) from the beginning of the current quarter to the day; minus</w:t>
      </w:r>
    </w:p>
    <w:p>
      <w:pPr>
        <w:spacing w:after="0" w:line="75" w:lineRule="exact"/>
        <w:rPr>
          <w:rFonts w:ascii="Arial" w:cs="Arial" w:eastAsia="Arial" w:hAnsi="Arial"/>
          <w:sz w:val="18"/>
          <w:szCs w:val="18"/>
          <w:color w:val="auto"/>
        </w:rPr>
      </w:pPr>
    </w:p>
    <w:p>
      <w:pPr>
        <w:ind w:left="900" w:right="240" w:hanging="325"/>
        <w:spacing w:after="0" w:line="30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47" w:lineRule="exact"/>
        <w:rPr>
          <w:sz w:val="20"/>
          <w:szCs w:val="20"/>
          <w:color w:val="auto"/>
        </w:rPr>
      </w:pPr>
    </w:p>
    <w:p>
      <w:pPr>
        <w:ind w:right="600" w:firstLine="456"/>
        <w:spacing w:after="0" w:line="342" w:lineRule="auto"/>
        <w:rPr>
          <w:sz w:val="20"/>
          <w:szCs w:val="20"/>
          <w:color w:val="auto"/>
        </w:rPr>
      </w:pPr>
      <w:r>
        <w:rPr>
          <w:rFonts w:ascii="Arial" w:cs="Arial" w:eastAsia="Arial" w:hAnsi="Arial"/>
          <w:sz w:val="16"/>
          <w:szCs w:val="16"/>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2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8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For the year ended December 31, 2015, Incentive Fees were $20.2 million which were realized and payable to the Adviser. For the year ended December 31, 2014, Incentive Fees were $17.8 million, of which $20.8 million were realized and payable to the Adviser. For the year ended December 31, 2013, Incentive Fees were $11.8 million, of which $10.4 million were realized and payable to the Adviser.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Adviser has voluntarily waived the Incentive Fees attributable to pre-Incentive Fee net investment income accrued by the Company as a result of the Company’s ownership of the TICC Shares for any period in which TICC Capital Corp. remains a portfolio company of the Company. The Adviser has not waived any part of the Capital Gains Fee attributable to the Company’s ownership of the TICC Shares and, accordingly, any realized capital gains or losses and unrealized capital depreciation with respect to the TICC Shares will be applied against the Company’s cumulative realized capital gains on which the Capital Gains Fee is calculated.</w:t>
      </w:r>
    </w:p>
    <w:p>
      <w:pPr>
        <w:spacing w:after="0" w:line="18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For the year ended December 31, 2015, Incentive Fees of $0.2 million were waived, consisting solely of Incentive Fees attributable to the Company’s ownership of the TICC Shares. For the years ending December 31, 2014 and 2013, no Incentive Fees were waived, as the Company did not hold any TICC Shares during such periods. Any waived Incentive Fees are not subject to recoupment by the Adviser.</w:t>
      </w:r>
    </w:p>
    <w:p>
      <w:pPr>
        <w:spacing w:after="0" w:line="18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Following the IPO, with the exception of its waiver of Management Fees and certain Incentive Fees attributable to the Company’s ownership of the TICC Shares, the Adviser has not waived its right to receive any Management Fees or Incentive Fees payable pursuant to the Investment Advisory Agreement. There can be no assurance that the Adviser will continue to waive Management Fees or Incentive Fees related to the Company’s ownership of the TICC Shares, as the Adviser can discontinue the voluntary waiver at any time. Accordingly, the Company may be required to continue to pay the full amount of the Management Fee and Incentive Fee, including with respect to the TICC Shares, in future periods.</w:t>
      </w:r>
    </w:p>
    <w:p>
      <w:pPr>
        <w:spacing w:after="0" w:line="17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November 3, 2015, the Board renewed the Investment Advisory Agreement. Unless earlier terminated as described below, the Investment Advisory Agreement will remain in effect until November 3, 2016,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47"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at Fair Value</w:t>
      </w:r>
    </w:p>
    <w:p>
      <w:pPr>
        <w:spacing w:after="0" w:line="12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at fair value consisted of the following at December 31, 2015 and 2014:</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 2015</w:t>
            </w: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1,333,080</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$1,310,183</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126,049</w:t>
            </w:r>
          </w:p>
        </w:tc>
        <w:tc>
          <w:tcPr>
            <w:tcW w:w="2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121,223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(4,826)</w:t>
            </w:r>
          </w:p>
        </w:tc>
        <w:tc>
          <w:tcPr>
            <w:tcW w:w="0" w:type="dxa"/>
            <w:vAlign w:val="bottom"/>
          </w:tcPr>
          <w:p>
            <w:pPr>
              <w:spacing w:after="0"/>
              <w:rPr>
                <w:sz w:val="1"/>
                <w:szCs w:val="1"/>
                <w:color w:val="auto"/>
              </w:rPr>
            </w:pPr>
          </w:p>
        </w:tc>
      </w:tr>
      <w:tr>
        <w:trPr>
          <w:trHeight w:val="216"/>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w:t>
            </w:r>
          </w:p>
        </w:tc>
        <w:tc>
          <w:tcPr>
            <w:tcW w:w="26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27,965</w:t>
            </w:r>
          </w:p>
        </w:tc>
        <w:tc>
          <w:tcPr>
            <w:tcW w:w="440" w:type="dxa"/>
            <w:vAlign w:val="bottom"/>
            <w:tcBorders>
              <w:lef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40,796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26,338</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(14,458)</w:t>
            </w:r>
          </w:p>
        </w:tc>
        <w:tc>
          <w:tcPr>
            <w:tcW w:w="0" w:type="dxa"/>
            <w:vAlign w:val="bottom"/>
          </w:tcPr>
          <w:p>
            <w:pPr>
              <w:spacing w:after="0"/>
              <w:rPr>
                <w:sz w:val="1"/>
                <w:szCs w:val="1"/>
                <w:color w:val="auto"/>
              </w:rPr>
            </w:pPr>
          </w:p>
        </w:tc>
      </w:tr>
      <w:tr>
        <w:trPr>
          <w:trHeight w:val="27"/>
        </w:trPr>
        <w:tc>
          <w:tcPr>
            <w:tcW w:w="506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1,529,676</w:t>
            </w:r>
          </w:p>
        </w:tc>
        <w:tc>
          <w:tcPr>
            <w:tcW w:w="260" w:type="dxa"/>
            <w:vAlign w:val="bottom"/>
            <w:tcBorders>
              <w:left w:val="single" w:sz="8" w:color="CCEEFF"/>
            </w:tcBorders>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1,485,709</w:t>
            </w:r>
          </w:p>
        </w:tc>
        <w:tc>
          <w:tcPr>
            <w:tcW w:w="44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(43,967)</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Amortized Cost</w:t>
            </w:r>
            <w:r>
              <w:rPr>
                <w:rFonts w:ascii="Arial" w:cs="Arial" w:eastAsia="Arial" w:hAnsi="Arial"/>
                <w:sz w:val="12"/>
                <w:szCs w:val="12"/>
                <w:b w:val="1"/>
                <w:bCs w:val="1"/>
                <w:color w:val="auto"/>
              </w:rPr>
              <w:t>(1)</w:t>
            </w:r>
          </w:p>
        </w:tc>
        <w:tc>
          <w:tcPr>
            <w:tcW w:w="540" w:type="dxa"/>
            <w:vAlign w:val="bottom"/>
          </w:tcPr>
          <w:p>
            <w:pPr>
              <w:spacing w:after="0"/>
              <w:rPr>
                <w:sz w:val="10"/>
                <w:szCs w:val="10"/>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Net 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5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Gain (Loss)</w:t>
            </w:r>
          </w:p>
        </w:tc>
        <w:tc>
          <w:tcPr>
            <w:tcW w:w="0" w:type="dxa"/>
            <w:vAlign w:val="bottom"/>
          </w:tcPr>
          <w:p>
            <w:pPr>
              <w:spacing w:after="0"/>
              <w:rPr>
                <w:sz w:val="1"/>
                <w:szCs w:val="1"/>
                <w:color w:val="auto"/>
              </w:rPr>
            </w:pPr>
          </w:p>
        </w:tc>
      </w:tr>
      <w:tr>
        <w:trPr>
          <w:trHeight w:val="210"/>
        </w:trPr>
        <w:tc>
          <w:tcPr>
            <w:tcW w:w="506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1,127,215</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540" w:type="dxa"/>
            <w:vAlign w:val="bottom"/>
            <w:tcBorders>
              <w:top w:val="single" w:sz="8" w:color="CCEEFF"/>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440" w:type="dxa"/>
            <w:vAlign w:val="bottom"/>
            <w:tcBorders>
              <w:top w:val="single" w:sz="8" w:color="CCEEFF"/>
              <w:left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111,120</w:t>
            </w:r>
          </w:p>
        </w:tc>
        <w:tc>
          <w:tcPr>
            <w:tcW w:w="1780" w:type="dxa"/>
            <w:vAlign w:val="bottom"/>
            <w:gridSpan w:val="3"/>
          </w:tcPr>
          <w:p>
            <w:pPr>
              <w:jc w:val="right"/>
              <w:ind w:right="420"/>
              <w:spacing w:after="0"/>
              <w:rPr>
                <w:sz w:val="20"/>
                <w:szCs w:val="20"/>
                <w:color w:val="auto"/>
              </w:rPr>
            </w:pPr>
            <w:r>
              <w:rPr>
                <w:rFonts w:ascii="Arial" w:cs="Arial" w:eastAsia="Arial" w:hAnsi="Arial"/>
                <w:sz w:val="18"/>
                <w:szCs w:val="18"/>
                <w:color w:val="auto"/>
              </w:rPr>
              <w:t>111,408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5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13,414</w:t>
            </w: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12,964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21,503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14,893</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(6,610)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1,273,252</w:t>
            </w:r>
          </w:p>
        </w:tc>
        <w:tc>
          <w:tcPr>
            <w:tcW w:w="260" w:type="dxa"/>
            <w:vAlign w:val="bottom"/>
            <w:tcBorders>
              <w:left w:val="single" w:sz="8" w:color="CCEEFF"/>
            </w:tcBorders>
            <w:shd w:val="clear" w:color="auto" w:fill="CCEEFF"/>
          </w:tcPr>
          <w:p>
            <w:pPr>
              <w:spacing w:after="0"/>
              <w:rPr>
                <w:sz w:val="18"/>
                <w:szCs w:val="18"/>
                <w:color w:val="auto"/>
              </w:rPr>
            </w:pPr>
          </w:p>
        </w:tc>
        <w:tc>
          <w:tcPr>
            <w:tcW w:w="17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1,263,511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(9,741)</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line="277" w:lineRule="auto"/>
        <w:tabs>
          <w:tab w:leader="none" w:pos="4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amortized cost represents the original cost adjusted for the amortization of discounts or premiums, as applicable, on debt investments using the effective interest method.</w:t>
      </w:r>
    </w:p>
    <w:p>
      <w:pPr>
        <w:spacing w:after="0" w:line="17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industry composition of Investments at fair value at December 31, 2015 and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280" w:type="dxa"/>
            <w:vAlign w:val="bottom"/>
          </w:tcPr>
          <w:p>
            <w:pPr>
              <w:spacing w:after="0"/>
              <w:rPr>
                <w:sz w:val="14"/>
                <w:szCs w:val="14"/>
                <w:color w:val="auto"/>
              </w:rPr>
            </w:pPr>
          </w:p>
        </w:tc>
        <w:tc>
          <w:tcPr>
            <w:tcW w:w="34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December 31, 2015</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Automotive</w:t>
            </w:r>
          </w:p>
        </w:tc>
        <w:tc>
          <w:tcPr>
            <w:tcW w:w="160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600" w:type="dxa"/>
            <w:vAlign w:val="bottom"/>
            <w:vMerge w:val="continue"/>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w:t>
            </w:r>
          </w:p>
        </w:tc>
        <w:tc>
          <w:tcPr>
            <w:tcW w:w="580" w:type="dxa"/>
            <w:vAlign w:val="bottom"/>
            <w:vMerge w:val="continue"/>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Beverage, food, and tobacco</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21.2%</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Chemicals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0.5%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Containers and packaging</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Electronics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5.5%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Healthcare</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18.0%</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Human resource support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3.6%</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Internet services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3.6%</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Manufacturing</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Metals and mining</w:t>
            </w:r>
          </w:p>
        </w:tc>
        <w:tc>
          <w:tcPr>
            <w:tcW w:w="1600" w:type="dxa"/>
            <w:vAlign w:val="bottom"/>
          </w:tcPr>
          <w:p>
            <w:pPr>
              <w:spacing w:after="0"/>
              <w:rPr>
                <w:sz w:val="18"/>
                <w:szCs w:val="18"/>
                <w:color w:val="auto"/>
              </w:rPr>
            </w:pPr>
          </w:p>
        </w:tc>
        <w:tc>
          <w:tcPr>
            <w:tcW w:w="18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Office products</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Oil, gas and consumable fuels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3.2%</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Pharmaceuticals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0.7%</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Retail and consumer products</w:t>
            </w:r>
          </w:p>
        </w:tc>
        <w:tc>
          <w:tcPr>
            <w:tcW w:w="3460" w:type="dxa"/>
            <w:vAlign w:val="bottom"/>
            <w:gridSpan w:val="3"/>
          </w:tcPr>
          <w:p>
            <w:pPr>
              <w:jc w:val="right"/>
              <w:ind w:right="560"/>
              <w:spacing w:after="0"/>
              <w:rPr>
                <w:sz w:val="20"/>
                <w:szCs w:val="20"/>
                <w:color w:val="auto"/>
              </w:rPr>
            </w:pPr>
            <w:r>
              <w:rPr>
                <w:rFonts w:ascii="Arial" w:cs="Arial" w:eastAsia="Arial" w:hAnsi="Arial"/>
                <w:sz w:val="18"/>
                <w:szCs w:val="18"/>
                <w:color w:val="auto"/>
              </w:rPr>
              <w:t>8.5%</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w:t>
            </w:r>
          </w:p>
        </w:tc>
        <w:tc>
          <w:tcPr>
            <w:tcW w:w="16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6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80" w:type="dxa"/>
            <w:vAlign w:val="bottom"/>
            <w:vMerge w:val="continue"/>
          </w:tcPr>
          <w:p>
            <w:pPr>
              <w:spacing w:after="0"/>
              <w:rPr>
                <w:sz w:val="19"/>
                <w:szCs w:val="19"/>
                <w:color w:val="auto"/>
              </w:rPr>
            </w:pPr>
          </w:p>
        </w:tc>
        <w:tc>
          <w:tcPr>
            <w:tcW w:w="1600" w:type="dxa"/>
            <w:vAlign w:val="bottom"/>
            <w:vMerge w:val="continue"/>
          </w:tcPr>
          <w:p>
            <w:pPr>
              <w:spacing w:after="0"/>
              <w:rPr>
                <w:sz w:val="19"/>
                <w:szCs w:val="19"/>
                <w:color w:val="auto"/>
              </w:rPr>
            </w:pPr>
          </w:p>
        </w:tc>
        <w:tc>
          <w:tcPr>
            <w:tcW w:w="186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460" w:type="dxa"/>
            <w:vAlign w:val="bottom"/>
            <w:gridSpan w:val="3"/>
          </w:tcPr>
          <w:p>
            <w:pPr>
              <w:jc w:val="right"/>
              <w:ind w:right="2240"/>
              <w:spacing w:after="0"/>
              <w:rPr>
                <w:sz w:val="20"/>
                <w:szCs w:val="20"/>
                <w:color w:val="auto"/>
              </w:rPr>
            </w:pPr>
            <w:r>
              <w:rPr>
                <w:rFonts w:ascii="Arial" w:cs="Arial" w:eastAsia="Arial" w:hAnsi="Arial"/>
                <w:sz w:val="18"/>
                <w:szCs w:val="18"/>
                <w:color w:val="auto"/>
              </w:rPr>
              <w:t>F-25</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60" w:right="59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geographic composition of Investments at fair value at December 31, 2015 and 2014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378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December 31, 2015</w:t>
            </w:r>
          </w:p>
        </w:tc>
        <w:tc>
          <w:tcPr>
            <w:tcW w:w="1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9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Midwest</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9.9%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Northeast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21.9%</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960" w:type="dxa"/>
            <w:vAlign w:val="bottom"/>
          </w:tcPr>
          <w:p>
            <w:pPr>
              <w:ind w:left="360"/>
              <w:spacing w:after="0"/>
              <w:rPr>
                <w:sz w:val="20"/>
                <w:szCs w:val="20"/>
                <w:color w:val="auto"/>
              </w:rPr>
            </w:pPr>
            <w:r>
              <w:rPr>
                <w:rFonts w:ascii="Arial" w:cs="Arial" w:eastAsia="Arial" w:hAnsi="Arial"/>
                <w:sz w:val="18"/>
                <w:szCs w:val="18"/>
                <w:color w:val="auto"/>
              </w:rPr>
              <w:t>South</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26.1%</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West</w:t>
            </w:r>
          </w:p>
        </w:tc>
        <w:tc>
          <w:tcPr>
            <w:tcW w:w="37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29.7%</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Canada</w:t>
            </w:r>
          </w:p>
        </w:tc>
        <w:tc>
          <w:tcPr>
            <w:tcW w:w="3780" w:type="dxa"/>
            <w:vAlign w:val="bottom"/>
            <w:gridSpan w:val="3"/>
          </w:tcPr>
          <w:p>
            <w:pPr>
              <w:jc w:val="right"/>
              <w:ind w:right="560"/>
              <w:spacing w:after="0"/>
              <w:rPr>
                <w:sz w:val="20"/>
                <w:szCs w:val="20"/>
                <w:color w:val="auto"/>
              </w:rPr>
            </w:pPr>
            <w:r>
              <w:rPr>
                <w:rFonts w:ascii="Arial" w:cs="Arial" w:eastAsia="Arial" w:hAnsi="Arial"/>
                <w:sz w:val="18"/>
                <w:szCs w:val="18"/>
                <w:color w:val="auto"/>
              </w:rPr>
              <w:t>1.9%</w:t>
            </w:r>
          </w:p>
        </w:tc>
        <w:tc>
          <w:tcPr>
            <w:tcW w:w="194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9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10.5%</w:t>
            </w:r>
          </w:p>
        </w:tc>
        <w:tc>
          <w:tcPr>
            <w:tcW w:w="1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9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Total</w:t>
            </w:r>
          </w:p>
        </w:tc>
        <w:tc>
          <w:tcPr>
            <w:tcW w:w="190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1880" w:type="dxa"/>
            <w:vAlign w:val="bottom"/>
            <w:gridSpan w:val="2"/>
          </w:tcPr>
          <w:p>
            <w:pPr>
              <w:jc w:val="right"/>
              <w:ind w:right="560"/>
              <w:spacing w:after="0"/>
              <w:rPr>
                <w:sz w:val="20"/>
                <w:szCs w:val="20"/>
                <w:color w:val="auto"/>
              </w:rPr>
            </w:pPr>
            <w:r>
              <w:rPr>
                <w:rFonts w:ascii="Arial" w:cs="Arial" w:eastAsia="Arial" w:hAnsi="Arial"/>
                <w:sz w:val="18"/>
                <w:szCs w:val="18"/>
                <w:color w:val="auto"/>
              </w:rPr>
              <w:t>100.0%</w:t>
            </w:r>
          </w:p>
        </w:tc>
        <w:tc>
          <w:tcPr>
            <w:tcW w:w="580" w:type="dxa"/>
            <w:vAlign w:val="bottom"/>
            <w:vMerge w:val="continue"/>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6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During the year ended December 31, 2015, the Company entered into foreign currency forward contracts related to its non-USD investments. The Company did not have any open foreign currency forward contracts as of December 31, 2015.</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not been required to post cash collateral related to its foreign currency forward contracts, but may be required to do so in the future.</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June 2014, the Company entered into two interest rate swap transactions, each with a $57.5 million notional amount. As of December 31, 2014 the Company received fixed rate interest at 4.50% and paid variable rate interest based on the three-month London Interbank Offered Rate (“LIBOR”) plus 252.9 basis points.</w:t>
      </w:r>
    </w:p>
    <w:p>
      <w:pPr>
        <w:spacing w:after="0" w:line="181" w:lineRule="exact"/>
        <w:rPr>
          <w:sz w:val="20"/>
          <w:szCs w:val="20"/>
          <w:color w:val="auto"/>
        </w:rPr>
      </w:pPr>
    </w:p>
    <w:p>
      <w:pPr>
        <w:jc w:val="both"/>
        <w:ind w:right="440" w:firstLine="456"/>
        <w:spacing w:after="0" w:line="342" w:lineRule="auto"/>
        <w:rPr>
          <w:sz w:val="20"/>
          <w:szCs w:val="20"/>
          <w:color w:val="auto"/>
        </w:rPr>
      </w:pPr>
      <w:r>
        <w:rPr>
          <w:rFonts w:ascii="Arial" w:cs="Arial" w:eastAsia="Arial" w:hAnsi="Arial"/>
          <w:sz w:val="16"/>
          <w:szCs w:val="16"/>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2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November 2015, the Company entered into two interest rate swap transactions, each with a $46.3 million notional amount. As of December 31, 2015, the Company receives three-month LIBOR and paid fixed rate interest at 1.16%.</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60" w:right="2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The following table presents the gross and net information on the Company’s interest rate swap transactions that are eligible for offset in the Company’s consolidated balance sheets.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Year Ended December 31, 2015</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40" w:type="dxa"/>
            <w:vAlign w:val="bottom"/>
            <w:gridSpan w:val="3"/>
          </w:tcPr>
          <w:p>
            <w:pPr>
              <w:jc w:val="center"/>
              <w:ind w:right="520"/>
              <w:spacing w:after="0" w:line="119" w:lineRule="exact"/>
              <w:rPr>
                <w:sz w:val="20"/>
                <w:szCs w:val="20"/>
                <w:color w:val="auto"/>
              </w:rPr>
            </w:pPr>
            <w:r>
              <w:rPr>
                <w:rFonts w:ascii="Arial" w:cs="Arial" w:eastAsia="Arial" w:hAnsi="Arial"/>
                <w:sz w:val="13"/>
                <w:szCs w:val="13"/>
                <w:b w:val="1"/>
                <w:bCs w:val="1"/>
                <w:color w:val="auto"/>
              </w:rPr>
              <w:t>Net Amount</w:t>
            </w: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14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of Assets in</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5"/>
              </w:rPr>
              <w:t>the</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Account in the</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3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1220" w:type="dxa"/>
            <w:vAlign w:val="bottom"/>
            <w:gridSpan w:val="2"/>
            <w:vMerge w:val="continue"/>
          </w:tcPr>
          <w:p>
            <w:pPr>
              <w:spacing w:after="0"/>
              <w:rPr>
                <w:sz w:val="12"/>
                <w:szCs w:val="12"/>
                <w:color w:val="auto"/>
              </w:rPr>
            </w:pPr>
          </w:p>
        </w:tc>
        <w:tc>
          <w:tcPr>
            <w:tcW w:w="9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12"/>
                <w:szCs w:val="12"/>
                <w:color w:val="auto"/>
              </w:rPr>
            </w:pPr>
          </w:p>
        </w:tc>
        <w:tc>
          <w:tcPr>
            <w:tcW w:w="14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Balance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Balance</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color w:val="auto"/>
              </w:rPr>
              <w:t>($ in thousands)</w:t>
            </w:r>
          </w:p>
        </w:tc>
        <w:tc>
          <w:tcPr>
            <w:tcW w:w="1420" w:type="dxa"/>
            <w:vAlign w:val="bottom"/>
            <w:gridSpan w:val="2"/>
            <w:vMerge w:val="continue"/>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2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Balance Sheets</w:t>
            </w:r>
          </w:p>
        </w:tc>
        <w:tc>
          <w:tcPr>
            <w:tcW w:w="120" w:type="dxa"/>
            <w:vAlign w:val="bottom"/>
          </w:tcPr>
          <w:p>
            <w:pPr>
              <w:spacing w:after="0"/>
              <w:rPr>
                <w:sz w:val="14"/>
                <w:szCs w:val="14"/>
                <w:color w:val="auto"/>
              </w:rPr>
            </w:pPr>
          </w:p>
        </w:tc>
        <w:tc>
          <w:tcPr>
            <w:tcW w:w="12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Sheets</w:t>
            </w:r>
            <w:r>
              <w:rPr>
                <w:rFonts w:ascii="Arial" w:cs="Arial" w:eastAsia="Arial" w:hAnsi="Arial"/>
                <w:sz w:val="12"/>
                <w:szCs w:val="12"/>
                <w:b w:val="1"/>
                <w:bCs w:val="1"/>
                <w:color w:val="auto"/>
                <w:w w:val="89"/>
              </w:rPr>
              <w:t>(1)</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0" w:type="dxa"/>
            <w:vAlign w:val="bottom"/>
          </w:tcPr>
          <w:p>
            <w:pPr>
              <w:spacing w:after="0"/>
              <w:rPr>
                <w:sz w:val="1"/>
                <w:szCs w:val="1"/>
                <w:color w:val="auto"/>
              </w:rPr>
            </w:pPr>
          </w:p>
        </w:tc>
      </w:tr>
      <w:tr>
        <w:trPr>
          <w:trHeight w:val="195"/>
        </w:trPr>
        <w:tc>
          <w:tcPr>
            <w:tcW w:w="34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Interest rate swap</w:t>
            </w:r>
          </w:p>
        </w:tc>
        <w:tc>
          <w:tcPr>
            <w:tcW w:w="9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30"/>
        </w:trPr>
        <w:tc>
          <w:tcPr>
            <w:tcW w:w="34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12/15/2019</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$ 115,000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02"/>
        </w:trPr>
        <w:tc>
          <w:tcPr>
            <w:tcW w:w="3420" w:type="dxa"/>
            <w:vAlign w:val="bottom"/>
          </w:tcPr>
          <w:p>
            <w:pPr>
              <w:spacing w:after="0" w:line="201" w:lineRule="exact"/>
              <w:rPr>
                <w:sz w:val="20"/>
                <w:szCs w:val="20"/>
                <w:color w:val="auto"/>
              </w:rPr>
            </w:pPr>
            <w:r>
              <w:rPr>
                <w:rFonts w:ascii="Arial" w:cs="Arial" w:eastAsia="Arial" w:hAnsi="Arial"/>
                <w:sz w:val="18"/>
                <w:szCs w:val="18"/>
                <w:color w:val="auto"/>
              </w:rPr>
              <w:t>Interest rate swap</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40" w:type="dxa"/>
            <w:vAlign w:val="bottom"/>
          </w:tcPr>
          <w:p>
            <w:pPr>
              <w:jc w:val="center"/>
              <w:spacing w:after="0" w:line="201" w:lineRule="exact"/>
              <w:rPr>
                <w:sz w:val="20"/>
                <w:szCs w:val="20"/>
                <w:color w:val="auto"/>
              </w:rPr>
            </w:pPr>
            <w:r>
              <w:rPr>
                <w:rFonts w:ascii="Arial" w:cs="Arial" w:eastAsia="Arial" w:hAnsi="Arial"/>
                <w:sz w:val="18"/>
                <w:szCs w:val="18"/>
                <w:color w:val="auto"/>
                <w:w w:val="92"/>
              </w:rPr>
              <w:t>Receivable for</w:t>
            </w:r>
          </w:p>
        </w:tc>
        <w:tc>
          <w:tcPr>
            <w:tcW w:w="0" w:type="dxa"/>
            <w:vAlign w:val="bottom"/>
          </w:tcPr>
          <w:p>
            <w:pPr>
              <w:spacing w:after="0"/>
              <w:rPr>
                <w:sz w:val="1"/>
                <w:szCs w:val="1"/>
                <w:color w:val="auto"/>
              </w:rPr>
            </w:pPr>
          </w:p>
        </w:tc>
      </w:tr>
      <w:tr>
        <w:trPr>
          <w:trHeight w:val="237"/>
        </w:trPr>
        <w:tc>
          <w:tcPr>
            <w:tcW w:w="3420" w:type="dxa"/>
            <w:vAlign w:val="bottom"/>
          </w:tcPr>
          <w:p>
            <w:pPr>
              <w:spacing w:after="0"/>
              <w:rPr>
                <w:sz w:val="20"/>
                <w:szCs w:val="20"/>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10/5/2018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92,500</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5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interest rate swaps</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207,500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402</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w:t>
            </w: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notional amount of certain interest rate swaps may exceed our investment in individual portfolio companies as a result of arrangements with other lenders in the syndicate.</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As of December 31, 2015, $0.9 million of cash is pledged as collateral under the Company’s derivative instruments and is included in restricted cash as a component of Prepaid Expenses and Other Assets in the Company’s consolidated balance sheets.</w:t>
      </w:r>
    </w:p>
    <w:p>
      <w:pPr>
        <w:spacing w:after="0" w:line="184"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the year ended December 31, 2015, the Company received $5.2 million and paid $3.7 million related to the quarterly settlements of its interest rate swaps. During the year ended December 31, 2014, the Company received $2.6 million and paid $1.6 million related to the quarterly settlements of its interest rate swaps. These net amounts are reductions to interest expense in the Company’s consolidated statements of operations.</w:t>
      </w:r>
    </w:p>
    <w:p>
      <w:pPr>
        <w:spacing w:after="0" w:line="16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For the years ended December 31, 2015 and 2014, the Company recognized ($0.6) million and $1.0 million, respectively, in unrealized depreciation and appreciation on derivatives in the consolidated statement of operations related to the swap transactions. As of December 31, 2015 and 2014, the swap transactions had a fair value of $0.4 million and $1.0 million, respectively, which is included in receivable for interest rate swaps on the Company’s consolidated balance sheet.</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December 31, 2015, $0.9 million of cash is pledged as collateral under the Company’s derivative instruments and is included in restricted cash as a component of other assets on the Company’s consolidated balance sheet. The Company also had less than $0.1 million of cash collateral posted as of December 31, 2014, which is also included in restricted cash as a component of other assets on the Company’s consolidated balance sheet.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may enter into other derivative instruments and incur other exposures with the same or other counterparties in the future.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60" w:right="2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of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present fair value measurements of investments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Fair Value Hierarchy at December 31, 2015</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  —</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$1,229,491</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$1,310,183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30,781</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90,441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121,222</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20,165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7,801</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9,933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8,205</w:t>
            </w:r>
          </w:p>
        </w:tc>
        <w:tc>
          <w:tcPr>
            <w:tcW w:w="5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26,338</w:t>
            </w: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$9,933</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$139,838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$1,335,938</w:t>
            </w:r>
          </w:p>
        </w:tc>
        <w:tc>
          <w:tcPr>
            <w:tcW w:w="5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$1,485,709</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7"/>
        </w:trPr>
        <w:tc>
          <w:tcPr>
            <w:tcW w:w="61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6"/>
              </w:rPr>
              <w:t>$</w:t>
            </w:r>
            <w:r>
              <w:rPr>
                <w:rFonts w:ascii="Arial" w:cs="Arial" w:eastAsia="Arial" w:hAnsi="Arial"/>
                <w:sz w:val="18"/>
                <w:szCs w:val="18"/>
                <w:color w:val="auto"/>
                <w:w w:val="76"/>
              </w:rPr>
              <w:t>9,933</w:t>
            </w:r>
          </w:p>
        </w:tc>
        <w:tc>
          <w:tcPr>
            <w:tcW w:w="5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140,240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1,335,938</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$ 1,486,111</w:t>
            </w:r>
          </w:p>
        </w:tc>
      </w:tr>
      <w:tr>
        <w:trPr>
          <w:trHeight w:val="20"/>
        </w:trPr>
        <w:tc>
          <w:tcPr>
            <w:tcW w:w="6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6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Fair Value Hierarchy at December 31, 2014</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2"/>
                <w:szCs w:val="12"/>
                <w:color w:val="auto"/>
              </w:rPr>
            </w:pPr>
          </w:p>
        </w:tc>
        <w:tc>
          <w:tcPr>
            <w:tcW w:w="134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1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64,910</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$1,059,336</w:t>
            </w:r>
          </w:p>
        </w:tc>
        <w:tc>
          <w:tcPr>
            <w:tcW w:w="5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$1,124,246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50,158</w:t>
            </w:r>
          </w:p>
        </w:tc>
        <w:tc>
          <w:tcPr>
            <w:tcW w:w="1600" w:type="dxa"/>
            <w:vAlign w:val="bottom"/>
            <w:gridSpan w:val="3"/>
          </w:tcPr>
          <w:p>
            <w:pPr>
              <w:jc w:val="right"/>
              <w:ind w:right="520"/>
              <w:spacing w:after="0"/>
              <w:rPr>
                <w:sz w:val="20"/>
                <w:szCs w:val="20"/>
                <w:color w:val="auto"/>
              </w:rPr>
            </w:pPr>
            <w:r>
              <w:rPr>
                <w:rFonts w:ascii="Arial" w:cs="Arial" w:eastAsia="Arial" w:hAnsi="Arial"/>
                <w:sz w:val="18"/>
                <w:szCs w:val="18"/>
                <w:color w:val="auto"/>
              </w:rPr>
              <w:t>61,250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111,408</w:t>
            </w: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Mezzanine and unsecured debt investments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9,368</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14,893</w:t>
            </w:r>
          </w:p>
        </w:tc>
      </w:tr>
      <w:tr>
        <w:trPr>
          <w:trHeight w:val="27"/>
        </w:trPr>
        <w:tc>
          <w:tcPr>
            <w:tcW w:w="6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$129,037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$1,134,474</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$ 1,263,511</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Receivable on interest rate swaps</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r>
      <w:tr>
        <w:trPr>
          <w:trHeight w:val="27"/>
        </w:trPr>
        <w:tc>
          <w:tcPr>
            <w:tcW w:w="6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1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130,057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1,134,474</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1,264,531</w:t>
            </w:r>
          </w:p>
        </w:tc>
        <w:tc>
          <w:tcPr>
            <w:tcW w:w="10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following tables present the changes in the fair value of investments for which Level 3 inputs were used to determine the fair value as of and for the year ended December 31, 2015 and 2014: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60" w:type="dxa"/>
            <w:vAlign w:val="bottom"/>
          </w:tcPr>
          <w:p>
            <w:pPr>
              <w:spacing w:after="0"/>
              <w:rPr>
                <w:sz w:val="10"/>
                <w:szCs w:val="10"/>
                <w:color w:val="auto"/>
              </w:rPr>
            </w:pPr>
          </w:p>
        </w:tc>
        <w:tc>
          <w:tcPr>
            <w:tcW w:w="1320" w:type="dxa"/>
            <w:vAlign w:val="bottom"/>
            <w:gridSpan w:val="2"/>
          </w:tcPr>
          <w:p>
            <w:pPr>
              <w:jc w:val="center"/>
              <w:ind w:right="390"/>
              <w:spacing w:after="0" w:line="119" w:lineRule="exact"/>
              <w:rPr>
                <w:sz w:val="20"/>
                <w:szCs w:val="20"/>
                <w:color w:val="auto"/>
              </w:rPr>
            </w:pPr>
            <w:r>
              <w:rPr>
                <w:rFonts w:ascii="Arial" w:cs="Arial" w:eastAsia="Arial" w:hAnsi="Arial"/>
                <w:sz w:val="13"/>
                <w:szCs w:val="13"/>
                <w:b w:val="1"/>
                <w:bCs w:val="1"/>
                <w:color w:val="auto"/>
              </w:rPr>
              <w:t>First-lien</w:t>
            </w:r>
          </w:p>
        </w:tc>
        <w:tc>
          <w:tcPr>
            <w:tcW w:w="100" w:type="dxa"/>
            <w:vAlign w:val="bottom"/>
          </w:tcPr>
          <w:p>
            <w:pPr>
              <w:spacing w:after="0"/>
              <w:rPr>
                <w:sz w:val="10"/>
                <w:szCs w:val="10"/>
                <w:color w:val="auto"/>
              </w:rPr>
            </w:pPr>
          </w:p>
        </w:tc>
        <w:tc>
          <w:tcPr>
            <w:tcW w:w="13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Second-lien</w:t>
            </w: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92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Equity</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32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4"/>
              </w:rPr>
              <w:t>debt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rPr>
              <w:t>debt</w:t>
            </w:r>
          </w:p>
        </w:tc>
        <w:tc>
          <w:tcPr>
            <w:tcW w:w="180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and unsecured debt</w:t>
            </w: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2"/>
                <w:szCs w:val="12"/>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132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w w:val="88"/>
              </w:rPr>
              <w:t>investments</w:t>
            </w:r>
          </w:p>
        </w:tc>
        <w:tc>
          <w:tcPr>
            <w:tcW w:w="10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investments</w:t>
            </w: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5"/>
              </w:rPr>
              <w:t>investments</w:t>
            </w:r>
          </w:p>
        </w:tc>
        <w:tc>
          <w:tcPr>
            <w:tcW w:w="2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$1,059,336</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61,250</w:t>
            </w: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9,368</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Purchases</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632,277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30,201</w:t>
            </w:r>
          </w:p>
        </w:tc>
        <w:tc>
          <w:tcPr>
            <w:tcW w:w="160" w:type="dxa"/>
            <w:vAlign w:val="bottom"/>
          </w:tcPr>
          <w:p>
            <w:pPr>
              <w:spacing w:after="0"/>
              <w:rPr>
                <w:sz w:val="18"/>
                <w:szCs w:val="18"/>
                <w:color w:val="auto"/>
              </w:rPr>
            </w:pPr>
          </w:p>
        </w:tc>
        <w:tc>
          <w:tcPr>
            <w:tcW w:w="16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7,843</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670,321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(22,344)</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(438,438)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(443,325)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132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4,282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1,128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1320" w:type="dxa"/>
            <w:vAlign w:val="bottom"/>
            <w:gridSpan w:val="2"/>
          </w:tcPr>
          <w:p>
            <w:pPr>
              <w:jc w:val="right"/>
              <w:ind w:right="330"/>
              <w:spacing w:after="0"/>
              <w:rPr>
                <w:sz w:val="20"/>
                <w:szCs w:val="20"/>
                <w:color w:val="auto"/>
              </w:rPr>
            </w:pPr>
            <w:r>
              <w:rPr>
                <w:rFonts w:ascii="Arial" w:cs="Arial" w:eastAsia="Arial" w:hAnsi="Arial"/>
                <w:sz w:val="18"/>
                <w:szCs w:val="18"/>
                <w:color w:val="auto"/>
              </w:rPr>
              <w:t>(14,125)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(2,375)</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(6,169)</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(22,031)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(2,525)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(2,837)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(5,362)</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1320" w:type="dxa"/>
            <w:vAlign w:val="bottom"/>
            <w:gridSpan w:val="2"/>
          </w:tcPr>
          <w:p>
            <w:pPr>
              <w:jc w:val="right"/>
              <w:ind w:right="390"/>
              <w:spacing w:after="0"/>
              <w:rPr>
                <w:sz w:val="20"/>
                <w:szCs w:val="20"/>
                <w:color w:val="auto"/>
              </w:rPr>
            </w:pPr>
            <w:r>
              <w:rPr>
                <w:rFonts w:ascii="Arial" w:cs="Arial" w:eastAsia="Arial" w:hAnsi="Arial"/>
                <w:sz w:val="18"/>
                <w:szCs w:val="18"/>
                <w:color w:val="auto"/>
              </w:rPr>
              <w:t>11,506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11,813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13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7,459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6,981</w:t>
            </w:r>
          </w:p>
        </w:tc>
        <w:tc>
          <w:tcPr>
            <w:tcW w:w="0" w:type="dxa"/>
            <w:vAlign w:val="bottom"/>
          </w:tcPr>
          <w:p>
            <w:pPr>
              <w:spacing w:after="0"/>
              <w:rPr>
                <w:sz w:val="1"/>
                <w:szCs w:val="1"/>
                <w:color w:val="auto"/>
              </w:rPr>
            </w:pPr>
          </w:p>
        </w:tc>
      </w:tr>
      <w:tr>
        <w:trPr>
          <w:trHeight w:val="223"/>
        </w:trPr>
        <w:tc>
          <w:tcPr>
            <w:tcW w:w="466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1,229,491</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90,441</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1,335,938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vMerge w:val="restart"/>
          </w:tcPr>
          <w:p>
            <w:pPr>
              <w:jc w:val="right"/>
              <w:ind w:right="10"/>
              <w:spacing w:after="0"/>
              <w:rPr>
                <w:sz w:val="20"/>
                <w:szCs w:val="20"/>
                <w:color w:val="auto"/>
              </w:rPr>
            </w:pPr>
            <w:r>
              <w:rPr>
                <w:rFonts w:ascii="Arial" w:cs="Arial" w:eastAsia="Arial" w:hAnsi="Arial"/>
                <w:sz w:val="18"/>
                <w:szCs w:val="18"/>
                <w:color w:val="auto"/>
                <w:w w:val="97"/>
              </w:rPr>
              <w:t>F-28</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First-lien</w:t>
            </w:r>
          </w:p>
        </w:tc>
        <w:tc>
          <w:tcPr>
            <w:tcW w:w="260" w:type="dxa"/>
            <w:vAlign w:val="bottom"/>
          </w:tcPr>
          <w:p>
            <w:pPr>
              <w:spacing w:after="0"/>
              <w:rPr>
                <w:sz w:val="10"/>
                <w:szCs w:val="10"/>
                <w:color w:val="auto"/>
              </w:rPr>
            </w:pPr>
          </w:p>
        </w:tc>
        <w:tc>
          <w:tcPr>
            <w:tcW w:w="13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Second-lien</w:t>
            </w:r>
          </w:p>
        </w:tc>
        <w:tc>
          <w:tcPr>
            <w:tcW w:w="160" w:type="dxa"/>
            <w:vAlign w:val="bottom"/>
          </w:tcPr>
          <w:p>
            <w:pPr>
              <w:spacing w:after="0"/>
              <w:rPr>
                <w:sz w:val="10"/>
                <w:szCs w:val="10"/>
                <w:color w:val="auto"/>
              </w:rPr>
            </w:pPr>
          </w:p>
        </w:tc>
        <w:tc>
          <w:tcPr>
            <w:tcW w:w="16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Mezzanine</w:t>
            </w:r>
          </w:p>
        </w:tc>
        <w:tc>
          <w:tcPr>
            <w:tcW w:w="120" w:type="dxa"/>
            <w:vAlign w:val="bottom"/>
          </w:tcPr>
          <w:p>
            <w:pPr>
              <w:spacing w:after="0"/>
              <w:rPr>
                <w:sz w:val="10"/>
                <w:szCs w:val="10"/>
                <w:color w:val="auto"/>
              </w:rPr>
            </w:pPr>
          </w:p>
        </w:tc>
        <w:tc>
          <w:tcPr>
            <w:tcW w:w="1200" w:type="dxa"/>
            <w:vAlign w:val="bottom"/>
            <w:gridSpan w:val="2"/>
          </w:tcPr>
          <w:p>
            <w:pPr>
              <w:jc w:val="right"/>
              <w:ind w:right="740"/>
              <w:spacing w:after="0" w:line="119"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debt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debt</w:t>
            </w: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unsecured debt</w:t>
            </w:r>
          </w:p>
        </w:tc>
        <w:tc>
          <w:tcPr>
            <w:tcW w:w="13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and other</w:t>
            </w:r>
          </w:p>
        </w:tc>
        <w:tc>
          <w:tcPr>
            <w:tcW w:w="100" w:type="dxa"/>
            <w:vAlign w:val="bottom"/>
          </w:tcPr>
          <w:p>
            <w:pPr>
              <w:spacing w:after="0"/>
              <w:rPr>
                <w:sz w:val="12"/>
                <w:szCs w:val="12"/>
                <w:color w:val="auto"/>
              </w:rPr>
            </w:pP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investments</w:t>
            </w:r>
          </w:p>
        </w:tc>
        <w:tc>
          <w:tcPr>
            <w:tcW w:w="2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60" w:type="dxa"/>
            <w:vAlign w:val="bottom"/>
          </w:tcPr>
          <w:p>
            <w:pPr>
              <w:spacing w:after="0"/>
              <w:rPr>
                <w:sz w:val="14"/>
                <w:szCs w:val="14"/>
                <w:color w:val="auto"/>
              </w:rPr>
            </w:pPr>
          </w:p>
        </w:tc>
        <w:tc>
          <w:tcPr>
            <w:tcW w:w="16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investments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854,972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103,530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Purchases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770,732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72,850</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4,640</w:t>
            </w: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13,192</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861,414</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(94,952)</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Repayments / redemptions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(473,178)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8"/>
              </w:rPr>
              <w:t>(113,148)</w:t>
            </w:r>
          </w:p>
        </w:tc>
        <w:tc>
          <w:tcPr>
            <w:tcW w:w="160" w:type="dxa"/>
            <w:vAlign w:val="bottom"/>
          </w:tcPr>
          <w:p>
            <w:pPr>
              <w:spacing w:after="0"/>
              <w:rPr>
                <w:sz w:val="18"/>
                <w:szCs w:val="18"/>
                <w:color w:val="auto"/>
              </w:rPr>
            </w:pPr>
          </w:p>
        </w:tc>
        <w:tc>
          <w:tcPr>
            <w:tcW w:w="16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(586,326)</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Paid-in-kind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718</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change in unrealized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(15,365)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(5,681)</w:t>
            </w:r>
          </w:p>
        </w:tc>
        <w:tc>
          <w:tcPr>
            <w:tcW w:w="160" w:type="dxa"/>
            <w:vAlign w:val="bottom"/>
          </w:tcPr>
          <w:p>
            <w:pPr>
              <w:spacing w:after="0"/>
              <w:rPr>
                <w:sz w:val="18"/>
                <w:szCs w:val="18"/>
                <w:color w:val="auto"/>
              </w:rPr>
            </w:pP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(5,629)</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(27,003)</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Net amortization of discount on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15,357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8"/>
                <w:szCs w:val="18"/>
                <w:color w:val="auto"/>
              </w:rPr>
              <w:t>2,981</w:t>
            </w:r>
          </w:p>
        </w:tc>
        <w:tc>
          <w:tcPr>
            <w:tcW w:w="160" w:type="dxa"/>
            <w:vAlign w:val="bottom"/>
          </w:tcPr>
          <w:p>
            <w:pPr>
              <w:spacing w:after="0"/>
              <w:rPr>
                <w:sz w:val="18"/>
                <w:szCs w:val="18"/>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18,347</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Transfers into (out of) Level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b w:val="1"/>
                <w:bCs w:val="1"/>
                <w:color w:val="auto"/>
              </w:rPr>
              <w:t>Balance,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1,059,336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61,250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4,520</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1,134,474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Quiksilver – Boardriders SA and Sears were transferred into Level 3 for fair value measurement purposes during the year ended December 31, 2015, as a result of changes in the observability of inputs into these securities valuation inputs.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presents information with respect to net change in unrealized appreciation or depreciation on investments for which Level 3 inputs were used in determining fair value that are still held by the Company at December 31, 2015 and 2014:</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3"/>
              </w:rPr>
              <w:t>Net Change in Unrealized</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Net Change in Unrealized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460" w:type="dxa"/>
            <w:vAlign w:val="bottom"/>
            <w:gridSpan w:val="3"/>
          </w:tcPr>
          <w:p>
            <w:pPr>
              <w:jc w:val="center"/>
              <w:ind w:right="1560"/>
              <w:spacing w:after="0" w:line="149" w:lineRule="exact"/>
              <w:rPr>
                <w:sz w:val="20"/>
                <w:szCs w:val="20"/>
                <w:color w:val="auto"/>
              </w:rPr>
            </w:pPr>
            <w:r>
              <w:rPr>
                <w:rFonts w:ascii="Arial" w:cs="Arial" w:eastAsia="Arial" w:hAnsi="Arial"/>
                <w:sz w:val="14"/>
                <w:szCs w:val="14"/>
                <w:b w:val="1"/>
                <w:bCs w:val="1"/>
                <w:color w:val="auto"/>
                <w:w w:val="94"/>
              </w:rPr>
              <w:t>Appreciation or (Depreciation)</w:t>
            </w:r>
          </w:p>
        </w:tc>
        <w:tc>
          <w:tcPr>
            <w:tcW w:w="2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Appreciation or (Depreciation)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60"/>
              <w:spacing w:after="0" w:line="149" w:lineRule="exact"/>
              <w:rPr>
                <w:sz w:val="20"/>
                <w:szCs w:val="20"/>
                <w:color w:val="auto"/>
              </w:rPr>
            </w:pPr>
            <w:r>
              <w:rPr>
                <w:rFonts w:ascii="Arial" w:cs="Arial" w:eastAsia="Arial" w:hAnsi="Arial"/>
                <w:sz w:val="14"/>
                <w:szCs w:val="14"/>
                <w:b w:val="1"/>
                <w:bCs w:val="1"/>
                <w:color w:val="auto"/>
                <w:w w:val="93"/>
              </w:rPr>
              <w:t>for the Year Ended</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the Year Ended</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1"/>
              </w:rPr>
              <w:t>December 31, 2015 on</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 2014 on</w:t>
            </w:r>
          </w:p>
        </w:tc>
      </w:tr>
      <w:tr>
        <w:trPr>
          <w:trHeight w:val="149"/>
        </w:trPr>
        <w:tc>
          <w:tcPr>
            <w:tcW w:w="3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40" w:type="dxa"/>
            <w:vAlign w:val="bottom"/>
            <w:gridSpan w:val="2"/>
          </w:tcPr>
          <w:p>
            <w:pPr>
              <w:jc w:val="center"/>
              <w:ind w:right="1680"/>
              <w:spacing w:after="0" w:line="149" w:lineRule="exact"/>
              <w:rPr>
                <w:sz w:val="20"/>
                <w:szCs w:val="20"/>
                <w:color w:val="auto"/>
              </w:rPr>
            </w:pPr>
            <w:r>
              <w:rPr>
                <w:rFonts w:ascii="Arial" w:cs="Arial" w:eastAsia="Arial" w:hAnsi="Arial"/>
                <w:sz w:val="14"/>
                <w:szCs w:val="14"/>
                <w:b w:val="1"/>
                <w:bCs w:val="1"/>
                <w:color w:val="auto"/>
                <w:w w:val="92"/>
              </w:rPr>
              <w:t>Investments Held at</w:t>
            </w:r>
          </w:p>
        </w:tc>
        <w:tc>
          <w:tcPr>
            <w:tcW w:w="140" w:type="dxa"/>
            <w:vAlign w:val="bottom"/>
          </w:tcPr>
          <w:p>
            <w:pPr>
              <w:spacing w:after="0"/>
              <w:rPr>
                <w:sz w:val="12"/>
                <w:szCs w:val="12"/>
                <w:color w:val="auto"/>
              </w:rPr>
            </w:pPr>
          </w:p>
        </w:tc>
        <w:tc>
          <w:tcPr>
            <w:tcW w:w="1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Investments Held at</w:t>
            </w:r>
          </w:p>
        </w:tc>
      </w:tr>
      <w:tr>
        <w:trPr>
          <w:trHeight w:val="171"/>
        </w:trPr>
        <w:tc>
          <w:tcPr>
            <w:tcW w:w="3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3"/>
              </w:rPr>
              <w:t>December 31, 2015</w:t>
            </w:r>
          </w:p>
        </w:tc>
        <w:tc>
          <w:tcPr>
            <w:tcW w:w="140" w:type="dxa"/>
            <w:vAlign w:val="bottom"/>
          </w:tcPr>
          <w:p>
            <w:pPr>
              <w:spacing w:after="0"/>
              <w:rPr>
                <w:sz w:val="14"/>
                <w:szCs w:val="1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2014</w:t>
            </w: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First-lien debt investments</w:t>
            </w:r>
          </w:p>
        </w:tc>
        <w:tc>
          <w:tcPr>
            <w:tcW w:w="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w:t>
            </w:r>
          </w:p>
        </w:tc>
        <w:tc>
          <w:tcPr>
            <w:tcW w:w="1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Second-lien debt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00"/>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r>
      <w:tr>
        <w:trPr>
          <w:trHeight w:val="202"/>
        </w:trPr>
        <w:tc>
          <w:tcPr>
            <w:tcW w:w="3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Mezzanine and unsecured debt</w:t>
            </w: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340" w:type="dxa"/>
            <w:vAlign w:val="bottom"/>
            <w:gridSpan w:val="2"/>
            <w:shd w:val="clear" w:color="auto" w:fill="CCEEFF"/>
          </w:tcPr>
          <w:p>
            <w:pPr>
              <w:jc w:val="right"/>
              <w:ind w:right="1560"/>
              <w:spacing w:after="0"/>
              <w:rPr>
                <w:sz w:val="20"/>
                <w:szCs w:val="20"/>
                <w:color w:val="auto"/>
              </w:rPr>
            </w:pPr>
            <w:r>
              <w:rPr>
                <w:rFonts w:ascii="Arial" w:cs="Arial" w:eastAsia="Arial" w:hAnsi="Arial"/>
                <w:sz w:val="18"/>
                <w:szCs w:val="18"/>
                <w:color w:val="auto"/>
              </w:rPr>
              <w:t>310</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and other investments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40" w:type="dxa"/>
            <w:vAlign w:val="bottom"/>
            <w:gridSpan w:val="2"/>
          </w:tcPr>
          <w:p>
            <w:pPr>
              <w:jc w:val="right"/>
              <w:ind w:right="1500"/>
              <w:spacing w:after="0"/>
              <w:rPr>
                <w:sz w:val="20"/>
                <w:szCs w:val="20"/>
                <w:color w:val="auto"/>
              </w:rPr>
            </w:pPr>
            <w:r>
              <w:rPr>
                <w:rFonts w:ascii="Arial" w:cs="Arial" w:eastAsia="Arial" w:hAnsi="Arial"/>
                <w:sz w:val="18"/>
                <w:szCs w:val="18"/>
                <w:color w:val="auto"/>
              </w:rPr>
              <w:t>(7,378)</w:t>
            </w:r>
          </w:p>
        </w:tc>
        <w:tc>
          <w:tcPr>
            <w:tcW w:w="1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(5,629)</w:t>
            </w:r>
          </w:p>
        </w:tc>
      </w:tr>
      <w:tr>
        <w:trPr>
          <w:trHeight w:val="27"/>
        </w:trPr>
        <w:tc>
          <w:tcPr>
            <w:tcW w:w="3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34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(18,815)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(16,621)</w:t>
            </w:r>
          </w:p>
        </w:tc>
      </w:tr>
      <w:tr>
        <w:trPr>
          <w:trHeight w:val="20"/>
        </w:trPr>
        <w:tc>
          <w:tcPr>
            <w:tcW w:w="3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40" w:type="dxa"/>
            <w:vAlign w:val="bottom"/>
            <w:gridSpan w:val="2"/>
          </w:tcPr>
          <w:p>
            <w:pPr>
              <w:jc w:val="right"/>
              <w:ind w:right="2600"/>
              <w:spacing w:after="0"/>
              <w:rPr>
                <w:sz w:val="20"/>
                <w:szCs w:val="20"/>
                <w:color w:val="auto"/>
              </w:rPr>
            </w:pPr>
            <w:r>
              <w:rPr>
                <w:rFonts w:ascii="Arial" w:cs="Arial" w:eastAsia="Arial" w:hAnsi="Arial"/>
                <w:sz w:val="18"/>
                <w:szCs w:val="18"/>
                <w:color w:val="auto"/>
              </w:rPr>
              <w:t>F-29</w:t>
            </w: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the fair value of Level 3 Investments at fair value and the significant unobservable inputs used in the valuations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2015</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20" w:type="dxa"/>
            <w:vAlign w:val="bottom"/>
          </w:tcPr>
          <w:p>
            <w:pPr>
              <w:spacing w:after="0"/>
              <w:rPr>
                <w:sz w:val="10"/>
                <w:szCs w:val="1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Unobservable</w:t>
            </w:r>
          </w:p>
        </w:tc>
        <w:tc>
          <w:tcPr>
            <w:tcW w:w="4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Range (Weighted</w:t>
            </w:r>
          </w:p>
        </w:tc>
        <w:tc>
          <w:tcPr>
            <w:tcW w:w="1220" w:type="dxa"/>
            <w:vAlign w:val="bottom"/>
          </w:tcPr>
          <w:p>
            <w:pP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1660" w:type="dxa"/>
            <w:vAlign w:val="bottom"/>
          </w:tcPr>
          <w:p>
            <w:pPr>
              <w:ind w:left="520"/>
              <w:spacing w:after="0"/>
              <w:rPr>
                <w:sz w:val="20"/>
                <w:szCs w:val="20"/>
                <w:color w:val="auto"/>
              </w:rPr>
            </w:pPr>
            <w:r>
              <w:rPr>
                <w:rFonts w:ascii="Arial" w:cs="Arial" w:eastAsia="Arial" w:hAnsi="Arial"/>
                <w:sz w:val="14"/>
                <w:szCs w:val="14"/>
                <w:b w:val="1"/>
                <w:bCs w:val="1"/>
                <w:color w:val="auto"/>
              </w:rPr>
              <w:t>Technique</w:t>
            </w:r>
          </w:p>
        </w:tc>
        <w:tc>
          <w:tcPr>
            <w:tcW w:w="12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Input</w:t>
            </w:r>
          </w:p>
        </w:tc>
        <w:tc>
          <w:tcPr>
            <w:tcW w:w="4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1,229,491</w:t>
            </w:r>
          </w:p>
        </w:tc>
        <w:tc>
          <w:tcPr>
            <w:tcW w:w="20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2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3.9% — 15.3% (10.8%)</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w w:val="93"/>
              </w:rPr>
              <w:t>Second-lien debt investments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90,441</w:t>
            </w:r>
          </w:p>
        </w:tc>
        <w:tc>
          <w:tcPr>
            <w:tcW w:w="1660" w:type="dxa"/>
            <w:vAlign w:val="bottom"/>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Market yield</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12.1% — 13.8% (13.2%)</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Mezzanine and unsecured</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investments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7,801</w:t>
            </w:r>
          </w:p>
        </w:tc>
        <w:tc>
          <w:tcPr>
            <w:tcW w:w="1660" w:type="dxa"/>
            <w:vAlign w:val="bottom"/>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46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Market yield</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12.6% — 12.6% (12.6%)</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20"/>
                <w:szCs w:val="20"/>
                <w:color w:val="auto"/>
              </w:rPr>
            </w:pPr>
            <w:r>
              <w:rPr>
                <w:rFonts w:ascii="Arial" w:cs="Arial" w:eastAsia="Arial" w:hAnsi="Arial"/>
                <w:sz w:val="16"/>
                <w:szCs w:val="16"/>
                <w:color w:val="auto"/>
                <w:w w:val="94"/>
              </w:rPr>
              <w:t>Equity and other investments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Comparable</w:t>
            </w: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spacing w:after="0"/>
              <w:rPr>
                <w:sz w:val="20"/>
                <w:szCs w:val="20"/>
                <w:color w:val="auto"/>
              </w:rPr>
            </w:pPr>
            <w:r>
              <w:rPr>
                <w:rFonts w:ascii="Arial" w:cs="Arial" w:eastAsia="Arial" w:hAnsi="Arial"/>
                <w:sz w:val="16"/>
                <w:szCs w:val="16"/>
                <w:color w:val="auto"/>
              </w:rPr>
              <w:t>Market Multiple or</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multiple or</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359"/>
        </w:trPr>
        <w:tc>
          <w:tcPr>
            <w:tcW w:w="198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8,205</w:t>
            </w:r>
          </w:p>
        </w:tc>
        <w:tc>
          <w:tcPr>
            <w:tcW w:w="1660" w:type="dxa"/>
            <w:vAlign w:val="bottom"/>
          </w:tcPr>
          <w:p>
            <w:pPr>
              <w:spacing w:after="0"/>
              <w:rPr>
                <w:sz w:val="20"/>
                <w:szCs w:val="20"/>
                <w:color w:val="auto"/>
              </w:rPr>
            </w:pPr>
            <w:r>
              <w:rPr>
                <w:rFonts w:ascii="Arial" w:cs="Arial" w:eastAsia="Arial" w:hAnsi="Arial"/>
                <w:sz w:val="16"/>
                <w:szCs w:val="16"/>
                <w:color w:val="auto"/>
                <w:w w:val="90"/>
              </w:rPr>
              <w:t>Discounted Cash Flow</w:t>
            </w:r>
            <w:r>
              <w:rPr>
                <w:rFonts w:ascii="Arial" w:cs="Arial" w:eastAsia="Arial" w:hAnsi="Arial"/>
                <w:sz w:val="27"/>
                <w:szCs w:val="27"/>
                <w:color w:val="auto"/>
                <w:w w:val="90"/>
                <w:vertAlign w:val="superscript"/>
              </w:rPr>
              <w:t>(2)</w:t>
            </w:r>
          </w:p>
        </w:tc>
        <w:tc>
          <w:tcPr>
            <w:tcW w:w="1460" w:type="dxa"/>
            <w:vAlign w:val="bottom"/>
            <w:gridSpan w:val="3"/>
          </w:tcPr>
          <w:p>
            <w:pPr>
              <w:ind w:left="120"/>
              <w:spacing w:after="0"/>
              <w:rPr>
                <w:sz w:val="20"/>
                <w:szCs w:val="20"/>
                <w:color w:val="auto"/>
              </w:rPr>
            </w:pPr>
            <w:r>
              <w:rPr>
                <w:rFonts w:ascii="Arial" w:cs="Arial" w:eastAsia="Arial" w:hAnsi="Arial"/>
                <w:sz w:val="16"/>
                <w:szCs w:val="16"/>
                <w:color w:val="auto"/>
              </w:rPr>
              <w:t>discount rate</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8.4x — 13.5x (11.8x) or 12.0%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460" w:right="40" w:hanging="452"/>
        <w:spacing w:after="0" w:line="258"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Includes $44.1 million of first-lien debt investments which, due to the proximity of the transactions relative to the measurement date, were valued using the cost of the investments.</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Includes $3.8 million of equity investments which, due to the proximity of the transactions relative to the measurement date, were valued using the cost of the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2014</w:t>
            </w: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Valuation</w:t>
            </w: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Unobservable</w:t>
            </w:r>
          </w:p>
        </w:tc>
        <w:tc>
          <w:tcPr>
            <w:tcW w:w="4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Range (Weighted</w:t>
            </w:r>
          </w:p>
        </w:tc>
        <w:tc>
          <w:tcPr>
            <w:tcW w:w="1220" w:type="dxa"/>
            <w:vAlign w:val="bottom"/>
          </w:tcPr>
          <w:p>
            <w:pPr>
              <w:spacing w:after="0" w:line="119" w:lineRule="exact"/>
              <w:rPr>
                <w:sz w:val="20"/>
                <w:szCs w:val="20"/>
                <w:color w:val="auto"/>
              </w:rPr>
            </w:pPr>
            <w:r>
              <w:rPr>
                <w:rFonts w:ascii="Arial" w:cs="Arial" w:eastAsia="Arial" w:hAnsi="Arial"/>
                <w:sz w:val="13"/>
                <w:szCs w:val="13"/>
                <w:b w:val="1"/>
                <w:bCs w:val="1"/>
                <w:color w:val="auto"/>
              </w:rPr>
              <w:t>Impact to Valuation</w:t>
            </w:r>
          </w:p>
        </w:tc>
        <w:tc>
          <w:tcPr>
            <w:tcW w:w="0" w:type="dxa"/>
            <w:vAlign w:val="bottom"/>
          </w:tcPr>
          <w:p>
            <w:pPr>
              <w:spacing w:after="0"/>
              <w:rPr>
                <w:sz w:val="1"/>
                <w:szCs w:val="1"/>
                <w:color w:val="auto"/>
              </w:rPr>
            </w:pPr>
          </w:p>
        </w:tc>
      </w:tr>
      <w:tr>
        <w:trPr>
          <w:trHeight w:val="149"/>
        </w:trPr>
        <w:tc>
          <w:tcPr>
            <w:tcW w:w="1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120" w:type="dxa"/>
            <w:vAlign w:val="bottom"/>
            <w:gridSpan w:val="2"/>
            <w:vMerge w:val="continue"/>
          </w:tcPr>
          <w:p>
            <w:pPr>
              <w:spacing w:after="0"/>
              <w:rPr>
                <w:sz w:val="12"/>
                <w:szCs w:val="12"/>
                <w:color w:val="auto"/>
              </w:rPr>
            </w:pPr>
          </w:p>
        </w:tc>
        <w:tc>
          <w:tcPr>
            <w:tcW w:w="1220" w:type="dxa"/>
            <w:vAlign w:val="bottom"/>
          </w:tcPr>
          <w:p>
            <w:pPr>
              <w:spacing w:after="0" w:line="149" w:lineRule="exact"/>
              <w:rPr>
                <w:sz w:val="20"/>
                <w:szCs w:val="20"/>
                <w:color w:val="auto"/>
              </w:rPr>
            </w:pPr>
            <w:r>
              <w:rPr>
                <w:rFonts w:ascii="Arial" w:cs="Arial" w:eastAsia="Arial" w:hAnsi="Arial"/>
                <w:sz w:val="14"/>
                <w:szCs w:val="14"/>
                <w:b w:val="1"/>
                <w:bCs w:val="1"/>
                <w:color w:val="auto"/>
                <w:w w:val="92"/>
              </w:rPr>
              <w:t>from an Increase to</w:t>
            </w:r>
          </w:p>
        </w:tc>
        <w:tc>
          <w:tcPr>
            <w:tcW w:w="0" w:type="dxa"/>
            <w:vAlign w:val="bottom"/>
          </w:tcPr>
          <w:p>
            <w:pPr>
              <w:spacing w:after="0"/>
              <w:rPr>
                <w:sz w:val="1"/>
                <w:szCs w:val="1"/>
                <w:color w:val="auto"/>
              </w:rPr>
            </w:pPr>
          </w:p>
        </w:tc>
      </w:tr>
      <w:tr>
        <w:trPr>
          <w:trHeight w:val="185"/>
        </w:trPr>
        <w:tc>
          <w:tcPr>
            <w:tcW w:w="1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Fair Value</w:t>
            </w:r>
          </w:p>
        </w:tc>
        <w:tc>
          <w:tcPr>
            <w:tcW w:w="1780" w:type="dxa"/>
            <w:vAlign w:val="bottom"/>
            <w:gridSpan w:val="2"/>
          </w:tcPr>
          <w:p>
            <w:pPr>
              <w:ind w:left="520"/>
              <w:spacing w:after="0"/>
              <w:rPr>
                <w:sz w:val="20"/>
                <w:szCs w:val="20"/>
                <w:color w:val="auto"/>
              </w:rPr>
            </w:pPr>
            <w:r>
              <w:rPr>
                <w:rFonts w:ascii="Arial" w:cs="Arial" w:eastAsia="Arial" w:hAnsi="Arial"/>
                <w:sz w:val="14"/>
                <w:szCs w:val="14"/>
                <w:b w:val="1"/>
                <w:bCs w:val="1"/>
                <w:color w:val="auto"/>
              </w:rPr>
              <w:t>Technique</w:t>
            </w: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Input</w:t>
            </w:r>
          </w:p>
        </w:tc>
        <w:tc>
          <w:tcPr>
            <w:tcW w:w="4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Average)</w:t>
            </w:r>
          </w:p>
        </w:tc>
        <w:tc>
          <w:tcPr>
            <w:tcW w:w="1220" w:type="dxa"/>
            <w:vAlign w:val="bottom"/>
          </w:tcPr>
          <w:p>
            <w:pPr>
              <w:ind w:left="440"/>
              <w:spacing w:after="0"/>
              <w:rPr>
                <w:sz w:val="20"/>
                <w:szCs w:val="20"/>
                <w:color w:val="auto"/>
              </w:rPr>
            </w:pPr>
            <w:r>
              <w:rPr>
                <w:rFonts w:ascii="Arial" w:cs="Arial" w:eastAsia="Arial" w:hAnsi="Arial"/>
                <w:sz w:val="14"/>
                <w:szCs w:val="14"/>
                <w:b w:val="1"/>
                <w:bCs w:val="1"/>
                <w:color w:val="auto"/>
              </w:rPr>
              <w:t>Input</w:t>
            </w:r>
          </w:p>
        </w:tc>
        <w:tc>
          <w:tcPr>
            <w:tcW w:w="0" w:type="dxa"/>
            <w:vAlign w:val="bottom"/>
          </w:tcPr>
          <w:p>
            <w:pPr>
              <w:spacing w:after="0"/>
              <w:rPr>
                <w:sz w:val="1"/>
                <w:szCs w:val="1"/>
                <w:color w:val="auto"/>
              </w:rPr>
            </w:pPr>
          </w:p>
        </w:tc>
      </w:tr>
      <w:tr>
        <w:trPr>
          <w:trHeight w:val="196"/>
        </w:trPr>
        <w:tc>
          <w:tcPr>
            <w:tcW w:w="1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First-lien debt investments</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1,059,336</w:t>
            </w:r>
          </w:p>
        </w:tc>
        <w:tc>
          <w:tcPr>
            <w:tcW w:w="20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Income approach</w:t>
            </w:r>
            <w:r>
              <w:rPr>
                <w:rFonts w:ascii="Arial" w:cs="Arial" w:eastAsia="Arial" w:hAnsi="Arial"/>
                <w:sz w:val="22"/>
                <w:szCs w:val="22"/>
                <w:color w:val="auto"/>
                <w:vertAlign w:val="superscript"/>
              </w:rPr>
              <w:t>(1)</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Market yield</w:t>
            </w:r>
          </w:p>
        </w:tc>
        <w:tc>
          <w:tcPr>
            <w:tcW w:w="100" w:type="dxa"/>
            <w:vAlign w:val="bottom"/>
            <w:tcBorders>
              <w:top w:val="single" w:sz="8" w:color="CCEEFF"/>
            </w:tcBorders>
            <w:shd w:val="clear" w:color="auto" w:fill="CCEEFF"/>
          </w:tcPr>
          <w:p>
            <w:pPr>
              <w:spacing w:after="0"/>
              <w:rPr>
                <w:sz w:val="17"/>
                <w:szCs w:val="17"/>
                <w:color w:val="auto"/>
              </w:rPr>
            </w:pPr>
          </w:p>
        </w:tc>
        <w:tc>
          <w:tcPr>
            <w:tcW w:w="4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8.0% —15.4% (10.9%)</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w w:val="93"/>
              </w:rPr>
              <w:t>Second-lien debt investments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61,250</w:t>
            </w:r>
          </w:p>
        </w:tc>
        <w:tc>
          <w:tcPr>
            <w:tcW w:w="1780" w:type="dxa"/>
            <w:vAlign w:val="bottom"/>
            <w:gridSpan w:val="2"/>
          </w:tcPr>
          <w:p>
            <w:pPr>
              <w:spacing w:after="0"/>
              <w:rPr>
                <w:sz w:val="20"/>
                <w:szCs w:val="20"/>
                <w:color w:val="auto"/>
              </w:rPr>
            </w:pPr>
            <w:r>
              <w:rPr>
                <w:rFonts w:ascii="Arial" w:cs="Arial" w:eastAsia="Arial" w:hAnsi="Arial"/>
                <w:sz w:val="16"/>
                <w:szCs w:val="16"/>
                <w:color w:val="auto"/>
              </w:rPr>
              <w:t>Income approach</w:t>
            </w:r>
          </w:p>
        </w:tc>
        <w:tc>
          <w:tcPr>
            <w:tcW w:w="1340" w:type="dxa"/>
            <w:vAlign w:val="bottom"/>
            <w:gridSpan w:val="2"/>
          </w:tcPr>
          <w:p>
            <w:pPr>
              <w:spacing w:after="0"/>
              <w:rPr>
                <w:sz w:val="20"/>
                <w:szCs w:val="20"/>
                <w:color w:val="auto"/>
              </w:rPr>
            </w:pPr>
            <w:r>
              <w:rPr>
                <w:rFonts w:ascii="Arial" w:cs="Arial" w:eastAsia="Arial" w:hAnsi="Arial"/>
                <w:sz w:val="16"/>
                <w:szCs w:val="16"/>
                <w:color w:val="auto"/>
              </w:rPr>
              <w:t>Market yield</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11.0% —11.0% (11.0%)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w w:val="96"/>
              </w:rPr>
              <w:t>Mezzanine debt investments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4,520</w:t>
            </w:r>
          </w:p>
        </w:tc>
        <w:tc>
          <w:tcPr>
            <w:tcW w:w="1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approach</w:t>
            </w:r>
          </w:p>
        </w:tc>
        <w:tc>
          <w:tcPr>
            <w:tcW w:w="1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Market yield</w:t>
            </w:r>
          </w:p>
        </w:tc>
        <w:tc>
          <w:tcPr>
            <w:tcW w:w="41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3"/>
              </w:rPr>
              <w:t>20.8% —20.8% (20.8%)</w:t>
            </w:r>
          </w:p>
        </w:tc>
        <w:tc>
          <w:tcPr>
            <w:tcW w:w="1220" w:type="dxa"/>
            <w:vAlign w:val="bottom"/>
            <w:shd w:val="clear" w:color="auto" w:fill="CCEEFF"/>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r>
        <w:trPr>
          <w:trHeight w:val="193"/>
        </w:trPr>
        <w:tc>
          <w:tcPr>
            <w:tcW w:w="1980" w:type="dxa"/>
            <w:vAlign w:val="bottom"/>
          </w:tcPr>
          <w:p>
            <w:pPr>
              <w:spacing w:after="0"/>
              <w:rPr>
                <w:sz w:val="20"/>
                <w:szCs w:val="20"/>
                <w:color w:val="auto"/>
              </w:rPr>
            </w:pPr>
            <w:r>
              <w:rPr>
                <w:rFonts w:ascii="Arial" w:cs="Arial" w:eastAsia="Arial" w:hAnsi="Arial"/>
                <w:sz w:val="16"/>
                <w:szCs w:val="16"/>
                <w:color w:val="auto"/>
                <w:w w:val="94"/>
              </w:rPr>
              <w:t>Equity and other investments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Market Multiple,</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w w:val="98"/>
              </w:rPr>
              <w:t>Discounted Cash Flow or</w:t>
            </w:r>
          </w:p>
        </w:tc>
        <w:tc>
          <w:tcPr>
            <w:tcW w:w="1340" w:type="dxa"/>
            <w:vAlign w:val="bottom"/>
            <w:gridSpan w:val="2"/>
          </w:tcPr>
          <w:p>
            <w:pPr>
              <w:spacing w:after="0"/>
              <w:rPr>
                <w:sz w:val="20"/>
                <w:szCs w:val="20"/>
                <w:color w:val="auto"/>
              </w:rPr>
            </w:pPr>
            <w:r>
              <w:rPr>
                <w:rFonts w:ascii="Arial" w:cs="Arial" w:eastAsia="Arial" w:hAnsi="Arial"/>
                <w:sz w:val="16"/>
                <w:szCs w:val="16"/>
                <w:color w:val="auto"/>
              </w:rPr>
              <w:t>Comparable</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spacing w:after="0"/>
              <w:rPr>
                <w:sz w:val="20"/>
                <w:szCs w:val="20"/>
                <w:color w:val="auto"/>
              </w:rPr>
            </w:pPr>
            <w:r>
              <w:rPr>
                <w:rFonts w:ascii="Arial" w:cs="Arial" w:eastAsia="Arial" w:hAnsi="Arial"/>
                <w:sz w:val="16"/>
                <w:szCs w:val="16"/>
                <w:color w:val="auto"/>
              </w:rPr>
              <w:t>Black Scholes Option</w:t>
            </w:r>
          </w:p>
        </w:tc>
        <w:tc>
          <w:tcPr>
            <w:tcW w:w="1340" w:type="dxa"/>
            <w:vAlign w:val="bottom"/>
            <w:gridSpan w:val="2"/>
          </w:tcPr>
          <w:p>
            <w:pPr>
              <w:spacing w:after="0"/>
              <w:rPr>
                <w:sz w:val="20"/>
                <w:szCs w:val="20"/>
                <w:color w:val="auto"/>
              </w:rPr>
            </w:pPr>
            <w:r>
              <w:rPr>
                <w:rFonts w:ascii="Arial" w:cs="Arial" w:eastAsia="Arial" w:hAnsi="Arial"/>
                <w:sz w:val="16"/>
                <w:szCs w:val="16"/>
                <w:color w:val="auto"/>
              </w:rPr>
              <w:t>multiple, discount</w:t>
            </w:r>
          </w:p>
        </w:tc>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Increase or</w:t>
            </w:r>
          </w:p>
        </w:tc>
        <w:tc>
          <w:tcPr>
            <w:tcW w:w="0" w:type="dxa"/>
            <w:vAlign w:val="bottom"/>
          </w:tcPr>
          <w:p>
            <w:pPr>
              <w:spacing w:after="0"/>
              <w:rPr>
                <w:sz w:val="1"/>
                <w:szCs w:val="1"/>
                <w:color w:val="auto"/>
              </w:rPr>
            </w:pPr>
          </w:p>
        </w:tc>
      </w:tr>
      <w:tr>
        <w:trPr>
          <w:trHeight w:val="206"/>
        </w:trPr>
        <w:tc>
          <w:tcPr>
            <w:tcW w:w="198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9,368</w:t>
            </w:r>
          </w:p>
        </w:tc>
        <w:tc>
          <w:tcPr>
            <w:tcW w:w="1780" w:type="dxa"/>
            <w:vAlign w:val="bottom"/>
            <w:gridSpan w:val="2"/>
          </w:tcPr>
          <w:p>
            <w:pPr>
              <w:spacing w:after="0"/>
              <w:rPr>
                <w:sz w:val="20"/>
                <w:szCs w:val="20"/>
                <w:color w:val="auto"/>
              </w:rPr>
            </w:pPr>
            <w:r>
              <w:rPr>
                <w:rFonts w:ascii="Arial" w:cs="Arial" w:eastAsia="Arial" w:hAnsi="Arial"/>
                <w:sz w:val="16"/>
                <w:szCs w:val="16"/>
                <w:color w:val="auto"/>
              </w:rPr>
              <w:t>Model</w:t>
            </w:r>
          </w:p>
        </w:tc>
        <w:tc>
          <w:tcPr>
            <w:tcW w:w="1340" w:type="dxa"/>
            <w:vAlign w:val="bottom"/>
            <w:gridSpan w:val="2"/>
          </w:tcPr>
          <w:p>
            <w:pPr>
              <w:spacing w:after="0"/>
              <w:rPr>
                <w:sz w:val="20"/>
                <w:szCs w:val="20"/>
                <w:color w:val="auto"/>
              </w:rPr>
            </w:pPr>
            <w:r>
              <w:rPr>
                <w:rFonts w:ascii="Arial" w:cs="Arial" w:eastAsia="Arial" w:hAnsi="Arial"/>
                <w:sz w:val="16"/>
                <w:szCs w:val="16"/>
                <w:color w:val="auto"/>
              </w:rPr>
              <w:t>rate or volatility</w:t>
            </w:r>
          </w:p>
        </w:tc>
        <w:tc>
          <w:tcPr>
            <w:tcW w:w="4120" w:type="dxa"/>
            <w:vAlign w:val="bottom"/>
            <w:gridSpan w:val="2"/>
          </w:tcPr>
          <w:p>
            <w:pPr>
              <w:jc w:val="center"/>
              <w:ind w:right="120"/>
              <w:spacing w:after="0"/>
              <w:rPr>
                <w:sz w:val="20"/>
                <w:szCs w:val="20"/>
                <w:color w:val="auto"/>
              </w:rPr>
            </w:pPr>
            <w:r>
              <w:rPr>
                <w:rFonts w:ascii="Arial" w:cs="Arial" w:eastAsia="Arial" w:hAnsi="Arial"/>
                <w:sz w:val="16"/>
                <w:szCs w:val="16"/>
                <w:color w:val="auto"/>
                <w:w w:val="94"/>
              </w:rPr>
              <w:t>7.9x —13.0x (10.4x) or 14.4% or 40%</w:t>
            </w:r>
          </w:p>
        </w:tc>
        <w:tc>
          <w:tcPr>
            <w:tcW w:w="1220" w:type="dxa"/>
            <w:vAlign w:val="bottom"/>
          </w:tcPr>
          <w:p>
            <w:pPr>
              <w:spacing w:after="0"/>
              <w:rPr>
                <w:sz w:val="20"/>
                <w:szCs w:val="20"/>
                <w:color w:val="auto"/>
              </w:rPr>
            </w:pPr>
            <w:r>
              <w:rPr>
                <w:rFonts w:ascii="Arial" w:cs="Arial" w:eastAsia="Arial" w:hAnsi="Arial"/>
                <w:sz w:val="16"/>
                <w:szCs w:val="16"/>
                <w:color w:val="auto"/>
              </w:rPr>
              <w:t>decrease</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460" w:right="40" w:hanging="452"/>
        <w:spacing w:after="0" w:line="277"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Includes $15.6 million of first-lien debt investments which, due to the proximity of the transactions relative to the measurement date, were valued using the cost of the investments.</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Not Carried at Fair Value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11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fair value of the Company’s Revolving Credit Facility, which is categorized as Level 3 within the fair value hierarchy, as of December 31, 2015, approximates its carrying value as the outstanding balance is callable at carrying value. The fair value of the Company’s Convertible Senior Notes, which is categorized as Level 2 within the fair value hierarchy, as of December 31, 2015, was $114.3 million, based on broker quotes received by the Company.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Other Financial Assets and Liabilities</w:t>
      </w:r>
    </w:p>
    <w:p>
      <w:pPr>
        <w:spacing w:after="0" w:line="117"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In accordance with the 1940 Act, with certain limitations, the Company is allowed to borrow amounts such that its asset coverage, as defined in the 1940 Act, is at least 200% after such borrowing. As of December 31, 2015 and 2014, the Company’s asset coverage was 225.7% and 311.0%,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obligations consisted of the following as of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8"/>
              </w:rPr>
              <w:t>December 31, 2015</w:t>
            </w: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80" w:type="dxa"/>
            <w:vAlign w:val="bottom"/>
            <w:gridSpan w:val="5"/>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Aggregate Principal</w:t>
            </w:r>
          </w:p>
        </w:tc>
        <w:tc>
          <w:tcPr>
            <w:tcW w:w="1520" w:type="dxa"/>
            <w:vAlign w:val="bottom"/>
            <w:gridSpan w:val="6"/>
          </w:tcPr>
          <w:p>
            <w:pPr>
              <w:jc w:val="right"/>
              <w:ind w:right="74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10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w w:val="93"/>
              </w:rPr>
              <w:t>Amount Committed</w:t>
            </w:r>
          </w:p>
        </w:tc>
        <w:tc>
          <w:tcPr>
            <w:tcW w:w="100" w:type="dxa"/>
            <w:vAlign w:val="bottom"/>
          </w:tcPr>
          <w:p>
            <w:pPr>
              <w:spacing w:after="0"/>
              <w:rPr>
                <w:sz w:val="14"/>
                <w:szCs w:val="14"/>
                <w:color w:val="auto"/>
              </w:rPr>
            </w:pPr>
          </w:p>
        </w:tc>
        <w:tc>
          <w:tcPr>
            <w:tcW w:w="1420" w:type="dxa"/>
            <w:vAlign w:val="bottom"/>
            <w:gridSpan w:val="5"/>
          </w:tcPr>
          <w:p>
            <w:pPr>
              <w:spacing w:after="0"/>
              <w:rPr>
                <w:sz w:val="20"/>
                <w:szCs w:val="20"/>
                <w:color w:val="auto"/>
              </w:rPr>
            </w:pPr>
            <w:r>
              <w:rPr>
                <w:rFonts w:ascii="Arial" w:cs="Arial" w:eastAsia="Arial" w:hAnsi="Arial"/>
                <w:sz w:val="14"/>
                <w:szCs w:val="14"/>
                <w:b w:val="1"/>
                <w:bCs w:val="1"/>
                <w:color w:val="auto"/>
              </w:rPr>
              <w:t>Principal</w:t>
            </w:r>
          </w:p>
        </w:tc>
        <w:tc>
          <w:tcPr>
            <w:tcW w:w="1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821,250</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540,305</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$ 280,945</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$540,305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Arial" w:cs="Arial" w:eastAsia="Arial" w:hAnsi="Arial"/>
                <w:sz w:val="18"/>
                <w:szCs w:val="18"/>
                <w:color w:val="auto"/>
              </w:rPr>
              <w:t>115,000</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112,483</w:t>
            </w:r>
          </w:p>
        </w:tc>
      </w:tr>
      <w:tr>
        <w:trPr>
          <w:trHeight w:val="27"/>
        </w:trPr>
        <w:tc>
          <w:tcPr>
            <w:tcW w:w="33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Debt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936,250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655,305</w:t>
            </w:r>
          </w:p>
        </w:tc>
        <w:tc>
          <w:tcPr>
            <w:tcW w:w="5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89"/>
              </w:rPr>
              <w:t>$ 280,945</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652,788</w:t>
            </w: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7"/>
          </w:tcPr>
          <w:p>
            <w:pPr>
              <w:ind w:left="120"/>
              <w:spacing w:after="0"/>
              <w:rPr>
                <w:sz w:val="20"/>
                <w:szCs w:val="20"/>
                <w:color w:val="auto"/>
              </w:rPr>
            </w:pPr>
            <w:r>
              <w:rPr>
                <w:rFonts w:ascii="Arial" w:cs="Arial" w:eastAsia="Arial" w:hAnsi="Arial"/>
                <w:sz w:val="14"/>
                <w:szCs w:val="14"/>
                <w:b w:val="1"/>
                <w:bCs w:val="1"/>
                <w:color w:val="auto"/>
              </w:rPr>
              <w:t>December 31, 2014</w:t>
            </w:r>
          </w:p>
        </w:tc>
        <w:tc>
          <w:tcPr>
            <w:tcW w:w="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9"/>
        </w:trPr>
        <w:tc>
          <w:tcPr>
            <w:tcW w:w="33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Aggregate Principal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4"/>
          </w:tcPr>
          <w:p>
            <w:pPr>
              <w:jc w:val="right"/>
              <w:ind w:right="580"/>
              <w:spacing w:after="0" w:line="119" w:lineRule="exact"/>
              <w:rPr>
                <w:sz w:val="20"/>
                <w:szCs w:val="20"/>
                <w:color w:val="auto"/>
              </w:rPr>
            </w:pPr>
            <w:r>
              <w:rPr>
                <w:rFonts w:ascii="Arial" w:cs="Arial" w:eastAsia="Arial" w:hAnsi="Arial"/>
                <w:sz w:val="13"/>
                <w:szCs w:val="13"/>
                <w:b w:val="1"/>
                <w:bCs w:val="1"/>
                <w:color w:val="auto"/>
                <w:w w:val="99"/>
              </w:rPr>
              <w:t>Outstanding</w:t>
            </w:r>
          </w:p>
        </w:tc>
        <w:tc>
          <w:tcPr>
            <w:tcW w:w="80" w:type="dxa"/>
            <w:vAlign w:val="bottom"/>
          </w:tcPr>
          <w:p>
            <w:pPr>
              <w:spacing w:after="0"/>
              <w:rPr>
                <w:sz w:val="10"/>
                <w:szCs w:val="10"/>
                <w:color w:val="auto"/>
              </w:rPr>
            </w:pPr>
          </w:p>
        </w:tc>
        <w:tc>
          <w:tcPr>
            <w:tcW w:w="1040" w:type="dxa"/>
            <w:vAlign w:val="bottom"/>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rPr>
              <w:t>Amount</w:t>
            </w:r>
          </w:p>
        </w:tc>
        <w:tc>
          <w:tcPr>
            <w:tcW w:w="34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0"/>
                <w:szCs w:val="10"/>
                <w:color w:val="auto"/>
              </w:rPr>
            </w:pPr>
          </w:p>
        </w:tc>
      </w:tr>
      <w:tr>
        <w:trPr>
          <w:trHeight w:val="171"/>
        </w:trPr>
        <w:tc>
          <w:tcPr>
            <w:tcW w:w="3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Amount Committed</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Available</w:t>
            </w:r>
            <w:r>
              <w:rPr>
                <w:rFonts w:ascii="Arial" w:cs="Arial" w:eastAsia="Arial" w:hAnsi="Arial"/>
                <w:sz w:val="12"/>
                <w:szCs w:val="12"/>
                <w:b w:val="1"/>
                <w:bCs w:val="1"/>
                <w:color w:val="auto"/>
                <w:w w:val="94"/>
              </w:rPr>
              <w:t>(1)</w:t>
            </w:r>
          </w:p>
        </w:tc>
        <w:tc>
          <w:tcPr>
            <w:tcW w:w="34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Value</w:t>
            </w: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SPV Asset Facility</w:t>
            </w:r>
          </w:p>
        </w:tc>
        <w:tc>
          <w:tcPr>
            <w:tcW w:w="170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106,725</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45,279</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$106,725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781,250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8"/>
                <w:szCs w:val="18"/>
                <w:color w:val="auto"/>
              </w:rPr>
              <w:t>177,216</w:t>
            </w: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466,189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177,216</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Notes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115,000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111,923</w:t>
            </w:r>
          </w:p>
        </w:tc>
      </w:tr>
      <w:tr>
        <w:trPr>
          <w:trHeight w:val="223"/>
        </w:trPr>
        <w:tc>
          <w:tcPr>
            <w:tcW w:w="3300" w:type="dxa"/>
            <w:vAlign w:val="bottom"/>
          </w:tcPr>
          <w:p>
            <w:pPr>
              <w:ind w:left="360"/>
              <w:spacing w:after="0"/>
              <w:rPr>
                <w:sz w:val="20"/>
                <w:szCs w:val="20"/>
                <w:color w:val="auto"/>
              </w:rPr>
            </w:pPr>
            <w:r>
              <w:rPr>
                <w:rFonts w:ascii="Arial" w:cs="Arial" w:eastAsia="Arial" w:hAnsi="Arial"/>
                <w:sz w:val="18"/>
                <w:szCs w:val="18"/>
                <w:b w:val="1"/>
                <w:bCs w:val="1"/>
                <w:color w:val="auto"/>
              </w:rPr>
              <w:t>Total Debt</w:t>
            </w:r>
          </w:p>
        </w:tc>
        <w:tc>
          <w:tcPr>
            <w:tcW w:w="170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1,071,250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398,941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$ 511,468</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395,864</w:t>
            </w:r>
          </w:p>
        </w:tc>
        <w:tc>
          <w:tcPr>
            <w:tcW w:w="100" w:type="dxa"/>
            <w:vAlign w:val="bottom"/>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3560" w:hanging="5532"/>
        <w:spacing w:after="0" w:line="449" w:lineRule="auto"/>
        <w:tabs>
          <w:tab w:leader="none" w:pos="45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amount available reflects any limitations related to the respective debt facilities’ borrowing bases. F-31</w:t>
      </w:r>
    </w:p>
    <w:p>
      <w:pPr>
        <w:sectPr>
          <w:pgSz w:w="11900" w:h="16838" w:orient="portrait"/>
          <w:cols w:equalWidth="0" w:num="1">
            <w:col w:w="11380"/>
          </w:cols>
          <w:pgMar w:left="240" w:top="460" w:right="27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years ended December 31, 2015, 2014 and 2013, the components of interest expense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7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46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15,342</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Commitment fees</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1,773</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2,263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w:t>
            </w:r>
          </w:p>
        </w:tc>
        <w:tc>
          <w:tcPr>
            <w:tcW w:w="20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5,874</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2,553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2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560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110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Swap settlement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(989)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23"/>
        </w:trPr>
        <w:tc>
          <w:tcPr>
            <w:tcW w:w="37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22,010</w:t>
            </w: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15,078</w:t>
            </w:r>
          </w:p>
        </w:tc>
        <w:tc>
          <w:tcPr>
            <w:tcW w:w="1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10,469</w:t>
            </w:r>
          </w:p>
        </w:tc>
        <w:tc>
          <w:tcPr>
            <w:tcW w:w="200" w:type="dxa"/>
            <w:vAlign w:val="bottom"/>
          </w:tcPr>
          <w:p>
            <w:pPr>
              <w:spacing w:after="0"/>
              <w:rPr>
                <w:sz w:val="19"/>
                <w:szCs w:val="19"/>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7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Average debt outstanding (in</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540.8</w:t>
            </w:r>
          </w:p>
        </w:tc>
        <w:tc>
          <w:tcPr>
            <w:tcW w:w="6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377.1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00" w:type="dxa"/>
            <w:vAlign w:val="bottom"/>
            <w:shd w:val="clear" w:color="auto" w:fill="CCEEFF"/>
          </w:tcPr>
          <w:p>
            <w:pPr>
              <w:spacing w:after="0"/>
              <w:rPr>
                <w:sz w:val="20"/>
                <w:szCs w:val="20"/>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Weighted average interest rate</w:t>
            </w:r>
          </w:p>
        </w:tc>
        <w:tc>
          <w:tcPr>
            <w:tcW w:w="14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96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6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On February 27, 2014, the Company further amended and restated the agreement. The second amended and restated agreement (the Revolving Credit Facility), among other things:</w:t>
      </w:r>
    </w:p>
    <w:p>
      <w:pPr>
        <w:spacing w:after="0" w:line="76" w:lineRule="exact"/>
        <w:rPr>
          <w:sz w:val="20"/>
          <w:szCs w:val="20"/>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increased the size of the facility to $581.3 million;</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increased the size of the uncommitted accordion feature to allow the Company, under certain circumstances to increase the size of the facility up to $956.3 million;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increased the limit for swingline loans to $100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with respect to $545 million in commitments,</w:t>
      </w:r>
    </w:p>
    <w:p>
      <w:pPr>
        <w:spacing w:after="0" w:line="130" w:lineRule="exact"/>
        <w:rPr>
          <w:rFonts w:ascii="Arial" w:cs="Arial" w:eastAsia="Arial" w:hAnsi="Arial"/>
          <w:sz w:val="18"/>
          <w:szCs w:val="18"/>
          <w:color w:val="auto"/>
        </w:rPr>
      </w:pPr>
    </w:p>
    <w:p>
      <w:pPr>
        <w:ind w:left="1480" w:right="220" w:hanging="446"/>
        <w:spacing w:after="0" w:line="277" w:lineRule="auto"/>
        <w:tabs>
          <w:tab w:leader="none" w:pos="14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extended the expiration of the revolving period from June 30, 2017 to February 27, 2018, during which period the Company, subject to certain conditions, may make borrowings under the facility,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extended the stated maturity date from July 2, 2018 to February 27,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17, 2014, the Company entered into a third amendment to the Revolving Credit Facility:</w:t>
      </w:r>
    </w:p>
    <w:p>
      <w:pPr>
        <w:spacing w:after="0" w:line="131" w:lineRule="exact"/>
        <w:rPr>
          <w:sz w:val="20"/>
          <w:szCs w:val="20"/>
          <w:color w:val="auto"/>
        </w:rPr>
      </w:pPr>
    </w:p>
    <w:p>
      <w:pPr>
        <w:ind w:left="900" w:right="240" w:hanging="325"/>
        <w:spacing w:after="0" w:line="342"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decreasing the aggregate commitments from $781.3 million to $766.3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extending the revolving period from February 27, 2018 to October 17, 2018;</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extending the stated maturity date from February 27, 2019 to October 17, 2019;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increasing the sublimit applicable to letters of credit from $20 million to $100 million.</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October 2, 2015, the Company entered into a fourth amendment to the Revolving Credit Facility:</w:t>
      </w:r>
    </w:p>
    <w:p>
      <w:pPr>
        <w:spacing w:after="0" w:line="131" w:lineRule="exact"/>
        <w:rPr>
          <w:sz w:val="20"/>
          <w:szCs w:val="20"/>
          <w:color w:val="auto"/>
        </w:rPr>
      </w:pPr>
    </w:p>
    <w:p>
      <w:pPr>
        <w:ind w:left="900" w:right="240" w:hanging="325"/>
        <w:spacing w:after="0" w:line="264"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decreasing the applicable margin with respect to (i) any loan bearing interest at a rate determined by reference to the Alternate Base Rate from 1.00% to 0.75% and (ii) any loan bearing interest at a rate determined by reference to the Adjusted LIBO Rate from 2.00% to 1.75%, in each case, if the Borrowing Base is equal to or greater than 1.85 times the Combined Debt Amount;</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increasing the aggregate commitments from $781.3 million to $821.3 million;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extending the revolving period from October 17, 2018 to October 2, 2019;</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extending the stated maturity date from October 17, 2019 to October 2, 2020; and</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increasing the accordion feature, which allows the Company, under certain circumstances, to increase the size of the Revolving Credit Facility, from a maximum of $956.3 million to a maximum of $1.25 billion.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10, 2015, TPG SL SPV, LLC became a guarantor under the Revolving Credit Facility.</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Company may borrow amounts in U.S. dollars or certain other permitted currencies. As of December 31, 2015, the Company had outstanding debt denominated in Swedish Krona (SEK) of 195.2 million, Euro (EUR) of 43.9 million and Pound Sterling (GBP) of 21.0 million on its Revolving Credit Facility, included in the Outstanding Principal amount in the table above.</w:t>
      </w:r>
    </w:p>
    <w:p>
      <w:pPr>
        <w:spacing w:after="0" w:line="181"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Revolving Credit Facility is guaranteed by TPG SL SPV, LLC, TC Lending, LLC and TSL MR, LLC and may be guaranteed by certain domestic subsidiaries in the future. The Revolving Credit Facility is secured by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80"/>
          </w:cols>
          <w:pgMar w:left="240" w:top="459" w:right="2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Revolving Credit Facility includes customary events of default, as well as customary covenants, including restrictions on certain distributions and financial covenants requiring:</w:t>
      </w:r>
    </w:p>
    <w:p>
      <w:pPr>
        <w:spacing w:after="0" w:line="76" w:lineRule="exact"/>
        <w:rPr>
          <w:sz w:val="20"/>
          <w:szCs w:val="20"/>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 asset coverage ratio of no less than 2 to 1 on the last day of any fiscal quarter;</w:t>
      </w:r>
    </w:p>
    <w:p>
      <w:pPr>
        <w:spacing w:after="0" w:line="130" w:lineRule="exact"/>
        <w:rPr>
          <w:rFonts w:ascii="Arial" w:cs="Arial" w:eastAsia="Arial" w:hAnsi="Arial"/>
          <w:sz w:val="18"/>
          <w:szCs w:val="18"/>
          <w:color w:val="auto"/>
        </w:rPr>
      </w:pPr>
    </w:p>
    <w:p>
      <w:pPr>
        <w:ind w:left="900" w:right="340" w:hanging="325"/>
        <w:spacing w:after="0" w:line="264" w:lineRule="auto"/>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stockholders’ equity of at least $500 million plus 25% of the net proceeds of the sale of equity interests after October 2, 2015.</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SPV Asset Facility</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The reinvestment period was subsequently reopened for the period from January 21, 2014 to January 21, 2015, thereby extending the Commitment Termination Date to January 21, 2015. Proceeds received by TPG SL SPV from interest, dividends or fees on assets were required to be used to pay expenses and interest on outstanding borrowings, and the excess could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were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6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After giving effect to amendments to the credit and security agreement in January 2014 and March 2015, the facility (as amended, the “SPV Asset Facility”) had commitments of $175 million and the pricing ranged from cost of funds + 2.25% to LIBOR + 2.35% and the facility was scheduled to mature on January 21, 2021.</w:t>
      </w:r>
    </w:p>
    <w:p>
      <w:pPr>
        <w:spacing w:after="0" w:line="18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The undrawn portion of the commitment bore an unutilized commitment fee of 0.75%. This fee ceased to accrue on January 21, 2015 when the reinvestment period ended. The SPV Asset Facility contained customary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80"/>
          </w:cols>
          <w:pgMar w:left="240" w:top="460" w:right="2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covenants, including covenants relating to separateness from the Adviser and its affiliates and long-term credit ratings with respect to the underlying collateral obligations, and events of default. The SPV Asset Facility was secured by a perfected first priority security interest in the assets of TPG SL SPV and on any payments received by TPG SL SPV in respect of such assets, which accordingly were not available to pay the Company’s other debt obligations.</w:t>
      </w:r>
    </w:p>
    <w:p>
      <w:pPr>
        <w:spacing w:after="0" w:line="14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color w:val="auto"/>
        </w:rPr>
        <w:t>On September 25, 2015, TPG SL SPV prepaid all loans outstanding under the facility and the facility was terminated. Upon termination of the facility, the security interests in the assets of TPG SL SPV and on payments received by TPG SL SPV in respect of such assets were released.</w:t>
      </w:r>
    </w:p>
    <w:p>
      <w:pPr>
        <w:spacing w:after="0" w:line="14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December 31, 2015, and 2014 TPG SL SPV had $230.3 million and $334.0 million, respectively, in investments at fair value. As of December 31, 2014, TPG SL SPV had $108.8 million in liabilities, including the outstanding borrowings, on its balance sheet. As of December 31, 2015, TPG SL SPV’s liabilities had been fully prepaid. As of December 31, 2014 TPG SL SPV had $10.2 million in restricted cash, a component of prepaid expenses and other assets, in the accompanying consolidated financial statements. TPG SL SPV did not have restricted cash as of December 31, 2015.</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Borrowings of TPG SL SPV are considered the Company’s borrowings for purposes of complying with the asset coverage requirements of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Holders may convert their Convertible Senior Notes at their option at any time prior to June 15, 2019 only under the following circumstances:</w:t>
      </w:r>
    </w:p>
    <w:p>
      <w:pPr>
        <w:spacing w:after="0" w:line="35" w:lineRule="exact"/>
        <w:rPr>
          <w:sz w:val="20"/>
          <w:szCs w:val="20"/>
          <w:color w:val="auto"/>
        </w:rPr>
      </w:pPr>
    </w:p>
    <w:p>
      <w:pPr>
        <w:ind w:right="40" w:firstLine="8"/>
        <w:spacing w:after="0" w:line="281" w:lineRule="auto"/>
        <w:tabs>
          <w:tab w:leader="none" w:pos="255" w:val="left"/>
        </w:tabs>
        <w:numPr>
          <w:ilvl w:val="0"/>
          <w:numId w:val="164"/>
        </w:numPr>
        <w:rPr>
          <w:rFonts w:ascii="Arial" w:cs="Arial" w:eastAsia="Arial" w:hAnsi="Arial"/>
          <w:sz w:val="16"/>
          <w:szCs w:val="16"/>
          <w:color w:val="auto"/>
        </w:rPr>
      </w:pPr>
      <w:r>
        <w:rPr>
          <w:rFonts w:ascii="Arial" w:cs="Arial" w:eastAsia="Arial" w:hAnsi="Arial"/>
          <w:sz w:val="16"/>
          <w:szCs w:val="16"/>
          <w:color w:val="auto"/>
        </w:rPr>
        <w:t>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w:t>
      </w:r>
    </w:p>
    <w:p>
      <w:pPr>
        <w:spacing w:after="0" w:line="2" w:lineRule="exact"/>
        <w:rPr>
          <w:rFonts w:ascii="Arial" w:cs="Arial" w:eastAsia="Arial" w:hAnsi="Arial"/>
          <w:sz w:val="16"/>
          <w:szCs w:val="16"/>
          <w:color w:val="auto"/>
        </w:rPr>
      </w:pPr>
    </w:p>
    <w:p>
      <w:pPr>
        <w:ind w:firstLine="8"/>
        <w:spacing w:after="0" w:line="271" w:lineRule="auto"/>
        <w:tabs>
          <w:tab w:leader="none" w:pos="25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2015 and 2014, the components of interest expense related to the Convertible Senior Notes were as follows:</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2015</w:t>
            </w:r>
          </w:p>
        </w:tc>
        <w:tc>
          <w:tcPr>
            <w:tcW w:w="2520" w:type="dxa"/>
            <w:vAlign w:val="bottom"/>
            <w:gridSpan w:val="4"/>
          </w:tcPr>
          <w:p>
            <w:pPr>
              <w:ind w:left="1260"/>
              <w:spacing w:after="0"/>
              <w:rPr>
                <w:sz w:val="20"/>
                <w:szCs w:val="20"/>
                <w:color w:val="auto"/>
              </w:rPr>
            </w:pPr>
            <w:r>
              <w:rPr>
                <w:rFonts w:ascii="Arial" w:cs="Arial" w:eastAsia="Arial" w:hAnsi="Arial"/>
                <w:sz w:val="14"/>
                <w:szCs w:val="14"/>
                <w:b w:val="1"/>
                <w:bCs w:val="1"/>
                <w:color w:val="auto"/>
                <w:w w:val="98"/>
              </w:rPr>
              <w:t>December 31, 2014</w:t>
            </w: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1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Accretion of original issue discount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8"/>
                <w:szCs w:val="18"/>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r>
      <w:tr>
        <w:trPr>
          <w:trHeight w:val="223"/>
        </w:trPr>
        <w:tc>
          <w:tcPr>
            <w:tcW w:w="5000" w:type="dxa"/>
            <w:vAlign w:val="bottom"/>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6,509</w:t>
            </w:r>
          </w:p>
        </w:tc>
        <w:tc>
          <w:tcPr>
            <w:tcW w:w="12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Total interest expense in the table above does not include the effect of the interest rate swaps. During the years ended December 31, 2015 and 2014, the Company received $5.2 million and $2.6 million, respectively, and paid $3.7 million and $1.6 million, respectively, related to the quarterly settlement of its interest rate swaps. These net amounts are reductions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5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December 31, 2015, the principal amount of the Convertible Senior Notes exceeded the value of the underlying shares multiplied by the per share closing price of the Company’s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2015, the components of the carrying value of the Convertible Senior Notes and the stated interest rate were as follows: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3020" w:type="dxa"/>
            <w:vAlign w:val="bottom"/>
            <w:gridSpan w:val="4"/>
          </w:tcPr>
          <w:p>
            <w:pPr>
              <w:ind w:left="1860"/>
              <w:spacing w:after="0"/>
              <w:rPr>
                <w:sz w:val="20"/>
                <w:szCs w:val="20"/>
                <w:color w:val="auto"/>
              </w:rPr>
            </w:pPr>
            <w:r>
              <w:rPr>
                <w:rFonts w:ascii="Arial" w:cs="Arial" w:eastAsia="Arial" w:hAnsi="Arial"/>
                <w:sz w:val="14"/>
                <w:szCs w:val="14"/>
                <w:b w:val="1"/>
                <w:bCs w:val="1"/>
                <w:color w:val="auto"/>
              </w:rPr>
              <w:t>December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rPr>
              <w:t>Senior Notes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Principal amount of debt</w:t>
            </w:r>
          </w:p>
        </w:tc>
        <w:tc>
          <w:tcPr>
            <w:tcW w:w="1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Original issue discount, net of accretion</w:t>
            </w: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Carrying value of debt</w:t>
            </w:r>
          </w:p>
        </w:tc>
        <w:tc>
          <w:tcPr>
            <w:tcW w:w="18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Stated interest rate</w:t>
            </w:r>
          </w:p>
        </w:tc>
        <w:tc>
          <w:tcPr>
            <w:tcW w:w="1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40" w:type="dxa"/>
            <w:vAlign w:val="bottom"/>
            <w:gridSpan w:val="2"/>
            <w:vMerge w:val="continue"/>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right="560" w:firstLine="456"/>
        <w:spacing w:after="0" w:line="342" w:lineRule="auto"/>
        <w:rPr>
          <w:sz w:val="20"/>
          <w:szCs w:val="20"/>
          <w:color w:val="auto"/>
        </w:rPr>
      </w:pPr>
      <w:r>
        <w:rPr>
          <w:rFonts w:ascii="Arial" w:cs="Arial" w:eastAsia="Arial" w:hAnsi="Arial"/>
          <w:sz w:val="16"/>
          <w:szCs w:val="16"/>
          <w:color w:val="auto"/>
        </w:rPr>
        <w:t>The stated interest rate in the table above does not include the effect of the interest rate swaps. The Company’s swap-adjusted interest rate as of December 31, 2015 was three-month LIBOR plus 286 basis points. Please see Note 5 for further information about the Company’s interest rate swaps.</w:t>
      </w:r>
    </w:p>
    <w:p>
      <w:pPr>
        <w:spacing w:after="0" w:line="124"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December 31, 2015, the Company was in compliance with the terms of the Convertible Senior Notes Indenture.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59" w:right="2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and December 31, 2014, the Company was in compliance with the terms of its debt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Company Commitments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From time to time, the Company may enter into commitments to fund investments; such commitments are incorporated into the Company’s assessment of its liquidity position. As of December 31, 2015 and 2014, the Company had the following commitments to fund investments: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24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2014</w:t>
            </w:r>
          </w:p>
        </w:tc>
      </w:tr>
      <w:tr>
        <w:trPr>
          <w:trHeight w:val="210"/>
        </w:trPr>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revolving loan commitments</w:t>
            </w:r>
          </w:p>
        </w:tc>
        <w:tc>
          <w:tcPr>
            <w:tcW w:w="8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42,797</w:t>
            </w:r>
          </w:p>
        </w:tc>
        <w:tc>
          <w:tcPr>
            <w:tcW w:w="1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Senior secured term loan commitments</w:t>
            </w:r>
          </w:p>
        </w:tc>
        <w:tc>
          <w:tcPr>
            <w:tcW w:w="8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35,849</w:t>
            </w:r>
          </w:p>
        </w:tc>
        <w:tc>
          <w:tcPr>
            <w:tcW w:w="11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19"/>
                <w:szCs w:val="19"/>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Portfolio Company Commitments</w:t>
            </w:r>
          </w:p>
        </w:tc>
        <w:tc>
          <w:tcPr>
            <w:tcW w:w="12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78,646</w:t>
            </w:r>
          </w:p>
        </w:tc>
        <w:tc>
          <w:tcPr>
            <w:tcW w:w="156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100" w:type="dxa"/>
            <w:vAlign w:val="bottom"/>
            <w:shd w:val="clear" w:color="auto" w:fill="CCEEFF"/>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 and Contingencies</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From time to time, the Company may become a party to certain legal proceedings incidental to the normal course of its business. As of December 31, 2015, management is not aware of any pending or threatened litigation.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Assets</w:t>
      </w:r>
    </w:p>
    <w:p>
      <w:pPr>
        <w:spacing w:after="0" w:line="121"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24"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70"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47"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For the year ended December 31, 2014, the Company issued 4,234,501 shares and received proceeds of $65 million related to capital drawdowns delivered pursuant to the Subscription Agreements. There were no shares issued related to capital drawdowns for the year ended December 31, 2015.</w:t>
      </w:r>
    </w:p>
    <w:p>
      <w:pPr>
        <w:spacing w:after="0" w:line="124"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Pursuant to the Company’s dividend reinvestment plan, the following tables summarize the shares issued to stockholders who have not opted out of the Company’s dividend reinvestment plan during the year ended December 31, 2015 and 2014. All shares issued to stockholders in the tables below are newly issued shares.</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Year Ended December 31, 2015</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0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Record Date</w:t>
            </w:r>
          </w:p>
        </w:tc>
        <w:tc>
          <w:tcPr>
            <w:tcW w:w="580" w:type="dxa"/>
            <w:vAlign w:val="bottom"/>
            <w:gridSpan w:val="3"/>
            <w:vMerge w:val="restart"/>
          </w:tcPr>
          <w:p>
            <w:pPr>
              <w:spacing w:after="0"/>
              <w:rPr>
                <w:sz w:val="10"/>
                <w:szCs w:val="10"/>
                <w:color w:val="auto"/>
              </w:rPr>
            </w:pPr>
          </w:p>
        </w:tc>
        <w:tc>
          <w:tcPr>
            <w:tcW w:w="2180" w:type="dxa"/>
            <w:vAlign w:val="bottom"/>
            <w:gridSpan w:val="4"/>
          </w:tcPr>
          <w:p>
            <w:pPr>
              <w:jc w:val="center"/>
              <w:ind w:right="580"/>
              <w:spacing w:after="0" w:line="119" w:lineRule="exact"/>
              <w:rPr>
                <w:sz w:val="20"/>
                <w:szCs w:val="20"/>
                <w:color w:val="auto"/>
              </w:rPr>
            </w:pPr>
            <w:r>
              <w:rPr>
                <w:rFonts w:ascii="Arial" w:cs="Arial" w:eastAsia="Arial" w:hAnsi="Arial"/>
                <w:sz w:val="13"/>
                <w:szCs w:val="13"/>
                <w:b w:val="1"/>
                <w:bCs w:val="1"/>
                <w:color w:val="auto"/>
                <w:w w:val="99"/>
              </w:rPr>
              <w:t>Date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CCEEFF"/>
            </w:tcBorders>
            <w:gridSpan w:val="3"/>
            <w:vMerge w:val="continue"/>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Shares Issued</w:t>
            </w:r>
          </w:p>
        </w:tc>
        <w:tc>
          <w:tcPr>
            <w:tcW w:w="580" w:type="dxa"/>
            <w:vAlign w:val="bottom"/>
            <w:tcBorders>
              <w:bottom w:val="single" w:sz="8" w:color="CCEEFF"/>
            </w:tcBorders>
            <w:gridSpan w:val="3"/>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3, 2014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31, 2014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7"/>
              </w:rPr>
              <w:t>February 2, 2015</w:t>
            </w: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February 24, 2015</w:t>
            </w:r>
          </w:p>
        </w:tc>
        <w:tc>
          <w:tcPr>
            <w:tcW w:w="2280" w:type="dxa"/>
            <w:vAlign w:val="bottom"/>
            <w:gridSpan w:val="4"/>
          </w:tcPr>
          <w:p>
            <w:pPr>
              <w:jc w:val="right"/>
              <w:ind w:right="580"/>
              <w:spacing w:after="0"/>
              <w:rPr>
                <w:sz w:val="20"/>
                <w:szCs w:val="20"/>
                <w:color w:val="auto"/>
              </w:rPr>
            </w:pPr>
            <w:r>
              <w:rPr>
                <w:rFonts w:ascii="Arial" w:cs="Arial" w:eastAsia="Arial" w:hAnsi="Arial"/>
                <w:sz w:val="18"/>
                <w:szCs w:val="18"/>
                <w:color w:val="auto"/>
              </w:rPr>
              <w:t>March 31, 2015</w:t>
            </w:r>
          </w:p>
        </w:tc>
        <w:tc>
          <w:tcPr>
            <w:tcW w:w="2180" w:type="dxa"/>
            <w:vAlign w:val="bottom"/>
            <w:gridSpan w:val="4"/>
          </w:tcPr>
          <w:p>
            <w:pPr>
              <w:jc w:val="right"/>
              <w:ind w:right="580"/>
              <w:spacing w:after="0"/>
              <w:rPr>
                <w:sz w:val="20"/>
                <w:szCs w:val="20"/>
                <w:color w:val="auto"/>
              </w:rPr>
            </w:pPr>
            <w:r>
              <w:rPr>
                <w:rFonts w:ascii="Arial" w:cs="Arial" w:eastAsia="Arial" w:hAnsi="Arial"/>
                <w:sz w:val="18"/>
                <w:szCs w:val="18"/>
                <w:color w:val="auto"/>
              </w:rPr>
              <w:t>May 1, 2015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41,441</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7, 2015</w:t>
            </w:r>
          </w:p>
        </w:tc>
        <w:tc>
          <w:tcPr>
            <w:tcW w:w="22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June 30, 2015</w:t>
            </w:r>
          </w:p>
        </w:tc>
        <w:tc>
          <w:tcPr>
            <w:tcW w:w="218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August 3, 2015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26,258</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2015</w:t>
            </w:r>
          </w:p>
        </w:tc>
        <w:tc>
          <w:tcPr>
            <w:tcW w:w="2280" w:type="dxa"/>
            <w:vAlign w:val="bottom"/>
            <w:gridSpan w:val="4"/>
          </w:tcPr>
          <w:p>
            <w:pPr>
              <w:jc w:val="right"/>
              <w:ind w:right="580"/>
              <w:spacing w:after="0"/>
              <w:rPr>
                <w:sz w:val="20"/>
                <w:szCs w:val="20"/>
                <w:color w:val="auto"/>
              </w:rPr>
            </w:pPr>
            <w:r>
              <w:rPr>
                <w:rFonts w:ascii="Arial" w:cs="Arial" w:eastAsia="Arial" w:hAnsi="Arial"/>
                <w:sz w:val="18"/>
                <w:szCs w:val="18"/>
                <w:color w:val="auto"/>
              </w:rPr>
              <w:t>September 30, 2015</w:t>
            </w:r>
          </w:p>
        </w:tc>
        <w:tc>
          <w:tcPr>
            <w:tcW w:w="2180" w:type="dxa"/>
            <w:vAlign w:val="bottom"/>
            <w:gridSpan w:val="4"/>
          </w:tcPr>
          <w:p>
            <w:pPr>
              <w:jc w:val="right"/>
              <w:ind w:right="580"/>
              <w:spacing w:after="0"/>
              <w:rPr>
                <w:sz w:val="20"/>
                <w:szCs w:val="20"/>
                <w:color w:val="auto"/>
              </w:rPr>
            </w:pPr>
            <w:r>
              <w:rPr>
                <w:rFonts w:ascii="Arial" w:cs="Arial" w:eastAsia="Arial" w:hAnsi="Arial"/>
                <w:sz w:val="18"/>
                <w:szCs w:val="18"/>
                <w:color w:val="auto"/>
              </w:rPr>
              <w:t>November 2, 2015</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138,413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368,602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60" w:type="dxa"/>
            <w:vAlign w:val="bottom"/>
            <w:gridSpan w:val="7"/>
            <w:vMerge w:val="restart"/>
          </w:tcPr>
          <w:p>
            <w:pPr>
              <w:ind w:left="60"/>
              <w:spacing w:after="0"/>
              <w:rPr>
                <w:sz w:val="20"/>
                <w:szCs w:val="20"/>
                <w:color w:val="auto"/>
              </w:rPr>
            </w:pPr>
            <w:r>
              <w:rPr>
                <w:rFonts w:ascii="Arial" w:cs="Arial" w:eastAsia="Arial" w:hAnsi="Arial"/>
                <w:sz w:val="14"/>
                <w:szCs w:val="14"/>
                <w:b w:val="1"/>
                <w:bCs w:val="1"/>
                <w:color w:val="auto"/>
              </w:rPr>
              <w:t>Year Ended December 31, 2014</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8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vMerge w:val="continue"/>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3140" w:type="dxa"/>
            <w:vAlign w:val="bottom"/>
            <w:vMerge w:val="restart"/>
          </w:tcPr>
          <w:p>
            <w:pPr>
              <w:spacing w:after="0"/>
              <w:rPr>
                <w:sz w:val="10"/>
                <w:szCs w:val="10"/>
                <w:color w:val="auto"/>
              </w:rPr>
            </w:pPr>
          </w:p>
        </w:tc>
        <w:tc>
          <w:tcPr>
            <w:tcW w:w="1760" w:type="dxa"/>
            <w:vAlign w:val="bottom"/>
            <w:gridSpan w:val="2"/>
            <w:vMerge w:val="restart"/>
          </w:tcPr>
          <w:p>
            <w:pPr>
              <w:jc w:val="right"/>
              <w:ind w:right="428"/>
              <w:spacing w:after="0"/>
              <w:rPr>
                <w:sz w:val="20"/>
                <w:szCs w:val="20"/>
                <w:color w:val="auto"/>
              </w:rPr>
            </w:pPr>
            <w:r>
              <w:rPr>
                <w:rFonts w:ascii="Arial" w:cs="Arial" w:eastAsia="Arial" w:hAnsi="Arial"/>
                <w:sz w:val="14"/>
                <w:szCs w:val="14"/>
                <w:b w:val="1"/>
                <w:bCs w:val="1"/>
                <w:color w:val="auto"/>
              </w:rPr>
              <w:t>Record Date</w:t>
            </w:r>
          </w:p>
        </w:tc>
        <w:tc>
          <w:tcPr>
            <w:tcW w:w="5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2180" w:type="dxa"/>
            <w:vAlign w:val="bottom"/>
            <w:gridSpan w:val="4"/>
          </w:tcPr>
          <w:p>
            <w:pPr>
              <w:jc w:val="center"/>
              <w:ind w:right="560"/>
              <w:spacing w:after="0" w:line="119" w:lineRule="exact"/>
              <w:rPr>
                <w:sz w:val="20"/>
                <w:szCs w:val="20"/>
                <w:color w:val="auto"/>
              </w:rPr>
            </w:pPr>
            <w:r>
              <w:rPr>
                <w:rFonts w:ascii="Arial" w:cs="Arial" w:eastAsia="Arial" w:hAnsi="Arial"/>
                <w:sz w:val="13"/>
                <w:szCs w:val="13"/>
                <w:b w:val="1"/>
                <w:bCs w:val="1"/>
                <w:color w:val="auto"/>
              </w:rPr>
              <w:t>Date</w:t>
            </w:r>
          </w:p>
        </w:tc>
        <w:tc>
          <w:tcPr>
            <w:tcW w:w="9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0"/>
              </w:rPr>
              <w:t>Shares Issued</w:t>
            </w:r>
          </w:p>
        </w:tc>
        <w:tc>
          <w:tcPr>
            <w:tcW w:w="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31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CCEEFF"/>
            </w:tcBorders>
            <w:vMerge w:val="continue"/>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6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0"/>
              </w:rPr>
              <w:t>Shares Issued</w:t>
            </w: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December 31, 2013</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February 13, 2014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March 26, 2014</w:t>
            </w:r>
          </w:p>
        </w:tc>
        <w:tc>
          <w:tcPr>
            <w:tcW w:w="2280" w:type="dxa"/>
            <w:vAlign w:val="bottom"/>
            <w:gridSpan w:val="4"/>
          </w:tcPr>
          <w:p>
            <w:pPr>
              <w:jc w:val="right"/>
              <w:ind w:right="520"/>
              <w:spacing w:after="0"/>
              <w:rPr>
                <w:sz w:val="20"/>
                <w:szCs w:val="20"/>
                <w:color w:val="auto"/>
              </w:rPr>
            </w:pPr>
            <w:r>
              <w:rPr>
                <w:rFonts w:ascii="Arial" w:cs="Arial" w:eastAsia="Arial" w:hAnsi="Arial"/>
                <w:sz w:val="18"/>
                <w:szCs w:val="18"/>
                <w:color w:val="auto"/>
              </w:rPr>
              <w:t>March 31, 2014</w:t>
            </w:r>
          </w:p>
        </w:tc>
        <w:tc>
          <w:tcPr>
            <w:tcW w:w="2180" w:type="dxa"/>
            <w:vAlign w:val="bottom"/>
            <w:gridSpan w:val="4"/>
          </w:tcPr>
          <w:p>
            <w:pPr>
              <w:jc w:val="right"/>
              <w:ind w:right="540"/>
              <w:spacing w:after="0"/>
              <w:rPr>
                <w:sz w:val="20"/>
                <w:szCs w:val="20"/>
                <w:color w:val="auto"/>
              </w:rPr>
            </w:pPr>
            <w:r>
              <w:rPr>
                <w:rFonts w:ascii="Arial" w:cs="Arial" w:eastAsia="Arial" w:hAnsi="Arial"/>
                <w:sz w:val="18"/>
                <w:szCs w:val="18"/>
                <w:color w:val="auto"/>
              </w:rPr>
              <w:t>May 1, 2014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410,183</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6, 2014</w:t>
            </w:r>
          </w:p>
        </w:tc>
        <w:tc>
          <w:tcPr>
            <w:tcW w:w="22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June 30, 2014</w:t>
            </w:r>
          </w:p>
        </w:tc>
        <w:tc>
          <w:tcPr>
            <w:tcW w:w="218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August 1, 2014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August 4, 2014</w:t>
            </w:r>
          </w:p>
        </w:tc>
        <w:tc>
          <w:tcPr>
            <w:tcW w:w="2280" w:type="dxa"/>
            <w:vAlign w:val="bottom"/>
            <w:gridSpan w:val="4"/>
          </w:tcPr>
          <w:p>
            <w:pPr>
              <w:jc w:val="right"/>
              <w:ind w:right="520"/>
              <w:spacing w:after="0"/>
              <w:rPr>
                <w:sz w:val="20"/>
                <w:szCs w:val="20"/>
                <w:color w:val="auto"/>
              </w:rPr>
            </w:pPr>
            <w:r>
              <w:rPr>
                <w:rFonts w:ascii="Arial" w:cs="Arial" w:eastAsia="Arial" w:hAnsi="Arial"/>
                <w:sz w:val="18"/>
                <w:szCs w:val="18"/>
                <w:color w:val="auto"/>
              </w:rPr>
              <w:t>September 30, 2014</w:t>
            </w:r>
          </w:p>
        </w:tc>
        <w:tc>
          <w:tcPr>
            <w:tcW w:w="2180" w:type="dxa"/>
            <w:vAlign w:val="bottom"/>
            <w:gridSpan w:val="4"/>
          </w:tcPr>
          <w:p>
            <w:pPr>
              <w:jc w:val="right"/>
              <w:ind w:right="540"/>
              <w:spacing w:after="0"/>
              <w:rPr>
                <w:sz w:val="20"/>
                <w:szCs w:val="20"/>
                <w:color w:val="auto"/>
              </w:rPr>
            </w:pPr>
            <w:r>
              <w:rPr>
                <w:rFonts w:ascii="Arial" w:cs="Arial" w:eastAsia="Arial" w:hAnsi="Arial"/>
                <w:sz w:val="18"/>
                <w:szCs w:val="18"/>
                <w:color w:val="auto"/>
              </w:rPr>
              <w:t>November 3, 2014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230,575</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Shares Issued</w:t>
            </w:r>
          </w:p>
        </w:tc>
        <w:tc>
          <w:tcPr>
            <w:tcW w:w="1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380"/>
          </w:cols>
          <w:pgMar w:left="240" w:top="459" w:right="2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8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78"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10b5-1 Plan expired in accordance with its terms on June 30, 2015. On August 4, 2015, the Board authorized the Company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 On February 24, 2016, the Board authorized the extension of the termination date of the Company 10b5-1 Plan to August 31, 2016.</w:t>
      </w:r>
    </w:p>
    <w:p>
      <w:pPr>
        <w:spacing w:after="0" w:line="18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the year ended December 31, 2015, the Company repurchased 2,000 shares under the Company 10b5-1 Plan at a weighted average price per share of $14.44, inclusive of commissions, for a total cost of $29 thousand. No shares were repurchased under the Company 10b5-1 Plan during the year ended December 31, 2014.</w:t>
      </w:r>
    </w:p>
    <w:p>
      <w:pPr>
        <w:spacing w:after="0" w:line="18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On December 3, 2013, the Board approved a stock split in the form of a stock dividend pursuant to which the Company’s stockholders of record as of December 4, 2013 received 65.676 additional shares of common stock for each share of common stock held. The Company distributed the shares on December 5, 2013 and paid cash for fractional shares without interest or deduction. The Company has retroactively applied the effect of the stock split to the financial information presented herein by multiplying numbers of shares outstanding by 66.676 and dividing per share amounts by 66.676.</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Year Ended</w:t>
            </w: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2015</w:t>
            </w:r>
          </w:p>
        </w:tc>
        <w:tc>
          <w:tcPr>
            <w:tcW w:w="2020" w:type="dxa"/>
            <w:vAlign w:val="bottom"/>
            <w:gridSpan w:val="3"/>
          </w:tcPr>
          <w:p>
            <w:pPr>
              <w:ind w:left="840"/>
              <w:spacing w:after="0" w:line="142" w:lineRule="exact"/>
              <w:rPr>
                <w:sz w:val="20"/>
                <w:szCs w:val="20"/>
                <w:color w:val="auto"/>
              </w:rPr>
            </w:pPr>
            <w:r>
              <w:rPr>
                <w:rFonts w:ascii="Arial" w:cs="Arial" w:eastAsia="Arial" w:hAnsi="Arial"/>
                <w:sz w:val="14"/>
                <w:szCs w:val="14"/>
                <w:b w:val="1"/>
                <w:bCs w:val="1"/>
                <w:color w:val="auto"/>
                <w:w w:val="91"/>
              </w:rPr>
              <w:t>December 31, 2014</w:t>
            </w:r>
          </w:p>
        </w:tc>
        <w:tc>
          <w:tcPr>
            <w:tcW w:w="2020" w:type="dxa"/>
            <w:vAlign w:val="bottom"/>
            <w:gridSpan w:val="3"/>
          </w:tcPr>
          <w:p>
            <w:pPr>
              <w:ind w:left="860"/>
              <w:spacing w:after="0" w:line="142" w:lineRule="exact"/>
              <w:rPr>
                <w:sz w:val="20"/>
                <w:szCs w:val="20"/>
                <w:color w:val="auto"/>
              </w:rPr>
            </w:pPr>
            <w:r>
              <w:rPr>
                <w:rFonts w:ascii="Arial" w:cs="Arial" w:eastAsia="Arial" w:hAnsi="Arial"/>
                <w:sz w:val="14"/>
                <w:szCs w:val="14"/>
                <w:b w:val="1"/>
                <w:bCs w:val="1"/>
                <w:color w:val="auto"/>
                <w:w w:val="90"/>
              </w:rPr>
              <w:t>December 31, 2013</w:t>
            </w:r>
          </w:p>
        </w:tc>
        <w:tc>
          <w:tcPr>
            <w:tcW w:w="100" w:type="dxa"/>
            <w:vAlign w:val="bottom"/>
          </w:tcPr>
          <w:p>
            <w:pPr>
              <w:spacing w:after="0"/>
              <w:rPr>
                <w:sz w:val="12"/>
                <w:szCs w:val="12"/>
                <w:color w:val="auto"/>
              </w:rPr>
            </w:pP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4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85,050</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66,983</w:t>
            </w:r>
          </w:p>
        </w:tc>
        <w:tc>
          <w:tcPr>
            <w:tcW w:w="100" w:type="dxa"/>
            <w:vAlign w:val="bottom"/>
            <w:shd w:val="clear" w:color="auto" w:fill="CCEEFF"/>
          </w:tcPr>
          <w:p>
            <w:pPr>
              <w:spacing w:after="0"/>
              <w:rPr>
                <w:sz w:val="20"/>
                <w:szCs w:val="20"/>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rPr>
              <w:t>Weighted average shares of</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8"/>
                <w:szCs w:val="18"/>
                <w:color w:val="auto"/>
              </w:rPr>
              <w:t>common stock outstanding—</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98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54,006,322</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50,509,692</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34,635,208</w:t>
            </w:r>
          </w:p>
        </w:tc>
        <w:tc>
          <w:tcPr>
            <w:tcW w:w="100" w:type="dxa"/>
            <w:vAlign w:val="bottom"/>
          </w:tcPr>
          <w:p>
            <w:pPr>
              <w:spacing w:after="0"/>
              <w:rPr>
                <w:sz w:val="20"/>
                <w:szCs w:val="20"/>
                <w:color w:val="auto"/>
              </w:rPr>
            </w:pPr>
          </w:p>
        </w:tc>
      </w:tr>
      <w:tr>
        <w:trPr>
          <w:trHeight w:val="202"/>
        </w:trPr>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per common share—basic</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20"/>
                <w:szCs w:val="20"/>
                <w:color w:val="auto"/>
              </w:rPr>
            </w:pPr>
          </w:p>
        </w:tc>
      </w:tr>
    </w:tbl>
    <w:p>
      <w:pPr>
        <w:spacing w:after="0" w:line="229" w:lineRule="exact"/>
        <w:rPr>
          <w:sz w:val="20"/>
          <w:szCs w:val="20"/>
          <w:color w:val="auto"/>
        </w:rPr>
      </w:pPr>
    </w:p>
    <w:p>
      <w:pPr>
        <w:ind w:left="460" w:right="100" w:hanging="452"/>
        <w:spacing w:after="0" w:line="277"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40"/>
          </w:cols>
          <w:pgMar w:left="240" w:top="460" w:right="3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purpose of calculating diluted earnings per common share, the average closing price of the Company’s common stock for the year ended December 31, 2015 was less than the conversion price for the Convertible Senior Notes outstanding as of December 31,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Dividends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dividends declared during the years ended December 31, 2015 and 2014:</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rPr>
              <w:t>December 31, 2015</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8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2"/>
                <w:szCs w:val="12"/>
                <w:color w:val="auto"/>
              </w:rPr>
            </w:pPr>
          </w:p>
        </w:tc>
        <w:tc>
          <w:tcPr>
            <w:tcW w:w="214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February 24, 2015</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2015</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2015</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May 7, 2015</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2015</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2015</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August 4, 2015</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September 30, 2015</w:t>
            </w:r>
          </w:p>
        </w:tc>
        <w:tc>
          <w:tcPr>
            <w:tcW w:w="4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1"/>
              </w:rPr>
              <w:t>October 30, 2015</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November 3, 2015</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2015</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January 29, 2016</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40" w:type="dxa"/>
            <w:vAlign w:val="bottom"/>
            <w:gridSpan w:val="2"/>
            <w:vMerge w:val="restart"/>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Date Declared</w:t>
            </w:r>
          </w:p>
        </w:tc>
        <w:tc>
          <w:tcPr>
            <w:tcW w:w="1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rPr>
              <w:t>December 31, 2014</w:t>
            </w: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88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Record Date</w:t>
            </w:r>
          </w:p>
        </w:tc>
        <w:tc>
          <w:tcPr>
            <w:tcW w:w="460" w:type="dxa"/>
            <w:vAlign w:val="bottom"/>
          </w:tcPr>
          <w:p>
            <w:pPr>
              <w:spacing w:after="0"/>
              <w:rPr>
                <w:sz w:val="12"/>
                <w:szCs w:val="12"/>
                <w:color w:val="auto"/>
              </w:rPr>
            </w:pPr>
          </w:p>
        </w:tc>
        <w:tc>
          <w:tcPr>
            <w:tcW w:w="2140" w:type="dxa"/>
            <w:vAlign w:val="bottom"/>
            <w:gridSpan w:val="2"/>
          </w:tcPr>
          <w:p>
            <w:pPr>
              <w:jc w:val="right"/>
              <w:ind w:right="1060"/>
              <w:spacing w:after="0" w:line="142" w:lineRule="exact"/>
              <w:rPr>
                <w:sz w:val="20"/>
                <w:szCs w:val="20"/>
                <w:color w:val="auto"/>
              </w:rPr>
            </w:pPr>
            <w:r>
              <w:rPr>
                <w:rFonts w:ascii="Arial" w:cs="Arial" w:eastAsia="Arial" w:hAnsi="Arial"/>
                <w:sz w:val="14"/>
                <w:szCs w:val="14"/>
                <w:b w:val="1"/>
                <w:bCs w:val="1"/>
                <w:color w:val="auto"/>
              </w:rPr>
              <w:t>Payment Date</w:t>
            </w:r>
          </w:p>
        </w:tc>
        <w:tc>
          <w:tcPr>
            <w:tcW w:w="12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Dividend per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March 26,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March 31, 2014</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April 30, 2014</w:t>
            </w:r>
          </w:p>
        </w:tc>
        <w:tc>
          <w:tcPr>
            <w:tcW w:w="8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May 6, 2014</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rPr>
              <w:t>June 30, 2014</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rPr>
              <w:t>July 31, 2014</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August 4, 2014</w:t>
            </w:r>
          </w:p>
        </w:tc>
        <w:tc>
          <w:tcPr>
            <w:tcW w:w="1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September 30, 2014</w:t>
            </w:r>
          </w:p>
        </w:tc>
        <w:tc>
          <w:tcPr>
            <w:tcW w:w="4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1"/>
              </w:rPr>
              <w:t>October 31, 2014</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November 3, 2014</w:t>
            </w:r>
          </w:p>
        </w:tc>
        <w:tc>
          <w:tcPr>
            <w:tcW w:w="188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December 31, 2014</w:t>
            </w:r>
          </w:p>
        </w:tc>
        <w:tc>
          <w:tcPr>
            <w:tcW w:w="460" w:type="dxa"/>
            <w:vAlign w:val="bottom"/>
          </w:tcPr>
          <w:p>
            <w:pPr>
              <w:spacing w:after="0"/>
              <w:rPr>
                <w:sz w:val="18"/>
                <w:szCs w:val="18"/>
                <w:color w:val="auto"/>
              </w:rPr>
            </w:pPr>
          </w:p>
        </w:tc>
        <w:tc>
          <w:tcPr>
            <w:tcW w:w="2140" w:type="dxa"/>
            <w:vAlign w:val="bottom"/>
            <w:gridSpan w:val="2"/>
          </w:tcPr>
          <w:p>
            <w:pPr>
              <w:jc w:val="right"/>
              <w:ind w:right="840"/>
              <w:spacing w:after="0"/>
              <w:rPr>
                <w:sz w:val="20"/>
                <w:szCs w:val="20"/>
                <w:color w:val="auto"/>
              </w:rPr>
            </w:pPr>
            <w:r>
              <w:rPr>
                <w:rFonts w:ascii="Arial" w:cs="Arial" w:eastAsia="Arial" w:hAnsi="Arial"/>
                <w:sz w:val="18"/>
                <w:szCs w:val="18"/>
                <w:color w:val="auto"/>
                <w:w w:val="91"/>
              </w:rPr>
              <w:t>January 30, 2015</w:t>
            </w:r>
          </w:p>
        </w:tc>
        <w:tc>
          <w:tcPr>
            <w:tcW w:w="500" w:type="dxa"/>
            <w:vAlign w:val="bottom"/>
          </w:tcPr>
          <w:p>
            <w:pPr>
              <w:spacing w:after="0"/>
              <w:rPr>
                <w:sz w:val="18"/>
                <w:szCs w:val="18"/>
                <w:color w:val="auto"/>
              </w:rPr>
            </w:pPr>
          </w:p>
        </w:tc>
        <w:tc>
          <w:tcPr>
            <w:tcW w:w="800" w:type="dxa"/>
            <w:vAlign w:val="bottom"/>
            <w:gridSpan w:val="2"/>
          </w:tcPr>
          <w:p>
            <w:pPr>
              <w:ind w:left="4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Dividends Declared</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dividends declared during the years ended December 31, 2015 and December 31, 2014, were derived from net investment income and long-term capital gains, determined on a tax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character of shareholder distributions attributable to the fiscal years ended December 31, 2015, 2014 and 2013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90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5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Income</w:t>
            </w:r>
            <w:r>
              <w:rPr>
                <w:rFonts w:ascii="Arial" w:cs="Arial" w:eastAsia="Arial" w:hAnsi="Arial"/>
                <w:sz w:val="15"/>
                <w:szCs w:val="15"/>
                <w:color w:val="auto"/>
              </w:rPr>
              <w:t>(1)</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74,932</w:t>
            </w:r>
          </w:p>
        </w:tc>
        <w:tc>
          <w:tcPr>
            <w:tcW w:w="1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80,077</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Capital Gains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9,366</w:t>
            </w: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1,249</w:t>
            </w: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3,909</w:t>
            </w:r>
          </w:p>
        </w:tc>
      </w:tr>
      <w:tr>
        <w:trPr>
          <w:trHeight w:val="27"/>
        </w:trPr>
        <w:tc>
          <w:tcPr>
            <w:tcW w:w="3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84,298</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81,326</w:t>
            </w: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55,385</w:t>
            </w:r>
          </w:p>
        </w:tc>
      </w:tr>
      <w:tr>
        <w:trPr>
          <w:trHeight w:val="20"/>
        </w:trPr>
        <w:tc>
          <w:tcPr>
            <w:tcW w:w="3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00" w:hanging="452"/>
        <w:spacing w:after="0" w:line="277" w:lineRule="auto"/>
        <w:tabs>
          <w:tab w:leader="none" w:pos="4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years ended December 31, 2015, 2014 and 2013, 83.04%, 78.85% and 91.52% of ordinary income qualified as interest related dividend which is exempt from U.S. withholding tax applicable to non U.S. shareholders.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60"/>
          </w:cols>
          <w:pgMar w:left="240" w:top="460" w:right="2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following reconciles increase in net assets resulting from operations for the fiscal years ended December 31, 2015, 2014 and 2013, to taxable income at December 31, 2015, 2014 and 2013:</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98"/>
              </w:rPr>
              <w:t>Year Ended</w:t>
            </w:r>
          </w:p>
        </w:tc>
        <w:tc>
          <w:tcPr>
            <w:tcW w:w="140" w:type="dxa"/>
            <w:vAlign w:val="bottom"/>
          </w:tcPr>
          <w:p>
            <w:pPr>
              <w:spacing w:after="0"/>
              <w:rPr>
                <w:sz w:val="14"/>
                <w:szCs w:val="14"/>
                <w:color w:val="auto"/>
              </w:rPr>
            </w:pPr>
          </w:p>
        </w:tc>
        <w:tc>
          <w:tcPr>
            <w:tcW w:w="19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4080" w:type="dxa"/>
            <w:vAlign w:val="bottom"/>
          </w:tcPr>
          <w:p>
            <w:pPr>
              <w:spacing w:after="0"/>
              <w:rPr>
                <w:sz w:val="14"/>
                <w:szCs w:val="14"/>
                <w:color w:val="auto"/>
              </w:rPr>
            </w:pPr>
          </w:p>
        </w:tc>
        <w:tc>
          <w:tcPr>
            <w:tcW w:w="2120" w:type="dxa"/>
            <w:vAlign w:val="bottom"/>
            <w:gridSpan w:val="4"/>
          </w:tcPr>
          <w:p>
            <w:pPr>
              <w:spacing w:after="0"/>
              <w:rPr>
                <w:sz w:val="20"/>
                <w:szCs w:val="20"/>
                <w:color w:val="auto"/>
              </w:rPr>
            </w:pPr>
            <w:r>
              <w:rPr>
                <w:rFonts w:ascii="Arial" w:cs="Arial" w:eastAsia="Arial" w:hAnsi="Arial"/>
                <w:sz w:val="14"/>
                <w:szCs w:val="14"/>
                <w:b w:val="1"/>
                <w:bCs w:val="1"/>
                <w:color w:val="auto"/>
              </w:rPr>
              <w:t>December 31, 2015</w:t>
            </w:r>
          </w:p>
        </w:tc>
        <w:tc>
          <w:tcPr>
            <w:tcW w:w="212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2013</w:t>
            </w:r>
          </w:p>
        </w:tc>
      </w:tr>
      <w:tr>
        <w:trPr>
          <w:trHeight w:val="182"/>
        </w:trPr>
        <w:tc>
          <w:tcPr>
            <w:tcW w:w="4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Increase in net assets resulting from</w:t>
            </w:r>
          </w:p>
        </w:tc>
        <w:tc>
          <w:tcPr>
            <w:tcW w:w="1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63,568</w:t>
            </w: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85,050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investments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28,568</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17,722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(8,386)</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income for tax purposes, not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book</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organization costs</w:t>
            </w:r>
          </w:p>
        </w:tc>
        <w:tc>
          <w:tcPr>
            <w:tcW w:w="160" w:type="dxa"/>
            <w:vAlign w:val="bottom"/>
            <w:shd w:val="clear" w:color="auto" w:fill="CCEEFF"/>
          </w:tcPr>
          <w:p>
            <w:pPr>
              <w:spacing w:after="0"/>
              <w:rPr>
                <w:sz w:val="18"/>
                <w:szCs w:val="18"/>
                <w:color w:val="auto"/>
              </w:rPr>
            </w:pPr>
          </w:p>
        </w:tc>
        <w:tc>
          <w:tcPr>
            <w:tcW w:w="196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2"/>
        </w:trPr>
        <w:tc>
          <w:tcPr>
            <w:tcW w:w="4080" w:type="dxa"/>
            <w:vAlign w:val="bottom"/>
          </w:tcPr>
          <w:p>
            <w:pPr>
              <w:ind w:left="360"/>
              <w:spacing w:after="0" w:line="201" w:lineRule="exact"/>
              <w:rPr>
                <w:sz w:val="20"/>
                <w:szCs w:val="20"/>
                <w:color w:val="auto"/>
              </w:rPr>
            </w:pPr>
            <w:r>
              <w:rPr>
                <w:rFonts w:ascii="Arial" w:cs="Arial" w:eastAsia="Arial" w:hAnsi="Arial"/>
                <w:sz w:val="18"/>
                <w:szCs w:val="18"/>
                <w:color w:val="auto"/>
              </w:rPr>
              <w:t>Other expenses not currently</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080" w:type="dxa"/>
            <w:vAlign w:val="bottom"/>
          </w:tcPr>
          <w:p>
            <w:pPr>
              <w:ind w:left="540"/>
              <w:spacing w:after="0"/>
              <w:rPr>
                <w:sz w:val="20"/>
                <w:szCs w:val="20"/>
                <w:color w:val="auto"/>
              </w:rPr>
            </w:pPr>
            <w:r>
              <w:rPr>
                <w:rFonts w:ascii="Arial" w:cs="Arial" w:eastAsia="Arial" w:hAnsi="Arial"/>
                <w:sz w:val="18"/>
                <w:szCs w:val="18"/>
                <w:color w:val="auto"/>
              </w:rPr>
              <w:t>deductible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2"/>
          </w:tcPr>
          <w:p>
            <w:pPr>
              <w:jc w:val="right"/>
              <w:ind w:right="960"/>
              <w:spacing w:after="0"/>
              <w:rPr>
                <w:sz w:val="20"/>
                <w:szCs w:val="20"/>
                <w:color w:val="auto"/>
              </w:rPr>
            </w:pPr>
            <w:r>
              <w:rPr>
                <w:rFonts w:ascii="Arial" w:cs="Arial" w:eastAsia="Arial" w:hAnsi="Arial"/>
                <w:sz w:val="18"/>
                <w:szCs w:val="18"/>
                <w:color w:val="auto"/>
              </w:rPr>
              <w:t>1,156</w:t>
            </w: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243</w:t>
            </w:r>
          </w:p>
        </w:tc>
      </w:tr>
      <w:tr>
        <w:trPr>
          <w:trHeight w:val="216"/>
        </w:trPr>
        <w:tc>
          <w:tcPr>
            <w:tcW w:w="4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book-tax differences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23"/>
        </w:trPr>
        <w:tc>
          <w:tcPr>
            <w:tcW w:w="4080" w:type="dxa"/>
            <w:vAlign w:val="bottom"/>
          </w:tcPr>
          <w:p>
            <w:pPr>
              <w:spacing w:after="0"/>
              <w:rPr>
                <w:sz w:val="20"/>
                <w:szCs w:val="20"/>
                <w:color w:val="auto"/>
              </w:rPr>
            </w:pPr>
            <w:r>
              <w:rPr>
                <w:rFonts w:ascii="Arial" w:cs="Arial" w:eastAsia="Arial" w:hAnsi="Arial"/>
                <w:sz w:val="18"/>
                <w:szCs w:val="18"/>
                <w:b w:val="1"/>
                <w:bCs w:val="1"/>
                <w:color w:val="auto"/>
              </w:rPr>
              <w:t>Taxable Income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96,067</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104,020</w:t>
            </w:r>
          </w:p>
        </w:tc>
        <w:tc>
          <w:tcPr>
            <w:tcW w:w="9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58,401</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Taxable income is an estimate and is not fully determined until the Company’s tax return is filed.</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undistributed net investment income or undistributed net realized gains on investments, as appropriate. In addition, due to the Company’s differing fiscal, tax, and excise tax year ends, the best estimates available are recorded to the above accounts in the period that such differences arise or are identifiable.</w:t>
      </w:r>
    </w:p>
    <w:p>
      <w:pPr>
        <w:spacing w:after="0" w:line="188"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During the year ended December 31, 2015, permanent differences were principally related to $13.8 million of recharacterization of prepayment penalties for tax purposes between ordinary income and capital gains, $1.2 million attributable to accrued U.S. federal excise taxes, and $0.1 million attributable to the foreign currency reclassifications. During the year ended December 31, 2014, permanent differences were principally related to $19.9 million of recharacterization of prepayment penalties for tax purposes between ordinary income and capital gains, $1.1 million attributable to accrued U.S. federal excise taxes, and $0.2 million attributable to the foreign currency reclassifications. During the year ended December 31, 2013, permanent differences were principally related to $0.2 million attributable to accrued U.S. federal excise taxes, $3.0 million of recharacterization of prepayment penalties for tax purposes between ordinary income and capital gains and $1.4 million on the disposition of investments with PIK earnings not previously recognized for tax purposes.</w:t>
      </w:r>
    </w:p>
    <w:p>
      <w:pPr>
        <w:spacing w:after="0" w:line="192"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As of December 31, 2015, the Company had a deferred tax asset of $1.5 million pertaining to unrealized depreciation and a $1.6 million deferred tax asset pertaining to operating losses, related to one of its investments. Given the losses generated by the entity, the deferred tax assets have been offset by valuation allowances of $1.5 million and $1.6 million for the deferred tax asset generated from unrealized depreciation and operating income, respectively. There were no deferred tax assets or liabilities as of December 31, 2014 or 2013.</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tax cost of the Company’s investments as of December 31, 2015 and 2014, approximates their amortized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60" w:right="2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Highlights</w:t>
      </w:r>
    </w:p>
    <w:p>
      <w:pPr>
        <w:spacing w:after="0" w:line="121" w:lineRule="exact"/>
        <w:rPr>
          <w:sz w:val="20"/>
          <w:szCs w:val="20"/>
          <w:color w:val="auto"/>
        </w:rPr>
      </w:pPr>
    </w:p>
    <w:p>
      <w:pPr>
        <w:ind w:right="280" w:firstLine="456"/>
        <w:spacing w:after="0" w:line="308" w:lineRule="auto"/>
        <w:rPr>
          <w:sz w:val="20"/>
          <w:szCs w:val="20"/>
          <w:color w:val="auto"/>
        </w:rPr>
      </w:pPr>
      <w:r>
        <w:rPr>
          <w:rFonts w:ascii="Arial" w:cs="Arial" w:eastAsia="Arial" w:hAnsi="Arial"/>
          <w:sz w:val="17"/>
          <w:szCs w:val="17"/>
          <w:color w:val="auto"/>
        </w:rPr>
        <w:t>The following per share data and ratios have been derived from information provided in the consolidated financial statements. The following are the financial highlights for one share of common stock outstanding during the years ended December 31, 2015, 2014, 2013, 2012, and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8"/>
              </w:rPr>
              <w:t>Year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2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26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2012</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December 31, 2011</w:t>
            </w:r>
          </w:p>
        </w:tc>
      </w:tr>
      <w:tr>
        <w:trPr>
          <w:trHeight w:val="196"/>
        </w:trPr>
        <w:tc>
          <w:tcPr>
            <w:tcW w:w="20" w:type="dxa"/>
            <w:vAlign w:val="bottom"/>
          </w:tcPr>
          <w:p>
            <w:pPr>
              <w:spacing w:after="0"/>
              <w:rPr>
                <w:sz w:val="17"/>
                <w:szCs w:val="17"/>
                <w:color w:val="auto"/>
              </w:rPr>
            </w:pPr>
          </w:p>
        </w:tc>
        <w:tc>
          <w:tcPr>
            <w:tcW w:w="2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5"/>
                <w:szCs w:val="15"/>
                <w:b w:val="1"/>
                <w:bCs w:val="1"/>
                <w:color w:val="auto"/>
              </w:rPr>
              <w:t>(5)</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asset value, beginning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15.53</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15.19</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14.71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0.01</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(loss)</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2.07</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(0.44)</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Net realized and unrealized</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gain (loss)</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(0.58)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0.29</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from operations</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(0.22)</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Issuance of common stock,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of offering costs</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14.98</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Dividends declared from net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r>
              <w:rPr>
                <w:rFonts w:ascii="Arial" w:cs="Arial" w:eastAsia="Arial" w:hAnsi="Arial"/>
                <w:sz w:val="15"/>
                <w:szCs w:val="15"/>
                <w:color w:val="auto"/>
              </w:rPr>
              <w:t>(2)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Dividends declared from</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realized gains</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(0.02)</w:t>
            </w:r>
          </w:p>
        </w:tc>
        <w:tc>
          <w:tcPr>
            <w:tcW w:w="160" w:type="dxa"/>
            <w:vAlign w:val="bottom"/>
          </w:tcPr>
          <w:p>
            <w:pPr>
              <w:spacing w:after="0"/>
              <w:rPr>
                <w:sz w:val="20"/>
                <w:szCs w:val="20"/>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(0.20)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color w:val="auto"/>
              </w:rPr>
              <w:t>(0.11)</w:t>
            </w:r>
          </w:p>
        </w:tc>
        <w:tc>
          <w:tcPr>
            <w:tcW w:w="160" w:type="dxa"/>
            <w:vAlign w:val="bottom"/>
          </w:tcPr>
          <w:p>
            <w:pPr>
              <w:spacing w:after="0"/>
              <w:rPr>
                <w:sz w:val="20"/>
                <w:szCs w:val="20"/>
                <w:color w:val="auto"/>
              </w:rPr>
            </w:pPr>
          </w:p>
        </w:tc>
        <w:tc>
          <w:tcPr>
            <w:tcW w:w="1260" w:type="dxa"/>
            <w:vAlign w:val="bottom"/>
            <w:gridSpan w:val="2"/>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Total increase (decrease)</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 net assets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(0.38)</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14.70</w:t>
            </w:r>
          </w:p>
        </w:tc>
      </w:tr>
      <w:tr>
        <w:trPr>
          <w:trHeight w:val="205"/>
        </w:trPr>
        <w:tc>
          <w:tcPr>
            <w:tcW w:w="20" w:type="dxa"/>
            <w:vAlign w:val="bottom"/>
          </w:tcPr>
          <w:p>
            <w:pPr>
              <w:spacing w:after="0"/>
              <w:rPr>
                <w:sz w:val="17"/>
                <w:szCs w:val="17"/>
                <w:color w:val="auto"/>
              </w:rPr>
            </w:pPr>
          </w:p>
        </w:tc>
        <w:tc>
          <w:tcPr>
            <w:tcW w:w="2740" w:type="dxa"/>
            <w:vAlign w:val="bottom"/>
          </w:tcPr>
          <w:p>
            <w:pPr>
              <w:ind w:left="340"/>
              <w:spacing w:after="0" w:line="205" w:lineRule="exact"/>
              <w:rPr>
                <w:sz w:val="20"/>
                <w:szCs w:val="20"/>
                <w:color w:val="auto"/>
              </w:rPr>
            </w:pPr>
            <w:r>
              <w:rPr>
                <w:rFonts w:ascii="Arial" w:cs="Arial" w:eastAsia="Arial" w:hAnsi="Arial"/>
                <w:sz w:val="18"/>
                <w:szCs w:val="18"/>
                <w:b w:val="1"/>
                <w:bCs w:val="1"/>
                <w:color w:val="auto"/>
              </w:rPr>
              <w:t>Net Asset Value, End of</w:t>
            </w: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2740" w:type="dxa"/>
            <w:vAlign w:val="bottom"/>
          </w:tcPr>
          <w:p>
            <w:pPr>
              <w:ind w:left="520"/>
              <w:spacing w:after="0"/>
              <w:rPr>
                <w:sz w:val="20"/>
                <w:szCs w:val="20"/>
                <w:color w:val="auto"/>
              </w:rPr>
            </w:pPr>
            <w:r>
              <w:rPr>
                <w:rFonts w:ascii="Arial" w:cs="Arial" w:eastAsia="Arial" w:hAnsi="Arial"/>
                <w:sz w:val="18"/>
                <w:szCs w:val="18"/>
                <w:b w:val="1"/>
                <w:bCs w:val="1"/>
                <w:color w:val="auto"/>
              </w:rPr>
              <w:t>Period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15.15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15.53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15.52</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15.19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14.71</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Per share market value at end</w:t>
            </w: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16.22</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Total return based on market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(3)</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5.71%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14.69%</w:t>
            </w:r>
          </w:p>
        </w:tc>
        <w:tc>
          <w:tcPr>
            <w:tcW w:w="160" w:type="dxa"/>
            <w:vAlign w:val="bottom"/>
          </w:tcPr>
          <w:p>
            <w:pPr>
              <w:spacing w:after="0"/>
              <w:rPr>
                <w:sz w:val="20"/>
                <w:szCs w:val="20"/>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60" w:type="dxa"/>
            <w:vAlign w:val="bottom"/>
            <w:gridSpan w:val="2"/>
          </w:tcPr>
          <w:p>
            <w:pPr>
              <w:jc w:val="center"/>
              <w:ind w:left="311"/>
              <w:spacing w:after="0"/>
              <w:rPr>
                <w:sz w:val="20"/>
                <w:szCs w:val="20"/>
                <w:color w:val="auto"/>
              </w:rPr>
            </w:pPr>
            <w:r>
              <w:rPr>
                <w:rFonts w:ascii="Arial" w:cs="Arial" w:eastAsia="Arial" w:hAnsi="Arial"/>
                <w:sz w:val="18"/>
                <w:szCs w:val="18"/>
                <w:color w:val="auto"/>
                <w:w w:val="99"/>
              </w:rPr>
              <w:t>—</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return based on net asset</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r>
              <w:rPr>
                <w:rFonts w:ascii="Arial" w:cs="Arial" w:eastAsia="Arial" w:hAnsi="Arial"/>
                <w:sz w:val="15"/>
                <w:szCs w:val="15"/>
                <w:color w:val="auto"/>
              </w:rPr>
              <w:t>(4)</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11.26%</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center"/>
              <w:ind w:left="331"/>
              <w:spacing w:after="0"/>
              <w:rPr>
                <w:sz w:val="20"/>
                <w:szCs w:val="20"/>
                <w:color w:val="auto"/>
              </w:rPr>
            </w:pPr>
            <w:r>
              <w:rPr>
                <w:rFonts w:ascii="Arial" w:cs="Arial" w:eastAsia="Arial" w:hAnsi="Arial"/>
                <w:sz w:val="18"/>
                <w:szCs w:val="18"/>
                <w:color w:val="auto"/>
                <w:w w:val="91"/>
              </w:rPr>
              <w:t>n.m.</w:t>
            </w: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Shares Outstanding, End of</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Period</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54,163,960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53,797,358</w:t>
            </w:r>
          </w:p>
        </w:tc>
        <w:tc>
          <w:tcPr>
            <w:tcW w:w="16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37,026,023</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8"/>
                <w:szCs w:val="18"/>
                <w:color w:val="auto"/>
              </w:rPr>
              <w:t>31,582,954</w:t>
            </w:r>
          </w:p>
        </w:tc>
        <w:tc>
          <w:tcPr>
            <w:tcW w:w="16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11,770,514</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2740" w:type="dxa"/>
            <w:vAlign w:val="bottom"/>
          </w:tcPr>
          <w:p>
            <w:pPr>
              <w:spacing w:after="0" w:line="201" w:lineRule="exact"/>
              <w:rPr>
                <w:sz w:val="20"/>
                <w:szCs w:val="20"/>
                <w:color w:val="auto"/>
              </w:rPr>
            </w:pPr>
            <w:r>
              <w:rPr>
                <w:rFonts w:ascii="Arial" w:cs="Arial" w:eastAsia="Arial" w:hAnsi="Arial"/>
                <w:sz w:val="18"/>
                <w:szCs w:val="18"/>
                <w:color w:val="auto"/>
              </w:rPr>
              <w:t>Ratio of net expenses to</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average net assets</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r>
      <w:tr>
        <w:trPr>
          <w:trHeight w:val="202"/>
        </w:trPr>
        <w:tc>
          <w:tcPr>
            <w:tcW w:w="20" w:type="dxa"/>
            <w:vAlign w:val="bottom"/>
          </w:tcPr>
          <w:p>
            <w:pPr>
              <w:spacing w:after="0"/>
              <w:rPr>
                <w:sz w:val="17"/>
                <w:szCs w:val="17"/>
                <w:color w:val="auto"/>
              </w:rPr>
            </w:pPr>
          </w:p>
        </w:tc>
        <w:tc>
          <w:tcPr>
            <w:tcW w:w="2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Ratio of net investment income</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average net assets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13.42%</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10.54%</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Portfolio turnover</w:t>
            </w: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34.51%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53.16%</w:t>
            </w:r>
          </w:p>
        </w:tc>
        <w:tc>
          <w:tcPr>
            <w:tcW w:w="1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26.97%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500"/>
              <w:spacing w:after="0"/>
              <w:rPr>
                <w:sz w:val="20"/>
                <w:szCs w:val="20"/>
                <w:color w:val="auto"/>
              </w:rPr>
            </w:pPr>
            <w:r>
              <w:rPr>
                <w:rFonts w:ascii="Arial" w:cs="Arial" w:eastAsia="Arial" w:hAnsi="Arial"/>
                <w:sz w:val="18"/>
                <w:szCs w:val="18"/>
                <w:color w:val="auto"/>
              </w:rPr>
              <w:t>45.70%</w:t>
            </w:r>
          </w:p>
        </w:tc>
        <w:tc>
          <w:tcPr>
            <w:tcW w:w="160" w:type="dxa"/>
            <w:vAlign w:val="bottom"/>
          </w:tcPr>
          <w:p>
            <w:pPr>
              <w:spacing w:after="0"/>
              <w:rPr>
                <w:sz w:val="18"/>
                <w:szCs w:val="18"/>
                <w:color w:val="auto"/>
              </w:rPr>
            </w:pPr>
          </w:p>
        </w:tc>
        <w:tc>
          <w:tcPr>
            <w:tcW w:w="1260" w:type="dxa"/>
            <w:vAlign w:val="bottom"/>
            <w:gridSpan w:val="2"/>
          </w:tcPr>
          <w:p>
            <w:pPr>
              <w:jc w:val="center"/>
              <w:ind w:left="331"/>
              <w:spacing w:after="0"/>
              <w:rPr>
                <w:sz w:val="20"/>
                <w:szCs w:val="20"/>
                <w:color w:val="auto"/>
              </w:rPr>
            </w:pPr>
            <w:r>
              <w:rPr>
                <w:rFonts w:ascii="Arial" w:cs="Arial" w:eastAsia="Arial" w:hAnsi="Arial"/>
                <w:sz w:val="18"/>
                <w:szCs w:val="18"/>
                <w:color w:val="auto"/>
                <w:w w:val="91"/>
              </w:rPr>
              <w:t>n.m.</w:t>
            </w: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Net assets,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820,741</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835,405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574,696</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479,803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173,092</w:t>
            </w:r>
          </w:p>
        </w:tc>
      </w:tr>
    </w:tbl>
    <w:p>
      <w:pPr>
        <w:spacing w:after="0" w:line="229" w:lineRule="exact"/>
        <w:rPr>
          <w:sz w:val="20"/>
          <w:szCs w:val="20"/>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per share data was derived by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per share data was derived by using the actual shares outstanding at the date of the relevant transactions.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Total return based on market value is calculated as the change in market value per share during the period plus declared dividends per share, divided by the beginning market value per share.</w:t>
      </w:r>
    </w:p>
    <w:p>
      <w:pPr>
        <w:ind w:left="460" w:right="60" w:hanging="452"/>
        <w:spacing w:after="0" w:line="261" w:lineRule="auto"/>
        <w:tabs>
          <w:tab w:leader="none" w:pos="4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Total return based on net asset value is calculated as the change in net asset value per share during the period plus declared dividends per share, divided by the beginning net asset value per share.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hanging="452"/>
        <w:spacing w:after="0" w:line="277" w:lineRule="auto"/>
        <w:tabs>
          <w:tab w:leader="none" w:pos="4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dates prior to December 3, 2013 have been retroactively adjusted for the stock split which was effected in the form of a stock dividend.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6"/>
          </w:tcPr>
          <w:p>
            <w:pPr>
              <w:ind w:left="1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66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1"/>
              </w:rPr>
              <w:t>$ 43,559</w:t>
            </w: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$ 46,774</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$45,352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800" w:type="dxa"/>
            <w:vAlign w:val="bottom"/>
            <w:gridSpan w:val="6"/>
          </w:tcPr>
          <w:p>
            <w:pPr>
              <w:spacing w:after="0"/>
              <w:rPr>
                <w:sz w:val="20"/>
                <w:szCs w:val="20"/>
                <w:color w:val="auto"/>
              </w:rPr>
            </w:pPr>
            <w:r>
              <w:rPr>
                <w:rFonts w:ascii="Arial" w:cs="Arial" w:eastAsia="Arial" w:hAnsi="Arial"/>
                <w:sz w:val="18"/>
                <w:szCs w:val="18"/>
                <w:color w:val="auto"/>
              </w:rPr>
              <w:t>$ 19,916</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color w:val="auto"/>
              </w:rPr>
              <w:t>$ 20,926</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89"/>
              </w:rPr>
              <w:t>$20,332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16,943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$ 23,643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$ 25,849</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89"/>
              </w:rPr>
              <w:t>$25,020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20,787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800" w:type="dxa"/>
            <w:vAlign w:val="bottom"/>
            <w:gridSpan w:val="6"/>
          </w:tcPr>
          <w:p>
            <w:pPr>
              <w:spacing w:after="0"/>
              <w:rPr>
                <w:sz w:val="20"/>
                <w:szCs w:val="20"/>
                <w:color w:val="auto"/>
              </w:rPr>
            </w:pPr>
            <w:r>
              <w:rPr>
                <w:rFonts w:ascii="Arial" w:cs="Arial" w:eastAsia="Arial" w:hAnsi="Arial"/>
                <w:sz w:val="18"/>
                <w:szCs w:val="18"/>
                <w:color w:val="auto"/>
              </w:rPr>
              <w:t>$(27,985)</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5"/>
          </w:tcPr>
          <w:p>
            <w:pPr>
              <w:spacing w:after="0"/>
              <w:rPr>
                <w:sz w:val="20"/>
                <w:szCs w:val="20"/>
                <w:color w:val="auto"/>
              </w:rPr>
            </w:pPr>
            <w:r>
              <w:rPr>
                <w:rFonts w:ascii="Arial" w:cs="Arial" w:eastAsia="Arial" w:hAnsi="Arial"/>
                <w:sz w:val="18"/>
                <w:szCs w:val="18"/>
                <w:color w:val="auto"/>
                <w:w w:val="93"/>
              </w:rPr>
              <w:t>$(16,512)</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96"/>
              </w:rPr>
              <w:t>$ 9,085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3,681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Net Assets Resulting from Operations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(4,342)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9,337</w:t>
            </w: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center"/>
              <w:ind w:right="60"/>
              <w:spacing w:after="0"/>
              <w:rPr>
                <w:sz w:val="20"/>
                <w:szCs w:val="20"/>
                <w:color w:val="auto"/>
              </w:rPr>
            </w:pPr>
            <w:r>
              <w:rPr>
                <w:rFonts w:ascii="Arial" w:cs="Arial" w:eastAsia="Arial" w:hAnsi="Arial"/>
                <w:sz w:val="18"/>
                <w:szCs w:val="18"/>
                <w:color w:val="auto"/>
                <w:w w:val="89"/>
              </w:rPr>
              <w:t>$34,105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24,468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5"/>
          </w:tcPr>
          <w:p>
            <w:pPr>
              <w:ind w:left="140"/>
              <w:spacing w:after="0"/>
              <w:rPr>
                <w:sz w:val="20"/>
                <w:szCs w:val="20"/>
                <w:color w:val="auto"/>
              </w:rPr>
            </w:pPr>
            <w:r>
              <w:rPr>
                <w:rFonts w:ascii="Arial" w:cs="Arial" w:eastAsia="Arial" w:hAnsi="Arial"/>
                <w:sz w:val="18"/>
                <w:szCs w:val="18"/>
                <w:color w:val="auto"/>
              </w:rPr>
              <w:t>15.15</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gridSpan w:val="2"/>
          </w:tcPr>
          <w:p>
            <w:pPr>
              <w:ind w:left="20"/>
              <w:spacing w:after="0"/>
              <w:rPr>
                <w:sz w:val="20"/>
                <w:szCs w:val="20"/>
                <w:color w:val="auto"/>
              </w:rPr>
            </w:pPr>
            <w:r>
              <w:rPr>
                <w:rFonts w:ascii="Arial" w:cs="Arial" w:eastAsia="Arial" w:hAnsi="Arial"/>
                <w:sz w:val="18"/>
                <w:szCs w:val="18"/>
                <w:color w:val="auto"/>
              </w:rPr>
              <w:t>15.62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gridSpan w:val="5"/>
          </w:tcPr>
          <w:p>
            <w:pPr>
              <w:jc w:val="center"/>
              <w:ind w:right="60"/>
              <w:spacing w:after="0"/>
              <w:rPr>
                <w:sz w:val="20"/>
                <w:szCs w:val="20"/>
                <w:color w:val="auto"/>
              </w:rPr>
            </w:pPr>
            <w:r>
              <w:rPr>
                <w:rFonts w:ascii="Arial" w:cs="Arial" w:eastAsia="Arial" w:hAnsi="Arial"/>
                <w:sz w:val="18"/>
                <w:szCs w:val="18"/>
                <w:color w:val="auto"/>
                <w:w w:val="96"/>
              </w:rPr>
              <w:t>$ 15.84</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15.60</w:t>
            </w:r>
          </w:p>
        </w:tc>
      </w:tr>
      <w:tr>
        <w:trPr>
          <w:trHeight w:val="37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91"/>
              </w:rPr>
              <w:t>$ 45,778</w:t>
            </w:r>
          </w:p>
        </w:tc>
        <w:tc>
          <w:tcPr>
            <w:tcW w:w="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6"/>
              </w:rPr>
              <w:t>$38,404</w:t>
            </w:r>
          </w:p>
        </w:tc>
        <w:tc>
          <w:tcPr>
            <w:tcW w:w="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$45,657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33,481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720" w:type="dxa"/>
            <w:vAlign w:val="bottom"/>
            <w:gridSpan w:val="6"/>
          </w:tcPr>
          <w:p>
            <w:pPr>
              <w:ind w:left="20"/>
              <w:spacing w:after="0"/>
              <w:rPr>
                <w:sz w:val="20"/>
                <w:szCs w:val="20"/>
                <w:color w:val="auto"/>
              </w:rPr>
            </w:pPr>
            <w:r>
              <w:rPr>
                <w:rFonts w:ascii="Arial" w:cs="Arial" w:eastAsia="Arial" w:hAnsi="Arial"/>
                <w:sz w:val="18"/>
                <w:szCs w:val="18"/>
                <w:color w:val="auto"/>
                <w:w w:val="96"/>
              </w:rPr>
              <w:t>$ 15,094</w:t>
            </w:r>
          </w:p>
        </w:tc>
        <w:tc>
          <w:tcPr>
            <w:tcW w:w="340" w:type="dxa"/>
            <w:vAlign w:val="bottom"/>
          </w:tcPr>
          <w:p>
            <w:pPr>
              <w:spacing w:after="0"/>
              <w:rPr>
                <w:sz w:val="18"/>
                <w:szCs w:val="18"/>
                <w:color w:val="auto"/>
              </w:rPr>
            </w:pPr>
          </w:p>
        </w:tc>
        <w:tc>
          <w:tcPr>
            <w:tcW w:w="780" w:type="dxa"/>
            <w:vAlign w:val="bottom"/>
            <w:gridSpan w:val="6"/>
          </w:tcPr>
          <w:p>
            <w:pPr>
              <w:jc w:val="right"/>
              <w:ind w:right="40"/>
              <w:spacing w:after="0"/>
              <w:rPr>
                <w:sz w:val="20"/>
                <w:szCs w:val="20"/>
                <w:color w:val="auto"/>
              </w:rPr>
            </w:pPr>
            <w:r>
              <w:rPr>
                <w:rFonts w:ascii="Arial" w:cs="Arial" w:eastAsia="Arial" w:hAnsi="Arial"/>
                <w:sz w:val="18"/>
                <w:szCs w:val="18"/>
                <w:color w:val="auto"/>
              </w:rPr>
              <w:t>$15,288</w:t>
            </w:r>
          </w:p>
        </w:tc>
        <w:tc>
          <w:tcPr>
            <w:tcW w:w="400" w:type="dxa"/>
            <w:vAlign w:val="bottom"/>
          </w:tcPr>
          <w:p>
            <w:pPr>
              <w:spacing w:after="0"/>
              <w:rPr>
                <w:sz w:val="18"/>
                <w:szCs w:val="18"/>
                <w:color w:val="auto"/>
              </w:rPr>
            </w:pP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89"/>
              </w:rPr>
              <w:t>$16,224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12,239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7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6"/>
              </w:rPr>
              <w:t>$ 30,684</w:t>
            </w:r>
          </w:p>
        </w:tc>
        <w:tc>
          <w:tcPr>
            <w:tcW w:w="3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$23,116</w:t>
            </w:r>
          </w:p>
        </w:tc>
        <w:tc>
          <w:tcPr>
            <w:tcW w:w="4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w w:val="89"/>
              </w:rPr>
              <w:t>$29,433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21,242</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 (losses)</w:t>
            </w:r>
          </w:p>
        </w:tc>
        <w:tc>
          <w:tcPr>
            <w:tcW w:w="120" w:type="dxa"/>
            <w:vAlign w:val="bottom"/>
          </w:tcPr>
          <w:p>
            <w:pPr>
              <w:spacing w:after="0"/>
              <w:rPr>
                <w:sz w:val="18"/>
                <w:szCs w:val="18"/>
                <w:color w:val="auto"/>
              </w:rPr>
            </w:pPr>
          </w:p>
        </w:tc>
        <w:tc>
          <w:tcPr>
            <w:tcW w:w="1060" w:type="dxa"/>
            <w:vAlign w:val="bottom"/>
            <w:gridSpan w:val="7"/>
          </w:tcPr>
          <w:p>
            <w:pPr>
              <w:ind w:left="20"/>
              <w:spacing w:after="0"/>
              <w:rPr>
                <w:sz w:val="20"/>
                <w:szCs w:val="20"/>
                <w:color w:val="auto"/>
              </w:rPr>
            </w:pPr>
            <w:r>
              <w:rPr>
                <w:rFonts w:ascii="Arial" w:cs="Arial" w:eastAsia="Arial" w:hAnsi="Arial"/>
                <w:sz w:val="18"/>
                <w:szCs w:val="18"/>
                <w:color w:val="auto"/>
              </w:rPr>
              <w:t>$(16,879)</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88"/>
              </w:rPr>
              <w:t>$ (4,513)</w:t>
            </w:r>
          </w:p>
        </w:tc>
        <w:tc>
          <w:tcPr>
            <w:tcW w:w="980" w:type="dxa"/>
            <w:vAlign w:val="bottom"/>
            <w:gridSpan w:val="7"/>
          </w:tcPr>
          <w:p>
            <w:pPr>
              <w:ind w:left="100"/>
              <w:spacing w:after="0"/>
              <w:rPr>
                <w:sz w:val="20"/>
                <w:szCs w:val="20"/>
                <w:color w:val="auto"/>
              </w:rPr>
            </w:pPr>
            <w:r>
              <w:rPr>
                <w:rFonts w:ascii="Arial" w:cs="Arial" w:eastAsia="Arial" w:hAnsi="Arial"/>
                <w:sz w:val="18"/>
                <w:szCs w:val="18"/>
                <w:color w:val="auto"/>
              </w:rPr>
              <w:t>$ (2,139)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shd w:val="clear" w:color="auto" w:fill="CCEEFF"/>
          </w:tcPr>
          <w:p>
            <w:pPr>
              <w:spacing w:after="0"/>
              <w:rPr>
                <w:sz w:val="18"/>
                <w:szCs w:val="18"/>
                <w:color w:val="auto"/>
              </w:rPr>
            </w:pPr>
          </w:p>
        </w:tc>
        <w:tc>
          <w:tcPr>
            <w:tcW w:w="720" w:type="dxa"/>
            <w:vAlign w:val="bottom"/>
            <w:gridSpan w:val="6"/>
            <w:shd w:val="clear" w:color="auto" w:fill="CCEEFF"/>
          </w:tcPr>
          <w:p>
            <w:pPr>
              <w:ind w:left="20"/>
              <w:spacing w:after="0"/>
              <w:rPr>
                <w:sz w:val="20"/>
                <w:szCs w:val="20"/>
                <w:color w:val="auto"/>
              </w:rPr>
            </w:pPr>
            <w:r>
              <w:rPr>
                <w:rFonts w:ascii="Arial" w:cs="Arial" w:eastAsia="Arial" w:hAnsi="Arial"/>
                <w:sz w:val="18"/>
                <w:szCs w:val="18"/>
                <w:color w:val="auto"/>
                <w:w w:val="96"/>
              </w:rPr>
              <w:t>$ 13,805</w:t>
            </w:r>
          </w:p>
        </w:tc>
        <w:tc>
          <w:tcPr>
            <w:tcW w:w="340" w:type="dxa"/>
            <w:vAlign w:val="bottom"/>
            <w:shd w:val="clear" w:color="auto" w:fill="CCEEFF"/>
          </w:tcPr>
          <w:p>
            <w:pPr>
              <w:spacing w:after="0"/>
              <w:rPr>
                <w:sz w:val="18"/>
                <w:szCs w:val="18"/>
                <w:color w:val="auto"/>
              </w:rPr>
            </w:pPr>
          </w:p>
        </w:tc>
        <w:tc>
          <w:tcPr>
            <w:tcW w:w="7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$18,603</w:t>
            </w:r>
          </w:p>
        </w:tc>
        <w:tc>
          <w:tcPr>
            <w:tcW w:w="400" w:type="dxa"/>
            <w:vAlign w:val="bottom"/>
            <w:shd w:val="clear" w:color="auto" w:fill="CCEEFF"/>
          </w:tcPr>
          <w:p>
            <w:pPr>
              <w:spacing w:after="0"/>
              <w:rPr>
                <w:sz w:val="18"/>
                <w:szCs w:val="18"/>
                <w:color w:val="auto"/>
              </w:rPr>
            </w:pPr>
          </w:p>
        </w:tc>
        <w:tc>
          <w:tcPr>
            <w:tcW w:w="70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w w:val="89"/>
              </w:rPr>
              <w:t>$27,294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25,348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p>
        </w:tc>
        <w:tc>
          <w:tcPr>
            <w:tcW w:w="12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480" w:type="dxa"/>
            <w:vAlign w:val="bottom"/>
            <w:gridSpan w:val="3"/>
          </w:tcPr>
          <w:p>
            <w:pPr>
              <w:ind w:left="40"/>
              <w:spacing w:after="0"/>
              <w:rPr>
                <w:sz w:val="20"/>
                <w:szCs w:val="20"/>
                <w:color w:val="auto"/>
              </w:rPr>
            </w:pPr>
            <w:r>
              <w:rPr>
                <w:rFonts w:ascii="Arial" w:cs="Arial" w:eastAsia="Arial" w:hAnsi="Arial"/>
                <w:sz w:val="18"/>
                <w:szCs w:val="18"/>
                <w:color w:val="auto"/>
                <w:w w:val="93"/>
              </w:rPr>
              <w:t>15.53</w:t>
            </w:r>
          </w:p>
        </w:tc>
        <w:tc>
          <w:tcPr>
            <w:tcW w:w="340" w:type="dxa"/>
            <w:vAlign w:val="bottom"/>
          </w:tcPr>
          <w:p>
            <w:pPr>
              <w:spacing w:after="0"/>
              <w:rPr>
                <w:sz w:val="20"/>
                <w:szCs w:val="20"/>
                <w:color w:val="auto"/>
              </w:rPr>
            </w:pPr>
          </w:p>
        </w:tc>
        <w:tc>
          <w:tcPr>
            <w:tcW w:w="240" w:type="dxa"/>
            <w:vAlign w:val="bottom"/>
            <w:gridSpan w:val="3"/>
          </w:tcPr>
          <w:p>
            <w:pPr>
              <w:ind w:left="160"/>
              <w:spacing w:after="0"/>
              <w:rPr>
                <w:sz w:val="20"/>
                <w:szCs w:val="20"/>
                <w:color w:val="auto"/>
              </w:rPr>
            </w:pPr>
            <w:r>
              <w:rPr>
                <w:rFonts w:ascii="Arial" w:cs="Arial" w:eastAsia="Arial" w:hAnsi="Arial"/>
                <w:sz w:val="15"/>
                <w:szCs w:val="15"/>
                <w:color w:val="auto"/>
                <w:w w:val="71"/>
              </w:rPr>
              <w:t>$</w:t>
            </w:r>
          </w:p>
        </w:tc>
        <w:tc>
          <w:tcPr>
            <w:tcW w:w="540" w:type="dxa"/>
            <w:vAlign w:val="bottom"/>
            <w:gridSpan w:val="3"/>
          </w:tcPr>
          <w:p>
            <w:pPr>
              <w:jc w:val="right"/>
              <w:ind w:right="40"/>
              <w:spacing w:after="0"/>
              <w:rPr>
                <w:sz w:val="20"/>
                <w:szCs w:val="20"/>
                <w:color w:val="auto"/>
              </w:rPr>
            </w:pPr>
            <w:r>
              <w:rPr>
                <w:rFonts w:ascii="Arial" w:cs="Arial" w:eastAsia="Arial" w:hAnsi="Arial"/>
                <w:sz w:val="18"/>
                <w:szCs w:val="18"/>
                <w:color w:val="auto"/>
              </w:rPr>
              <w:t>15.66</w:t>
            </w:r>
          </w:p>
        </w:tc>
        <w:tc>
          <w:tcPr>
            <w:tcW w:w="400" w:type="dxa"/>
            <w:vAlign w:val="bottom"/>
          </w:tcPr>
          <w:p>
            <w:pPr>
              <w:spacing w:after="0"/>
              <w:rPr>
                <w:sz w:val="20"/>
                <w:szCs w:val="20"/>
                <w:color w:val="auto"/>
              </w:rPr>
            </w:pP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$ 15.70</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15.51</w:t>
            </w:r>
          </w:p>
        </w:tc>
      </w:tr>
      <w:tr>
        <w:trPr>
          <w:trHeight w:val="37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4"/>
          </w:tcPr>
          <w:p>
            <w:pPr>
              <w:jc w:val="center"/>
              <w:ind w:right="480"/>
              <w:spacing w:after="0" w:line="142" w:lineRule="exact"/>
              <w:rPr>
                <w:sz w:val="20"/>
                <w:szCs w:val="20"/>
                <w:color w:val="auto"/>
              </w:rPr>
            </w:pPr>
            <w:r>
              <w:rPr>
                <w:rFonts w:ascii="Arial" w:cs="Arial" w:eastAsia="Arial" w:hAnsi="Arial"/>
                <w:sz w:val="14"/>
                <w:szCs w:val="14"/>
                <w:b w:val="1"/>
                <w:bCs w:val="1"/>
                <w:color w:val="auto"/>
                <w:w w:val="96"/>
              </w:rPr>
              <w:t>Q3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ind w:left="180"/>
              <w:spacing w:after="0" w:line="142" w:lineRule="exact"/>
              <w:rPr>
                <w:sz w:val="20"/>
                <w:szCs w:val="20"/>
                <w:color w:val="auto"/>
              </w:rPr>
            </w:pPr>
            <w:r>
              <w:rPr>
                <w:rFonts w:ascii="Arial" w:cs="Arial" w:eastAsia="Arial" w:hAnsi="Arial"/>
                <w:sz w:val="14"/>
                <w:szCs w:val="14"/>
                <w:b w:val="1"/>
                <w:bCs w:val="1"/>
                <w:color w:val="auto"/>
              </w:rPr>
              <w:t>Q2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spacing w:after="0"/>
              <w:rPr>
                <w:sz w:val="20"/>
                <w:szCs w:val="20"/>
                <w:color w:val="auto"/>
              </w:rPr>
            </w:pPr>
            <w:r>
              <w:rPr>
                <w:rFonts w:ascii="Arial" w:cs="Arial" w:eastAsia="Arial" w:hAnsi="Arial"/>
                <w:sz w:val="18"/>
                <w:szCs w:val="18"/>
                <w:color w:val="auto"/>
                <w:w w:val="89"/>
              </w:rPr>
              <w:t>$27,569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6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92"/>
              </w:rPr>
              <w:t>$23,298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3"/>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86"/>
              </w:rPr>
              <w:t>$20,940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Expenses</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1060" w:type="dxa"/>
            <w:vAlign w:val="bottom"/>
            <w:gridSpan w:val="7"/>
          </w:tcPr>
          <w:p>
            <w:pPr>
              <w:ind w:left="120"/>
              <w:spacing w:after="0"/>
              <w:rPr>
                <w:sz w:val="20"/>
                <w:szCs w:val="20"/>
                <w:color w:val="auto"/>
              </w:rPr>
            </w:pPr>
            <w:r>
              <w:rPr>
                <w:rFonts w:ascii="Arial" w:cs="Arial" w:eastAsia="Arial" w:hAnsi="Arial"/>
                <w:sz w:val="18"/>
                <w:szCs w:val="18"/>
                <w:color w:val="auto"/>
              </w:rPr>
              <w:t>$10,576</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$ 8,713</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$ 8,123</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7,696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$16,993</w:t>
            </w:r>
          </w:p>
        </w:tc>
        <w:tc>
          <w:tcPr>
            <w:tcW w:w="11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92"/>
              </w:rPr>
              <w:t>$14,585</w:t>
            </w:r>
          </w:p>
        </w:tc>
        <w:tc>
          <w:tcPr>
            <w:tcW w:w="98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$12,817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13,106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Total unrealized and realized gains</w:t>
            </w:r>
          </w:p>
        </w:tc>
        <w:tc>
          <w:tcPr>
            <w:tcW w:w="120" w:type="dxa"/>
            <w:vAlign w:val="bottom"/>
          </w:tcPr>
          <w:p>
            <w:pPr>
              <w:spacing w:after="0"/>
              <w:rPr>
                <w:sz w:val="18"/>
                <w:szCs w:val="18"/>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4,063</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$ 1,674</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$ 1,391</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2,355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 in Net Assets Resulting from Operations</w:t>
            </w:r>
          </w:p>
        </w:tc>
        <w:tc>
          <w:tcPr>
            <w:tcW w:w="120" w:type="dxa"/>
            <w:vAlign w:val="bottom"/>
            <w:shd w:val="clear" w:color="auto" w:fill="CCEEFF"/>
          </w:tcPr>
          <w:p>
            <w:pPr>
              <w:spacing w:after="0"/>
              <w:rPr>
                <w:sz w:val="18"/>
                <w:szCs w:val="18"/>
                <w:color w:val="auto"/>
              </w:rPr>
            </w:pPr>
          </w:p>
        </w:tc>
        <w:tc>
          <w:tcPr>
            <w:tcW w:w="1060" w:type="dxa"/>
            <w:vAlign w:val="bottom"/>
            <w:gridSpan w:val="7"/>
            <w:shd w:val="clear" w:color="auto" w:fill="CCEEFF"/>
          </w:tcPr>
          <w:p>
            <w:pPr>
              <w:ind w:left="120"/>
              <w:spacing w:after="0"/>
              <w:rPr>
                <w:sz w:val="20"/>
                <w:szCs w:val="20"/>
                <w:color w:val="auto"/>
              </w:rPr>
            </w:pPr>
            <w:r>
              <w:rPr>
                <w:rFonts w:ascii="Arial" w:cs="Arial" w:eastAsia="Arial" w:hAnsi="Arial"/>
                <w:sz w:val="18"/>
                <w:szCs w:val="18"/>
                <w:color w:val="auto"/>
              </w:rPr>
              <w:t>$21,056</w:t>
            </w:r>
          </w:p>
        </w:tc>
        <w:tc>
          <w:tcPr>
            <w:tcW w:w="1180" w:type="dxa"/>
            <w:vAlign w:val="bottom"/>
            <w:gridSpan w:val="7"/>
            <w:shd w:val="clear" w:color="auto" w:fill="CCEEFF"/>
          </w:tcPr>
          <w:p>
            <w:pPr>
              <w:jc w:val="center"/>
              <w:ind w:right="220"/>
              <w:spacing w:after="0"/>
              <w:rPr>
                <w:sz w:val="20"/>
                <w:szCs w:val="20"/>
                <w:color w:val="auto"/>
              </w:rPr>
            </w:pPr>
            <w:r>
              <w:rPr>
                <w:rFonts w:ascii="Arial" w:cs="Arial" w:eastAsia="Arial" w:hAnsi="Arial"/>
                <w:sz w:val="18"/>
                <w:szCs w:val="18"/>
                <w:color w:val="auto"/>
                <w:w w:val="92"/>
              </w:rPr>
              <w:t>$16,259</w:t>
            </w:r>
          </w:p>
        </w:tc>
        <w:tc>
          <w:tcPr>
            <w:tcW w:w="980" w:type="dxa"/>
            <w:vAlign w:val="bottom"/>
            <w:gridSpan w:val="7"/>
            <w:shd w:val="clear" w:color="auto" w:fill="CCEEFF"/>
          </w:tcPr>
          <w:p>
            <w:pPr>
              <w:ind w:left="100"/>
              <w:spacing w:after="0"/>
              <w:rPr>
                <w:sz w:val="20"/>
                <w:szCs w:val="20"/>
                <w:color w:val="auto"/>
              </w:rPr>
            </w:pPr>
            <w:r>
              <w:rPr>
                <w:rFonts w:ascii="Arial" w:cs="Arial" w:eastAsia="Arial" w:hAnsi="Arial"/>
                <w:sz w:val="18"/>
                <w:szCs w:val="18"/>
                <w:color w:val="auto"/>
              </w:rPr>
              <w:t>$14,208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15,461</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Asset Value per Share as of the End of the Quarter</w:t>
            </w: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4"/>
          </w:tcPr>
          <w:p>
            <w:pPr>
              <w:ind w:left="80"/>
              <w:spacing w:after="0"/>
              <w:rPr>
                <w:sz w:val="20"/>
                <w:szCs w:val="20"/>
                <w:color w:val="auto"/>
              </w:rPr>
            </w:pPr>
            <w:r>
              <w:rPr>
                <w:rFonts w:ascii="Arial" w:cs="Arial" w:eastAsia="Arial" w:hAnsi="Arial"/>
                <w:sz w:val="18"/>
                <w:szCs w:val="18"/>
                <w:color w:val="auto"/>
              </w:rPr>
              <w:t>15.52</w:t>
            </w:r>
          </w:p>
        </w:tc>
        <w:tc>
          <w:tcPr>
            <w:tcW w:w="1180" w:type="dxa"/>
            <w:vAlign w:val="bottom"/>
            <w:gridSpan w:val="7"/>
          </w:tcPr>
          <w:p>
            <w:pPr>
              <w:jc w:val="center"/>
              <w:ind w:right="220"/>
              <w:spacing w:after="0"/>
              <w:rPr>
                <w:sz w:val="20"/>
                <w:szCs w:val="20"/>
                <w:color w:val="auto"/>
              </w:rPr>
            </w:pPr>
            <w:r>
              <w:rPr>
                <w:rFonts w:ascii="Arial" w:cs="Arial" w:eastAsia="Arial" w:hAnsi="Arial"/>
                <w:sz w:val="18"/>
                <w:szCs w:val="18"/>
                <w:color w:val="auto"/>
                <w:w w:val="99"/>
              </w:rPr>
              <w:t>$ 15.35</w:t>
            </w:r>
          </w:p>
        </w:tc>
        <w:tc>
          <w:tcPr>
            <w:tcW w:w="700" w:type="dxa"/>
            <w:vAlign w:val="bottom"/>
            <w:gridSpan w:val="6"/>
          </w:tcPr>
          <w:p>
            <w:pPr>
              <w:ind w:left="100"/>
              <w:spacing w:after="0"/>
              <w:rPr>
                <w:sz w:val="20"/>
                <w:szCs w:val="20"/>
                <w:color w:val="auto"/>
              </w:rPr>
            </w:pPr>
            <w:r>
              <w:rPr>
                <w:rFonts w:ascii="Arial" w:cs="Arial" w:eastAsia="Arial" w:hAnsi="Arial"/>
                <w:sz w:val="18"/>
                <w:szCs w:val="18"/>
                <w:color w:val="auto"/>
                <w:w w:val="96"/>
              </w:rPr>
              <w:t>$ 15.29</w:t>
            </w:r>
          </w:p>
        </w:tc>
        <w:tc>
          <w:tcPr>
            <w:tcW w:w="28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r>
    </w:tbl>
    <w:p>
      <w:pPr>
        <w:spacing w:after="0" w:line="214" w:lineRule="exact"/>
        <w:rPr>
          <w:sz w:val="20"/>
          <w:szCs w:val="20"/>
          <w:color w:val="auto"/>
        </w:rPr>
      </w:pPr>
    </w:p>
    <w:p>
      <w:pPr>
        <w:ind w:left="460" w:hanging="452"/>
        <w:spacing w:after="0"/>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Net expenses include income taxes, including excise taxes.</w:t>
      </w:r>
    </w:p>
    <w:p>
      <w:pPr>
        <w:spacing w:after="0" w:line="23" w:lineRule="exact"/>
        <w:rPr>
          <w:rFonts w:ascii="Arial" w:cs="Arial" w:eastAsia="Arial" w:hAnsi="Arial"/>
          <w:sz w:val="18"/>
          <w:szCs w:val="18"/>
          <w:color w:val="auto"/>
        </w:rPr>
      </w:pPr>
    </w:p>
    <w:p>
      <w:pPr>
        <w:ind w:left="460" w:right="180" w:hanging="452"/>
        <w:spacing w:after="0" w:line="261" w:lineRule="auto"/>
        <w:tabs>
          <w:tab w:leader="none" w:pos="4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As further described in Note 9, the indicated amounts for periods prior to December 3, 2013 have been retroactively adjusted for the stock split which was effected in the form of a stock dividend.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Company’s management has evaluated subsequent events through the date of issuance of the consolidated financial statements included herein. There have been no subsequent events that occurred during such period that would require disclosure in this Form 10-K or would be required to be recognized in the Consolidated Financial Statements as of and for the year ended December 31,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9220" w:type="dxa"/>
            <w:vAlign w:val="bottom"/>
          </w:tcPr>
          <w:p>
            <w:pPr>
              <w:jc w:val="center"/>
              <w:ind w:left="310"/>
              <w:spacing w:after="0"/>
              <w:rPr>
                <w:sz w:val="20"/>
                <w:szCs w:val="20"/>
                <w:color w:val="auto"/>
              </w:rPr>
            </w:pPr>
            <w:r>
              <w:rPr>
                <w:rFonts w:ascii="Arial" w:cs="Arial" w:eastAsia="Arial" w:hAnsi="Arial"/>
                <w:sz w:val="18"/>
                <w:szCs w:val="18"/>
                <w:b w:val="1"/>
                <w:bCs w:val="1"/>
                <w:color w:val="auto"/>
              </w:rPr>
              <w:t>TPG SPECIALTY LENDING, INC.</w:t>
            </w:r>
          </w:p>
        </w:tc>
        <w:tc>
          <w:tcPr>
            <w:tcW w:w="130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9220" w:type="dxa"/>
            <w:vAlign w:val="bottom"/>
          </w:tcPr>
          <w:p>
            <w:pPr>
              <w:jc w:val="center"/>
              <w:ind w:left="330"/>
              <w:spacing w:after="0"/>
              <w:rPr>
                <w:sz w:val="20"/>
                <w:szCs w:val="20"/>
                <w:color w:val="auto"/>
              </w:rPr>
            </w:pPr>
            <w:r>
              <w:rPr>
                <w:rFonts w:ascii="Arial" w:cs="Arial" w:eastAsia="Arial" w:hAnsi="Arial"/>
                <w:sz w:val="18"/>
                <w:szCs w:val="18"/>
                <w:b w:val="1"/>
                <w:bCs w:val="1"/>
                <w:color w:val="auto"/>
                <w:w w:val="95"/>
              </w:rPr>
              <w:t>PART C</w:t>
            </w:r>
          </w:p>
        </w:tc>
        <w:tc>
          <w:tcPr>
            <w:tcW w:w="130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9220" w:type="dxa"/>
            <w:vAlign w:val="bottom"/>
          </w:tcPr>
          <w:p>
            <w:pPr>
              <w:jc w:val="center"/>
              <w:ind w:left="330"/>
              <w:spacing w:after="0"/>
              <w:rPr>
                <w:sz w:val="20"/>
                <w:szCs w:val="20"/>
                <w:color w:val="auto"/>
              </w:rPr>
            </w:pPr>
            <w:r>
              <w:rPr>
                <w:rFonts w:ascii="Arial" w:cs="Arial" w:eastAsia="Arial" w:hAnsi="Arial"/>
                <w:sz w:val="18"/>
                <w:szCs w:val="18"/>
                <w:b w:val="1"/>
                <w:bCs w:val="1"/>
                <w:color w:val="auto"/>
                <w:w w:val="94"/>
              </w:rPr>
              <w:t>Other Information</w:t>
            </w:r>
          </w:p>
        </w:tc>
        <w:tc>
          <w:tcPr>
            <w:tcW w:w="1300" w:type="dxa"/>
            <w:vAlign w:val="bottom"/>
          </w:tcPr>
          <w:p>
            <w:pPr>
              <w:spacing w:after="0"/>
              <w:rPr>
                <w:sz w:val="20"/>
                <w:szCs w:val="20"/>
                <w:color w:val="auto"/>
              </w:rPr>
            </w:pPr>
          </w:p>
        </w:tc>
      </w:tr>
      <w:tr>
        <w:trPr>
          <w:trHeight w:val="581"/>
        </w:trPr>
        <w:tc>
          <w:tcPr>
            <w:tcW w:w="900" w:type="dxa"/>
            <w:vAlign w:val="bottom"/>
          </w:tcPr>
          <w:p>
            <w:pPr>
              <w:spacing w:after="0"/>
              <w:rPr>
                <w:sz w:val="20"/>
                <w:szCs w:val="20"/>
                <w:color w:val="auto"/>
              </w:rPr>
            </w:pPr>
            <w:r>
              <w:rPr>
                <w:rFonts w:ascii="Arial" w:cs="Arial" w:eastAsia="Arial" w:hAnsi="Arial"/>
                <w:sz w:val="18"/>
                <w:szCs w:val="18"/>
                <w:b w:val="1"/>
                <w:bCs w:val="1"/>
                <w:color w:val="auto"/>
              </w:rPr>
              <w:t>Item 25.</w:t>
            </w:r>
          </w:p>
        </w:tc>
        <w:tc>
          <w:tcPr>
            <w:tcW w:w="922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 and Exhibits</w:t>
            </w:r>
          </w:p>
        </w:tc>
        <w:tc>
          <w:tcPr>
            <w:tcW w:w="1300" w:type="dxa"/>
            <w:vAlign w:val="bottom"/>
          </w:tcPr>
          <w:p>
            <w:pPr>
              <w:spacing w:after="0"/>
              <w:rPr>
                <w:sz w:val="24"/>
                <w:szCs w:val="24"/>
                <w:color w:val="auto"/>
              </w:rPr>
            </w:pPr>
          </w:p>
        </w:tc>
      </w:tr>
      <w:tr>
        <w:trPr>
          <w:trHeight w:val="324"/>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(1) Financial Statements</w:t>
            </w:r>
          </w:p>
        </w:tc>
        <w:tc>
          <w:tcPr>
            <w:tcW w:w="1300" w:type="dxa"/>
            <w:vAlign w:val="bottom"/>
          </w:tcPr>
          <w:p>
            <w:pPr>
              <w:spacing w:after="0"/>
              <w:rPr>
                <w:sz w:val="24"/>
                <w:szCs w:val="24"/>
                <w:color w:val="auto"/>
              </w:rPr>
            </w:pPr>
          </w:p>
        </w:tc>
      </w:tr>
      <w:tr>
        <w:trPr>
          <w:trHeight w:val="324"/>
        </w:trPr>
        <w:tc>
          <w:tcPr>
            <w:tcW w:w="10120" w:type="dxa"/>
            <w:vAlign w:val="bottom"/>
            <w:gridSpan w:val="2"/>
          </w:tcPr>
          <w:p>
            <w:pPr>
              <w:ind w:left="460"/>
              <w:spacing w:after="0"/>
              <w:rPr>
                <w:sz w:val="20"/>
                <w:szCs w:val="20"/>
                <w:color w:val="auto"/>
              </w:rPr>
            </w:pPr>
            <w:r>
              <w:rPr>
                <w:rFonts w:ascii="Arial" w:cs="Arial" w:eastAsia="Arial" w:hAnsi="Arial"/>
                <w:sz w:val="18"/>
                <w:szCs w:val="18"/>
                <w:color w:val="auto"/>
              </w:rPr>
              <w:t>The following financial statements of TPG Specialty Lending, Inc. are provided in Part A of this Registration Statement:</w:t>
            </w:r>
          </w:p>
        </w:tc>
        <w:tc>
          <w:tcPr>
            <w:tcW w:w="1300" w:type="dxa"/>
            <w:vAlign w:val="bottom"/>
          </w:tcPr>
          <w:p>
            <w:pPr>
              <w:spacing w:after="0"/>
              <w:rPr>
                <w:sz w:val="24"/>
                <w:szCs w:val="24"/>
                <w:color w:val="auto"/>
              </w:rPr>
            </w:pPr>
          </w:p>
        </w:tc>
      </w:tr>
      <w:tr>
        <w:trPr>
          <w:trHeight w:val="445"/>
        </w:trPr>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300" w:type="dxa"/>
            <w:vAlign w:val="bottom"/>
          </w:tcPr>
          <w:p>
            <w:pPr>
              <w:spacing w:after="0"/>
              <w:rPr>
                <w:sz w:val="24"/>
                <w:szCs w:val="24"/>
                <w:color w:val="auto"/>
              </w:rPr>
            </w:pP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3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Balance Sheets as of December 31, 2015 and 2014</w:t>
            </w:r>
          </w:p>
        </w:tc>
        <w:tc>
          <w:tcPr>
            <w:tcW w:w="130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Operations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Schedules of Investments as of December 31, 2015 and 2014</w:t>
            </w:r>
          </w:p>
        </w:tc>
        <w:tc>
          <w:tcPr>
            <w:tcW w:w="130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120" w:type="dxa"/>
            <w:vAlign w:val="bottom"/>
            <w:gridSpan w:val="2"/>
          </w:tcPr>
          <w:p>
            <w:pPr>
              <w:spacing w:after="0"/>
              <w:rPr>
                <w:sz w:val="20"/>
                <w:szCs w:val="20"/>
                <w:color w:val="auto"/>
              </w:rPr>
            </w:pPr>
            <w:r>
              <w:rPr>
                <w:rFonts w:ascii="Arial" w:cs="Arial" w:eastAsia="Arial" w:hAnsi="Arial"/>
                <w:sz w:val="18"/>
                <w:szCs w:val="18"/>
                <w:color w:val="auto"/>
              </w:rPr>
              <w:t>Consolidated Statements of Cash Flows for the Years Ended December 31, 2015, 2014 and 2013</w:t>
            </w:r>
          </w:p>
        </w:tc>
        <w:tc>
          <w:tcPr>
            <w:tcW w:w="130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120" w:type="dxa"/>
            <w:vAlign w:val="bottom"/>
            <w:gridSpan w:val="2"/>
          </w:tcPr>
          <w:p>
            <w:pPr>
              <w:spacing w:after="0"/>
              <w:rPr>
                <w:sz w:val="20"/>
                <w:szCs w:val="20"/>
                <w:color w:val="auto"/>
              </w:rPr>
            </w:pPr>
            <w:r>
              <w:rPr>
                <w:rFonts w:ascii="Arial" w:cs="Arial" w:eastAsia="Arial" w:hAnsi="Arial"/>
                <w:sz w:val="18"/>
                <w:szCs w:val="18"/>
                <w:color w:val="auto"/>
              </w:rPr>
              <w:t>Notes to Consolidated Financial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F-15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Exhibits</w:t>
      </w:r>
    </w:p>
    <w:p>
      <w:pPr>
        <w:spacing w:after="0" w:line="364" w:lineRule="exact"/>
        <w:rPr>
          <w:sz w:val="20"/>
          <w:szCs w:val="20"/>
          <w:color w:val="auto"/>
        </w:rPr>
      </w:pPr>
    </w:p>
    <w:p>
      <w:pPr>
        <w:ind w:left="880" w:right="60" w:hanging="879"/>
        <w:spacing w:after="0" w:line="277" w:lineRule="auto"/>
        <w:tabs>
          <w:tab w:leader="none" w:pos="8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880" w:right="440" w:hanging="879"/>
        <w:spacing w:after="0" w:line="277" w:lineRule="auto"/>
        <w:tabs>
          <w:tab w:leader="none" w:pos="8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880" w:right="180" w:hanging="872"/>
        <w:spacing w:after="0" w:line="277" w:lineRule="auto"/>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Bylaws (incorporated by reference to Exhibit 3.2 to Amendment No. 1 to the Company’s Registration Statement on Form 10 filed on March 14, 2011)</w:t>
      </w:r>
    </w:p>
    <w:p>
      <w:pPr>
        <w:spacing w:after="0" w:line="62" w:lineRule="exact"/>
        <w:rPr>
          <w:rFonts w:ascii="Arial" w:cs="Arial" w:eastAsia="Arial" w:hAnsi="Arial"/>
          <w:sz w:val="18"/>
          <w:szCs w:val="18"/>
          <w:color w:val="auto"/>
        </w:rPr>
      </w:pPr>
    </w:p>
    <w:p>
      <w:pPr>
        <w:ind w:left="880" w:hanging="872"/>
        <w:spacing w:after="0"/>
        <w:tabs>
          <w:tab w:leader="none" w:pos="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ind w:left="880" w:hanging="879"/>
        <w:spacing w:after="0" w:line="277" w:lineRule="auto"/>
        <w:tabs>
          <w:tab w:leader="none" w:pos="86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880" w:right="120" w:hanging="879"/>
        <w:spacing w:after="0" w:line="277" w:lineRule="auto"/>
        <w:tabs>
          <w:tab w:leader="none" w:pos="86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880" w:right="40" w:hanging="879"/>
        <w:spacing w:after="0" w:line="277" w:lineRule="auto"/>
        <w:tabs>
          <w:tab w:leader="none" w:pos="86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Statement of Eligibility of Trustee on Form T-1</w:t>
      </w:r>
    </w:p>
    <w:p>
      <w:pPr>
        <w:spacing w:after="0" w:line="117" w:lineRule="exact"/>
        <w:rPr>
          <w:sz w:val="20"/>
          <w:szCs w:val="20"/>
          <w:color w:val="auto"/>
        </w:rPr>
      </w:pPr>
    </w:p>
    <w:p>
      <w:pPr>
        <w:ind w:left="880" w:right="220" w:hanging="879"/>
        <w:spacing w:after="0" w:line="277" w:lineRule="auto"/>
        <w:tabs>
          <w:tab w:leader="none" w:pos="860" w:val="left"/>
        </w:tabs>
        <w:rPr>
          <w:sz w:val="20"/>
          <w:szCs w:val="20"/>
          <w:color w:val="auto"/>
        </w:rPr>
      </w:pPr>
      <w:r>
        <w:rPr>
          <w:rFonts w:ascii="Arial" w:cs="Arial" w:eastAsia="Arial" w:hAnsi="Arial"/>
          <w:sz w:val="18"/>
          <w:szCs w:val="18"/>
          <w:color w:val="auto"/>
        </w:rPr>
        <w:t>(d)(7)</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880" w:right="200" w:hanging="872"/>
        <w:spacing w:after="0" w:line="277" w:lineRule="auto"/>
        <w:tabs>
          <w:tab w:leader="none" w:pos="8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459" w:right="2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880" w:hanging="872"/>
        <w:spacing w:after="0"/>
        <w:tabs>
          <w:tab w:leader="none" w:pos="8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360" w:hanging="872"/>
        <w:spacing w:after="0" w:line="308" w:lineRule="auto"/>
        <w:tabs>
          <w:tab w:leader="none" w:pos="8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w:t>
      </w:r>
    </w:p>
    <w:p>
      <w:pPr>
        <w:spacing w:after="0" w:line="117" w:lineRule="exact"/>
        <w:rPr>
          <w:sz w:val="20"/>
          <w:szCs w:val="20"/>
          <w:color w:val="auto"/>
        </w:rPr>
      </w:pPr>
    </w:p>
    <w:p>
      <w:pPr>
        <w:ind w:left="880" w:hanging="872"/>
        <w:spacing w:after="0"/>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880" w:right="220" w:hanging="872"/>
        <w:spacing w:after="0" w:line="277" w:lineRule="auto"/>
        <w:tabs>
          <w:tab w:leader="none" w:pos="8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62" w:lineRule="exact"/>
        <w:rPr>
          <w:sz w:val="20"/>
          <w:szCs w:val="20"/>
          <w:color w:val="auto"/>
        </w:rPr>
      </w:pPr>
    </w:p>
    <w:p>
      <w:pPr>
        <w:ind w:left="880" w:right="600" w:hanging="879"/>
        <w:spacing w:after="0" w:line="277" w:lineRule="auto"/>
        <w:tabs>
          <w:tab w:leader="none" w:pos="860" w:val="left"/>
        </w:tabs>
        <w:rPr>
          <w:sz w:val="20"/>
          <w:szCs w:val="20"/>
          <w:color w:val="auto"/>
        </w:rPr>
      </w:pPr>
      <w:r>
        <w:rPr>
          <w:rFonts w:ascii="Arial" w:cs="Arial" w:eastAsia="Arial" w:hAnsi="Arial"/>
          <w:sz w:val="18"/>
          <w:szCs w:val="18"/>
          <w:color w:val="auto"/>
        </w:rPr>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880" w:right="160" w:hanging="879"/>
        <w:spacing w:after="0" w:line="277" w:lineRule="auto"/>
        <w:tabs>
          <w:tab w:leader="none" w:pos="86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Administration Agreement, dated as of March 15, 2011, between the Company and the Adviser (incorporated by reference to Exhibit 10.1 to the Company’s Current Report on Form 8-K filed on March 15, 2011)</w:t>
      </w:r>
    </w:p>
    <w:p>
      <w:pPr>
        <w:spacing w:after="0" w:line="62" w:lineRule="exact"/>
        <w:rPr>
          <w:sz w:val="20"/>
          <w:szCs w:val="20"/>
          <w:color w:val="auto"/>
        </w:rPr>
      </w:pPr>
    </w:p>
    <w:p>
      <w:pPr>
        <w:jc w:val="both"/>
        <w:ind w:left="880" w:right="200" w:hanging="879"/>
        <w:spacing w:after="0" w:line="264" w:lineRule="auto"/>
        <w:tabs>
          <w:tab w:leader="none" w:pos="86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jc w:val="both"/>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(k)(4)</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880" w:hanging="879"/>
        <w:spacing w:after="0" w:line="286" w:lineRule="auto"/>
        <w:tabs>
          <w:tab w:leader="none" w:pos="860" w:val="left"/>
        </w:tabs>
        <w:rPr>
          <w:sz w:val="20"/>
          <w:szCs w:val="20"/>
          <w:color w:val="auto"/>
        </w:rPr>
      </w:pPr>
      <w:r>
        <w:rPr>
          <w:rFonts w:ascii="Arial" w:cs="Arial" w:eastAsia="Arial" w:hAnsi="Arial"/>
          <w:sz w:val="17"/>
          <w:szCs w:val="17"/>
          <w:color w:val="auto"/>
        </w:rPr>
        <w:t>(k)(5)</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880" w:right="20" w:hanging="879"/>
        <w:spacing w:after="0" w:line="312" w:lineRule="auto"/>
        <w:tabs>
          <w:tab w:leader="none" w:pos="860" w:val="left"/>
        </w:tabs>
        <w:rPr>
          <w:sz w:val="20"/>
          <w:szCs w:val="20"/>
          <w:color w:val="auto"/>
        </w:rPr>
      </w:pPr>
      <w:r>
        <w:rPr>
          <w:rFonts w:ascii="Arial" w:cs="Arial" w:eastAsia="Arial" w:hAnsi="Arial"/>
          <w:sz w:val="16"/>
          <w:szCs w:val="16"/>
          <w:color w:val="auto"/>
        </w:rPr>
        <w:t>(k)(6)</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880" w:right="140" w:hanging="879"/>
        <w:spacing w:after="0" w:line="264" w:lineRule="auto"/>
        <w:tabs>
          <w:tab w:leader="none" w:pos="860" w:val="left"/>
        </w:tabs>
        <w:rPr>
          <w:sz w:val="20"/>
          <w:szCs w:val="20"/>
          <w:color w:val="auto"/>
        </w:rPr>
      </w:pPr>
      <w:r>
        <w:rPr>
          <w:rFonts w:ascii="Arial" w:cs="Arial" w:eastAsia="Arial" w:hAnsi="Arial"/>
          <w:sz w:val="18"/>
          <w:szCs w:val="18"/>
          <w:color w:val="auto"/>
        </w:rPr>
        <w:t>(k)(7)</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880" w:right="320" w:hanging="879"/>
        <w:spacing w:after="0" w:line="286" w:lineRule="auto"/>
        <w:tabs>
          <w:tab w:leader="none" w:pos="860" w:val="left"/>
        </w:tabs>
        <w:rPr>
          <w:sz w:val="20"/>
          <w:szCs w:val="20"/>
          <w:color w:val="auto"/>
        </w:rPr>
      </w:pPr>
      <w:r>
        <w:rPr>
          <w:rFonts w:ascii="Arial" w:cs="Arial" w:eastAsia="Arial" w:hAnsi="Arial"/>
          <w:sz w:val="17"/>
          <w:szCs w:val="17"/>
          <w:color w:val="auto"/>
        </w:rPr>
        <w:t>(k)(8)</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880" w:right="20" w:hanging="879"/>
        <w:spacing w:after="0" w:line="264" w:lineRule="auto"/>
        <w:tabs>
          <w:tab w:leader="none" w:pos="86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460" w:right="2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both"/>
        <w:ind w:left="1060" w:right="400" w:hanging="1059"/>
        <w:spacing w:after="0" w:line="264" w:lineRule="auto"/>
        <w:tabs>
          <w:tab w:leader="none" w:pos="1040" w:val="left"/>
        </w:tabs>
        <w:rPr>
          <w:sz w:val="20"/>
          <w:szCs w:val="20"/>
          <w:color w:val="auto"/>
        </w:rPr>
      </w:pPr>
      <w:r>
        <w:rPr>
          <w:rFonts w:ascii="Arial" w:cs="Arial" w:eastAsia="Arial" w:hAnsi="Arial"/>
          <w:sz w:val="18"/>
          <w:szCs w:val="18"/>
          <w:color w:val="auto"/>
        </w:rPr>
        <w:t>(k)(10)</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73" w:lineRule="exact"/>
        <w:rPr>
          <w:sz w:val="20"/>
          <w:szCs w:val="20"/>
          <w:color w:val="auto"/>
        </w:rPr>
      </w:pPr>
    </w:p>
    <w:p>
      <w:pPr>
        <w:ind w:left="1060" w:hanging="1052"/>
        <w:spacing w:after="0"/>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Opinion and Consent of Cleary Gottlieb Steen &amp; Hamilton LLP (1)</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(n)(1)</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Cleary Gottlieb Steen &amp; Hamilton LLP (1)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(n)(2)</w:t>
            </w:r>
          </w:p>
        </w:tc>
        <w:tc>
          <w:tcPr>
            <w:tcW w:w="10620" w:type="dxa"/>
            <w:vAlign w:val="bottom"/>
          </w:tcPr>
          <w:p>
            <w:pPr>
              <w:ind w:left="320"/>
              <w:spacing w:after="0"/>
              <w:rPr>
                <w:sz w:val="20"/>
                <w:szCs w:val="20"/>
                <w:color w:val="auto"/>
              </w:rPr>
            </w:pPr>
            <w:r>
              <w:rPr>
                <w:rFonts w:ascii="Arial" w:cs="Arial" w:eastAsia="Arial" w:hAnsi="Arial"/>
                <w:sz w:val="18"/>
                <w:szCs w:val="18"/>
                <w:color w:val="auto"/>
              </w:rPr>
              <w:t>Consent of KPMG LLP, dated March 31, 2016</w:t>
            </w: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(n)(3)</w:t>
            </w:r>
          </w:p>
        </w:tc>
        <w:tc>
          <w:tcPr>
            <w:tcW w:w="10620" w:type="dxa"/>
            <w:vAlign w:val="bottom"/>
          </w:tcPr>
          <w:p>
            <w:pPr>
              <w:ind w:left="320"/>
              <w:spacing w:after="0"/>
              <w:rPr>
                <w:sz w:val="20"/>
                <w:szCs w:val="20"/>
                <w:color w:val="auto"/>
              </w:rPr>
            </w:pPr>
            <w:r>
              <w:rPr>
                <w:rFonts w:ascii="Arial" w:cs="Arial" w:eastAsia="Arial" w:hAnsi="Arial"/>
                <w:sz w:val="18"/>
                <w:szCs w:val="18"/>
                <w:color w:val="auto"/>
                <w:w w:val="91"/>
              </w:rPr>
              <w:t>Report of KPMG LLP, dated March 2, 2016 (incorporated by reference to Exhibit (n)(5) to Post-Effective Amendment No. 2 to the Company’s</w:t>
            </w:r>
          </w:p>
        </w:tc>
      </w:tr>
      <w:tr>
        <w:trPr>
          <w:trHeight w:val="230"/>
        </w:trPr>
        <w:tc>
          <w:tcPr>
            <w:tcW w:w="740" w:type="dxa"/>
            <w:vAlign w:val="bottom"/>
          </w:tcPr>
          <w:p>
            <w:pPr>
              <w:spacing w:after="0"/>
              <w:rPr>
                <w:sz w:val="20"/>
                <w:szCs w:val="20"/>
                <w:color w:val="auto"/>
              </w:rPr>
            </w:pPr>
          </w:p>
        </w:tc>
        <w:tc>
          <w:tcPr>
            <w:tcW w:w="10620" w:type="dxa"/>
            <w:vAlign w:val="bottom"/>
          </w:tcPr>
          <w:p>
            <w:pPr>
              <w:ind w:left="320"/>
              <w:spacing w:after="0"/>
              <w:rPr>
                <w:sz w:val="20"/>
                <w:szCs w:val="20"/>
                <w:color w:val="auto"/>
              </w:rPr>
            </w:pPr>
            <w:r>
              <w:rPr>
                <w:rFonts w:ascii="Arial" w:cs="Arial" w:eastAsia="Arial" w:hAnsi="Arial"/>
                <w:sz w:val="18"/>
                <w:szCs w:val="18"/>
                <w:color w:val="auto"/>
              </w:rPr>
              <w:t>Registration Statement on Form N-2 filed on March 2, 2016)</w:t>
            </w:r>
          </w:p>
        </w:tc>
      </w:tr>
    </w:tbl>
    <w:p>
      <w:pPr>
        <w:spacing w:after="0" w:line="94" w:lineRule="exact"/>
        <w:rPr>
          <w:sz w:val="20"/>
          <w:szCs w:val="20"/>
          <w:color w:val="auto"/>
        </w:rPr>
      </w:pPr>
    </w:p>
    <w:p>
      <w:pPr>
        <w:ind w:left="1060" w:hanging="1052"/>
        <w:spacing w:after="0"/>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1060" w:hanging="1052"/>
        <w:spacing w:after="0"/>
        <w:tabs>
          <w:tab w:leader="none" w:pos="10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(r)(1)</w:t>
            </w:r>
          </w:p>
        </w:tc>
        <w:tc>
          <w:tcPr>
            <w:tcW w:w="10400" w:type="dxa"/>
            <w:vAlign w:val="bottom"/>
          </w:tcPr>
          <w:p>
            <w:pPr>
              <w:ind w:left="340"/>
              <w:spacing w:after="0"/>
              <w:rPr>
                <w:sz w:val="20"/>
                <w:szCs w:val="20"/>
                <w:color w:val="auto"/>
              </w:rPr>
            </w:pPr>
            <w:r>
              <w:rPr>
                <w:rFonts w:ascii="Arial" w:cs="Arial" w:eastAsia="Arial" w:hAnsi="Arial"/>
                <w:sz w:val="18"/>
                <w:szCs w:val="18"/>
                <w:color w:val="auto"/>
                <w:w w:val="97"/>
              </w:rPr>
              <w:t>Code of Ethics of TPG Specialty Lending, Inc. (incorporated by reference to Exhibit (r)(1) to Pre-Effective Amendment No. 4 to the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Company’s 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(r)(2)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Code of Ethics of TSL Advisers, LLC (incorporated by reference to Exhibit (r)(2) to Pre-Effective Amendment No. 4 to the Company’s</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Common Stock Offerings (incorporated by reference to Exhibit 99.1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Preferred Stock Offerings (incorporated by reference to Exhibit 99.2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10400" w:type="dxa"/>
            <w:vAlign w:val="bottom"/>
          </w:tcPr>
          <w:p>
            <w:pPr>
              <w:ind w:left="340"/>
              <w:spacing w:after="0"/>
              <w:rPr>
                <w:sz w:val="20"/>
                <w:szCs w:val="20"/>
                <w:color w:val="auto"/>
              </w:rPr>
            </w:pPr>
            <w:r>
              <w:rPr>
                <w:rFonts w:ascii="Arial" w:cs="Arial" w:eastAsia="Arial" w:hAnsi="Arial"/>
                <w:sz w:val="18"/>
                <w:szCs w:val="18"/>
                <w:color w:val="auto"/>
                <w:w w:val="95"/>
              </w:rPr>
              <w:t>Form of Preliminary Prospectus Supplement For Debt Securities Offerings (incorporated by reference to Exhibit 99.3 to Pre-Effective</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10400" w:type="dxa"/>
            <w:vAlign w:val="bottom"/>
          </w:tcPr>
          <w:p>
            <w:pPr>
              <w:ind w:left="340"/>
              <w:spacing w:after="0"/>
              <w:rPr>
                <w:sz w:val="20"/>
                <w:szCs w:val="20"/>
                <w:color w:val="auto"/>
              </w:rPr>
            </w:pPr>
            <w:r>
              <w:rPr>
                <w:rFonts w:ascii="Arial" w:cs="Arial" w:eastAsia="Arial" w:hAnsi="Arial"/>
                <w:sz w:val="18"/>
                <w:szCs w:val="18"/>
                <w:color w:val="auto"/>
                <w:w w:val="92"/>
              </w:rPr>
              <w:t>Form of Preliminary Prospectus Supplement For Rights Offerings (incorporated by reference to Exhibit 99.4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99.5</w:t>
            </w:r>
          </w:p>
        </w:tc>
        <w:tc>
          <w:tcPr>
            <w:tcW w:w="10400" w:type="dxa"/>
            <w:vAlign w:val="bottom"/>
          </w:tcPr>
          <w:p>
            <w:pPr>
              <w:ind w:left="340"/>
              <w:spacing w:after="0"/>
              <w:rPr>
                <w:sz w:val="20"/>
                <w:szCs w:val="20"/>
                <w:color w:val="auto"/>
              </w:rPr>
            </w:pPr>
            <w:r>
              <w:rPr>
                <w:rFonts w:ascii="Arial" w:cs="Arial" w:eastAsia="Arial" w:hAnsi="Arial"/>
                <w:sz w:val="18"/>
                <w:szCs w:val="18"/>
                <w:color w:val="auto"/>
                <w:w w:val="91"/>
              </w:rPr>
              <w:t>Form of Preliminary Prospectus Supplement For Warrant Offerings (incorporated by reference to Exhibit 99.5 to Pre-Effective Amendment</w:t>
            </w:r>
          </w:p>
        </w:tc>
      </w:tr>
      <w:tr>
        <w:trPr>
          <w:trHeight w:val="230"/>
        </w:trPr>
        <w:tc>
          <w:tcPr>
            <w:tcW w:w="720" w:type="dxa"/>
            <w:vAlign w:val="bottom"/>
          </w:tcPr>
          <w:p>
            <w:pPr>
              <w:spacing w:after="0"/>
              <w:rPr>
                <w:sz w:val="20"/>
                <w:szCs w:val="20"/>
                <w:color w:val="auto"/>
              </w:rPr>
            </w:pPr>
          </w:p>
        </w:tc>
        <w:tc>
          <w:tcPr>
            <w:tcW w:w="10400" w:type="dxa"/>
            <w:vAlign w:val="bottom"/>
          </w:tcPr>
          <w:p>
            <w:pPr>
              <w:ind w:left="340"/>
              <w:spacing w:after="0"/>
              <w:rPr>
                <w:sz w:val="20"/>
                <w:szCs w:val="20"/>
                <w:color w:val="auto"/>
              </w:rPr>
            </w:pPr>
            <w:r>
              <w:rPr>
                <w:rFonts w:ascii="Arial" w:cs="Arial" w:eastAsia="Arial" w:hAnsi="Arial"/>
                <w:sz w:val="18"/>
                <w:szCs w:val="18"/>
                <w:color w:val="auto"/>
              </w:rPr>
              <w:t>No. 1 to the Company’s Registration Statement on Form N-2 filed on July 25, 2014)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To be filed by amendment.</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26.</w:t>
      </w:r>
      <w:r>
        <w:rPr>
          <w:sz w:val="20"/>
          <w:szCs w:val="20"/>
          <w:color w:val="auto"/>
        </w:rPr>
        <w:tab/>
      </w:r>
      <w:r>
        <w:rPr>
          <w:rFonts w:ascii="Arial" w:cs="Arial" w:eastAsia="Arial" w:hAnsi="Arial"/>
          <w:sz w:val="16"/>
          <w:szCs w:val="16"/>
          <w:b w:val="1"/>
          <w:bCs w:val="1"/>
          <w:color w:val="auto"/>
        </w:rPr>
        <w:t>Marketing Arrangements</w:t>
      </w:r>
    </w:p>
    <w:p>
      <w:pPr>
        <w:spacing w:after="0" w:line="121"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360"/>
          </w:cols>
          <w:pgMar w:left="240" w:top="460" w:right="299" w:bottom="1440" w:gutter="0" w:footer="0" w:header="0"/>
        </w:sectPr>
      </w:pPr>
    </w:p>
    <w:bookmarkStart w:id="229" w:name="page230"/>
    <w:bookmarkEnd w:id="2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720" w:type="dxa"/>
            <w:vAlign w:val="bottom"/>
            <w:gridSpan w:val="2"/>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900" w:type="dxa"/>
            <w:vAlign w:val="bottom"/>
          </w:tcPr>
          <w:p>
            <w:pPr>
              <w:spacing w:after="0"/>
              <w:rPr>
                <w:sz w:val="20"/>
                <w:szCs w:val="20"/>
                <w:color w:val="auto"/>
              </w:rPr>
            </w:pPr>
            <w:r>
              <w:rPr>
                <w:rFonts w:ascii="Arial" w:cs="Arial" w:eastAsia="Arial" w:hAnsi="Arial"/>
                <w:sz w:val="18"/>
                <w:szCs w:val="18"/>
                <w:b w:val="1"/>
                <w:bCs w:val="1"/>
                <w:color w:val="auto"/>
              </w:rPr>
              <w:t>Item 27.</w:t>
            </w:r>
          </w:p>
        </w:tc>
        <w:tc>
          <w:tcPr>
            <w:tcW w:w="6180" w:type="dxa"/>
            <w:vAlign w:val="bottom"/>
            <w:gridSpan w:val="3"/>
          </w:tcPr>
          <w:p>
            <w:pPr>
              <w:ind w:left="240"/>
              <w:spacing w:after="0"/>
              <w:rPr>
                <w:sz w:val="20"/>
                <w:szCs w:val="20"/>
                <w:color w:val="auto"/>
              </w:rPr>
            </w:pPr>
            <w:r>
              <w:rPr>
                <w:rFonts w:ascii="Arial" w:cs="Arial" w:eastAsia="Arial" w:hAnsi="Arial"/>
                <w:sz w:val="18"/>
                <w:szCs w:val="18"/>
                <w:b w:val="1"/>
                <w:bCs w:val="1"/>
                <w:color w:val="auto"/>
              </w:rPr>
              <w:t>Other Expenses of Issuance and Distribution</w:t>
            </w: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60" w:type="dxa"/>
            <w:vAlign w:val="bottom"/>
            <w:vMerge w:val="restart"/>
          </w:tcPr>
          <w:p>
            <w:pPr>
              <w:spacing w:after="0"/>
              <w:rPr>
                <w:sz w:val="10"/>
                <w:szCs w:val="10"/>
                <w:color w:val="auto"/>
              </w:rPr>
            </w:pPr>
          </w:p>
        </w:tc>
        <w:tc>
          <w:tcPr>
            <w:tcW w:w="480" w:type="dxa"/>
            <w:vAlign w:val="bottom"/>
            <w:vMerge w:val="restart"/>
          </w:tcPr>
          <w:p>
            <w:pPr>
              <w:spacing w:after="0"/>
              <w:rPr>
                <w:sz w:val="10"/>
                <w:szCs w:val="10"/>
                <w:color w:val="auto"/>
              </w:rPr>
            </w:pPr>
          </w:p>
        </w:tc>
        <w:tc>
          <w:tcPr>
            <w:tcW w:w="5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5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$ 75,525.00*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FINRA filing fee</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113,000.00**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Printing expenses</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50,000.00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40,000.00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36,475.00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720" w:type="dxa"/>
            <w:vAlign w:val="bottom"/>
            <w:gridSpan w:val="2"/>
          </w:tcPr>
          <w:p>
            <w:pPr>
              <w:ind w:left="480"/>
              <w:spacing w:after="0"/>
              <w:rPr>
                <w:sz w:val="20"/>
                <w:szCs w:val="20"/>
                <w:color w:val="auto"/>
              </w:rPr>
            </w:pPr>
            <w:r>
              <w:rPr>
                <w:rFonts w:ascii="Arial" w:cs="Arial" w:eastAsia="Arial" w:hAnsi="Arial"/>
                <w:sz w:val="18"/>
                <w:szCs w:val="18"/>
                <w:color w:val="auto"/>
              </w:rPr>
              <w:t>Total</w:t>
            </w:r>
          </w:p>
        </w:tc>
        <w:tc>
          <w:tcPr>
            <w:tcW w:w="138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700,000.00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hanging="452"/>
        <w:spacing w:after="0"/>
        <w:tabs>
          <w:tab w:leader="none" w:pos="4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52" w:lineRule="exact"/>
        <w:rPr>
          <w:sz w:val="20"/>
          <w:szCs w:val="20"/>
          <w:color w:val="auto"/>
        </w:rPr>
      </w:pPr>
    </w:p>
    <w:p>
      <w:pPr>
        <w:jc w:val="both"/>
        <w:ind w:right="800" w:firstLine="8"/>
        <w:spacing w:after="0" w:line="500" w:lineRule="auto"/>
        <w:tabs>
          <w:tab w:leader="none" w:pos="446" w:val="left"/>
        </w:tabs>
        <w:numPr>
          <w:ilvl w:val="0"/>
          <w:numId w:val="177"/>
        </w:numPr>
        <w:rPr>
          <w:rFonts w:ascii="Arial" w:cs="Arial" w:eastAsia="Arial" w:hAnsi="Arial"/>
          <w:sz w:val="16"/>
          <w:szCs w:val="16"/>
          <w:color w:val="auto"/>
        </w:rPr>
      </w:pPr>
      <w:r>
        <w:rPr>
          <w:rFonts w:ascii="Arial" w:cs="Arial" w:eastAsia="Arial" w:hAnsi="Arial"/>
          <w:sz w:val="16"/>
          <w:szCs w:val="16"/>
          <w:color w:val="auto"/>
        </w:rPr>
        <w:t>$64,400 of this amount has been offset against filing fees associated with unsold securities registered under a previous registration statement. ** $75,000 of this amount has been offset against filing fees associated with unsold securities registered under a previous registration statement.</w:t>
      </w:r>
    </w:p>
    <w:p>
      <w:pPr>
        <w:spacing w:after="0" w:line="1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28.</w:t>
      </w:r>
      <w:r>
        <w:rPr>
          <w:sz w:val="20"/>
          <w:szCs w:val="20"/>
          <w:color w:val="auto"/>
        </w:rPr>
        <w:tab/>
      </w:r>
      <w:r>
        <w:rPr>
          <w:rFonts w:ascii="Arial" w:cs="Arial" w:eastAsia="Arial" w:hAnsi="Arial"/>
          <w:sz w:val="16"/>
          <w:szCs w:val="16"/>
          <w:b w:val="1"/>
          <w:bCs w:val="1"/>
          <w:color w:val="auto"/>
        </w:rPr>
        <w:t>Persons Controlled by or Under Common Control</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29.</w:t>
      </w:r>
      <w:r>
        <w:rPr>
          <w:sz w:val="20"/>
          <w:szCs w:val="20"/>
          <w:color w:val="auto"/>
        </w:rPr>
        <w:tab/>
      </w:r>
      <w:r>
        <w:rPr>
          <w:rFonts w:ascii="Arial" w:cs="Arial" w:eastAsia="Arial" w:hAnsi="Arial"/>
          <w:sz w:val="16"/>
          <w:szCs w:val="16"/>
          <w:b w:val="1"/>
          <w:bCs w:val="1"/>
          <w:color w:val="auto"/>
        </w:rPr>
        <w:t>Number of Holders of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March 24, 2016.</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000" w:type="dxa"/>
            <w:vAlign w:val="bottom"/>
          </w:tcPr>
          <w:p>
            <w:pPr>
              <w:ind w:left="1600"/>
              <w:spacing w:after="0"/>
              <w:rPr>
                <w:sz w:val="20"/>
                <w:szCs w:val="20"/>
                <w:color w:val="auto"/>
              </w:rPr>
            </w:pPr>
            <w:r>
              <w:rPr>
                <w:rFonts w:ascii="Arial" w:cs="Arial" w:eastAsia="Arial" w:hAnsi="Arial"/>
                <w:sz w:val="14"/>
                <w:szCs w:val="14"/>
                <w:b w:val="1"/>
                <w:bCs w:val="1"/>
                <w:color w:val="auto"/>
              </w:rPr>
              <w:t>Title of Class</w:t>
            </w:r>
          </w:p>
        </w:tc>
        <w:tc>
          <w:tcPr>
            <w:tcW w:w="37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30.</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79" w:lineRule="exact"/>
        <w:rPr>
          <w:sz w:val="20"/>
          <w:szCs w:val="20"/>
          <w:color w:val="auto"/>
        </w:rPr>
      </w:pPr>
    </w:p>
    <w:p>
      <w:pPr>
        <w:jc w:val="both"/>
        <w:ind w:right="300" w:firstLine="456"/>
        <w:spacing w:after="0" w:line="264"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446" w:right="2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47"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3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31.</w:t>
      </w:r>
      <w:r>
        <w:rPr>
          <w:sz w:val="20"/>
          <w:szCs w:val="20"/>
          <w:color w:val="auto"/>
        </w:rPr>
        <w:tab/>
      </w:r>
      <w:r>
        <w:rPr>
          <w:rFonts w:ascii="Arial" w:cs="Arial" w:eastAsia="Arial" w:hAnsi="Arial"/>
          <w:sz w:val="16"/>
          <w:szCs w:val="16"/>
          <w:b w:val="1"/>
          <w:bCs w:val="1"/>
          <w:color w:val="auto"/>
        </w:rPr>
        <w:t>Business and Other Connections of Investment Advisor</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460" w:right="2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32.</w:t>
      </w:r>
      <w:r>
        <w:rPr>
          <w:sz w:val="20"/>
          <w:szCs w:val="20"/>
          <w:color w:val="auto"/>
        </w:rPr>
        <w:tab/>
      </w:r>
      <w:r>
        <w:rPr>
          <w:rFonts w:ascii="Arial" w:cs="Arial" w:eastAsia="Arial" w:hAnsi="Arial"/>
          <w:sz w:val="15"/>
          <w:szCs w:val="15"/>
          <w:b w:val="1"/>
          <w:bCs w:val="1"/>
          <w:color w:val="auto"/>
        </w:rPr>
        <w:t>Location of Accounts and Records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33.</w:t>
      </w:r>
      <w:r>
        <w:rPr>
          <w:sz w:val="20"/>
          <w:szCs w:val="20"/>
          <w:color w:val="auto"/>
        </w:rPr>
        <w:tab/>
      </w:r>
      <w:r>
        <w:rPr>
          <w:rFonts w:ascii="Arial" w:cs="Arial" w:eastAsia="Arial" w:hAnsi="Arial"/>
          <w:sz w:val="15"/>
          <w:szCs w:val="15"/>
          <w:b w:val="1"/>
          <w:bCs w:val="1"/>
          <w:color w:val="auto"/>
        </w:rPr>
        <w:t>Management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34.</w:t>
      </w:r>
      <w:r>
        <w:rPr>
          <w:sz w:val="20"/>
          <w:szCs w:val="20"/>
          <w:color w:val="auto"/>
        </w:rPr>
        <w:tab/>
      </w:r>
      <w:r>
        <w:rPr>
          <w:rFonts w:ascii="Arial" w:cs="Arial" w:eastAsia="Arial" w:hAnsi="Arial"/>
          <w:sz w:val="16"/>
          <w:szCs w:val="16"/>
          <w:b w:val="1"/>
          <w:bCs w:val="1"/>
          <w:color w:val="auto"/>
        </w:rPr>
        <w:t>Undertakings</w:t>
      </w:r>
    </w:p>
    <w:p>
      <w:pPr>
        <w:spacing w:after="0" w:line="135" w:lineRule="exact"/>
        <w:rPr>
          <w:sz w:val="20"/>
          <w:szCs w:val="20"/>
          <w:color w:val="auto"/>
        </w:rPr>
      </w:pPr>
    </w:p>
    <w:p>
      <w:pPr>
        <w:ind w:left="460" w:right="80" w:hanging="452"/>
        <w:spacing w:after="0" w:line="264"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98" w:lineRule="exact"/>
        <w:rPr>
          <w:rFonts w:ascii="Arial" w:cs="Arial" w:eastAsia="Arial" w:hAnsi="Arial"/>
          <w:sz w:val="18"/>
          <w:szCs w:val="18"/>
          <w:color w:val="auto"/>
        </w:rPr>
      </w:pPr>
    </w:p>
    <w:p>
      <w:pPr>
        <w:ind w:left="460" w:hanging="452"/>
        <w:spacing w:after="0"/>
        <w:tabs>
          <w:tab w:leader="none" w:pos="4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3" w:lineRule="exact"/>
        <w:rPr>
          <w:rFonts w:ascii="Arial" w:cs="Arial" w:eastAsia="Arial" w:hAnsi="Arial"/>
          <w:sz w:val="18"/>
          <w:szCs w:val="18"/>
          <w:color w:val="auto"/>
        </w:rPr>
      </w:pPr>
    </w:p>
    <w:p>
      <w:pPr>
        <w:ind w:left="1480" w:right="440" w:hanging="567"/>
        <w:spacing w:after="0" w:line="255" w:lineRule="auto"/>
        <w:tabs>
          <w:tab w:leader="none" w:pos="14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95" w:lineRule="exact"/>
        <w:rPr>
          <w:rFonts w:ascii="Arial" w:cs="Arial" w:eastAsia="Arial" w:hAnsi="Arial"/>
          <w:sz w:val="18"/>
          <w:szCs w:val="18"/>
          <w:color w:val="auto"/>
        </w:rPr>
      </w:pPr>
    </w:p>
    <w:p>
      <w:pPr>
        <w:ind w:left="1480" w:right="200" w:hanging="567"/>
        <w:spacing w:after="0" w:line="277" w:lineRule="auto"/>
        <w:tabs>
          <w:tab w:leader="none" w:pos="1480" w:val="left"/>
        </w:tabs>
        <w:numPr>
          <w:ilvl w:val="2"/>
          <w:numId w:val="17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900" w:right="320" w:hanging="446"/>
        <w:spacing w:after="0" w:line="264" w:lineRule="auto"/>
        <w:tabs>
          <w:tab w:leader="none" w:pos="9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360"/>
          </w:cols>
          <w:pgMar w:left="240" w:top="459" w:right="29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446"/>
        <w:spacing w:after="0" w:line="277"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900" w:right="20" w:hanging="446"/>
        <w:spacing w:after="0" w:line="271" w:lineRule="auto"/>
        <w:tabs>
          <w:tab w:leader="none" w:pos="90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7"/>
          <w:szCs w:val="17"/>
          <w:color w:val="auto"/>
        </w:rPr>
      </w:pPr>
    </w:p>
    <w:p>
      <w:pPr>
        <w:ind w:left="900" w:right="60" w:hanging="446"/>
        <w:spacing w:after="0" w:line="259" w:lineRule="auto"/>
        <w:tabs>
          <w:tab w:leader="none" w:pos="90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92" w:lineRule="exact"/>
        <w:rPr>
          <w:rFonts w:ascii="Arial" w:cs="Arial" w:eastAsia="Arial" w:hAnsi="Arial"/>
          <w:sz w:val="18"/>
          <w:szCs w:val="18"/>
          <w:color w:val="auto"/>
        </w:rPr>
      </w:pPr>
    </w:p>
    <w:p>
      <w:pPr>
        <w:ind w:left="1480" w:right="320" w:hanging="567"/>
        <w:spacing w:after="0" w:line="277" w:lineRule="auto"/>
        <w:tabs>
          <w:tab w:leader="none" w:pos="14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80" w:right="280" w:hanging="567"/>
        <w:spacing w:after="0" w:line="277" w:lineRule="auto"/>
        <w:tabs>
          <w:tab w:leader="none" w:pos="14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900" w:right="120" w:hanging="446"/>
        <w:spacing w:after="0" w:line="286" w:lineRule="auto"/>
        <w:tabs>
          <w:tab w:leader="none" w:pos="90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70" w:lineRule="exact"/>
        <w:rPr>
          <w:rFonts w:ascii="Arial" w:cs="Arial" w:eastAsia="Arial" w:hAnsi="Arial"/>
          <w:sz w:val="17"/>
          <w:szCs w:val="17"/>
          <w:color w:val="auto"/>
        </w:rPr>
      </w:pPr>
    </w:p>
    <w:p>
      <w:pPr>
        <w:ind w:left="900" w:right="20" w:hanging="446"/>
        <w:spacing w:after="0" w:line="264" w:lineRule="auto"/>
        <w:tabs>
          <w:tab w:leader="none" w:pos="90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ind w:left="460" w:hanging="452"/>
        <w:spacing w:after="0" w:line="264" w:lineRule="auto"/>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respect of any one or more offerings by us of shares of our common stock below net asset value as of the date of the commencement of such offering, other than pursuant to a rights offering conducted in accordance with Section 23 under the 1940 Act.</w:t>
      </w:r>
    </w:p>
    <w:p>
      <w:pPr>
        <w:spacing w:after="0" w:line="86" w:lineRule="exact"/>
        <w:rPr>
          <w:rFonts w:ascii="Arial" w:cs="Arial" w:eastAsia="Arial" w:hAnsi="Arial"/>
          <w:sz w:val="18"/>
          <w:szCs w:val="18"/>
          <w:color w:val="auto"/>
        </w:rPr>
      </w:pPr>
    </w:p>
    <w:p>
      <w:pPr>
        <w:ind w:left="460" w:right="440" w:hanging="452"/>
        <w:spacing w:after="0" w:line="342" w:lineRule="auto"/>
        <w:tabs>
          <w:tab w:leader="none" w:pos="4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29" w:lineRule="exact"/>
        <w:rPr>
          <w:rFonts w:ascii="Arial" w:cs="Arial" w:eastAsia="Arial" w:hAnsi="Arial"/>
          <w:sz w:val="16"/>
          <w:szCs w:val="16"/>
          <w:color w:val="auto"/>
        </w:rPr>
      </w:pPr>
    </w:p>
    <w:p>
      <w:pPr>
        <w:ind w:left="460" w:hanging="452"/>
        <w:spacing w:after="0"/>
        <w:tabs>
          <w:tab w:leader="none" w:pos="4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undertake to file a post-effective amendment or a new registration statement for any offering of debt securities referred to as “senior.”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20"/>
          </w:cols>
          <w:pgMar w:left="240" w:top="460" w:right="2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N-2 to be signed on its behalf by the undersigned, thereunto duly authorized, in the City of New York, and the State of New York on the 31st day of March, 2016.</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Michael Fishman</w:t>
      </w:r>
    </w:p>
    <w:p>
      <w:pPr>
        <w:spacing w:after="0" w:line="27"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Co-Chief Executive Officer</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Each officer and director of TPG Specialty Lending, Inc. whose signature appears below constitutes and appoints Michael Fishman, Joshua Easterly, Ian Simmonds, David Stiepleman and Jennifer Gordon, and each of them to act without the other, as his or her true and lawful attorney-in-fact and agent, with full power of substitution and revocation, for him or her and in his or her name, place and stead, in any and all capacities, to execute and file any or all amendments including any post-effective amendments and supplements to this registration statement, and any additional registration statement filed pursuant to Rule 462(b),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7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8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420" w:type="dxa"/>
            <w:vAlign w:val="bottom"/>
          </w:tcPr>
          <w:p>
            <w:pPr>
              <w:spacing w:after="0"/>
              <w:rPr>
                <w:sz w:val="16"/>
                <w:szCs w:val="16"/>
                <w:color w:val="auto"/>
              </w:rPr>
            </w:pPr>
          </w:p>
        </w:tc>
      </w:tr>
      <w:tr>
        <w:trPr>
          <w:trHeight w:val="412"/>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Michael Fishman</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and 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Michael Fishman</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8"/>
              </w:rPr>
              <w:t>/s/ Joshua Easterly</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Co-Chief Executive Officer, Director and Chairman of the</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8"/>
              </w:rPr>
              <w:t>Joshua Easterly</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Board of Directors</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Ian Simmonds</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 (Principal Financial Officer)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Ian Simmonds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Michael Graf</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Vice President and Principal Accounting Officer (Principal</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6"/>
              </w:rPr>
              <w:t>Michael Graf</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Accounting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John A. Ross</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Director and Chairman of the Audit Committee</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87"/>
              </w:rPr>
              <w:t>John A. Ross</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/s/ Richard A. Higginbotham</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2"/>
              </w:rPr>
              <w:t>Richard A. Higginbotham</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31"/>
        </w:trPr>
        <w:tc>
          <w:tcPr>
            <w:tcW w:w="47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Ronald K. Tanemura</w:t>
            </w:r>
          </w:p>
        </w:tc>
        <w:tc>
          <w:tcPr>
            <w:tcW w:w="48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March 31, 2016</w:t>
            </w:r>
          </w:p>
        </w:tc>
      </w:tr>
      <w:tr>
        <w:trPr>
          <w:trHeight w:val="224"/>
        </w:trPr>
        <w:tc>
          <w:tcPr>
            <w:tcW w:w="4740" w:type="dxa"/>
            <w:vAlign w:val="bottom"/>
            <w:gridSpan w:val="3"/>
          </w:tcPr>
          <w:p>
            <w:pPr>
              <w:jc w:val="center"/>
              <w:spacing w:after="0"/>
              <w:rPr>
                <w:sz w:val="20"/>
                <w:szCs w:val="20"/>
                <w:color w:val="auto"/>
              </w:rPr>
            </w:pPr>
            <w:r>
              <w:rPr>
                <w:rFonts w:ascii="Arial" w:cs="Arial" w:eastAsia="Arial" w:hAnsi="Arial"/>
                <w:sz w:val="18"/>
                <w:szCs w:val="18"/>
                <w:color w:val="auto"/>
                <w:w w:val="90"/>
              </w:rPr>
              <w:t>Ronald K. Tanemura</w:t>
            </w:r>
          </w:p>
        </w:tc>
        <w:tc>
          <w:tcPr>
            <w:tcW w:w="2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ectPr>
          <w:pgSz w:w="11900" w:h="16838" w:orient="portrait"/>
          <w:cols w:equalWidth="0" w:num="1">
            <w:col w:w="11340"/>
          </w:cols>
          <w:pgMar w:left="240" w:top="460" w:right="31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(d)(6)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460" w:right="560" w:hanging="452"/>
        <w:spacing w:after="0" w:line="256" w:lineRule="auto"/>
        <w:tabs>
          <w:tab w:leader="none" w:pos="460" w:val="left"/>
        </w:tabs>
        <w:numPr>
          <w:ilvl w:val="0"/>
          <w:numId w:val="182"/>
        </w:numPr>
        <w:rPr>
          <w:rFonts w:ascii="MS PGothic" w:cs="MS PGothic" w:eastAsia="MS PGothic" w:hAnsi="MS PGothic"/>
          <w:sz w:val="22"/>
          <w:szCs w:val="22"/>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206375</wp:posOffset>
            </wp:positionV>
            <wp:extent cx="15176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40"/>
          <w:szCs w:val="40"/>
          <w:b w:val="1"/>
          <w:bCs w:val="1"/>
          <w:color w:val="auto"/>
        </w:rPr>
        <w:t>WELLS FARGO BANK, NATIONAL ASSOCIATION</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3"/>
          </w:tcPr>
          <w:p>
            <w:pPr>
              <w:jc w:val="center"/>
              <w:ind w:left="3498"/>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3580" w:type="dxa"/>
            <w:vAlign w:val="bottom"/>
          </w:tcPr>
          <w:p>
            <w:pPr>
              <w:spacing w:after="0"/>
              <w:rPr>
                <w:sz w:val="20"/>
                <w:szCs w:val="20"/>
                <w:color w:val="auto"/>
              </w:rPr>
            </w:pPr>
          </w:p>
        </w:tc>
      </w:tr>
      <w:tr>
        <w:trPr>
          <w:trHeight w:val="345"/>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57"/>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A National Banking Association</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94-1347393</w:t>
            </w:r>
          </w:p>
        </w:tc>
      </w:tr>
      <w:tr>
        <w:trPr>
          <w:trHeight w:val="149"/>
        </w:trPr>
        <w:tc>
          <w:tcPr>
            <w:tcW w:w="7840" w:type="dxa"/>
            <w:vAlign w:val="bottom"/>
            <w:gridSpan w:val="3"/>
          </w:tcPr>
          <w:p>
            <w:pPr>
              <w:jc w:val="center"/>
              <w:ind w:right="2060"/>
              <w:spacing w:after="0" w:line="149" w:lineRule="exact"/>
              <w:rPr>
                <w:sz w:val="20"/>
                <w:szCs w:val="20"/>
                <w:color w:val="auto"/>
              </w:rPr>
            </w:pPr>
            <w:r>
              <w:rPr>
                <w:rFonts w:ascii="Arial" w:cs="Arial" w:eastAsia="Arial" w:hAnsi="Arial"/>
                <w:sz w:val="14"/>
                <w:szCs w:val="14"/>
                <w:b w:val="1"/>
                <w:bCs w:val="1"/>
                <w:color w:val="auto"/>
                <w:w w:val="92"/>
              </w:rPr>
              <w:t>(Jurisdiction of incorporation or</w:t>
            </w:r>
          </w:p>
        </w:tc>
        <w:tc>
          <w:tcPr>
            <w:tcW w:w="3580" w:type="dxa"/>
            <w:vAlign w:val="bottom"/>
          </w:tcPr>
          <w:p>
            <w:pPr>
              <w:jc w:val="center"/>
              <w:ind w:righ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3"/>
              </w:rPr>
              <w:t>organization if not a U.S. national bank)</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0"/>
              </w:rPr>
              <w:t>101 North Phillips Avenue</w:t>
            </w:r>
          </w:p>
        </w:tc>
        <w:tc>
          <w:tcPr>
            <w:tcW w:w="3580" w:type="dxa"/>
            <w:vAlign w:val="bottom"/>
          </w:tcPr>
          <w:p>
            <w:pPr>
              <w:spacing w:after="0"/>
              <w:rPr>
                <w:sz w:val="24"/>
                <w:szCs w:val="24"/>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9"/>
              </w:rPr>
              <w:t>Sioux Falls, South Dakota</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57104</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2"/>
              </w:rPr>
              <w:t>(Zip code)</w:t>
            </w:r>
          </w:p>
        </w:tc>
      </w:tr>
      <w:tr>
        <w:trPr>
          <w:trHeight w:val="399"/>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3"/>
              </w:rPr>
              <w:t>Wells Fargo &amp; Company Law</w:t>
            </w:r>
          </w:p>
        </w:tc>
        <w:tc>
          <w:tcPr>
            <w:tcW w:w="358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0"/>
              </w:rPr>
              <w:t>Department, Trust Section</w:t>
            </w:r>
          </w:p>
        </w:tc>
        <w:tc>
          <w:tcPr>
            <w:tcW w:w="35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6"/>
              </w:rPr>
              <w:t>MAC N9305-175</w:t>
            </w:r>
          </w:p>
        </w:tc>
        <w:tc>
          <w:tcPr>
            <w:tcW w:w="3580" w:type="dxa"/>
            <w:vAlign w:val="bottom"/>
          </w:tcPr>
          <w:p>
            <w:pPr>
              <w:spacing w:after="0"/>
              <w:rPr>
                <w:sz w:val="18"/>
                <w:szCs w:val="18"/>
                <w:color w:val="auto"/>
              </w:rPr>
            </w:pPr>
          </w:p>
        </w:tc>
      </w:tr>
      <w:tr>
        <w:trPr>
          <w:trHeight w:val="216"/>
        </w:trPr>
        <w:tc>
          <w:tcPr>
            <w:tcW w:w="7840" w:type="dxa"/>
            <w:vAlign w:val="bottom"/>
            <w:gridSpan w:val="3"/>
          </w:tcPr>
          <w:p>
            <w:pPr>
              <w:jc w:val="center"/>
              <w:ind w:left="3498"/>
              <w:spacing w:after="0"/>
              <w:rPr>
                <w:sz w:val="20"/>
                <w:szCs w:val="20"/>
                <w:color w:val="auto"/>
              </w:rPr>
            </w:pPr>
            <w:r>
              <w:rPr>
                <w:rFonts w:ascii="Arial" w:cs="Arial" w:eastAsia="Arial" w:hAnsi="Arial"/>
                <w:sz w:val="18"/>
                <w:szCs w:val="18"/>
                <w:b w:val="1"/>
                <w:bCs w:val="1"/>
                <w:color w:val="auto"/>
                <w:w w:val="91"/>
              </w:rPr>
              <w:t>Sixth Street and Marquette Avenue, 17</w:t>
            </w:r>
            <w:r>
              <w:rPr>
                <w:rFonts w:ascii="Arial" w:cs="Arial" w:eastAsia="Arial" w:hAnsi="Arial"/>
                <w:sz w:val="15"/>
                <w:szCs w:val="15"/>
                <w:b w:val="1"/>
                <w:bCs w:val="1"/>
                <w:color w:val="auto"/>
                <w:w w:val="91"/>
              </w:rPr>
              <w:t>th</w:t>
            </w:r>
            <w:r>
              <w:rPr>
                <w:rFonts w:ascii="Arial" w:cs="Arial" w:eastAsia="Arial" w:hAnsi="Arial"/>
                <w:sz w:val="18"/>
                <w:szCs w:val="18"/>
                <w:b w:val="1"/>
                <w:bCs w:val="1"/>
                <w:color w:val="auto"/>
                <w:w w:val="91"/>
              </w:rPr>
              <w:t xml:space="preserve"> Floor</w:t>
            </w:r>
          </w:p>
        </w:tc>
        <w:tc>
          <w:tcPr>
            <w:tcW w:w="3580" w:type="dxa"/>
            <w:vAlign w:val="bottom"/>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Minneapolis, Minnesota 55479</w:t>
            </w:r>
          </w:p>
        </w:tc>
        <w:tc>
          <w:tcPr>
            <w:tcW w:w="3580" w:type="dxa"/>
            <w:vAlign w:val="bottom"/>
          </w:tcPr>
          <w:p>
            <w:pPr>
              <w:spacing w:after="0"/>
              <w:rPr>
                <w:sz w:val="18"/>
                <w:szCs w:val="18"/>
                <w:color w:val="auto"/>
              </w:rPr>
            </w:pPr>
          </w:p>
        </w:tc>
      </w:tr>
      <w:tr>
        <w:trPr>
          <w:trHeight w:val="212"/>
        </w:trPr>
        <w:tc>
          <w:tcPr>
            <w:tcW w:w="6900" w:type="dxa"/>
            <w:vAlign w:val="bottom"/>
            <w:gridSpan w:val="2"/>
          </w:tcPr>
          <w:p>
            <w:pPr>
              <w:jc w:val="center"/>
              <w:ind w:left="4458"/>
              <w:spacing w:after="0"/>
              <w:rPr>
                <w:sz w:val="20"/>
                <w:szCs w:val="20"/>
                <w:color w:val="auto"/>
              </w:rPr>
            </w:pPr>
            <w:r>
              <w:rPr>
                <w:rFonts w:ascii="Arial" w:cs="Arial" w:eastAsia="Arial" w:hAnsi="Arial"/>
                <w:sz w:val="18"/>
                <w:szCs w:val="18"/>
                <w:b w:val="1"/>
                <w:bCs w:val="1"/>
                <w:color w:val="auto"/>
                <w:w w:val="90"/>
              </w:rPr>
              <w:t>(612) 667-4608</w:t>
            </w:r>
          </w:p>
        </w:tc>
        <w:tc>
          <w:tcPr>
            <w:tcW w:w="94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186"/>
        </w:trPr>
        <w:tc>
          <w:tcPr>
            <w:tcW w:w="7840" w:type="dxa"/>
            <w:vAlign w:val="bottom"/>
            <w:gridSpan w:val="3"/>
          </w:tcPr>
          <w:p>
            <w:pPr>
              <w:jc w:val="center"/>
              <w:ind w:left="3498"/>
              <w:spacing w:after="0"/>
              <w:rPr>
                <w:sz w:val="20"/>
                <w:szCs w:val="20"/>
                <w:color w:val="auto"/>
              </w:rPr>
            </w:pPr>
            <w:r>
              <w:rPr>
                <w:rFonts w:ascii="Arial" w:cs="Arial" w:eastAsia="Arial" w:hAnsi="Arial"/>
                <w:sz w:val="14"/>
                <w:szCs w:val="14"/>
                <w:b w:val="1"/>
                <w:bCs w:val="1"/>
                <w:color w:val="auto"/>
                <w:w w:val="91"/>
              </w:rPr>
              <w:t>(Name, address and telephone number of agent for service)</w:t>
            </w:r>
          </w:p>
        </w:tc>
        <w:tc>
          <w:tcPr>
            <w:tcW w:w="3580" w:type="dxa"/>
            <w:vAlign w:val="bottom"/>
          </w:tcPr>
          <w:p>
            <w:pPr>
              <w:spacing w:after="0"/>
              <w:rPr>
                <w:sz w:val="16"/>
                <w:szCs w:val="16"/>
                <w:color w:val="auto"/>
              </w:rPr>
            </w:pPr>
          </w:p>
        </w:tc>
      </w:tr>
      <w:tr>
        <w:trPr>
          <w:trHeight w:val="350"/>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TPG Specialty Lending, Inc.</w:t>
            </w:r>
          </w:p>
        </w:tc>
        <w:tc>
          <w:tcPr>
            <w:tcW w:w="3580" w:type="dxa"/>
            <w:vAlign w:val="bottom"/>
          </w:tcPr>
          <w:p>
            <w:pPr>
              <w:spacing w:after="0"/>
              <w:rPr>
                <w:sz w:val="24"/>
                <w:szCs w:val="24"/>
                <w:color w:val="auto"/>
              </w:rPr>
            </w:pPr>
          </w:p>
        </w:tc>
      </w:tr>
      <w:tr>
        <w:trPr>
          <w:trHeight w:val="186"/>
        </w:trPr>
        <w:tc>
          <w:tcPr>
            <w:tcW w:w="7840" w:type="dxa"/>
            <w:vAlign w:val="bottom"/>
            <w:gridSpan w:val="3"/>
          </w:tcPr>
          <w:p>
            <w:pPr>
              <w:jc w:val="center"/>
              <w:ind w:left="3498"/>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3580" w:type="dxa"/>
            <w:vAlign w:val="bottom"/>
          </w:tcPr>
          <w:p>
            <w:pPr>
              <w:spacing w:after="0"/>
              <w:rPr>
                <w:sz w:val="16"/>
                <w:szCs w:val="16"/>
                <w:color w:val="auto"/>
              </w:rPr>
            </w:pP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70"/>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3"/>
              </w:rPr>
              <w:t>Delaware</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89"/>
              </w:rPr>
              <w:t>27-3380000</w:t>
            </w:r>
          </w:p>
        </w:tc>
      </w:tr>
      <w:tr>
        <w:trPr>
          <w:trHeight w:val="149"/>
        </w:trPr>
        <w:tc>
          <w:tcPr>
            <w:tcW w:w="7840" w:type="dxa"/>
            <w:vAlign w:val="bottom"/>
            <w:gridSpan w:val="3"/>
          </w:tcPr>
          <w:p>
            <w:pPr>
              <w:jc w:val="center"/>
              <w:ind w:right="2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580" w:type="dxa"/>
            <w:vAlign w:val="bottom"/>
          </w:tcPr>
          <w:p>
            <w:pPr>
              <w:jc w:val="center"/>
              <w:ind w:righ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8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4"/>
              </w:rPr>
              <w:t>incorporation or organization)</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89"/>
              </w:rPr>
              <w:t>301 Commerce Street, Suite 3300</w:t>
            </w:r>
          </w:p>
        </w:tc>
        <w:tc>
          <w:tcPr>
            <w:tcW w:w="3580" w:type="dxa"/>
            <w:vAlign w:val="bottom"/>
          </w:tcPr>
          <w:p>
            <w:pPr>
              <w:spacing w:after="0"/>
              <w:rPr>
                <w:sz w:val="24"/>
                <w:szCs w:val="24"/>
                <w:color w:val="auto"/>
              </w:rPr>
            </w:pPr>
          </w:p>
        </w:tc>
      </w:tr>
      <w:tr>
        <w:trPr>
          <w:trHeight w:val="225"/>
        </w:trPr>
        <w:tc>
          <w:tcPr>
            <w:tcW w:w="7840" w:type="dxa"/>
            <w:vAlign w:val="bottom"/>
            <w:gridSpan w:val="3"/>
          </w:tcPr>
          <w:p>
            <w:pPr>
              <w:jc w:val="center"/>
              <w:ind w:right="2060"/>
              <w:spacing w:after="0"/>
              <w:rPr>
                <w:sz w:val="20"/>
                <w:szCs w:val="20"/>
                <w:color w:val="auto"/>
              </w:rPr>
            </w:pPr>
            <w:r>
              <w:rPr>
                <w:rFonts w:ascii="Arial" w:cs="Arial" w:eastAsia="Arial" w:hAnsi="Arial"/>
                <w:sz w:val="18"/>
                <w:szCs w:val="18"/>
                <w:b w:val="1"/>
                <w:bCs w:val="1"/>
                <w:color w:val="auto"/>
                <w:w w:val="97"/>
              </w:rPr>
              <w:t>Fort Worth, TX</w:t>
            </w:r>
          </w:p>
        </w:tc>
        <w:tc>
          <w:tcPr>
            <w:tcW w:w="3580" w:type="dxa"/>
            <w:vAlign w:val="bottom"/>
          </w:tcPr>
          <w:p>
            <w:pPr>
              <w:jc w:val="center"/>
              <w:ind w:right="1881"/>
              <w:spacing w:after="0"/>
              <w:rPr>
                <w:sz w:val="20"/>
                <w:szCs w:val="20"/>
                <w:color w:val="auto"/>
              </w:rPr>
            </w:pPr>
            <w:r>
              <w:rPr>
                <w:rFonts w:ascii="Arial" w:cs="Arial" w:eastAsia="Arial" w:hAnsi="Arial"/>
                <w:sz w:val="18"/>
                <w:szCs w:val="18"/>
                <w:b w:val="1"/>
                <w:bCs w:val="1"/>
                <w:color w:val="auto"/>
                <w:w w:val="91"/>
              </w:rPr>
              <w:t>76102</w:t>
            </w:r>
          </w:p>
        </w:tc>
      </w:tr>
      <w:tr>
        <w:trPr>
          <w:trHeight w:val="186"/>
        </w:trPr>
        <w:tc>
          <w:tcPr>
            <w:tcW w:w="7840" w:type="dxa"/>
            <w:vAlign w:val="bottom"/>
            <w:gridSpan w:val="3"/>
          </w:tcPr>
          <w:p>
            <w:pPr>
              <w:jc w:val="center"/>
              <w:ind w:right="20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580" w:type="dxa"/>
            <w:vAlign w:val="bottom"/>
          </w:tcPr>
          <w:p>
            <w:pPr>
              <w:jc w:val="center"/>
              <w:ind w:right="1881"/>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452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403"/>
        </w:trPr>
        <w:tc>
          <w:tcPr>
            <w:tcW w:w="4520" w:type="dxa"/>
            <w:vAlign w:val="bottom"/>
          </w:tcPr>
          <w:p>
            <w:pPr>
              <w:spacing w:after="0"/>
              <w:rPr>
                <w:sz w:val="24"/>
                <w:szCs w:val="24"/>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88"/>
              </w:rPr>
              <w:t>Debt Securities</w:t>
            </w:r>
          </w:p>
        </w:tc>
        <w:tc>
          <w:tcPr>
            <w:tcW w:w="3580" w:type="dxa"/>
            <w:vAlign w:val="bottom"/>
          </w:tcPr>
          <w:p>
            <w:pPr>
              <w:spacing w:after="0"/>
              <w:rPr>
                <w:sz w:val="24"/>
                <w:szCs w:val="24"/>
                <w:color w:val="auto"/>
              </w:rPr>
            </w:pPr>
          </w:p>
        </w:tc>
      </w:tr>
      <w:tr>
        <w:trPr>
          <w:trHeight w:val="186"/>
        </w:trPr>
        <w:tc>
          <w:tcPr>
            <w:tcW w:w="4520" w:type="dxa"/>
            <w:vAlign w:val="bottom"/>
          </w:tcPr>
          <w:p>
            <w:pPr>
              <w:spacing w:after="0"/>
              <w:rPr>
                <w:sz w:val="16"/>
                <w:szCs w:val="16"/>
                <w:color w:val="auto"/>
              </w:rPr>
            </w:pPr>
          </w:p>
        </w:tc>
        <w:tc>
          <w:tcPr>
            <w:tcW w:w="332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3"/>
              </w:rPr>
              <w:t>(Title of the indenture securities)</w:t>
            </w:r>
          </w:p>
        </w:tc>
        <w:tc>
          <w:tcPr>
            <w:tcW w:w="3580" w:type="dxa"/>
            <w:vAlign w:val="bottom"/>
          </w:tcPr>
          <w:p>
            <w:pPr>
              <w:spacing w:after="0"/>
              <w:rPr>
                <w:sz w:val="16"/>
                <w:szCs w:val="16"/>
                <w:color w:val="auto"/>
              </w:rPr>
            </w:pPr>
          </w:p>
        </w:tc>
      </w:tr>
      <w:tr>
        <w:trPr>
          <w:trHeight w:val="215"/>
        </w:trPr>
        <w:tc>
          <w:tcPr>
            <w:tcW w:w="45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spacing w:after="0"/>
              <w:rPr>
                <w:sz w:val="18"/>
                <w:szCs w:val="18"/>
                <w:color w:val="auto"/>
              </w:rPr>
            </w:pPr>
          </w:p>
        </w:tc>
      </w:tr>
      <w:tr>
        <w:trPr>
          <w:trHeight w:val="48"/>
        </w:trPr>
        <w:tc>
          <w:tcPr>
            <w:tcW w:w="45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Item 1. </w:t>
      </w:r>
      <w:r>
        <w:rPr>
          <w:rFonts w:ascii="Arial" w:cs="Arial" w:eastAsia="Arial" w:hAnsi="Arial"/>
          <w:sz w:val="18"/>
          <w:szCs w:val="18"/>
          <w:u w:val="single" w:color="auto"/>
          <w:color w:val="auto"/>
        </w:rPr>
        <w:t>General Information.</w:t>
      </w:r>
      <w:r>
        <w:rPr>
          <w:rFonts w:ascii="Arial" w:cs="Arial" w:eastAsia="Arial" w:hAnsi="Arial"/>
          <w:sz w:val="18"/>
          <w:szCs w:val="18"/>
          <w:color w:val="auto"/>
        </w:rPr>
        <w:t xml:space="preserve"> Furnish the following information as to the trustee:</w:t>
      </w:r>
    </w:p>
    <w:p>
      <w:pPr>
        <w:spacing w:after="0" w:line="131" w:lineRule="exact"/>
        <w:rPr>
          <w:sz w:val="20"/>
          <w:szCs w:val="20"/>
          <w:color w:val="auto"/>
        </w:rPr>
      </w:pPr>
    </w:p>
    <w:p>
      <w:pPr>
        <w:ind w:left="1480" w:hanging="567"/>
        <w:spacing w:after="0"/>
        <w:tabs>
          <w:tab w:leader="none" w:pos="1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117" w:lineRule="exact"/>
        <w:rPr>
          <w:rFonts w:ascii="Arial" w:cs="Arial" w:eastAsia="Arial" w:hAnsi="Arial"/>
          <w:sz w:val="18"/>
          <w:szCs w:val="18"/>
          <w:color w:val="auto"/>
        </w:rPr>
      </w:pPr>
    </w:p>
    <w:p>
      <w:pPr>
        <w:ind w:left="1500" w:right="7560"/>
        <w:spacing w:after="0" w:line="312" w:lineRule="auto"/>
        <w:rPr>
          <w:rFonts w:ascii="Arial" w:cs="Arial" w:eastAsia="Arial" w:hAnsi="Arial"/>
          <w:sz w:val="18"/>
          <w:szCs w:val="18"/>
          <w:color w:val="auto"/>
        </w:rPr>
      </w:pPr>
      <w:r>
        <w:rPr>
          <w:rFonts w:ascii="Arial" w:cs="Arial" w:eastAsia="Arial" w:hAnsi="Arial"/>
          <w:sz w:val="16"/>
          <w:szCs w:val="16"/>
          <w:color w:val="auto"/>
        </w:rPr>
        <w:t>Comptroller of the Currency Treasury Department Washington, D.C.</w:t>
      </w:r>
    </w:p>
    <w:p>
      <w:pPr>
        <w:spacing w:after="0" w:line="38" w:lineRule="exact"/>
        <w:rPr>
          <w:rFonts w:ascii="Arial" w:cs="Arial" w:eastAsia="Arial" w:hAnsi="Arial"/>
          <w:sz w:val="18"/>
          <w:szCs w:val="18"/>
          <w:color w:val="auto"/>
        </w:rPr>
      </w:pPr>
    </w:p>
    <w:p>
      <w:pPr>
        <w:ind w:left="1500" w:right="6800"/>
        <w:spacing w:after="0" w:line="277" w:lineRule="auto"/>
        <w:rPr>
          <w:rFonts w:ascii="Arial" w:cs="Arial" w:eastAsia="Arial" w:hAnsi="Arial"/>
          <w:sz w:val="18"/>
          <w:szCs w:val="18"/>
          <w:color w:val="auto"/>
        </w:rPr>
      </w:pPr>
      <w:r>
        <w:rPr>
          <w:rFonts w:ascii="Arial" w:cs="Arial" w:eastAsia="Arial" w:hAnsi="Arial"/>
          <w:sz w:val="18"/>
          <w:szCs w:val="18"/>
          <w:color w:val="auto"/>
        </w:rPr>
        <w:t>Federal Deposit Insurance Corporation Washington, D.C.</w:t>
      </w:r>
    </w:p>
    <w:p>
      <w:pPr>
        <w:spacing w:after="0" w:line="62" w:lineRule="exact"/>
        <w:rPr>
          <w:rFonts w:ascii="Arial" w:cs="Arial" w:eastAsia="Arial" w:hAnsi="Arial"/>
          <w:sz w:val="18"/>
          <w:szCs w:val="18"/>
          <w:color w:val="auto"/>
        </w:rPr>
      </w:pPr>
    </w:p>
    <w:p>
      <w:pPr>
        <w:ind w:left="1500" w:right="6760"/>
        <w:spacing w:after="0" w:line="342" w:lineRule="auto"/>
        <w:rPr>
          <w:rFonts w:ascii="Arial" w:cs="Arial" w:eastAsia="Arial" w:hAnsi="Arial"/>
          <w:sz w:val="18"/>
          <w:szCs w:val="18"/>
          <w:color w:val="auto"/>
        </w:rPr>
      </w:pPr>
      <w:r>
        <w:rPr>
          <w:rFonts w:ascii="Arial" w:cs="Arial" w:eastAsia="Arial" w:hAnsi="Arial"/>
          <w:sz w:val="16"/>
          <w:szCs w:val="16"/>
          <w:color w:val="auto"/>
        </w:rPr>
        <w:t>Federal Reserve Bank of San Francisco San Francisco, California 94120</w:t>
      </w:r>
    </w:p>
    <w:p>
      <w:pPr>
        <w:spacing w:after="0" w:line="29" w:lineRule="exact"/>
        <w:rPr>
          <w:rFonts w:ascii="Arial" w:cs="Arial" w:eastAsia="Arial" w:hAnsi="Arial"/>
          <w:sz w:val="18"/>
          <w:szCs w:val="18"/>
          <w:color w:val="auto"/>
        </w:rPr>
      </w:pPr>
    </w:p>
    <w:p>
      <w:pPr>
        <w:jc w:val="both"/>
        <w:ind w:left="1500" w:right="5320" w:hanging="587"/>
        <w:spacing w:after="0" w:line="483" w:lineRule="auto"/>
        <w:tabs>
          <w:tab w:leader="none" w:pos="1489"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Whether it is authorized to exercise corporate trust powers. The trustee is authorized to exercise corporate trust powers.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Affiliations with Obligor.</w:t>
      </w:r>
      <w:r>
        <w:rPr>
          <w:rFonts w:ascii="Arial" w:cs="Arial" w:eastAsia="Arial" w:hAnsi="Arial"/>
          <w:sz w:val="18"/>
          <w:szCs w:val="18"/>
          <w:color w:val="auto"/>
        </w:rPr>
        <w:t xml:space="preserve"> If the obligor is an affiliate of the trustee, describe each such affiliation.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with respect to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responses are included for Items 3-14 of this Form T-1 because the obligor is not in default as provided under Item 13.</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gridSpan w:val="4"/>
          </w:tcPr>
          <w:p>
            <w:pPr>
              <w:spacing w:after="0"/>
              <w:rPr>
                <w:sz w:val="20"/>
                <w:szCs w:val="20"/>
                <w:color w:val="auto"/>
              </w:rPr>
            </w:pPr>
            <w:r>
              <w:rPr>
                <w:rFonts w:ascii="Arial" w:cs="Arial" w:eastAsia="Arial" w:hAnsi="Arial"/>
                <w:sz w:val="18"/>
                <w:szCs w:val="18"/>
                <w:color w:val="auto"/>
              </w:rPr>
              <w:t>Item 15. Foreign Trustee.</w:t>
            </w:r>
          </w:p>
        </w:tc>
        <w:tc>
          <w:tcPr>
            <w:tcW w:w="8220" w:type="dxa"/>
            <w:vAlign w:val="bottom"/>
          </w:tcPr>
          <w:p>
            <w:pPr>
              <w:ind w:left="80"/>
              <w:spacing w:after="0"/>
              <w:rPr>
                <w:sz w:val="20"/>
                <w:szCs w:val="20"/>
                <w:color w:val="auto"/>
              </w:rPr>
            </w:pPr>
            <w:r>
              <w:rPr>
                <w:rFonts w:ascii="Arial" w:cs="Arial" w:eastAsia="Arial" w:hAnsi="Arial"/>
                <w:sz w:val="18"/>
                <w:szCs w:val="18"/>
                <w:color w:val="auto"/>
              </w:rPr>
              <w:t>Not applicable.</w:t>
            </w:r>
          </w:p>
        </w:tc>
      </w:tr>
      <w:tr>
        <w:trPr>
          <w:trHeight w:val="20"/>
        </w:trPr>
        <w:tc>
          <w:tcPr>
            <w:tcW w:w="66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060" w:type="dxa"/>
            <w:vAlign w:val="bottom"/>
            <w:tcBorders>
              <w:left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561"/>
        </w:trPr>
        <w:tc>
          <w:tcPr>
            <w:tcW w:w="2880" w:type="dxa"/>
            <w:vAlign w:val="bottom"/>
            <w:gridSpan w:val="4"/>
          </w:tcPr>
          <w:p>
            <w:pPr>
              <w:spacing w:after="0"/>
              <w:rPr>
                <w:sz w:val="20"/>
                <w:szCs w:val="20"/>
                <w:color w:val="auto"/>
              </w:rPr>
            </w:pPr>
            <w:r>
              <w:rPr>
                <w:rFonts w:ascii="Arial" w:cs="Arial" w:eastAsia="Arial" w:hAnsi="Arial"/>
                <w:sz w:val="18"/>
                <w:szCs w:val="18"/>
                <w:color w:val="auto"/>
              </w:rPr>
              <w:t>Item 16. List of Exhibits.</w:t>
            </w:r>
          </w:p>
        </w:tc>
        <w:tc>
          <w:tcPr>
            <w:tcW w:w="8220" w:type="dxa"/>
            <w:vAlign w:val="bottom"/>
          </w:tcPr>
          <w:p>
            <w:pPr>
              <w:ind w:left="8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280" w:type="dxa"/>
            <w:vAlign w:val="bottom"/>
            <w:gridSpan w:val="2"/>
          </w:tcPr>
          <w:p>
            <w:pPr>
              <w:spacing w:after="0" w:line="20" w:lineRule="exact"/>
              <w:rPr>
                <w:sz w:val="1"/>
                <w:szCs w:val="1"/>
                <w:color w:val="auto"/>
              </w:rPr>
            </w:pPr>
          </w:p>
        </w:tc>
      </w:tr>
      <w:tr>
        <w:trPr>
          <w:trHeight w:val="480"/>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1.</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2.</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A copy of the Comptroller of the Currency Certificate of Corporate</w:t>
            </w:r>
          </w:p>
        </w:tc>
      </w:tr>
      <w:tr>
        <w:trPr>
          <w:trHeight w:val="324"/>
        </w:trPr>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Existence for Wells Fargo Bank, National Association, dated June 27, 2012.**</w:t>
            </w:r>
          </w:p>
        </w:tc>
      </w:tr>
      <w:tr>
        <w:trPr>
          <w:trHeight w:val="310"/>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3.</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w w:val="94"/>
              </w:rPr>
              <w:t>A copy of the Comptroller of the Currency Certification of Fiduciary Powers for Wells Fargo Bank, National Association, dated</w:t>
            </w:r>
          </w:p>
        </w:tc>
      </w:tr>
      <w:tr>
        <w:trPr>
          <w:trHeight w:val="230"/>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December 21, 2011.**</w:t>
            </w: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4.</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Copy of By-laws of the trustee as now in effect.***</w:t>
            </w: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5.</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w w:val="99"/>
              </w:rPr>
              <w:t>Not applicable.</w:t>
            </w:r>
          </w:p>
        </w:tc>
        <w:tc>
          <w:tcPr>
            <w:tcW w:w="8220" w:type="dxa"/>
            <w:vAlign w:val="bottom"/>
          </w:tcPr>
          <w:p>
            <w:pPr>
              <w:spacing w:after="0"/>
              <w:rPr>
                <w:sz w:val="24"/>
                <w:szCs w:val="24"/>
                <w:color w:val="auto"/>
              </w:rPr>
            </w:pP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6.</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310"/>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7.</w:t>
            </w:r>
          </w:p>
        </w:tc>
        <w:tc>
          <w:tcPr>
            <w:tcW w:w="9680" w:type="dxa"/>
            <w:vAlign w:val="bottom"/>
            <w:gridSpan w:val="3"/>
          </w:tcPr>
          <w:p>
            <w:pPr>
              <w:ind w:left="26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authority.</w:t>
            </w:r>
          </w:p>
        </w:tc>
        <w:tc>
          <w:tcPr>
            <w:tcW w:w="8220" w:type="dxa"/>
            <w:vAlign w:val="bottom"/>
          </w:tcPr>
          <w:p>
            <w:pPr>
              <w:spacing w:after="0"/>
              <w:rPr>
                <w:sz w:val="20"/>
                <w:szCs w:val="20"/>
                <w:color w:val="auto"/>
              </w:rPr>
            </w:pP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8.</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w w:val="99"/>
              </w:rPr>
              <w:t>Not applicable.</w:t>
            </w:r>
          </w:p>
        </w:tc>
        <w:tc>
          <w:tcPr>
            <w:tcW w:w="8220" w:type="dxa"/>
            <w:vAlign w:val="bottom"/>
          </w:tcPr>
          <w:p>
            <w:pPr>
              <w:spacing w:after="0"/>
              <w:rPr>
                <w:sz w:val="24"/>
                <w:szCs w:val="24"/>
                <w:color w:val="auto"/>
              </w:rPr>
            </w:pPr>
          </w:p>
        </w:tc>
      </w:tr>
      <w:tr>
        <w:trPr>
          <w:trHeight w:val="324"/>
        </w:trPr>
        <w:tc>
          <w:tcPr>
            <w:tcW w:w="1420" w:type="dxa"/>
            <w:vAlign w:val="bottom"/>
            <w:gridSpan w:val="2"/>
          </w:tcPr>
          <w:p>
            <w:pPr>
              <w:ind w:left="460"/>
              <w:spacing w:after="0"/>
              <w:rPr>
                <w:sz w:val="20"/>
                <w:szCs w:val="20"/>
                <w:color w:val="auto"/>
              </w:rPr>
            </w:pPr>
            <w:r>
              <w:rPr>
                <w:rFonts w:ascii="Arial" w:cs="Arial" w:eastAsia="Arial" w:hAnsi="Arial"/>
                <w:sz w:val="18"/>
                <w:szCs w:val="18"/>
                <w:color w:val="auto"/>
              </w:rPr>
              <w:t>Exhibit 9.</w:t>
            </w: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w w:val="99"/>
              </w:rPr>
              <w:t>Not applicable.</w:t>
            </w:r>
          </w:p>
        </w:tc>
        <w:tc>
          <w:tcPr>
            <w:tcW w:w="8220" w:type="dxa"/>
            <w:vAlign w:val="bottom"/>
          </w:tcPr>
          <w:p>
            <w:pPr>
              <w:spacing w:after="0"/>
              <w:rPr>
                <w:sz w:val="24"/>
                <w:szCs w:val="24"/>
                <w:color w:val="auto"/>
              </w:rPr>
            </w:pPr>
          </w:p>
        </w:tc>
      </w:tr>
    </w:tbl>
    <w:p>
      <w:pPr>
        <w:sectPr>
          <w:pgSz w:w="11900" w:h="16838" w:orient="portrait"/>
          <w:cols w:equalWidth="0" w:num="1">
            <w:col w:w="11100"/>
          </w:cols>
          <w:pgMar w:left="240" w:top="274" w:right="559" w:bottom="1440" w:gutter="0" w:footer="0" w:header="0"/>
        </w:sectPr>
      </w:pPr>
    </w:p>
    <w:bookmarkStart w:id="236" w:name="page237"/>
    <w:bookmarkEnd w:id="236"/>
    <w:p>
      <w:pPr>
        <w:ind w:left="452" w:right="100" w:hanging="452"/>
        <w:spacing w:after="0" w:line="258" w:lineRule="auto"/>
        <w:tabs>
          <w:tab w:leader="none" w:pos="452"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Incorporated by reference to the exhibit of the same number to the trustee’s Form T-1 filed as exhibit 25 to the Form S-4 dated December 30, 2005 of file number 333-130784.</w:t>
      </w:r>
    </w:p>
    <w:p>
      <w:pPr>
        <w:spacing w:after="0" w:line="1" w:lineRule="exact"/>
        <w:rPr>
          <w:sz w:val="20"/>
          <w:szCs w:val="20"/>
          <w:color w:val="auto"/>
        </w:rPr>
      </w:pPr>
    </w:p>
    <w:p>
      <w:pPr>
        <w:ind w:left="452" w:hanging="452"/>
        <w:spacing w:after="0" w:line="250" w:lineRule="auto"/>
        <w:tabs>
          <w:tab w:leader="none" w:pos="452"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S-3 dated January 23, 2013 of file number 333-186155.</w:t>
      </w:r>
    </w:p>
    <w:p>
      <w:pPr>
        <w:ind w:left="452" w:right="220" w:hanging="452"/>
        <w:spacing w:after="0" w:line="261" w:lineRule="auto"/>
        <w:tabs>
          <w:tab w:leader="none" w:pos="45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ectPr>
          <w:pgSz w:w="11900" w:h="16838" w:orient="portrait"/>
          <w:cols w:equalWidth="0" w:num="1">
            <w:col w:w="11292"/>
          </w:cols>
          <w:pgMar w:left="248" w:top="274" w:right="359" w:bottom="1440" w:gutter="0" w:footer="0" w:header="0"/>
        </w:sectPr>
      </w:pPr>
    </w:p>
    <w:bookmarkStart w:id="237" w:name="page238"/>
    <w:bookmarkEnd w:id="237"/>
    <w:p>
      <w:pPr>
        <w:jc w:val="center"/>
        <w:ind w:right="-2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New York and State of New York on the 28th day of March, 2016.</w:t>
      </w:r>
    </w:p>
    <w:p>
      <w:pPr>
        <w:spacing w:after="0" w:line="19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Yana Kislenko</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180"/>
          </w:cols>
          <w:pgMar w:left="240" w:top="274" w:right="479" w:bottom="1440" w:gutter="0" w:footer="0" w:header="0"/>
        </w:sectPr>
      </w:pPr>
    </w:p>
    <w:bookmarkStart w:id="238" w:name="page239"/>
    <w:bookmarkEnd w:id="238"/>
    <w:p>
      <w:pPr>
        <w:jc w:val="center"/>
        <w:ind w:right="-5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208"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 Yana Kislenko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Yana Kislenko</w:t>
      </w:r>
    </w:p>
    <w:p>
      <w:pPr>
        <w:spacing w:after="0" w:line="23"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0920"/>
          </w:cols>
          <w:pgMar w:left="240" w:top="274" w:right="739" w:bottom="1440" w:gutter="0" w:footer="0" w:header="0"/>
        </w:sectPr>
      </w:pPr>
    </w:p>
    <w:bookmarkStart w:id="239" w:name="page240"/>
    <w:bookmarkEnd w:id="239"/>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 the close of business December 31, 2015, filed in accordance with 12 U.S.C. §161 for National Banks.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Interest-bearing balances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Held-to-maturity securities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Loans and leases held for sale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2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874,691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2900" w:type="dxa"/>
            <w:vAlign w:val="bottom"/>
          </w:tcPr>
          <w:p>
            <w:pPr>
              <w:jc w:val="right"/>
              <w:ind w:right="230"/>
              <w:spacing w:after="0"/>
              <w:rPr>
                <w:sz w:val="20"/>
                <w:szCs w:val="20"/>
                <w:color w:val="auto"/>
              </w:rPr>
            </w:pPr>
            <w:r>
              <w:rPr>
                <w:rFonts w:ascii="Arial" w:cs="Arial" w:eastAsia="Arial" w:hAnsi="Arial"/>
                <w:sz w:val="18"/>
                <w:szCs w:val="18"/>
                <w:color w:val="auto"/>
              </w:rPr>
              <w:t>10,349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Trading Assets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assets</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64,246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20" w:type="dxa"/>
            <w:vAlign w:val="bottom"/>
            <w:gridSpan w:val="2"/>
            <w:shd w:val="clear" w:color="auto" w:fill="CCEEFF"/>
          </w:tcPr>
          <w:p>
            <w:pPr>
              <w:ind w:left="29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500" w:type="dxa"/>
            <w:vAlign w:val="bottom"/>
            <w:gridSpan w:val="2"/>
            <w:vMerge w:val="continue"/>
          </w:tcPr>
          <w:p>
            <w:pPr>
              <w:spacing w:after="0"/>
              <w:rPr>
                <w:sz w:val="24"/>
                <w:szCs w:val="24"/>
                <w:color w:val="auto"/>
              </w:rPr>
            </w:pPr>
          </w:p>
        </w:tc>
        <w:tc>
          <w:tcPr>
            <w:tcW w:w="2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In domestic offices</w:t>
            </w:r>
          </w:p>
        </w:tc>
        <w:tc>
          <w:tcPr>
            <w:tcW w:w="3020" w:type="dxa"/>
            <w:vAlign w:val="bottom"/>
            <w:gridSpan w:val="2"/>
          </w:tcPr>
          <w:p>
            <w:pPr>
              <w:ind w:left="29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1,120,976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Noninterest-bearing</w:t>
            </w:r>
          </w:p>
        </w:tc>
        <w:tc>
          <w:tcPr>
            <w:tcW w:w="2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351,211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Interest-bearing</w:t>
            </w:r>
          </w:p>
        </w:tc>
        <w:tc>
          <w:tcPr>
            <w:tcW w:w="2900" w:type="dxa"/>
            <w:vAlign w:val="bottom"/>
          </w:tcPr>
          <w:p>
            <w:pPr>
              <w:jc w:val="right"/>
              <w:ind w:right="230"/>
              <w:spacing w:after="0"/>
              <w:rPr>
                <w:sz w:val="20"/>
                <w:szCs w:val="20"/>
                <w:color w:val="auto"/>
              </w:rPr>
            </w:pPr>
            <w:r>
              <w:rPr>
                <w:rFonts w:ascii="Arial" w:cs="Arial" w:eastAsia="Arial" w:hAnsi="Arial"/>
                <w:sz w:val="18"/>
                <w:szCs w:val="18"/>
                <w:color w:val="auto"/>
              </w:rPr>
              <w:t>769,765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060"/>
              <w:spacing w:after="0"/>
              <w:rPr>
                <w:sz w:val="20"/>
                <w:szCs w:val="20"/>
                <w:color w:val="auto"/>
              </w:rPr>
            </w:pPr>
            <w:r>
              <w:rPr>
                <w:rFonts w:ascii="Arial" w:cs="Arial" w:eastAsia="Arial" w:hAnsi="Arial"/>
                <w:sz w:val="18"/>
                <w:szCs w:val="18"/>
                <w:color w:val="auto"/>
              </w:rPr>
              <w:t>Noninterest-bearing</w:t>
            </w:r>
          </w:p>
        </w:tc>
        <w:tc>
          <w:tcPr>
            <w:tcW w:w="2900" w:type="dxa"/>
            <w:vAlign w:val="bottom"/>
          </w:tcPr>
          <w:p>
            <w:pPr>
              <w:jc w:val="right"/>
              <w:ind w:right="23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Interest-bearing</w:t>
            </w:r>
          </w:p>
        </w:tc>
        <w:tc>
          <w:tcPr>
            <w:tcW w:w="29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136,965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20,470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40" w:name="page241"/>
    <w:bookmarkEnd w:id="2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color w:val="auto"/>
              </w:rPr>
              <w:t>Dollar Amounts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Other borrowed money</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Subordinated notes and debentures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28,382</w:t>
            </w:r>
          </w:p>
        </w:tc>
        <w:tc>
          <w:tcPr>
            <w:tcW w:w="0" w:type="dxa"/>
            <w:vAlign w:val="bottom"/>
          </w:tcPr>
          <w:p>
            <w:pPr>
              <w:spacing w:after="0"/>
              <w:rPr>
                <w:sz w:val="1"/>
                <w:szCs w:val="1"/>
                <w:color w:val="auto"/>
              </w:rPr>
            </w:pPr>
          </w:p>
        </w:tc>
      </w:tr>
      <w:tr>
        <w:trPr>
          <w:trHeight w:val="224"/>
        </w:trPr>
        <w:tc>
          <w:tcPr>
            <w:tcW w:w="10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1,459,661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0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EQUITY CAPITAL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Perpetual preferred stock and related surplus</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Other equity capital components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10400" w:type="dxa"/>
            <w:vAlign w:val="bottom"/>
            <w:gridSpan w:val="2"/>
          </w:tcPr>
          <w:p>
            <w:pPr>
              <w:spacing w:after="0"/>
              <w:rPr>
                <w:sz w:val="20"/>
                <w:szCs w:val="20"/>
                <w:color w:val="auto"/>
              </w:rPr>
            </w:pPr>
            <w:r>
              <w:rPr>
                <w:rFonts w:ascii="Arial" w:cs="Arial" w:eastAsia="Arial" w:hAnsi="Arial"/>
                <w:sz w:val="18"/>
                <w:szCs w:val="18"/>
                <w:color w:val="auto"/>
              </w:rPr>
              <w:t>Total bank equity capital</w:t>
            </w: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150,513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338"/>
        </w:trPr>
        <w:tc>
          <w:tcPr>
            <w:tcW w:w="10400" w:type="dxa"/>
            <w:vAlign w:val="bottom"/>
            <w:gridSpan w:val="2"/>
          </w:tcPr>
          <w:p>
            <w:pPr>
              <w:spacing w:after="0"/>
              <w:rPr>
                <w:sz w:val="20"/>
                <w:szCs w:val="20"/>
                <w:color w:val="auto"/>
              </w:rPr>
            </w:pPr>
            <w:r>
              <w:rPr>
                <w:rFonts w:ascii="Arial" w:cs="Arial" w:eastAsia="Arial" w:hAnsi="Arial"/>
                <w:sz w:val="18"/>
                <w:szCs w:val="18"/>
                <w:color w:val="auto"/>
              </w:rPr>
              <w:t>Total equity capital</w:t>
            </w:r>
          </w:p>
        </w:tc>
        <w:tc>
          <w:tcPr>
            <w:tcW w:w="1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150,919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 capital</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1,610,580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 John R. Shrewsberry, Sr.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70" w:lineRule="exact"/>
        <w:rPr>
          <w:sz w:val="20"/>
          <w:szCs w:val="20"/>
          <w:color w:val="auto"/>
        </w:rPr>
      </w:pPr>
    </w:p>
    <w:p>
      <w:pPr>
        <w:ind w:left="9920"/>
        <w:spacing w:after="0"/>
        <w:rPr>
          <w:sz w:val="20"/>
          <w:szCs w:val="20"/>
          <w:color w:val="auto"/>
        </w:rPr>
      </w:pPr>
      <w:r>
        <w:rPr>
          <w:rFonts w:ascii="Arial" w:cs="Arial" w:eastAsia="Arial" w:hAnsi="Arial"/>
          <w:sz w:val="16"/>
          <w:szCs w:val="16"/>
          <w:color w:val="auto"/>
        </w:rPr>
        <w:t>John R. Shrewsberry</w:t>
      </w:r>
    </w:p>
    <w:p>
      <w:pPr>
        <w:spacing w:after="0" w:line="46" w:lineRule="exact"/>
        <w:rPr>
          <w:sz w:val="20"/>
          <w:szCs w:val="20"/>
          <w:color w:val="auto"/>
        </w:rPr>
      </w:pPr>
    </w:p>
    <w:p>
      <w:pPr>
        <w:ind w:left="9900"/>
        <w:spacing w:after="0"/>
        <w:rPr>
          <w:sz w:val="20"/>
          <w:szCs w:val="20"/>
          <w:color w:val="auto"/>
        </w:rPr>
      </w:pPr>
      <w:r>
        <w:rPr>
          <w:rFonts w:ascii="Arial" w:cs="Arial" w:eastAsia="Arial" w:hAnsi="Arial"/>
          <w:sz w:val="18"/>
          <w:szCs w:val="18"/>
          <w:color w:val="auto"/>
        </w:rPr>
        <w:t>Sr. 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ectPr>
          <w:pgSz w:w="11900" w:h="16838" w:orient="portrait"/>
          <w:cols w:equalWidth="0" w:num="1">
            <w:col w:w="11420"/>
          </w:cols>
          <w:pgMar w:left="240" w:top="257" w:right="23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Cynthia Mulligan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Stephen W. Sanger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Enrique Hernandez, Jr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Directors</w:t>
      </w:r>
    </w:p>
    <w:p>
      <w:pPr>
        <w:sectPr>
          <w:pgSz w:w="11900" w:h="16838" w:orient="portrait"/>
          <w:cols w:equalWidth="0" w:num="2">
            <w:col w:w="3280" w:space="720"/>
            <w:col w:w="7420"/>
          </w:cols>
          <w:pgMar w:left="240" w:top="257" w:right="239" w:bottom="1440" w:gutter="0" w:footer="0" w:header="0"/>
          <w:type w:val="continuous"/>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(h)(1)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3840" w:hanging="150"/>
        <w:spacing w:after="0"/>
        <w:tabs>
          <w:tab w:leader="none" w:pos="38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Shares of Common Stock (Par Value $0.01 Per Share)</w:t>
      </w:r>
    </w:p>
    <w:p>
      <w:pPr>
        <w:spacing w:after="0" w:line="23" w:lineRule="exact"/>
        <w:rPr>
          <w:rFonts w:ascii="Arial" w:cs="Arial" w:eastAsia="Arial" w:hAnsi="Arial"/>
          <w:sz w:val="18"/>
          <w:szCs w:val="18"/>
          <w:color w:val="auto"/>
        </w:rPr>
      </w:pPr>
    </w:p>
    <w:p>
      <w:pPr>
        <w:jc w:val="center"/>
        <w:ind w:left="5580" w:right="3780" w:hanging="1787"/>
        <w:spacing w:after="0" w:line="250" w:lineRule="auto"/>
        <w:tabs>
          <w:tab w:leader="none" w:pos="3943" w:val="left"/>
        </w:tabs>
        <w:numPr>
          <w:ilvl w:val="2"/>
          <w:numId w:val="187"/>
        </w:numPr>
        <w:rPr>
          <w:rFonts w:ascii="Arial" w:cs="Arial" w:eastAsia="Arial" w:hAnsi="Arial"/>
          <w:sz w:val="18"/>
          <w:szCs w:val="18"/>
          <w:color w:val="auto"/>
        </w:rPr>
      </w:pPr>
      <w:r>
        <w:rPr>
          <w:rFonts w:ascii="Arial" w:cs="Arial" w:eastAsia="Arial" w:hAnsi="Arial"/>
          <w:sz w:val="18"/>
          <w:szCs w:val="18"/>
          <w:color w:val="auto"/>
        </w:rPr>
        <w:t>Shares of Preferred Stock (Par Value $● Per Share) and</w:t>
      </w:r>
    </w:p>
    <w:p>
      <w:pPr>
        <w:ind w:left="3760" w:hanging="153"/>
        <w:spacing w:after="0"/>
        <w:tabs>
          <w:tab w:leader="none" w:pos="37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Warrants to Purchase Common Stock or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TPG Specialty Lending, Inc., a Delaware corporation (the “Company”), proposes, subject to the terms and conditions stated herein, to issue and to sell to the several Underwriters listed in Schedule 1 hereto (the “Underwriters”), for whom you are acting as representative[s] (the “Representative[s]”), [an</w:t>
      </w:r>
    </w:p>
    <w:p>
      <w:pPr>
        <w:spacing w:after="0"/>
        <w:tabs>
          <w:tab w:leader="none" w:pos="1700" w:val="left"/>
          <w:tab w:leader="none" w:pos="10500" w:val="left"/>
        </w:tabs>
        <w:rPr>
          <w:sz w:val="20"/>
          <w:szCs w:val="20"/>
          <w:color w:val="auto"/>
        </w:rPr>
      </w:pPr>
      <w:r>
        <w:rPr>
          <w:rFonts w:ascii="Arial" w:cs="Arial" w:eastAsia="Arial" w:hAnsi="Arial"/>
          <w:sz w:val="18"/>
          <w:szCs w:val="18"/>
          <w:color w:val="auto"/>
        </w:rPr>
        <w:t>aggregate of [</w:t>
      </w:r>
      <w:r>
        <w:rPr>
          <w:sz w:val="20"/>
          <w:szCs w:val="20"/>
          <w:color w:val="auto"/>
        </w:rPr>
        <w:tab/>
      </w:r>
      <w:r>
        <w:rPr>
          <w:rFonts w:ascii="Arial" w:cs="Arial" w:eastAsia="Arial" w:hAnsi="Arial"/>
          <w:sz w:val="18"/>
          <w:szCs w:val="18"/>
          <w:color w:val="auto"/>
        </w:rPr>
        <w:t>] shares of common stock, par value $0.01 per share, of the Company (the “Common Stock),] [an aggregate of [</w:t>
      </w:r>
      <w:r>
        <w:rPr>
          <w:sz w:val="20"/>
          <w:szCs w:val="20"/>
          <w:color w:val="auto"/>
        </w:rPr>
        <w:tab/>
      </w:r>
      <w:r>
        <w:rPr>
          <w:rFonts w:ascii="Arial" w:cs="Arial" w:eastAsia="Arial" w:hAnsi="Arial"/>
          <w:sz w:val="15"/>
          <w:szCs w:val="15"/>
          <w:color w:val="auto"/>
        </w:rPr>
        <w:t>] shares of</w:t>
      </w:r>
    </w:p>
    <w:p>
      <w:pPr>
        <w:spacing w:after="0" w:line="9"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color w:val="auto"/>
        </w:rPr>
        <w:t>preferred stock, par value $● per share, of the Company (the “Preferred Stock”), [an aggregate of [</w:t>
      </w:r>
      <w:r>
        <w:rPr>
          <w:sz w:val="20"/>
          <w:szCs w:val="20"/>
          <w:color w:val="auto"/>
        </w:rPr>
        <w:tab/>
      </w:r>
      <w:r>
        <w:rPr>
          <w:rFonts w:ascii="Arial" w:cs="Arial" w:eastAsia="Arial" w:hAnsi="Arial"/>
          <w:sz w:val="16"/>
          <w:szCs w:val="16"/>
          <w:color w:val="auto"/>
        </w:rPr>
        <w:t>] warrants (the “Warrants”) to purchase Common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Stock or Preferred Stock, or both, ] (each of the aforesaid, the “Underwritten Securities”) and, at the option of the Underwriters, up to an additional</w:t>
      </w:r>
    </w:p>
    <w:p>
      <w:pPr>
        <w:spacing w:after="0" w:line="21" w:lineRule="exact"/>
        <w:rPr>
          <w:sz w:val="20"/>
          <w:szCs w:val="20"/>
          <w:color w:val="auto"/>
        </w:rPr>
      </w:pPr>
    </w:p>
    <w:p>
      <w:pPr>
        <w:spacing w:after="0"/>
        <w:tabs>
          <w:tab w:leader="none" w:pos="76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of [</w:t>
      </w:r>
      <w:r>
        <w:rPr>
          <w:sz w:val="20"/>
          <w:szCs w:val="20"/>
          <w:color w:val="auto"/>
        </w:rPr>
        <w:tab/>
      </w:r>
      <w:r>
        <w:rPr>
          <w:rFonts w:ascii="Arial" w:cs="Arial" w:eastAsia="Arial" w:hAnsi="Arial"/>
          <w:sz w:val="16"/>
          <w:szCs w:val="16"/>
          <w:color w:val="auto"/>
        </w:rPr>
        <w:t>], solely to cover overallotments (the “Option Securities”). The Underwritten Securities and the Option Securities are herein referred</w:t>
      </w:r>
    </w:p>
    <w:p>
      <w:pPr>
        <w:spacing w:after="0" w:line="9"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to as the “Securities.” “Warrant Securities” shall mean the Common Stock or Preferred Stock issuable upon exercise of Warrants. [The Preferred Stock may be offered in the form of depositary shares (the “Depositary Shares”) represented by depositary receipts (the “Depositary Receipts”).]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The Common Stock, Preferred Stock and Warrants may be offered either together or separately. Each issue of Preferred Stock may vary, as applicable, as to the specific number of shares, title, issuance price, any redemption or sinking fund requirements, any conversion provisions and any other variable terms as set forth in the applicable certificate of designation (each, a “Certificate of Designation”) relating to such Preferred Stock. Each issue of Warrants may vary, as applicable, as to the title, specific number of shares of Common Stock or Preferred Stock receivable upon exercise, issuance price, exercise dates, exercise conditions and any other variable terms as set forth in the applicable Warrant Agreement relating to such Warrants.</w:t>
      </w:r>
    </w:p>
    <w:p>
      <w:pPr>
        <w:sectPr>
          <w:pgSz w:w="11900" w:h="16838" w:orient="portrait"/>
          <w:cols w:equalWidth="0" w:num="1">
            <w:col w:w="11420"/>
          </w:cols>
          <w:pgMar w:left="240" w:top="121" w:right="239" w:bottom="1440" w:gutter="0" w:footer="0" w:header="0"/>
        </w:sectPr>
      </w:pPr>
    </w:p>
    <w:bookmarkStart w:id="242" w:name="page243"/>
    <w:bookmarkEnd w:id="242"/>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237" w:lineRule="exact"/>
        <w:rPr>
          <w:sz w:val="20"/>
          <w:szCs w:val="20"/>
          <w:color w:val="auto"/>
        </w:rPr>
      </w:pPr>
    </w:p>
    <w:p>
      <w:pPr>
        <w:ind w:left="640" w:hanging="176"/>
        <w:spacing w:after="0"/>
        <w:tabs>
          <w:tab w:leader="none" w:pos="640"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Act of 1933, as amended, and the rules and regulations of the Commission thereunder (collectively, the “Securities Act”), a shelf registration statement on</w:t>
      </w:r>
    </w:p>
    <w:p>
      <w:pPr>
        <w:spacing w:after="0" w:line="24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Form N-2 (File No. 333- ), relating to the Securities and certain of the Company’s other securities, which registration statement was declared effective on by the Commission. The Company has also filed with the Commission a preliminary prospectus supplement, dated , as such prospectus may be amended, which contains a base prospectus, dated (the “Base Prospectus” and, collectively, the “Preliminary Prospectus”).</w:t>
      </w:r>
    </w:p>
    <w:p>
      <w:pPr>
        <w:ind w:right="120"/>
        <w:spacing w:after="0" w:line="286" w:lineRule="auto"/>
        <w:rPr>
          <w:sz w:val="20"/>
          <w:szCs w:val="20"/>
          <w:color w:val="auto"/>
        </w:rPr>
      </w:pPr>
      <w:r>
        <w:rPr>
          <w:rFonts w:ascii="Arial" w:cs="Arial" w:eastAsia="Arial" w:hAnsi="Arial"/>
          <w:sz w:val="16"/>
          <w:szCs w:val="16"/>
          <w:color w:val="auto"/>
        </w:rPr>
        <w:t>Promptly after execution and delivery of this 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3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pacing w:after="0" w:line="170" w:lineRule="exact"/>
        <w:rPr>
          <w:sz w:val="20"/>
          <w:szCs w:val="20"/>
          <w:color w:val="auto"/>
        </w:rPr>
      </w:pPr>
    </w:p>
    <w:p>
      <w:pPr>
        <w:ind w:left="460"/>
        <w:spacing w:after="0"/>
        <w:tabs>
          <w:tab w:leader="none" w:pos="2960" w:val="left"/>
          <w:tab w:leader="none" w:pos="6560" w:val="left"/>
        </w:tabs>
        <w:rPr>
          <w:sz w:val="20"/>
          <w:szCs w:val="20"/>
          <w:color w:val="auto"/>
        </w:rPr>
      </w:pPr>
      <w:r>
        <w:rPr>
          <w:rFonts w:ascii="Arial" w:cs="Arial" w:eastAsia="Arial" w:hAnsi="Arial"/>
          <w:sz w:val="18"/>
          <w:szCs w:val="18"/>
          <w:color w:val="auto"/>
        </w:rPr>
        <w:t>“Applicable Time” means [</w:t>
      </w:r>
      <w:r>
        <w:rPr>
          <w:sz w:val="20"/>
          <w:szCs w:val="20"/>
          <w:color w:val="auto"/>
        </w:rPr>
        <w:tab/>
      </w:r>
      <w:r>
        <w:rPr>
          <w:rFonts w:ascii="Arial" w:cs="Arial" w:eastAsia="Arial" w:hAnsi="Arial"/>
          <w:sz w:val="18"/>
          <w:szCs w:val="18"/>
          <w:color w:val="auto"/>
        </w:rPr>
        <w:t>][A./ P.M.], New York City time, on [</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274" w:right="239" w:bottom="1440" w:gutter="0" w:footer="0" w:header="0"/>
        </w:sectPr>
      </w:pPr>
    </w:p>
    <w:bookmarkStart w:id="243" w:name="page244"/>
    <w:bookmarkEnd w:id="243"/>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88" w:lineRule="auto"/>
        <w:tabs>
          <w:tab w:leader="none" w:pos="70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respective number of Underwritten Securities set forth opposite such Underwriter’s name in Schedule 1 hereto at a price</w:t>
      </w:r>
    </w:p>
    <w:p>
      <w:pPr>
        <w:spacing w:after="0"/>
        <w:tabs>
          <w:tab w:leader="none" w:pos="3040" w:val="left"/>
        </w:tabs>
        <w:rPr>
          <w:sz w:val="20"/>
          <w:szCs w:val="20"/>
          <w:color w:val="auto"/>
        </w:rPr>
      </w:pPr>
      <w:r>
        <w:rPr>
          <w:rFonts w:ascii="Arial" w:cs="Arial" w:eastAsia="Arial" w:hAnsi="Arial"/>
          <w:sz w:val="18"/>
          <w:szCs w:val="18"/>
          <w:color w:val="auto"/>
        </w:rPr>
        <w:t>per share (the “Purchase Price”) of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 less an amount per share equal to any dividends or distributions declared by the Company and payable on the Underwritten Securities but not payable on the Option Securities.</w:t>
      </w:r>
    </w:p>
    <w:p>
      <w:pPr>
        <w:spacing w:after="0" w:line="17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If any Option Securities are to be purchased, the number of Option Securities to be purchased by each Underwriter shall be the number of Option Securities which bears the same ratio to the aggregate number of Option Securities being purchased as the number of Underwritten Securities set forth opposite the name of such Underwriter in Schedule 1 hereto (or such number increased as set forth in Section 11 hereof) bears to the aggregate number of Underwritten Securities being purchased from the Company by the several Underwriters, subject, however, to such adjustments to eliminate any fractional Securities as the Representative[s] in their sole discretion shall make.</w:t>
      </w:r>
    </w:p>
    <w:p>
      <w:pPr>
        <w:spacing w:after="0" w:line="173" w:lineRule="exact"/>
        <w:rPr>
          <w:sz w:val="20"/>
          <w:szCs w:val="20"/>
          <w:color w:val="auto"/>
        </w:rPr>
      </w:pPr>
    </w:p>
    <w:p>
      <w:pPr>
        <w:jc w:val="both"/>
        <w:ind w:firstLine="456"/>
        <w:spacing w:after="0" w:line="273" w:lineRule="auto"/>
        <w:rPr>
          <w:sz w:val="20"/>
          <w:szCs w:val="20"/>
          <w:color w:val="auto"/>
        </w:rPr>
      </w:pPr>
      <w:r>
        <w:rPr>
          <w:rFonts w:ascii="Arial" w:cs="Arial" w:eastAsia="Arial" w:hAnsi="Arial"/>
          <w:sz w:val="17"/>
          <w:szCs w:val="17"/>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78" w:lineRule="exact"/>
        <w:rPr>
          <w:sz w:val="20"/>
          <w:szCs w:val="20"/>
          <w:color w:val="auto"/>
        </w:rPr>
      </w:pPr>
    </w:p>
    <w:p>
      <w:pPr>
        <w:ind w:right="60" w:firstLine="464"/>
        <w:spacing w:after="0" w:line="286" w:lineRule="auto"/>
        <w:tabs>
          <w:tab w:leader="none" w:pos="71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pacing w:after="0" w:line="19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Payment for the Securities to be purchased on the Closing Date or the Additional Closing Date, as the case may be, shall be made against delivery to the Representative[s] for the respective accounts of the</w:t>
      </w:r>
    </w:p>
    <w:p>
      <w:pPr>
        <w:sectPr>
          <w:pgSz w:w="11900" w:h="16838" w:orient="portrait"/>
          <w:cols w:equalWidth="0" w:num="1">
            <w:col w:w="11400"/>
          </w:cols>
          <w:pgMar w:left="240" w:top="274" w:right="259" w:bottom="1440" w:gutter="0" w:footer="0" w:header="0"/>
        </w:sectPr>
      </w:pPr>
    </w:p>
    <w:bookmarkStart w:id="244" w:name="page245"/>
    <w:bookmarkEnd w:id="244"/>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1" w:lineRule="exact"/>
        <w:rPr>
          <w:sz w:val="20"/>
          <w:szCs w:val="20"/>
          <w:color w:val="auto"/>
        </w:rPr>
      </w:pPr>
    </w:p>
    <w:p>
      <w:pPr>
        <w:ind w:right="80" w:firstLine="464"/>
        <w:spacing w:after="0" w:line="271" w:lineRule="auto"/>
        <w:tabs>
          <w:tab w:leader="none" w:pos="711"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225" w:lineRule="exact"/>
        <w:rPr>
          <w:rFonts w:ascii="Arial" w:cs="Arial" w:eastAsia="Arial" w:hAnsi="Arial"/>
          <w:sz w:val="18"/>
          <w:szCs w:val="18"/>
          <w:color w:val="auto"/>
        </w:rPr>
      </w:pPr>
    </w:p>
    <w:p>
      <w:pPr>
        <w:ind w:left="460" w:right="20" w:firstLine="443"/>
        <w:spacing w:after="0" w:line="271" w:lineRule="auto"/>
        <w:tabs>
          <w:tab w:leader="none" w:pos="1143" w:val="left"/>
        </w:tabs>
        <w:numPr>
          <w:ilvl w:val="1"/>
          <w:numId w:val="193"/>
        </w:numPr>
        <w:rPr>
          <w:rFonts w:ascii="Arial" w:cs="Arial" w:eastAsia="Arial" w:hAnsi="Arial"/>
          <w:sz w:val="17"/>
          <w:szCs w:val="17"/>
          <w:color w:val="auto"/>
        </w:rPr>
      </w:pPr>
      <w:r>
        <w:rPr>
          <w:rFonts w:ascii="Arial" w:cs="Arial" w:eastAsia="Arial" w:hAnsi="Arial"/>
          <w:sz w:val="17"/>
          <w:szCs w:val="17"/>
          <w:i w:val="1"/>
          <w:iCs w:val="1"/>
          <w:color w:val="auto"/>
        </w:rPr>
        <w:t>Preliminary Prospectus</w:t>
      </w:r>
      <w:r>
        <w:rPr>
          <w:rFonts w:ascii="Arial" w:cs="Arial" w:eastAsia="Arial" w:hAnsi="Arial"/>
          <w:sz w:val="17"/>
          <w:szCs w:val="17"/>
          <w:color w:val="auto"/>
        </w:rPr>
        <w:t>. 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left="460" w:right="20" w:firstLine="443"/>
        <w:spacing w:after="0" w:line="272" w:lineRule="auto"/>
        <w:tabs>
          <w:tab w:leader="none" w:pos="1153" w:val="left"/>
        </w:tabs>
        <w:numPr>
          <w:ilvl w:val="1"/>
          <w:numId w:val="193"/>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jc w:val="both"/>
        <w:ind w:left="460" w:right="60" w:firstLine="443"/>
        <w:spacing w:after="0" w:line="259" w:lineRule="auto"/>
        <w:tabs>
          <w:tab w:leader="none" w:pos="1143" w:val="left"/>
        </w:tabs>
        <w:numPr>
          <w:ilvl w:val="1"/>
          <w:numId w:val="193"/>
        </w:numPr>
        <w:rPr>
          <w:rFonts w:ascii="Arial" w:cs="Arial" w:eastAsia="Arial" w:hAnsi="Arial"/>
          <w:sz w:val="18"/>
          <w:szCs w:val="18"/>
          <w:color w:val="auto"/>
        </w:rPr>
      </w:pPr>
      <w:r>
        <w:rPr>
          <w:rFonts w:ascii="Arial" w:cs="Arial" w:eastAsia="Arial" w:hAnsi="Arial"/>
          <w:sz w:val="18"/>
          <w:szCs w:val="18"/>
          <w:i w:val="1"/>
          <w:iCs w:val="1"/>
          <w:color w:val="auto"/>
        </w:rPr>
        <w:t xml:space="preserve">Registration Statement and Prospectus. </w:t>
      </w:r>
      <w:r>
        <w:rPr>
          <w:rFonts w:ascii="Arial" w:cs="Arial" w:eastAsia="Arial" w:hAnsi="Arial"/>
          <w:sz w:val="18"/>
          <w:szCs w:val="18"/>
          <w:color w:val="auto"/>
        </w:rPr>
        <w:t>The Company is eligible to use Form N-2. The Registration Statement has been declared effective by</w:t>
      </w:r>
      <w:r>
        <w:rPr>
          <w:rFonts w:ascii="Arial" w:cs="Arial" w:eastAsia="Arial" w:hAnsi="Arial"/>
          <w:sz w:val="18"/>
          <w:szCs w:val="18"/>
          <w:i w:val="1"/>
          <w:iCs w:val="1"/>
          <w:color w:val="auto"/>
        </w:rPr>
        <w:t xml:space="preserve"> </w:t>
      </w:r>
      <w:r>
        <w:rPr>
          <w:rFonts w:ascii="Arial" w:cs="Arial" w:eastAsia="Arial" w:hAnsi="Arial"/>
          <w:sz w:val="18"/>
          <w:szCs w:val="18"/>
          <w:color w:val="auto"/>
        </w:rPr>
        <w:t>the Commission. No order suspending the effectiveness of the Registration Statement has been issued by the Commission, and, no proceeding for that purpose or pursuant to Section 8A of the Securities Act against the Company or related to the offering of the Securities has been initiated or threatened by the</w:t>
      </w:r>
    </w:p>
    <w:p>
      <w:pPr>
        <w:sectPr>
          <w:pgSz w:w="11900" w:h="16838" w:orient="portrait"/>
          <w:cols w:equalWidth="0" w:num="1">
            <w:col w:w="11380"/>
          </w:cols>
          <w:pgMar w:left="240" w:top="274" w:right="279" w:bottom="1440" w:gutter="0" w:footer="0" w:header="0"/>
        </w:sectPr>
      </w:pPr>
    </w:p>
    <w:bookmarkStart w:id="245" w:name="page246"/>
    <w:bookmarkEnd w:id="24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and the Investment Company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5" w:lineRule="exact"/>
        <w:rPr>
          <w:sz w:val="20"/>
          <w:szCs w:val="20"/>
          <w:color w:val="auto"/>
        </w:rPr>
      </w:pPr>
    </w:p>
    <w:p>
      <w:pPr>
        <w:ind w:firstLine="443"/>
        <w:spacing w:after="0" w:line="270" w:lineRule="auto"/>
        <w:tabs>
          <w:tab w:leader="none" w:pos="693" w:val="left"/>
        </w:tabs>
        <w:numPr>
          <w:ilvl w:val="1"/>
          <w:numId w:val="19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3" w:lineRule="exact"/>
        <w:rPr>
          <w:rFonts w:ascii="Arial" w:cs="Arial" w:eastAsia="Arial" w:hAnsi="Arial"/>
          <w:sz w:val="17"/>
          <w:szCs w:val="17"/>
          <w:color w:val="auto"/>
        </w:rPr>
      </w:pPr>
    </w:p>
    <w:p>
      <w:pPr>
        <w:jc w:val="both"/>
        <w:ind w:right="40" w:firstLine="443"/>
        <w:spacing w:after="0" w:line="291" w:lineRule="auto"/>
        <w:tabs>
          <w:tab w:leader="none" w:pos="683" w:val="left"/>
        </w:tabs>
        <w:numPr>
          <w:ilvl w:val="1"/>
          <w:numId w:val="19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40" w:firstLine="4"/>
        <w:spacing w:after="0" w:line="268" w:lineRule="auto"/>
        <w:tabs>
          <w:tab w:leader="none" w:pos="215"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ectPr>
          <w:pgSz w:w="11900" w:h="16838" w:orient="portrait"/>
          <w:cols w:equalWidth="0" w:num="1">
            <w:col w:w="10940"/>
          </w:cols>
          <w:pgMar w:left="700" w:top="274" w:right="259" w:bottom="1440" w:gutter="0" w:footer="0" w:header="0"/>
        </w:sectPr>
      </w:pPr>
    </w:p>
    <w:bookmarkStart w:id="246" w:name="page247"/>
    <w:bookmarkEnd w:id="246"/>
    <w:p>
      <w:pPr>
        <w:ind w:right="100" w:firstLine="443"/>
        <w:spacing w:after="0" w:line="270" w:lineRule="auto"/>
        <w:tabs>
          <w:tab w:leader="none" w:pos="663" w:val="left"/>
        </w:tabs>
        <w:numPr>
          <w:ilvl w:val="0"/>
          <w:numId w:val="196"/>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Investment Management Agreement and the Administration Agreement [and the Warrant Agreement] [and the Deposit Agreement] (a “Material Adverse Effect”). The subsidiaries listed in Schedule 2 to this Agreement are the only subsidiaries of the Company.</w:t>
      </w:r>
    </w:p>
    <w:p>
      <w:pPr>
        <w:spacing w:after="0" w:line="74"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As of [ ], the Company had the authorized capitalization as set forth in the Registration Statement, the Pricing 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4" w:lineRule="exact"/>
        <w:rPr>
          <w:sz w:val="20"/>
          <w:szCs w:val="20"/>
          <w:color w:val="auto"/>
        </w:rPr>
      </w:pPr>
    </w:p>
    <w:p>
      <w:pPr>
        <w:ind w:left="700" w:hanging="257"/>
        <w:spacing w:after="0"/>
        <w:tabs>
          <w:tab w:leader="none" w:pos="70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right="20" w:firstLine="443"/>
        <w:spacing w:after="0" w:line="255" w:lineRule="auto"/>
        <w:tabs>
          <w:tab w:leader="none" w:pos="653"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and at the applicable time had</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power and authority to execute and deliver the Investment Management Agreement and the Administration Agreement [and the Warrant Agreement][and the Deposit Agreement] and to perform its obligations hereunder and thereunder; and all action required to be taken for the due and proper authorization, execution and delivery by it of this Agreement and each of the Investment Management Agreement and the Administration Agreement [and the Warrant Agreement] [and the Deposit Agreement] and the consummation by it of the transactions contemplated hereby and thereby has been duly and validly taken.</w:t>
      </w:r>
    </w:p>
    <w:p>
      <w:pPr>
        <w:sectPr>
          <w:pgSz w:w="11900" w:h="16838" w:orient="portrait"/>
          <w:cols w:equalWidth="0" w:num="1">
            <w:col w:w="10960"/>
          </w:cols>
          <w:pgMar w:left="700" w:top="274" w:right="239" w:bottom="1440" w:gutter="0" w:footer="0" w:header="0"/>
        </w:sectPr>
      </w:pPr>
    </w:p>
    <w:bookmarkStart w:id="247" w:name="page248"/>
    <w:bookmarkEnd w:id="247"/>
    <w:p>
      <w:pPr>
        <w:ind w:left="217" w:hanging="217"/>
        <w:spacing w:after="0"/>
        <w:tabs>
          <w:tab w:leader="none" w:pos="217"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left="-443" w:right="300" w:firstLine="443"/>
        <w:spacing w:after="0" w:line="257" w:lineRule="auto"/>
        <w:tabs>
          <w:tab w:leader="none" w:pos="25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 xml:space="preserve">Investment Management Agreement and Administration Agreement [and Warrant Agreement][and Deposit Agreement]. </w:t>
      </w:r>
      <w:r>
        <w:rPr>
          <w:rFonts w:ascii="Arial" w:cs="Arial" w:eastAsia="Arial" w:hAnsi="Arial"/>
          <w:sz w:val="18"/>
          <w:szCs w:val="18"/>
          <w:color w:val="auto"/>
        </w:rPr>
        <w:t>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Agreement and the Administration Agreement [and the Warrant Agreement] [and the Deposit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w:t>
      </w:r>
    </w:p>
    <w:p>
      <w:pPr>
        <w:spacing w:after="0" w:line="80" w:lineRule="exact"/>
        <w:rPr>
          <w:rFonts w:ascii="Arial" w:cs="Arial" w:eastAsia="Arial" w:hAnsi="Arial"/>
          <w:sz w:val="18"/>
          <w:szCs w:val="18"/>
          <w:color w:val="auto"/>
        </w:rPr>
      </w:pPr>
    </w:p>
    <w:p>
      <w:pPr>
        <w:ind w:left="-443" w:firstLine="443"/>
        <w:spacing w:after="0" w:line="286" w:lineRule="auto"/>
        <w:tabs>
          <w:tab w:leader="none" w:pos="210"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The Securities to be issued and sold by the Company hereunder have been duly authorized and, when issued and delivered and</w:t>
      </w:r>
      <w:r>
        <w:rPr>
          <w:rFonts w:ascii="Arial" w:cs="Arial" w:eastAsia="Arial" w:hAnsi="Arial"/>
          <w:sz w:val="16"/>
          <w:szCs w:val="16"/>
          <w:i w:val="1"/>
          <w:iCs w:val="1"/>
          <w:color w:val="auto"/>
        </w:rPr>
        <w:t xml:space="preserve"> </w:t>
      </w:r>
      <w:r>
        <w:rPr>
          <w:rFonts w:ascii="Arial" w:cs="Arial" w:eastAsia="Arial" w:hAnsi="Arial"/>
          <w:sz w:val="16"/>
          <w:szCs w:val="16"/>
          <w:color w:val="auto"/>
        </w:rPr>
        <w:t>paid for as provided herein will be duly and validly issued, will be fully paid and nonassessable and will conform in all material respects to the descriptions thereof in the Registration Statement, the Pricing Disclosure Package and the Prospectus; and the issuance of the Securities is not subject to any preemptive or similar rights. [The shares of Common Stock issuable upon conversion of any issue of the Preferred Stock have been duly authorized and reserved for issuance upon such exercise, and when issued upon such exercise, will be duly and validly issued, will be fully paid and nonassessable and not subject to any preemptive or similar rights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Prospectus.][Upon execution and delivery thereof pursuant to the terms of the Deposit Agreement, the persons in whose names the Depositary Receipts are registered will be entitled to the rights specified therein and in the Deposit Agreement, except as enforceability may be limited by applicable bankruptcy, insolvency or similar laws affecting creditors’ rights generally or by equitable principles relating to enforceability.]</w:t>
      </w:r>
    </w:p>
    <w:p>
      <w:pPr>
        <w:spacing w:after="0" w:line="66" w:lineRule="exact"/>
        <w:rPr>
          <w:rFonts w:ascii="Arial" w:cs="Arial" w:eastAsia="Arial" w:hAnsi="Arial"/>
          <w:sz w:val="16"/>
          <w:szCs w:val="16"/>
          <w:color w:val="auto"/>
        </w:rPr>
      </w:pPr>
    </w:p>
    <w:p>
      <w:pPr>
        <w:ind w:left="-443" w:right="180" w:firstLine="443"/>
        <w:spacing w:after="0" w:line="264" w:lineRule="auto"/>
        <w:tabs>
          <w:tab w:leader="none" w:pos="300"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left="-443" w:right="60" w:firstLine="443"/>
        <w:spacing w:after="0" w:line="271" w:lineRule="auto"/>
        <w:tabs>
          <w:tab w:leader="none" w:pos="250" w:val="left"/>
        </w:tabs>
        <w:numPr>
          <w:ilvl w:val="0"/>
          <w:numId w:val="198"/>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ectPr>
          <w:pgSz w:w="11900" w:h="16838" w:orient="portrait"/>
          <w:cols w:equalWidth="0" w:num="1">
            <w:col w:w="10497"/>
          </w:cols>
          <w:pgMar w:left="1143" w:top="274" w:right="259" w:bottom="1440" w:gutter="0" w:footer="0" w:header="0"/>
        </w:sectPr>
      </w:pPr>
    </w:p>
    <w:bookmarkStart w:id="248" w:name="page249"/>
    <w:bookmarkEnd w:id="248"/>
    <w:p>
      <w:pPr>
        <w:ind w:left="-443" w:right="60" w:firstLine="443"/>
        <w:spacing w:after="0" w:line="287" w:lineRule="auto"/>
        <w:tabs>
          <w:tab w:leader="none" w:pos="250"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Conflicts. </w:t>
      </w:r>
      <w:r>
        <w:rPr>
          <w:rFonts w:ascii="Arial" w:cs="Arial" w:eastAsia="Arial" w:hAnsi="Arial"/>
          <w:sz w:val="16"/>
          <w:szCs w:val="16"/>
          <w:color w:val="auto"/>
        </w:rPr>
        <w:t>The execution, delivery and performance by the Company of this Agreement, the issuance and sale of the Securities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consummation of the transactions contemplated by this Agreement and the performance by the Company of the Investment Management Agreement and the Administration Agreement [and the Warrant Agreement][and the Deposit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4" w:lineRule="exact"/>
        <w:rPr>
          <w:rFonts w:ascii="Arial" w:cs="Arial" w:eastAsia="Arial" w:hAnsi="Arial"/>
          <w:sz w:val="16"/>
          <w:szCs w:val="16"/>
          <w:color w:val="auto"/>
        </w:rPr>
      </w:pPr>
    </w:p>
    <w:p>
      <w:pPr>
        <w:ind w:left="-443" w:firstLine="443"/>
        <w:spacing w:after="0" w:line="289" w:lineRule="auto"/>
        <w:tabs>
          <w:tab w:leader="none" w:pos="250" w:val="left"/>
        </w:tabs>
        <w:numPr>
          <w:ilvl w:val="0"/>
          <w:numId w:val="199"/>
        </w:numPr>
        <w:rPr>
          <w:rFonts w:ascii="Arial" w:cs="Arial" w:eastAsia="Arial" w:hAnsi="Arial"/>
          <w:sz w:val="16"/>
          <w:szCs w:val="16"/>
          <w:color w:val="auto"/>
        </w:rPr>
      </w:pPr>
      <w:r>
        <w:rPr>
          <w:rFonts w:ascii="Arial" w:cs="Arial" w:eastAsia="Arial" w:hAnsi="Arial"/>
          <w:sz w:val="16"/>
          <w:szCs w:val="16"/>
          <w:i w:val="1"/>
          <w:iCs w:val="1"/>
          <w:color w:val="auto"/>
        </w:rPr>
        <w:t xml:space="preserve">No Consents Required. </w:t>
      </w:r>
      <w:r>
        <w:rPr>
          <w:rFonts w:ascii="Arial" w:cs="Arial" w:eastAsia="Arial" w:hAnsi="Arial"/>
          <w:sz w:val="16"/>
          <w:szCs w:val="16"/>
          <w:color w:val="auto"/>
        </w:rPr>
        <w:t>No consent, approval, authorization, order, license, registration or qualification of or with any court or arbitrator or</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authority is required for the execution, delivery and performance by the Company of this Agreement, the issuance and sale of the Securities and the consummation of the transactions contemplated by this Agreement or the performance by the Company of the Investment Management Agreement and the Administration Agreement [and the Warrant Agreement][and the Deposit Agreement], except for (i) the registration of the Securities under the Securities Act, (ii) such consents, approvals, authorizations, orders, licenses, registrations or qualifications as have already been obtained or made, (iii) such consents, approvals, authorizations, orders and registrations or qualifications as may be required by the Financial Industry Regulatory Authority, Inc. (“FINRA”), [applicable stock exchange] or under applicable state securities laws in connection with the purchase and distribution of the Securities by the Underwriters and (iv) where the failure to obtain any such consent, approval, authorization, order, license, registration or qualification would not reasonably be expected, individually or in the aggregate, to have a Material Adverse Effect.</w:t>
      </w:r>
    </w:p>
    <w:p>
      <w:pPr>
        <w:spacing w:after="0" w:line="58" w:lineRule="exact"/>
        <w:rPr>
          <w:rFonts w:ascii="Arial" w:cs="Arial" w:eastAsia="Arial" w:hAnsi="Arial"/>
          <w:sz w:val="16"/>
          <w:szCs w:val="16"/>
          <w:color w:val="auto"/>
        </w:rPr>
      </w:pPr>
    </w:p>
    <w:p>
      <w:pPr>
        <w:ind w:left="-443" w:firstLine="443"/>
        <w:spacing w:after="0" w:line="269" w:lineRule="auto"/>
        <w:tabs>
          <w:tab w:leader="none" w:pos="250" w:val="left"/>
        </w:tabs>
        <w:numPr>
          <w:ilvl w:val="0"/>
          <w:numId w:val="199"/>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ectPr>
          <w:pgSz w:w="11900" w:h="16838" w:orient="portrait"/>
          <w:cols w:equalWidth="0" w:num="1">
            <w:col w:w="10497"/>
          </w:cols>
          <w:pgMar w:left="1143" w:top="274" w:right="259" w:bottom="1440" w:gutter="0" w:footer="0" w:header="0"/>
        </w:sectPr>
      </w:pPr>
    </w:p>
    <w:bookmarkStart w:id="249" w:name="page250"/>
    <w:bookmarkEnd w:id="249"/>
    <w:p>
      <w:pPr>
        <w:ind w:left="-4" w:right="80" w:firstLine="443"/>
        <w:spacing w:after="0" w:line="259" w:lineRule="auto"/>
        <w:tabs>
          <w:tab w:leader="none" w:pos="658" w:val="left"/>
        </w:tabs>
        <w:numPr>
          <w:ilvl w:val="1"/>
          <w:numId w:val="20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left="-4" w:right="100" w:firstLine="443"/>
        <w:spacing w:after="0" w:line="271" w:lineRule="auto"/>
        <w:tabs>
          <w:tab w:leader="none" w:pos="669" w:val="left"/>
        </w:tabs>
        <w:numPr>
          <w:ilvl w:val="1"/>
          <w:numId w:val="200"/>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left="-4" w:right="100" w:firstLine="443"/>
        <w:spacing w:after="0" w:line="286" w:lineRule="auto"/>
        <w:tabs>
          <w:tab w:leader="none" w:pos="649" w:val="left"/>
        </w:tabs>
        <w:numPr>
          <w:ilvl w:val="1"/>
          <w:numId w:val="200"/>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57" w:lineRule="exact"/>
        <w:rPr>
          <w:rFonts w:ascii="Arial" w:cs="Arial" w:eastAsia="Arial" w:hAnsi="Arial"/>
          <w:sz w:val="17"/>
          <w:szCs w:val="17"/>
          <w:color w:val="auto"/>
        </w:rPr>
      </w:pPr>
    </w:p>
    <w:p>
      <w:pPr>
        <w:ind w:left="-4" w:firstLine="443"/>
        <w:spacing w:after="0" w:line="293" w:lineRule="auto"/>
        <w:tabs>
          <w:tab w:leader="none" w:pos="688"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696" w:hanging="257"/>
        <w:spacing w:after="0"/>
        <w:tabs>
          <w:tab w:leader="none" w:pos="696" w:val="left"/>
        </w:tabs>
        <w:numPr>
          <w:ilvl w:val="1"/>
          <w:numId w:val="200"/>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left="-4" w:firstLine="4"/>
        <w:spacing w:after="0" w:line="252" w:lineRule="auto"/>
        <w:tabs>
          <w:tab w:leader="none" w:pos="21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ectPr>
          <w:pgSz w:w="11900" w:h="16838" w:orient="portrait"/>
          <w:cols w:equalWidth="0" w:num="1">
            <w:col w:w="10936"/>
          </w:cols>
          <w:pgMar w:left="704" w:top="274" w:right="259" w:bottom="1440" w:gutter="0" w:footer="0" w:header="0"/>
        </w:sectPr>
      </w:pPr>
    </w:p>
    <w:bookmarkStart w:id="250" w:name="page251"/>
    <w:bookmarkEnd w:id="250"/>
    <w:p>
      <w:pPr>
        <w:ind w:left="-443" w:right="20" w:firstLine="443"/>
        <w:spacing w:after="0" w:line="259" w:lineRule="auto"/>
        <w:tabs>
          <w:tab w:leader="none" w:pos="290" w:val="left"/>
        </w:tabs>
        <w:numPr>
          <w:ilvl w:val="0"/>
          <w:numId w:val="20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left="-443" w:firstLine="443"/>
        <w:spacing w:after="0" w:line="297" w:lineRule="auto"/>
        <w:tabs>
          <w:tab w:leader="none" w:pos="250"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left="-443" w:right="60" w:firstLine="443"/>
        <w:spacing w:after="0" w:line="293" w:lineRule="auto"/>
        <w:tabs>
          <w:tab w:leader="none" w:pos="250" w:val="left"/>
        </w:tabs>
        <w:numPr>
          <w:ilvl w:val="0"/>
          <w:numId w:val="20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pacing w:after="0" w:line="56" w:lineRule="exact"/>
        <w:rPr>
          <w:rFonts w:ascii="Arial" w:cs="Arial" w:eastAsia="Arial" w:hAnsi="Arial"/>
          <w:sz w:val="16"/>
          <w:szCs w:val="16"/>
          <w:color w:val="auto"/>
        </w:rPr>
      </w:pPr>
    </w:p>
    <w:p>
      <w:pPr>
        <w:ind w:left="-443" w:right="40" w:firstLine="443"/>
        <w:spacing w:after="0" w:line="270" w:lineRule="auto"/>
        <w:tabs>
          <w:tab w:leader="none" w:pos="240" w:val="left"/>
        </w:tabs>
        <w:numPr>
          <w:ilvl w:val="0"/>
          <w:numId w:val="202"/>
        </w:numPr>
        <w:rPr>
          <w:rFonts w:ascii="Arial" w:cs="Arial" w:eastAsia="Arial" w:hAnsi="Arial"/>
          <w:sz w:val="17"/>
          <w:szCs w:val="17"/>
          <w:color w:val="auto"/>
        </w:rPr>
      </w:pPr>
      <w:r>
        <w:rPr>
          <w:rFonts w:ascii="Arial" w:cs="Arial" w:eastAsia="Arial" w:hAnsi="Arial"/>
          <w:sz w:val="17"/>
          <w:szCs w:val="17"/>
          <w:i w:val="1"/>
          <w:iCs w:val="1"/>
          <w:color w:val="auto"/>
        </w:rPr>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4" w:lineRule="exact"/>
        <w:rPr>
          <w:sz w:val="20"/>
          <w:szCs w:val="20"/>
          <w:color w:val="auto"/>
        </w:rPr>
      </w:pPr>
    </w:p>
    <w:p>
      <w:pPr>
        <w:ind w:left="-443" w:right="20" w:firstLine="443"/>
        <w:spacing w:after="0" w:line="276" w:lineRule="auto"/>
        <w:tabs>
          <w:tab w:leader="none" w:pos="320" w:val="left"/>
        </w:tabs>
        <w:numPr>
          <w:ilvl w:val="0"/>
          <w:numId w:val="203"/>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maintains an effective system of “disclosure controls and procedures” (as defined in Rule 13a-15(e)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w:t>
      </w:r>
    </w:p>
    <w:p>
      <w:pPr>
        <w:sectPr>
          <w:pgSz w:w="11900" w:h="16838" w:orient="portrait"/>
          <w:cols w:equalWidth="0" w:num="1">
            <w:col w:w="10517"/>
          </w:cols>
          <w:pgMar w:left="1143" w:top="274" w:right="239" w:bottom="1440" w:gutter="0" w:footer="0" w:header="0"/>
        </w:sectPr>
      </w:pPr>
    </w:p>
    <w:bookmarkStart w:id="251" w:name="page252"/>
    <w:bookmarkEnd w:id="251"/>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38" w:lineRule="exact"/>
        <w:rPr>
          <w:sz w:val="20"/>
          <w:szCs w:val="20"/>
          <w:color w:val="auto"/>
        </w:rPr>
      </w:pPr>
    </w:p>
    <w:p>
      <w:pPr>
        <w:ind w:right="20" w:firstLine="443"/>
        <w:spacing w:after="0" w:line="284" w:lineRule="auto"/>
        <w:tabs>
          <w:tab w:leader="none" w:pos="783" w:val="left"/>
        </w:tabs>
        <w:numPr>
          <w:ilvl w:val="1"/>
          <w:numId w:val="204"/>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right="40" w:firstLine="4"/>
        <w:spacing w:after="0" w:line="281" w:lineRule="auto"/>
        <w:tabs>
          <w:tab w:leader="none" w:pos="31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w:t>
      </w:r>
    </w:p>
    <w:p>
      <w:pPr>
        <w:spacing w:after="0" w:line="4" w:lineRule="exact"/>
        <w:rPr>
          <w:rFonts w:ascii="Arial" w:cs="Arial" w:eastAsia="Arial" w:hAnsi="Arial"/>
          <w:sz w:val="16"/>
          <w:szCs w:val="16"/>
          <w:color w:val="auto"/>
        </w:rPr>
      </w:pPr>
    </w:p>
    <w:p>
      <w:pPr>
        <w:ind w:right="140" w:firstLine="4"/>
        <w:spacing w:after="0" w:line="254" w:lineRule="auto"/>
        <w:tabs>
          <w:tab w:leader="none" w:pos="21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81" w:lineRule="exact"/>
        <w:rPr>
          <w:rFonts w:ascii="Arial" w:cs="Arial" w:eastAsia="Arial" w:hAnsi="Arial"/>
          <w:sz w:val="18"/>
          <w:szCs w:val="18"/>
          <w:color w:val="auto"/>
        </w:rPr>
      </w:pPr>
    </w:p>
    <w:p>
      <w:pPr>
        <w:ind w:right="80" w:firstLine="443"/>
        <w:spacing w:after="0" w:line="288" w:lineRule="auto"/>
        <w:tabs>
          <w:tab w:leader="none" w:pos="763" w:val="left"/>
        </w:tabs>
        <w:numPr>
          <w:ilvl w:val="1"/>
          <w:numId w:val="206"/>
        </w:numPr>
        <w:rPr>
          <w:rFonts w:ascii="Arial" w:cs="Arial" w:eastAsia="Arial" w:hAnsi="Arial"/>
          <w:sz w:val="16"/>
          <w:szCs w:val="16"/>
          <w:color w:val="auto"/>
        </w:rPr>
      </w:pPr>
      <w:r>
        <w:rPr>
          <w:rFonts w:ascii="Arial" w:cs="Arial" w:eastAsia="Arial" w:hAnsi="Arial"/>
          <w:sz w:val="16"/>
          <w:szCs w:val="16"/>
          <w:i w:val="1"/>
          <w:iCs w:val="1"/>
          <w:color w:val="auto"/>
        </w:rPr>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right="20" w:firstLine="4"/>
        <w:spacing w:after="0" w:line="254" w:lineRule="auto"/>
        <w:tabs>
          <w:tab w:leader="none" w:pos="21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81" w:lineRule="exact"/>
        <w:rPr>
          <w:rFonts w:ascii="Arial" w:cs="Arial" w:eastAsia="Arial" w:hAnsi="Arial"/>
          <w:sz w:val="18"/>
          <w:szCs w:val="18"/>
          <w:color w:val="auto"/>
        </w:rPr>
      </w:pPr>
    </w:p>
    <w:p>
      <w:pPr>
        <w:ind w:firstLine="443"/>
        <w:spacing w:after="0" w:line="297" w:lineRule="auto"/>
        <w:tabs>
          <w:tab w:leader="none" w:pos="783" w:val="left"/>
        </w:tabs>
        <w:numPr>
          <w:ilvl w:val="1"/>
          <w:numId w:val="207"/>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w:t>
      </w:r>
    </w:p>
    <w:p>
      <w:pPr>
        <w:sectPr>
          <w:pgSz w:w="11900" w:h="16838" w:orient="portrait"/>
          <w:cols w:equalWidth="0" w:num="1">
            <w:col w:w="10940"/>
          </w:cols>
          <w:pgMar w:left="700" w:top="274" w:right="259" w:bottom="1440" w:gutter="0" w:footer="0" w:header="0"/>
        </w:sectPr>
      </w:pPr>
    </w:p>
    <w:bookmarkStart w:id="252" w:name="page253"/>
    <w:bookmarkEnd w:id="25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acting in an official capacity for or on behalf of any of the foregoing, or any political party or party official or candidate for political office;</w:t>
      </w:r>
    </w:p>
    <w:p>
      <w:pPr>
        <w:spacing w:after="0" w:line="35" w:lineRule="exact"/>
        <w:rPr>
          <w:sz w:val="20"/>
          <w:szCs w:val="20"/>
          <w:color w:val="auto"/>
        </w:rPr>
      </w:pPr>
    </w:p>
    <w:p>
      <w:pPr>
        <w:ind w:right="200" w:firstLine="4"/>
        <w:spacing w:after="0" w:line="252" w:lineRule="auto"/>
        <w:tabs>
          <w:tab w:leader="none" w:pos="31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right="80" w:firstLine="443"/>
        <w:spacing w:after="0" w:line="291" w:lineRule="auto"/>
        <w:tabs>
          <w:tab w:leader="none" w:pos="763" w:val="left"/>
        </w:tabs>
        <w:numPr>
          <w:ilvl w:val="1"/>
          <w:numId w:val="208"/>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ind w:firstLine="443"/>
        <w:spacing w:after="0" w:line="286" w:lineRule="auto"/>
        <w:tabs>
          <w:tab w:leader="none" w:pos="720" w:val="left"/>
        </w:tabs>
        <w:numPr>
          <w:ilvl w:val="1"/>
          <w:numId w:val="208"/>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with Sanctions Laws. </w:t>
      </w:r>
      <w:r>
        <w:rPr>
          <w:rFonts w:ascii="Arial" w:cs="Arial" w:eastAsia="Arial" w:hAnsi="Arial"/>
          <w:sz w:val="16"/>
          <w:szCs w:val="16"/>
          <w:color w:val="auto"/>
        </w:rPr>
        <w:t>Neither the Company nor any of its subsidiaries, directors, officers or employees, nor, to the knowledge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any agent, 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ectPr>
          <w:pgSz w:w="11900" w:h="16838" w:orient="portrait"/>
          <w:cols w:equalWidth="0" w:num="1">
            <w:col w:w="10940"/>
          </w:cols>
          <w:pgMar w:left="700" w:top="274" w:right="259" w:bottom="1440" w:gutter="0" w:footer="0" w:header="0"/>
        </w:sectPr>
      </w:pPr>
    </w:p>
    <w:bookmarkStart w:id="253" w:name="page254"/>
    <w:bookmarkEnd w:id="253"/>
    <w:p>
      <w:pPr>
        <w:ind w:right="100" w:firstLine="443"/>
        <w:spacing w:after="0" w:line="257" w:lineRule="auto"/>
        <w:tabs>
          <w:tab w:leader="none" w:pos="783"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ind w:right="280" w:firstLine="443"/>
        <w:spacing w:after="0" w:line="264" w:lineRule="auto"/>
        <w:tabs>
          <w:tab w:leader="none" w:pos="783"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right="180" w:firstLine="443"/>
        <w:spacing w:after="0" w:line="308" w:lineRule="auto"/>
        <w:tabs>
          <w:tab w:leader="none" w:pos="703" w:val="left"/>
        </w:tabs>
        <w:numPr>
          <w:ilvl w:val="0"/>
          <w:numId w:val="209"/>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left="700" w:hanging="257"/>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permitted activity pursuant to Regulation M and Rule 10b-18 under the Exchange Act, and as set forth in</w:t>
      </w:r>
    </w:p>
    <w:p>
      <w:pPr>
        <w:spacing w:after="0" w:line="23" w:lineRule="exact"/>
        <w:rPr>
          <w:sz w:val="20"/>
          <w:szCs w:val="20"/>
          <w:color w:val="auto"/>
        </w:rPr>
      </w:pPr>
    </w:p>
    <w:p>
      <w:pPr>
        <w:ind w:right="180"/>
        <w:spacing w:after="0" w:line="323" w:lineRule="auto"/>
        <w:rPr>
          <w:sz w:val="20"/>
          <w:szCs w:val="20"/>
          <w:color w:val="auto"/>
        </w:rPr>
      </w:pPr>
      <w:r>
        <w:rPr>
          <w:rFonts w:ascii="Arial" w:cs="Arial" w:eastAsia="Arial" w:hAnsi="Arial"/>
          <w:sz w:val="16"/>
          <w:szCs w:val="16"/>
          <w:color w:val="auto"/>
        </w:rPr>
        <w:t>Section 4(q) with respect to the Adviser, the Company has not taken, directly or indirectly, without giving effect to any activities by the Underwriters, any action designed to or that would reasonably be expected to cause or result in any stabilization or manipulation of the price of the Securities.</w:t>
      </w:r>
    </w:p>
    <w:p>
      <w:pPr>
        <w:spacing w:after="0" w:line="31" w:lineRule="exact"/>
        <w:rPr>
          <w:sz w:val="20"/>
          <w:szCs w:val="20"/>
          <w:color w:val="auto"/>
        </w:rPr>
      </w:pPr>
    </w:p>
    <w:p>
      <w:pPr>
        <w:ind w:right="220" w:firstLine="443"/>
        <w:spacing w:after="0" w:line="264" w:lineRule="auto"/>
        <w:tabs>
          <w:tab w:leader="none" w:pos="783"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pacing w:after="0" w:line="73" w:lineRule="exact"/>
        <w:rPr>
          <w:rFonts w:ascii="Arial" w:cs="Arial" w:eastAsia="Arial" w:hAnsi="Arial"/>
          <w:sz w:val="18"/>
          <w:szCs w:val="18"/>
          <w:color w:val="auto"/>
        </w:rPr>
      </w:pPr>
    </w:p>
    <w:p>
      <w:pPr>
        <w:ind w:right="20" w:firstLine="443"/>
        <w:spacing w:after="0" w:line="264" w:lineRule="auto"/>
        <w:tabs>
          <w:tab w:leader="none" w:pos="703"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ind w:firstLine="443"/>
        <w:spacing w:after="0" w:line="259" w:lineRule="auto"/>
        <w:tabs>
          <w:tab w:leader="none" w:pos="883"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80" w:firstLine="443"/>
        <w:spacing w:after="0" w:line="286" w:lineRule="auto"/>
        <w:tabs>
          <w:tab w:leader="none" w:pos="783" w:val="left"/>
        </w:tabs>
        <w:numPr>
          <w:ilvl w:val="0"/>
          <w:numId w:val="210"/>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jc w:val="both"/>
        <w:ind w:right="80" w:firstLine="443"/>
        <w:spacing w:after="0" w:line="259" w:lineRule="auto"/>
        <w:tabs>
          <w:tab w:leader="none" w:pos="783"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ectPr>
          <w:pgSz w:w="11900" w:h="16838" w:orient="portrait"/>
          <w:cols w:equalWidth="0" w:num="1">
            <w:col w:w="10960"/>
          </w:cols>
          <w:pgMar w:left="700" w:top="274" w:right="239" w:bottom="1440" w:gutter="0" w:footer="0" w:header="0"/>
        </w:sectPr>
      </w:pPr>
    </w:p>
    <w:bookmarkStart w:id="254" w:name="page255"/>
    <w:bookmarkEnd w:id="254"/>
    <w:p>
      <w:pPr>
        <w:ind w:left="180" w:hanging="176"/>
        <w:spacing w:after="0"/>
        <w:tabs>
          <w:tab w:leader="none" w:pos="1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firstLine="443"/>
        <w:spacing w:after="0" w:line="291" w:lineRule="auto"/>
        <w:tabs>
          <w:tab w:leader="none" w:pos="683" w:val="left"/>
        </w:tabs>
        <w:numPr>
          <w:ilvl w:val="1"/>
          <w:numId w:val="211"/>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8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right="60" w:firstLine="443"/>
        <w:spacing w:after="0" w:line="271" w:lineRule="auto"/>
        <w:tabs>
          <w:tab w:leader="none" w:pos="693" w:val="left"/>
        </w:tabs>
        <w:numPr>
          <w:ilvl w:val="1"/>
          <w:numId w:val="211"/>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pacing w:after="0" w:line="70" w:lineRule="exact"/>
        <w:rPr>
          <w:rFonts w:ascii="Arial" w:cs="Arial" w:eastAsia="Arial" w:hAnsi="Arial"/>
          <w:sz w:val="17"/>
          <w:szCs w:val="17"/>
          <w:color w:val="auto"/>
        </w:rPr>
      </w:pPr>
    </w:p>
    <w:p>
      <w:pPr>
        <w:ind w:right="20" w:firstLine="443"/>
        <w:spacing w:after="0" w:line="276" w:lineRule="auto"/>
        <w:tabs>
          <w:tab w:leader="none" w:pos="683" w:val="left"/>
        </w:tabs>
        <w:numPr>
          <w:ilvl w:val="1"/>
          <w:numId w:val="211"/>
        </w:numPr>
        <w:rPr>
          <w:rFonts w:ascii="Arial" w:cs="Arial" w:eastAsia="Arial" w:hAnsi="Arial"/>
          <w:sz w:val="17"/>
          <w:szCs w:val="17"/>
          <w:color w:val="auto"/>
        </w:rPr>
      </w:pPr>
      <w:r>
        <w:rPr>
          <w:rFonts w:ascii="Arial" w:cs="Arial" w:eastAsia="Arial" w:hAnsi="Arial"/>
          <w:sz w:val="17"/>
          <w:szCs w:val="17"/>
          <w:i w:val="1"/>
          <w:iCs w:val="1"/>
          <w:color w:val="auto"/>
        </w:rPr>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20" w:firstLine="443"/>
        <w:spacing w:after="0" w:line="279" w:lineRule="auto"/>
        <w:tabs>
          <w:tab w:leader="none" w:pos="683" w:val="left"/>
        </w:tabs>
        <w:numPr>
          <w:ilvl w:val="1"/>
          <w:numId w:val="211"/>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ectPr>
          <w:pgSz w:w="11900" w:h="16838" w:orient="portrait"/>
          <w:cols w:equalWidth="0" w:num="1">
            <w:col w:w="10900"/>
          </w:cols>
          <w:pgMar w:left="700" w:top="274" w:right="299" w:bottom="1440" w:gutter="0" w:footer="0" w:header="0"/>
        </w:sectPr>
      </w:pPr>
    </w:p>
    <w:bookmarkStart w:id="255" w:name="page256"/>
    <w:bookmarkEnd w:id="255"/>
    <w:p>
      <w:pPr>
        <w:ind w:right="40" w:firstLine="443"/>
        <w:spacing w:after="0" w:line="271" w:lineRule="auto"/>
        <w:tabs>
          <w:tab w:leader="none" w:pos="663"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212"/>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pacing w:after="0" w:line="58" w:lineRule="exact"/>
        <w:rPr>
          <w:rFonts w:ascii="Arial" w:cs="Arial" w:eastAsia="Arial" w:hAnsi="Arial"/>
          <w:sz w:val="17"/>
          <w:szCs w:val="17"/>
          <w:color w:val="auto"/>
        </w:rPr>
      </w:pPr>
    </w:p>
    <w:p>
      <w:pPr>
        <w:ind w:right="140" w:firstLine="443"/>
        <w:spacing w:after="0" w:line="255" w:lineRule="auto"/>
        <w:tabs>
          <w:tab w:leader="none" w:pos="693"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right="60" w:firstLine="443"/>
        <w:spacing w:after="0" w:line="291" w:lineRule="auto"/>
        <w:tabs>
          <w:tab w:leader="none" w:pos="653" w:val="left"/>
        </w:tabs>
        <w:numPr>
          <w:ilvl w:val="0"/>
          <w:numId w:val="212"/>
        </w:numPr>
        <w:rPr>
          <w:rFonts w:ascii="Arial" w:cs="Arial" w:eastAsia="Arial" w:hAnsi="Arial"/>
          <w:sz w:val="16"/>
          <w:szCs w:val="16"/>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Except as described in the Registration Statement, the Pricing Disclosure Package and the Prospectus, there are no legal,</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w:t>
      </w:r>
    </w:p>
    <w:p>
      <w:pPr>
        <w:sectPr>
          <w:pgSz w:w="11900" w:h="16838" w:orient="portrait"/>
          <w:cols w:equalWidth="0" w:num="1">
            <w:col w:w="10920"/>
          </w:cols>
          <w:pgMar w:left="700" w:top="274" w:right="279" w:bottom="1440" w:gutter="0" w:footer="0" w:header="0"/>
        </w:sectPr>
      </w:pPr>
    </w:p>
    <w:bookmarkStart w:id="256" w:name="page257"/>
    <w:bookmarkEnd w:id="25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73" w:lineRule="exact"/>
        <w:rPr>
          <w:sz w:val="20"/>
          <w:szCs w:val="20"/>
          <w:color w:val="auto"/>
        </w:rPr>
      </w:pPr>
    </w:p>
    <w:p>
      <w:pPr>
        <w:ind w:firstLine="443"/>
        <w:spacing w:after="0" w:line="289" w:lineRule="auto"/>
        <w:tabs>
          <w:tab w:leader="none" w:pos="653"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right="180" w:firstLine="443"/>
        <w:spacing w:after="0" w:line="312" w:lineRule="auto"/>
        <w:tabs>
          <w:tab w:leader="none" w:pos="693" w:val="left"/>
        </w:tabs>
        <w:numPr>
          <w:ilvl w:val="1"/>
          <w:numId w:val="213"/>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right="440" w:firstLine="443"/>
        <w:spacing w:after="0" w:line="264" w:lineRule="auto"/>
        <w:tabs>
          <w:tab w:leader="none" w:pos="653"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pacing w:after="0" w:line="73" w:lineRule="exact"/>
        <w:rPr>
          <w:rFonts w:ascii="Arial" w:cs="Arial" w:eastAsia="Arial" w:hAnsi="Arial"/>
          <w:sz w:val="18"/>
          <w:szCs w:val="18"/>
          <w:color w:val="auto"/>
        </w:rPr>
      </w:pPr>
    </w:p>
    <w:p>
      <w:pPr>
        <w:ind w:left="740" w:hanging="297"/>
        <w:spacing w:after="0"/>
        <w:tabs>
          <w:tab w:leader="none" w:pos="740"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right="20" w:firstLine="4"/>
        <w:spacing w:after="0" w:line="281" w:lineRule="auto"/>
        <w:tabs>
          <w:tab w:leader="none" w:pos="21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20" w:hanging="316"/>
        <w:spacing w:after="0"/>
        <w:tabs>
          <w:tab w:leader="none" w:pos="32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right="260" w:firstLine="4"/>
        <w:spacing w:after="0" w:line="261" w:lineRule="auto"/>
        <w:tabs>
          <w:tab w:leader="none" w:pos="3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75" w:lineRule="exact"/>
        <w:rPr>
          <w:rFonts w:ascii="Arial" w:cs="Arial" w:eastAsia="Arial" w:hAnsi="Arial"/>
          <w:sz w:val="18"/>
          <w:szCs w:val="18"/>
          <w:color w:val="auto"/>
        </w:rPr>
      </w:pPr>
    </w:p>
    <w:p>
      <w:pPr>
        <w:ind w:firstLine="443"/>
        <w:spacing w:after="0" w:line="257" w:lineRule="auto"/>
        <w:tabs>
          <w:tab w:leader="none" w:pos="693" w:val="left"/>
        </w:tabs>
        <w:numPr>
          <w:ilvl w:val="1"/>
          <w:numId w:val="215"/>
        </w:numPr>
        <w:rPr>
          <w:rFonts w:ascii="Arial" w:cs="Arial" w:eastAsia="Arial" w:hAnsi="Arial"/>
          <w:sz w:val="18"/>
          <w:szCs w:val="18"/>
          <w:color w:val="auto"/>
        </w:rPr>
      </w:pPr>
      <w:r>
        <w:rPr>
          <w:rFonts w:ascii="Arial" w:cs="Arial" w:eastAsia="Arial" w:hAnsi="Arial"/>
          <w:sz w:val="18"/>
          <w:szCs w:val="18"/>
          <w:i w:val="1"/>
          <w:iCs w:val="1"/>
          <w:color w:val="auto"/>
        </w:rPr>
        <w:t xml:space="preserve">No Unlawful Payments. </w:t>
      </w:r>
      <w:r>
        <w:rPr>
          <w:rFonts w:ascii="Arial" w:cs="Arial" w:eastAsia="Arial" w:hAnsi="Arial"/>
          <w:sz w:val="18"/>
          <w:szCs w:val="18"/>
          <w:color w:val="auto"/>
        </w:rPr>
        <w:t>Neither the Adviser nor any of its subsidiaries nor any director, officer, or employee of the Adviser 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w:t>
      </w:r>
    </w:p>
    <w:p>
      <w:pPr>
        <w:sectPr>
          <w:pgSz w:w="11900" w:h="16838" w:orient="portrait"/>
          <w:cols w:equalWidth="0" w:num="1">
            <w:col w:w="10940"/>
          </w:cols>
          <w:pgMar w:left="700" w:top="274" w:right="259" w:bottom="1440" w:gutter="0" w:footer="0" w:header="0"/>
        </w:sectPr>
      </w:pPr>
    </w:p>
    <w:bookmarkStart w:id="257" w:name="page258"/>
    <w:bookmarkEnd w:id="257"/>
    <w:p>
      <w:pPr>
        <w:ind w:right="10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Anti-Corruption Laws; or</w:t>
      </w:r>
    </w:p>
    <w:p>
      <w:pPr>
        <w:ind w:right="220" w:firstLine="4"/>
        <w:spacing w:after="0" w:line="254" w:lineRule="auto"/>
        <w:tabs>
          <w:tab w:leader="none" w:pos="30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right="80" w:firstLine="443"/>
        <w:spacing w:after="0" w:line="276" w:lineRule="auto"/>
        <w:tabs>
          <w:tab w:leader="none" w:pos="693"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right="60" w:firstLine="443"/>
        <w:spacing w:after="0" w:line="276" w:lineRule="auto"/>
        <w:tabs>
          <w:tab w:leader="none" w:pos="693"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right="460" w:firstLine="443"/>
        <w:spacing w:after="0" w:line="264" w:lineRule="auto"/>
        <w:tabs>
          <w:tab w:leader="none" w:pos="693"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pacing w:after="0" w:line="73" w:lineRule="exact"/>
        <w:rPr>
          <w:rFonts w:ascii="Arial" w:cs="Arial" w:eastAsia="Arial" w:hAnsi="Arial"/>
          <w:sz w:val="18"/>
          <w:szCs w:val="18"/>
          <w:color w:val="auto"/>
        </w:rPr>
      </w:pPr>
    </w:p>
    <w:p>
      <w:pPr>
        <w:jc w:val="both"/>
        <w:ind w:firstLine="443"/>
        <w:spacing w:after="0" w:line="279" w:lineRule="auto"/>
        <w:tabs>
          <w:tab w:leader="none" w:pos="663" w:val="left"/>
        </w:tabs>
        <w:numPr>
          <w:ilvl w:val="1"/>
          <w:numId w:val="216"/>
        </w:numPr>
        <w:rPr>
          <w:rFonts w:ascii="Arial" w:cs="Arial" w:eastAsia="Arial" w:hAnsi="Arial"/>
          <w:sz w:val="17"/>
          <w:szCs w:val="17"/>
          <w:color w:val="auto"/>
        </w:rPr>
      </w:pPr>
      <w:r>
        <w:rPr>
          <w:rFonts w:ascii="Arial" w:cs="Arial" w:eastAsia="Arial" w:hAnsi="Arial"/>
          <w:sz w:val="17"/>
          <w:szCs w:val="17"/>
          <w:i w:val="1"/>
          <w:iCs w:val="1"/>
          <w:color w:val="auto"/>
        </w:rPr>
        <w:t xml:space="preserve">Key Employees. </w:t>
      </w:r>
      <w:r>
        <w:rPr>
          <w:rFonts w:ascii="Arial" w:cs="Arial" w:eastAsia="Arial" w:hAnsi="Arial"/>
          <w:sz w:val="17"/>
          <w:szCs w:val="17"/>
          <w:color w:val="auto"/>
        </w:rPr>
        <w:t>The Adviser is not aware that (i) any of its executives, key employees or significant group of employees plans to terminate</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63" w:lineRule="exact"/>
        <w:rPr>
          <w:rFonts w:ascii="Arial" w:cs="Arial" w:eastAsia="Arial" w:hAnsi="Arial"/>
          <w:sz w:val="17"/>
          <w:szCs w:val="17"/>
          <w:color w:val="auto"/>
        </w:rPr>
      </w:pPr>
    </w:p>
    <w:p>
      <w:pPr>
        <w:ind w:right="100" w:firstLine="443"/>
        <w:spacing w:after="0" w:line="259" w:lineRule="auto"/>
        <w:tabs>
          <w:tab w:leader="none" w:pos="673" w:val="left"/>
        </w:tabs>
        <w:numPr>
          <w:ilvl w:val="1"/>
          <w:numId w:val="216"/>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ectPr>
          <w:pgSz w:w="11900" w:h="16838" w:orient="portrait"/>
          <w:cols w:equalWidth="0" w:num="1">
            <w:col w:w="10960"/>
          </w:cols>
          <w:pgMar w:left="700" w:top="274" w:right="239" w:bottom="1440" w:gutter="0" w:footer="0" w:header="0"/>
        </w:sectPr>
      </w:pPr>
    </w:p>
    <w:bookmarkStart w:id="258" w:name="page259"/>
    <w:bookmarkEnd w:id="258"/>
    <w:p>
      <w:pPr>
        <w:ind w:left="180" w:hanging="176"/>
        <w:spacing w:after="0"/>
        <w:tabs>
          <w:tab w:leader="none" w:pos="180"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120" w:firstLine="443"/>
        <w:spacing w:after="0" w:line="272" w:lineRule="auto"/>
        <w:tabs>
          <w:tab w:leader="none" w:pos="683" w:val="left"/>
        </w:tabs>
        <w:numPr>
          <w:ilvl w:val="1"/>
          <w:numId w:val="217"/>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right="80" w:firstLine="443"/>
        <w:spacing w:after="0" w:line="291" w:lineRule="auto"/>
        <w:tabs>
          <w:tab w:leader="none" w:pos="693"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6"/>
          <w:szCs w:val="16"/>
          <w:color w:val="auto"/>
        </w:rPr>
      </w:pPr>
    </w:p>
    <w:p>
      <w:pPr>
        <w:ind w:firstLine="443"/>
        <w:spacing w:after="0" w:line="259" w:lineRule="auto"/>
        <w:tabs>
          <w:tab w:leader="none" w:pos="683"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pacing w:after="0" w:line="78" w:lineRule="exact"/>
        <w:rPr>
          <w:rFonts w:ascii="Arial" w:cs="Arial" w:eastAsia="Arial" w:hAnsi="Arial"/>
          <w:sz w:val="18"/>
          <w:szCs w:val="18"/>
          <w:color w:val="auto"/>
        </w:rPr>
      </w:pPr>
    </w:p>
    <w:p>
      <w:pPr>
        <w:ind w:right="40" w:firstLine="443"/>
        <w:spacing w:after="0" w:line="286" w:lineRule="auto"/>
        <w:tabs>
          <w:tab w:leader="none" w:pos="693" w:val="left"/>
        </w:tabs>
        <w:numPr>
          <w:ilvl w:val="1"/>
          <w:numId w:val="217"/>
        </w:numPr>
        <w:rPr>
          <w:rFonts w:ascii="Arial" w:cs="Arial" w:eastAsia="Arial" w:hAnsi="Arial"/>
          <w:sz w:val="16"/>
          <w:szCs w:val="16"/>
          <w:color w:val="auto"/>
        </w:rPr>
      </w:pPr>
      <w:r>
        <w:rPr>
          <w:rFonts w:ascii="Arial" w:cs="Arial" w:eastAsia="Arial" w:hAnsi="Arial"/>
          <w:sz w:val="16"/>
          <w:szCs w:val="16"/>
          <w:i w:val="1"/>
          <w:iCs w:val="1"/>
          <w:color w:val="auto"/>
        </w:rPr>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ectPr>
          <w:pgSz w:w="11900" w:h="16838" w:orient="portrait"/>
          <w:cols w:equalWidth="0" w:num="1">
            <w:col w:w="10920"/>
          </w:cols>
          <w:pgMar w:left="700" w:top="274" w:right="279" w:bottom="1440" w:gutter="0" w:footer="0" w:header="0"/>
        </w:sectPr>
      </w:pPr>
    </w:p>
    <w:bookmarkStart w:id="259" w:name="page260"/>
    <w:bookmarkEnd w:id="259"/>
    <w:p>
      <w:pPr>
        <w:ind w:right="40" w:firstLine="443"/>
        <w:spacing w:after="0" w:line="268" w:lineRule="auto"/>
        <w:tabs>
          <w:tab w:leader="none" w:pos="683" w:val="left"/>
        </w:tabs>
        <w:numPr>
          <w:ilvl w:val="0"/>
          <w:numId w:val="218"/>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pacing w:after="0" w:line="73" w:lineRule="exact"/>
        <w:rPr>
          <w:sz w:val="20"/>
          <w:szCs w:val="20"/>
          <w:color w:val="auto"/>
        </w:rPr>
      </w:pPr>
    </w:p>
    <w:p>
      <w:pPr>
        <w:ind w:firstLine="438"/>
        <w:spacing w:after="0" w:line="255"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i w:val="1"/>
          <w:iCs w:val="1"/>
          <w:color w:val="auto"/>
        </w:rPr>
        <w:t>Blue Sky Compliance.</w:t>
      </w:r>
      <w:r>
        <w:rPr>
          <w:rFonts w:ascii="Arial" w:cs="Arial" w:eastAsia="Arial" w:hAnsi="Arial"/>
          <w:sz w:val="18"/>
          <w:szCs w:val="18"/>
          <w:color w:val="auto"/>
        </w:rPr>
        <w:t xml:space="preserve"> The Company will use commercially reasonable efforts, in cooperation with the Representative[s], to qualify the 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sz w:val="20"/>
          <w:szCs w:val="20"/>
          <w:color w:val="auto"/>
        </w:rPr>
      </w:pPr>
    </w:p>
    <w:p>
      <w:pPr>
        <w:ind w:right="60" w:firstLine="443"/>
        <w:spacing w:after="0" w:line="257" w:lineRule="auto"/>
        <w:tabs>
          <w:tab w:leader="none" w:pos="693"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right="300" w:firstLine="443"/>
        <w:spacing w:after="0" w:line="264" w:lineRule="auto"/>
        <w:tabs>
          <w:tab w:leader="none" w:pos="693"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Clear Market. </w:t>
      </w:r>
      <w:r>
        <w:rPr>
          <w:rFonts w:ascii="Arial" w:cs="Arial" w:eastAsia="Arial" w:hAnsi="Arial"/>
          <w:sz w:val="18"/>
          <w:szCs w:val="18"/>
          <w:color w:val="auto"/>
        </w:rPr>
        <w:t>For a period of [ ] days after the date of the Prospectus, the Company will not (i) offer, pledge, sell, contract to sell, sell</w:t>
      </w:r>
      <w:r>
        <w:rPr>
          <w:rFonts w:ascii="Arial" w:cs="Arial" w:eastAsia="Arial" w:hAnsi="Arial"/>
          <w:sz w:val="18"/>
          <w:szCs w:val="18"/>
          <w:i w:val="1"/>
          <w:iCs w:val="1"/>
          <w:color w:val="auto"/>
        </w:rPr>
        <w:t xml:space="preserve"> </w:t>
      </w:r>
      <w:r>
        <w:rPr>
          <w:rFonts w:ascii="Arial" w:cs="Arial" w:eastAsia="Arial" w:hAnsi="Arial"/>
          <w:sz w:val="18"/>
          <w:szCs w:val="18"/>
          <w:color w:val="auto"/>
        </w:rPr>
        <w:t>any option or contract to purchase, purchase any option or contract to sell, grant any option, right or warrant to purchase, or otherwise transfer or dispose of, directly or indirectly, or file with the Commission a registration</w:t>
      </w:r>
    </w:p>
    <w:p>
      <w:pPr>
        <w:sectPr>
          <w:pgSz w:w="11900" w:h="16838" w:orient="portrait"/>
          <w:cols w:equalWidth="0" w:num="1">
            <w:col w:w="10960"/>
          </w:cols>
          <w:pgMar w:left="700" w:top="274" w:right="239" w:bottom="1440" w:gutter="0" w:footer="0" w:header="0"/>
        </w:sectPr>
      </w:pPr>
    </w:p>
    <w:bookmarkStart w:id="260" w:name="page261"/>
    <w:bookmarkEnd w:id="260"/>
    <w:p>
      <w:pPr>
        <w:ind w:right="5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statement under the Securities Act relating to, any [shares of Common Stock][Securities] or any securities convertible into or exercisable or exchangeable for [Common Stock][the Securities], or publicly disclose the intention to make any such offer, sale, pledge, disposition or filing, or</w:t>
      </w:r>
    </w:p>
    <w:p>
      <w:pPr>
        <w:ind w:firstLine="4"/>
        <w:spacing w:after="0" w:line="271" w:lineRule="auto"/>
        <w:tabs>
          <w:tab w:leader="none" w:pos="265" w:val="left"/>
        </w:tabs>
        <w:numPr>
          <w:ilvl w:val="0"/>
          <w:numId w:val="220"/>
        </w:numPr>
        <w:rPr>
          <w:rFonts w:ascii="Arial" w:cs="Arial" w:eastAsia="Arial" w:hAnsi="Arial"/>
          <w:sz w:val="17"/>
          <w:szCs w:val="17"/>
          <w:color w:val="auto"/>
        </w:rPr>
      </w:pPr>
      <w:r>
        <w:rPr>
          <w:rFonts w:ascii="Arial" w:cs="Arial" w:eastAsia="Arial" w:hAnsi="Arial"/>
          <w:sz w:val="17"/>
          <w:szCs w:val="17"/>
          <w:color w:val="auto"/>
        </w:rPr>
        <w:t>enter into any swap or other agreement that transfers, in whole or in part, any of the economic consequences of ownership of the [Common Stock] [Securities] or any such other securities, whether any such transaction described in clause (i) or (ii) above is to be settled by delivery of [Common Stock][Securities] or such other securities, in cash or otherwise, without the prior written consent of the Representative[s] on behalf of the Underwriters, other than the (A) Securities to be sold hereunder [or the issuance of the Warrant Securities upon exercise of the Warrants], and (B) Stock issued or delivered in connection with the Company’s dividend reinvestment plan.</w:t>
      </w:r>
    </w:p>
    <w:p>
      <w:pPr>
        <w:spacing w:after="0" w:line="70" w:lineRule="exact"/>
        <w:rPr>
          <w:rFonts w:ascii="Arial" w:cs="Arial" w:eastAsia="Arial" w:hAnsi="Arial"/>
          <w:sz w:val="17"/>
          <w:szCs w:val="17"/>
          <w:color w:val="auto"/>
        </w:rPr>
      </w:pPr>
    </w:p>
    <w:p>
      <w:pPr>
        <w:ind w:right="760" w:firstLine="443"/>
        <w:spacing w:after="0" w:line="308" w:lineRule="auto"/>
        <w:tabs>
          <w:tab w:leader="none" w:pos="653" w:val="left"/>
        </w:tabs>
        <w:numPr>
          <w:ilvl w:val="1"/>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firstLine="443"/>
        <w:spacing w:after="0" w:line="264" w:lineRule="auto"/>
        <w:tabs>
          <w:tab w:leader="none" w:pos="653" w:val="left"/>
        </w:tabs>
        <w:numPr>
          <w:ilvl w:val="1"/>
          <w:numId w:val="220"/>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3(jj) herein, the Company will not take, directly or indirectly, without giving effect to any activities by</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Underwriters, any action designed to or that would reasonably be expected to cause or result in any stabilization or manipulation of the price of the Stock or the Securities.</w:t>
      </w:r>
    </w:p>
    <w:p>
      <w:pPr>
        <w:spacing w:after="0" w:line="73" w:lineRule="exact"/>
        <w:rPr>
          <w:rFonts w:ascii="Arial" w:cs="Arial" w:eastAsia="Arial" w:hAnsi="Arial"/>
          <w:sz w:val="18"/>
          <w:szCs w:val="18"/>
          <w:color w:val="auto"/>
        </w:rPr>
      </w:pPr>
    </w:p>
    <w:p>
      <w:pPr>
        <w:ind w:left="700" w:hanging="257"/>
        <w:spacing w:after="0"/>
        <w:tabs>
          <w:tab w:leader="none" w:pos="700" w:val="left"/>
        </w:tabs>
        <w:numPr>
          <w:ilvl w:val="1"/>
          <w:numId w:val="220"/>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commercially reasonable efforts to effect and maintain the quotation of [the Securities] on</w:t>
      </w:r>
    </w:p>
    <w:p>
      <w:pPr>
        <w:spacing w:after="0" w:line="35" w:lineRule="exact"/>
        <w:rPr>
          <w:sz w:val="20"/>
          <w:szCs w:val="20"/>
          <w:color w:val="auto"/>
        </w:rPr>
      </w:pPr>
    </w:p>
    <w:p>
      <w:pPr>
        <w:ind w:left="960" w:hanging="956"/>
        <w:spacing w:after="0"/>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right="180" w:firstLine="443"/>
        <w:spacing w:after="0" w:line="257" w:lineRule="auto"/>
        <w:tabs>
          <w:tab w:leader="none" w:pos="653"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right="60" w:firstLine="443"/>
        <w:spacing w:after="0" w:line="302" w:lineRule="auto"/>
        <w:tabs>
          <w:tab w:leader="none" w:pos="743" w:val="left"/>
        </w:tabs>
        <w:numPr>
          <w:ilvl w:val="1"/>
          <w:numId w:val="221"/>
        </w:numPr>
        <w:rPr>
          <w:rFonts w:ascii="Arial" w:cs="Arial" w:eastAsia="Arial" w:hAnsi="Arial"/>
          <w:sz w:val="16"/>
          <w:szCs w:val="16"/>
          <w:color w:val="auto"/>
        </w:rPr>
      </w:pPr>
      <w:r>
        <w:rPr>
          <w:rFonts w:ascii="Arial" w:cs="Arial" w:eastAsia="Arial" w:hAnsi="Arial"/>
          <w:sz w:val="16"/>
          <w:szCs w:val="16"/>
          <w:i w:val="1"/>
          <w:iCs w:val="1"/>
          <w:color w:val="auto"/>
        </w:rPr>
        <w:t>Business Development Company</w:t>
      </w:r>
      <w:r>
        <w:rPr>
          <w:rFonts w:ascii="Arial" w:cs="Arial" w:eastAsia="Arial" w:hAnsi="Arial"/>
          <w:sz w:val="16"/>
          <w:szCs w:val="16"/>
          <w:color w:val="auto"/>
        </w:rPr>
        <w:t>. The Company, during a period of twelve months from the date of the Prospectus, will use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efforts to maintain its status as a business development company under the Investment Company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46" w:lineRule="exact"/>
        <w:rPr>
          <w:rFonts w:ascii="Arial" w:cs="Arial" w:eastAsia="Arial" w:hAnsi="Arial"/>
          <w:sz w:val="16"/>
          <w:szCs w:val="16"/>
          <w:color w:val="auto"/>
        </w:rPr>
      </w:pPr>
    </w:p>
    <w:p>
      <w:pPr>
        <w:ind w:right="100" w:firstLine="443"/>
        <w:spacing w:after="0" w:line="264" w:lineRule="auto"/>
        <w:tabs>
          <w:tab w:leader="none" w:pos="693"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right="160" w:firstLine="443"/>
        <w:spacing w:after="0" w:line="257" w:lineRule="auto"/>
        <w:tabs>
          <w:tab w:leader="none" w:pos="693" w:val="left"/>
        </w:tabs>
        <w:numPr>
          <w:ilvl w:val="1"/>
          <w:numId w:val="221"/>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ectPr>
          <w:pgSz w:w="11900" w:h="16838" w:orient="portrait"/>
          <w:cols w:equalWidth="0" w:num="1">
            <w:col w:w="10940"/>
          </w:cols>
          <w:pgMar w:left="700" w:top="274" w:right="259" w:bottom="1440" w:gutter="0" w:footer="0" w:header="0"/>
        </w:sectPr>
      </w:pPr>
    </w:p>
    <w:bookmarkStart w:id="261" w:name="page262"/>
    <w:bookmarkEnd w:id="261"/>
    <w:p>
      <w:pPr>
        <w:ind w:left="-4" w:right="180" w:firstLine="443"/>
        <w:spacing w:after="0" w:line="255" w:lineRule="auto"/>
        <w:tabs>
          <w:tab w:leader="none" w:pos="688" w:val="left"/>
        </w:tabs>
        <w:numPr>
          <w:ilvl w:val="1"/>
          <w:numId w:val="22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or the Prospectus, and (ii) it has not made and will not make any offer relating to the Securities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9" w:lineRule="exact"/>
        <w:rPr>
          <w:rFonts w:ascii="Arial" w:cs="Arial" w:eastAsia="Arial" w:hAnsi="Arial"/>
          <w:sz w:val="18"/>
          <w:szCs w:val="18"/>
          <w:color w:val="auto"/>
        </w:rPr>
      </w:pPr>
    </w:p>
    <w:p>
      <w:pPr>
        <w:ind w:left="176" w:hanging="176"/>
        <w:spacing w:after="0"/>
        <w:tabs>
          <w:tab w:leader="none" w:pos="176"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4" w:right="20" w:firstLine="443"/>
        <w:spacing w:after="0" w:line="259" w:lineRule="auto"/>
        <w:tabs>
          <w:tab w:leader="none" w:pos="679" w:val="left"/>
        </w:tabs>
        <w:numPr>
          <w:ilvl w:val="1"/>
          <w:numId w:val="223"/>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4" w:right="840" w:firstLine="443"/>
        <w:spacing w:after="0" w:line="342" w:lineRule="auto"/>
        <w:tabs>
          <w:tab w:leader="none" w:pos="689" w:val="left"/>
        </w:tabs>
        <w:numPr>
          <w:ilvl w:val="1"/>
          <w:numId w:val="223"/>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pacing w:after="0" w:line="123" w:lineRule="exact"/>
        <w:rPr>
          <w:rFonts w:ascii="Arial" w:cs="Arial" w:eastAsia="Arial" w:hAnsi="Arial"/>
          <w:sz w:val="16"/>
          <w:szCs w:val="16"/>
          <w:color w:val="auto"/>
        </w:rPr>
      </w:pPr>
    </w:p>
    <w:p>
      <w:pPr>
        <w:ind w:left="-464" w:firstLine="464"/>
        <w:spacing w:after="0" w:line="264" w:lineRule="auto"/>
        <w:tabs>
          <w:tab w:leader="none" w:pos="172"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 w:right="200" w:firstLine="443"/>
        <w:spacing w:after="0" w:line="279" w:lineRule="auto"/>
        <w:tabs>
          <w:tab w:leader="none" w:pos="678" w:val="left"/>
        </w:tabs>
        <w:numPr>
          <w:ilvl w:val="1"/>
          <w:numId w:val="22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63" w:lineRule="exact"/>
        <w:rPr>
          <w:rFonts w:ascii="Arial" w:cs="Arial" w:eastAsia="Arial" w:hAnsi="Arial"/>
          <w:sz w:val="17"/>
          <w:szCs w:val="17"/>
          <w:color w:val="auto"/>
        </w:rPr>
      </w:pPr>
    </w:p>
    <w:p>
      <w:pPr>
        <w:ind w:left="-4" w:firstLine="443"/>
        <w:spacing w:after="0" w:line="259" w:lineRule="auto"/>
        <w:tabs>
          <w:tab w:leader="none" w:pos="688" w:val="left"/>
        </w:tabs>
        <w:numPr>
          <w:ilvl w:val="1"/>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left="-4" w:firstLine="443"/>
        <w:spacing w:after="0" w:line="264" w:lineRule="auto"/>
        <w:tabs>
          <w:tab w:leader="none" w:pos="678" w:val="left"/>
        </w:tabs>
        <w:numPr>
          <w:ilvl w:val="1"/>
          <w:numId w:val="223"/>
        </w:numPr>
        <w:rPr>
          <w:rFonts w:ascii="Arial" w:cs="Arial" w:eastAsia="Arial" w:hAnsi="Arial"/>
          <w:sz w:val="18"/>
          <w:szCs w:val="18"/>
          <w:color w:val="auto"/>
        </w:rPr>
      </w:pPr>
      <w:r>
        <w:rPr>
          <w:rFonts w:ascii="Arial" w:cs="Arial" w:eastAsia="Arial" w:hAnsi="Arial"/>
          <w:sz w:val="18"/>
          <w:szCs w:val="18"/>
          <w:i w:val="1"/>
          <w:iCs w:val="1"/>
          <w:color w:val="auto"/>
        </w:rPr>
        <w:t xml:space="preserve">No Material Adverse Change. </w:t>
      </w:r>
      <w:r>
        <w:rPr>
          <w:rFonts w:ascii="Arial" w:cs="Arial" w:eastAsia="Arial" w:hAnsi="Arial"/>
          <w:sz w:val="18"/>
          <w:szCs w:val="18"/>
          <w:color w:val="auto"/>
        </w:rPr>
        <w:t>No event or condition of a type described in Section 3(e) and Section 4(a) hereof shall have occurred or shall</w:t>
      </w:r>
      <w:r>
        <w:rPr>
          <w:rFonts w:ascii="Arial" w:cs="Arial" w:eastAsia="Arial" w:hAnsi="Arial"/>
          <w:sz w:val="18"/>
          <w:szCs w:val="18"/>
          <w:i w:val="1"/>
          <w:iCs w:val="1"/>
          <w:color w:val="auto"/>
        </w:rPr>
        <w:t xml:space="preserve"> </w:t>
      </w:r>
      <w:r>
        <w:rPr>
          <w:rFonts w:ascii="Arial" w:cs="Arial" w:eastAsia="Arial" w:hAnsi="Arial"/>
          <w:sz w:val="18"/>
          <w:szCs w:val="18"/>
          <w:color w:val="auto"/>
        </w:rPr>
        <w:t>exist, which event or condition is not described in the Pricing Disclosure Package (excluding any amendment or supplement thereto) and the Prospectus (excluding any amendment or supplement thereto) and the effect of</w:t>
      </w:r>
    </w:p>
    <w:p>
      <w:pPr>
        <w:sectPr>
          <w:pgSz w:w="11900" w:h="16838" w:orient="portrait"/>
          <w:cols w:equalWidth="0" w:num="1">
            <w:col w:w="10956"/>
          </w:cols>
          <w:pgMar w:left="704" w:top="274" w:right="239" w:bottom="1440" w:gutter="0" w:footer="0" w:header="0"/>
        </w:sectPr>
      </w:pPr>
    </w:p>
    <w:bookmarkStart w:id="262" w:name="page263"/>
    <w:bookmarkEnd w:id="262"/>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73" w:lineRule="exact"/>
        <w:rPr>
          <w:sz w:val="20"/>
          <w:szCs w:val="20"/>
          <w:color w:val="auto"/>
        </w:rPr>
      </w:pPr>
    </w:p>
    <w:p>
      <w:pPr>
        <w:ind w:right="40" w:firstLine="443"/>
        <w:spacing w:after="0" w:line="289" w:lineRule="auto"/>
        <w:tabs>
          <w:tab w:leader="none" w:pos="693"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may be, a certificate, which shall be delivered on behalf of the Company and not the signatories in their individual capacity, 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3(d)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58" w:lineRule="exact"/>
        <w:rPr>
          <w:rFonts w:ascii="Arial" w:cs="Arial" w:eastAsia="Arial" w:hAnsi="Arial"/>
          <w:sz w:val="16"/>
          <w:szCs w:val="16"/>
          <w:color w:val="auto"/>
        </w:rPr>
      </w:pPr>
    </w:p>
    <w:p>
      <w:pPr>
        <w:ind w:right="40" w:firstLine="443"/>
        <w:spacing w:after="0" w:line="255" w:lineRule="auto"/>
        <w:tabs>
          <w:tab w:leader="none" w:pos="683"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 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85" w:lineRule="exact"/>
        <w:rPr>
          <w:rFonts w:ascii="Arial" w:cs="Arial" w:eastAsia="Arial" w:hAnsi="Arial"/>
          <w:sz w:val="18"/>
          <w:szCs w:val="18"/>
          <w:color w:val="auto"/>
        </w:rPr>
      </w:pPr>
    </w:p>
    <w:p>
      <w:pPr>
        <w:ind w:firstLine="443"/>
        <w:spacing w:after="0" w:line="291" w:lineRule="auto"/>
        <w:tabs>
          <w:tab w:leader="none" w:pos="663" w:val="left"/>
        </w:tabs>
        <w:numPr>
          <w:ilvl w:val="0"/>
          <w:numId w:val="224"/>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w:t>
      </w:r>
    </w:p>
    <w:p>
      <w:pPr>
        <w:jc w:val="both"/>
        <w:ind w:right="280"/>
        <w:spacing w:after="0" w:line="281" w:lineRule="auto"/>
        <w:rPr>
          <w:sz w:val="20"/>
          <w:szCs w:val="20"/>
          <w:color w:val="auto"/>
        </w:rPr>
      </w:pPr>
      <w:r>
        <w:rPr>
          <w:rFonts w:ascii="Arial" w:cs="Arial" w:eastAsia="Arial" w:hAnsi="Arial"/>
          <w:sz w:val="16"/>
          <w:szCs w:val="16"/>
          <w:color w:val="auto"/>
        </w:rPr>
        <w:t>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 Registration Statement, the Pricing Disclosure Package and the Prospectus; provided, that the letter delivered on the Closing Date or the Additional</w:t>
      </w:r>
    </w:p>
    <w:p>
      <w:pPr>
        <w:spacing w:after="0" w:line="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pacing w:after="0" w:line="76" w:lineRule="exact"/>
        <w:rPr>
          <w:sz w:val="20"/>
          <w:szCs w:val="20"/>
          <w:color w:val="auto"/>
        </w:rPr>
      </w:pPr>
    </w:p>
    <w:p>
      <w:pPr>
        <w:jc w:val="both"/>
        <w:ind w:right="20" w:firstLine="443"/>
        <w:spacing w:after="0" w:line="259" w:lineRule="auto"/>
        <w:tabs>
          <w:tab w:leader="none" w:pos="693"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225"/>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p>
    <w:p>
      <w:pPr>
        <w:spacing w:after="0" w:line="46" w:lineRule="exact"/>
        <w:rPr>
          <w:sz w:val="20"/>
          <w:szCs w:val="20"/>
          <w:color w:val="auto"/>
        </w:rPr>
      </w:pPr>
    </w:p>
    <w:p>
      <w:pPr>
        <w:spacing w:after="0"/>
        <w:tabs>
          <w:tab w:leader="none" w:pos="6720" w:val="left"/>
        </w:tabs>
        <w:rPr>
          <w:sz w:val="20"/>
          <w:szCs w:val="20"/>
          <w:color w:val="auto"/>
        </w:rPr>
      </w:pPr>
      <w:r>
        <w:rPr>
          <w:rFonts w:ascii="Arial" w:cs="Arial" w:eastAsia="Arial" w:hAnsi="Arial"/>
          <w:sz w:val="18"/>
          <w:szCs w:val="18"/>
          <w:color w:val="auto"/>
        </w:rPr>
        <w:t>Additional Closing Date, as the case may be, an opinion and 10b-5 statement of</w:t>
      </w:r>
      <w:r>
        <w:rPr>
          <w:sz w:val="20"/>
          <w:szCs w:val="20"/>
          <w:color w:val="auto"/>
        </w:rPr>
        <w:tab/>
      </w:r>
      <w:r>
        <w:rPr>
          <w:rFonts w:ascii="Arial" w:cs="Arial" w:eastAsia="Arial" w:hAnsi="Arial"/>
          <w:sz w:val="16"/>
          <w:szCs w:val="16"/>
          <w:color w:val="auto"/>
        </w:rPr>
        <w:t>, counsel for the</w:t>
      </w:r>
    </w:p>
    <w:p>
      <w:pPr>
        <w:sectPr>
          <w:pgSz w:w="11900" w:h="16838" w:orient="portrait"/>
          <w:cols w:equalWidth="0" w:num="1">
            <w:col w:w="10920"/>
          </w:cols>
          <w:pgMar w:left="700" w:top="274" w:right="279" w:bottom="1440" w:gutter="0" w:footer="0" w:header="0"/>
        </w:sectPr>
      </w:pPr>
    </w:p>
    <w:bookmarkStart w:id="263" w:name="page264"/>
    <w:bookmarkEnd w:id="263"/>
    <w:p>
      <w:pPr>
        <w:ind w:left="460"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Underwriters, with respect to such matters as the Representative[s] may reasonably request, and such counsel shall have received such documents and information as they may reasonably request to enable them to pass upon such matters.</w:t>
      </w:r>
    </w:p>
    <w:p>
      <w:pPr>
        <w:spacing w:after="0" w:line="62" w:lineRule="exact"/>
        <w:rPr>
          <w:sz w:val="20"/>
          <w:szCs w:val="20"/>
          <w:color w:val="auto"/>
        </w:rPr>
      </w:pPr>
    </w:p>
    <w:p>
      <w:pPr>
        <w:ind w:left="460" w:right="40" w:firstLine="443"/>
        <w:spacing w:after="0" w:line="302" w:lineRule="auto"/>
        <w:tabs>
          <w:tab w:leader="none" w:pos="1113"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Securities; and no injunction or order of any federal, state or foreign court shall have been issued that would, as of the Closing Date or the Additional Closing Date, as the case may be, prevent the issuance or sale of the Securities.</w:t>
      </w:r>
    </w:p>
    <w:p>
      <w:pPr>
        <w:spacing w:after="0" w:line="46" w:lineRule="exact"/>
        <w:rPr>
          <w:rFonts w:ascii="Arial" w:cs="Arial" w:eastAsia="Arial" w:hAnsi="Arial"/>
          <w:sz w:val="16"/>
          <w:szCs w:val="16"/>
          <w:color w:val="auto"/>
        </w:rPr>
      </w:pPr>
    </w:p>
    <w:p>
      <w:pPr>
        <w:ind w:left="460" w:right="220" w:firstLine="443"/>
        <w:spacing w:after="0" w:line="279" w:lineRule="auto"/>
        <w:tabs>
          <w:tab w:leader="none" w:pos="1113" w:val="left"/>
        </w:tabs>
        <w:numPr>
          <w:ilvl w:val="0"/>
          <w:numId w:val="226"/>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Securities to be delivered on the Closing Date or Additional Closing Date, as the case may be, shall have been</w:t>
      </w:r>
    </w:p>
    <w:p>
      <w:pPr>
        <w:spacing w:after="0" w:line="35" w:lineRule="exact"/>
        <w:rPr>
          <w:sz w:val="20"/>
          <w:szCs w:val="20"/>
          <w:color w:val="auto"/>
        </w:rPr>
      </w:pPr>
    </w:p>
    <w:p>
      <w:pPr>
        <w:ind w:left="460"/>
        <w:spacing w:after="0"/>
        <w:tabs>
          <w:tab w:leader="none" w:pos="3080" w:val="left"/>
        </w:tabs>
        <w:rPr>
          <w:sz w:val="20"/>
          <w:szCs w:val="20"/>
          <w:color w:val="auto"/>
        </w:rPr>
      </w:pPr>
      <w:r>
        <w:rPr>
          <w:rFonts w:ascii="Arial" w:cs="Arial" w:eastAsia="Arial" w:hAnsi="Arial"/>
          <w:sz w:val="18"/>
          <w:szCs w:val="18"/>
          <w:color w:val="auto"/>
        </w:rPr>
        <w:t>approved for listing on</w:t>
      </w:r>
      <w:r>
        <w:rPr>
          <w:sz w:val="20"/>
          <w:szCs w:val="20"/>
          <w:color w:val="auto"/>
        </w:rPr>
        <w:tab/>
      </w:r>
      <w:r>
        <w:rPr>
          <w:rFonts w:ascii="Arial" w:cs="Arial" w:eastAsia="Arial" w:hAnsi="Arial"/>
          <w:sz w:val="16"/>
          <w:szCs w:val="16"/>
          <w:color w:val="auto"/>
        </w:rPr>
        <w:t>, subject to official notice of issuance.]</w:t>
      </w:r>
    </w:p>
    <w:p>
      <w:pPr>
        <w:spacing w:after="0" w:line="103" w:lineRule="exact"/>
        <w:rPr>
          <w:sz w:val="20"/>
          <w:szCs w:val="20"/>
          <w:color w:val="auto"/>
        </w:rPr>
      </w:pPr>
    </w:p>
    <w:p>
      <w:pPr>
        <w:ind w:left="460" w:right="20" w:firstLine="443"/>
        <w:spacing w:after="0" w:line="259" w:lineRule="auto"/>
        <w:tabs>
          <w:tab w:leader="none" w:pos="1113"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w:t>
      </w:r>
      <w:r>
        <w:rPr>
          <w:rFonts w:ascii="Arial" w:cs="Arial" w:eastAsia="Arial" w:hAnsi="Arial"/>
          <w:sz w:val="18"/>
          <w:szCs w:val="18"/>
          <w:i w:val="1"/>
          <w:iCs w:val="1"/>
          <w:color w:val="auto"/>
        </w:rPr>
        <w:t xml:space="preserve"> </w:t>
      </w:r>
      <w:r>
        <w:rPr>
          <w:rFonts w:ascii="Arial" w:cs="Arial" w:eastAsia="Arial" w:hAnsi="Arial"/>
          <w:sz w:val="18"/>
          <w:szCs w:val="18"/>
          <w:color w:val="auto"/>
        </w:rPr>
        <w:t>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left="460" w:firstLine="443"/>
        <w:spacing w:after="0" w:line="255" w:lineRule="auto"/>
        <w:tabs>
          <w:tab w:leader="none" w:pos="1203"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ectPr>
          <w:pgSz w:w="11900" w:h="16838" w:orient="portrait"/>
          <w:cols w:equalWidth="0" w:num="1">
            <w:col w:w="11420"/>
          </w:cols>
          <w:pgMar w:left="240" w:top="274" w:right="239" w:bottom="1440" w:gutter="0" w:footer="0" w:header="0"/>
        </w:sectPr>
      </w:pPr>
    </w:p>
    <w:bookmarkStart w:id="264" w:name="page265"/>
    <w:bookmarkEnd w:id="264"/>
    <w:p>
      <w:pPr>
        <w:ind w:left="640" w:hanging="176"/>
        <w:spacing w:after="0"/>
        <w:tabs>
          <w:tab w:leader="none" w:pos="64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8" w:lineRule="auto"/>
        <w:tabs>
          <w:tab w:leader="none" w:pos="701"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pacing w:after="0" w:line="185" w:lineRule="exact"/>
        <w:rPr>
          <w:rFonts w:ascii="Arial" w:cs="Arial" w:eastAsia="Arial" w:hAnsi="Arial"/>
          <w:sz w:val="17"/>
          <w:szCs w:val="17"/>
          <w:color w:val="auto"/>
        </w:rPr>
      </w:pPr>
    </w:p>
    <w:p>
      <w:pPr>
        <w:ind w:right="100" w:firstLine="464"/>
        <w:spacing w:after="0" w:line="284" w:lineRule="auto"/>
        <w:tabs>
          <w:tab w:leader="none" w:pos="711" w:val="left"/>
        </w:tabs>
        <w:numPr>
          <w:ilvl w:val="0"/>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(including any Pricing Disclosure Package that has subsequently been amended), it being understood and agreed upon that the only such information</w:t>
      </w:r>
    </w:p>
    <w:p>
      <w:pPr>
        <w:spacing w:after="0" w:line="21" w:lineRule="exact"/>
        <w:rPr>
          <w:sz w:val="20"/>
          <w:szCs w:val="20"/>
          <w:color w:val="auto"/>
        </w:rPr>
      </w:pPr>
    </w:p>
    <w:p>
      <w:pPr>
        <w:spacing w:after="0"/>
        <w:tabs>
          <w:tab w:leader="none" w:pos="9820" w:val="left"/>
        </w:tabs>
        <w:rPr>
          <w:sz w:val="20"/>
          <w:szCs w:val="20"/>
          <w:color w:val="auto"/>
        </w:rPr>
      </w:pPr>
      <w:r>
        <w:rPr>
          <w:rFonts w:ascii="Arial" w:cs="Arial" w:eastAsia="Arial" w:hAnsi="Arial"/>
          <w:sz w:val="18"/>
          <w:szCs w:val="18"/>
          <w:color w:val="auto"/>
        </w:rPr>
        <w:t>furnished by any Underwriter consists of the following information in the Prospectus furnished on behalf of each Underwriter:</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64"/>
        <w:spacing w:after="0" w:line="270" w:lineRule="auto"/>
        <w:tabs>
          <w:tab w:leader="none" w:pos="701" w:val="left"/>
        </w:tabs>
        <w:numPr>
          <w:ilvl w:val="0"/>
          <w:numId w:val="230"/>
        </w:numPr>
        <w:rPr>
          <w:rFonts w:ascii="Arial" w:cs="Arial" w:eastAsia="Arial" w:hAnsi="Arial"/>
          <w:sz w:val="17"/>
          <w:szCs w:val="17"/>
          <w:color w:val="auto"/>
        </w:rPr>
      </w:pPr>
      <w:r>
        <w:rPr>
          <w:rFonts w:ascii="Arial" w:cs="Arial" w:eastAsia="Arial" w:hAnsi="Arial"/>
          <w:sz w:val="17"/>
          <w:szCs w:val="17"/>
          <w:i w:val="1"/>
          <w:iCs w:val="1"/>
          <w:color w:val="auto"/>
        </w:rPr>
        <w:t xml:space="preserve">Notice and Procedures. </w:t>
      </w:r>
      <w:r>
        <w:rPr>
          <w:rFonts w:ascii="Arial" w:cs="Arial" w:eastAsia="Arial" w:hAnsi="Arial"/>
          <w:sz w:val="17"/>
          <w:szCs w:val="17"/>
          <w:color w:val="auto"/>
        </w:rPr>
        <w:t>If any suit, action, proceeding (including any governmental or regulatory investigation), claim or demand shall be brought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w:t>
      </w:r>
    </w:p>
    <w:p>
      <w:pPr>
        <w:sectPr>
          <w:pgSz w:w="11900" w:h="16838" w:orient="portrait"/>
          <w:cols w:equalWidth="0" w:num="1">
            <w:col w:w="11400"/>
          </w:cols>
          <w:pgMar w:left="240" w:top="274" w:right="259" w:bottom="1440" w:gutter="0" w:footer="0" w:header="0"/>
        </w:sectPr>
      </w:pPr>
    </w:p>
    <w:bookmarkStart w:id="265" w:name="page266"/>
    <w:bookmarkEnd w:id="265"/>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w:t>
      </w:r>
    </w:p>
    <w:p>
      <w:pPr>
        <w:spacing w:after="0" w:line="2" w:lineRule="exact"/>
        <w:rPr>
          <w:sz w:val="20"/>
          <w:szCs w:val="20"/>
          <w:color w:val="auto"/>
        </w:rPr>
      </w:pPr>
    </w:p>
    <w:p>
      <w:pPr>
        <w:ind w:right="80" w:firstLine="8"/>
        <w:spacing w:after="0" w:line="281" w:lineRule="auto"/>
        <w:tabs>
          <w:tab w:leader="none" w:pos="30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 for any Underwriter, its affiliates, directors and</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officers and any control persons of such Underwriter shall be designated in writing 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1" w:lineRule="exact"/>
        <w:rPr>
          <w:sz w:val="20"/>
          <w:szCs w:val="20"/>
          <w:color w:val="auto"/>
        </w:rPr>
      </w:pPr>
    </w:p>
    <w:p>
      <w:pPr>
        <w:ind w:right="60" w:firstLine="464"/>
        <w:spacing w:after="0" w:line="269" w:lineRule="auto"/>
        <w:tabs>
          <w:tab w:leader="none" w:pos="711" w:val="left"/>
        </w:tabs>
        <w:numPr>
          <w:ilvl w:val="0"/>
          <w:numId w:val="232"/>
        </w:numPr>
        <w:rPr>
          <w:rFonts w:ascii="Arial" w:cs="Arial" w:eastAsia="Arial" w:hAnsi="Arial"/>
          <w:sz w:val="17"/>
          <w:szCs w:val="17"/>
          <w:color w:val="auto"/>
        </w:rPr>
      </w:pPr>
      <w:r>
        <w:rPr>
          <w:rFonts w:ascii="Arial" w:cs="Arial" w:eastAsia="Arial" w:hAnsi="Arial"/>
          <w:sz w:val="17"/>
          <w:szCs w:val="17"/>
          <w:i w:val="1"/>
          <w:iCs w:val="1"/>
          <w:color w:val="auto"/>
        </w:rPr>
        <w:t xml:space="preserve">Contribution. </w:t>
      </w:r>
      <w:r>
        <w:rPr>
          <w:rFonts w:ascii="Arial" w:cs="Arial" w:eastAsia="Arial" w:hAnsi="Arial"/>
          <w:sz w:val="17"/>
          <w:szCs w:val="17"/>
          <w:color w:val="auto"/>
        </w:rPr>
        <w:t>If the indemnification provided for in paragraphs (a) and (b) above is unavailable to an Indemnified Person or insufficient in respect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w:t>
      </w:r>
    </w:p>
    <w:p>
      <w:pPr>
        <w:sectPr>
          <w:pgSz w:w="11900" w:h="16838" w:orient="portrait"/>
          <w:cols w:equalWidth="0" w:num="1">
            <w:col w:w="11380"/>
          </w:cols>
          <w:pgMar w:left="240" w:top="274" w:right="279" w:bottom="1440" w:gutter="0" w:footer="0" w:header="0"/>
        </w:sectPr>
      </w:pPr>
    </w:p>
    <w:bookmarkStart w:id="266" w:name="page267"/>
    <w:bookmarkEnd w:id="266"/>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87" w:lineRule="exact"/>
        <w:rPr>
          <w:sz w:val="20"/>
          <w:szCs w:val="20"/>
          <w:color w:val="auto"/>
        </w:rPr>
      </w:pPr>
    </w:p>
    <w:p>
      <w:pPr>
        <w:ind w:left="700" w:hanging="236"/>
        <w:spacing w:after="0"/>
        <w:tabs>
          <w:tab w:leader="none" w:pos="700" w:val="left"/>
        </w:tabs>
        <w:numPr>
          <w:ilvl w:val="1"/>
          <w:numId w:val="233"/>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234"/>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pacing w:after="0" w:line="170" w:lineRule="exact"/>
        <w:rPr>
          <w:sz w:val="20"/>
          <w:szCs w:val="20"/>
          <w:color w:val="auto"/>
        </w:rPr>
      </w:pPr>
    </w:p>
    <w:p>
      <w:pPr>
        <w:ind w:left="640" w:hanging="17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right="20" w:firstLine="464"/>
        <w:spacing w:after="0" w:line="253" w:lineRule="auto"/>
        <w:tabs>
          <w:tab w:leader="none" w:pos="72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720" w:hanging="256"/>
        <w:spacing w:after="0"/>
        <w:tabs>
          <w:tab w:leader="none" w:pos="72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jc w:val="both"/>
        <w:ind w:right="40" w:firstLine="464"/>
        <w:spacing w:after="0" w:line="264" w:lineRule="auto"/>
        <w:tabs>
          <w:tab w:leader="none" w:pos="701"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w:t>
      </w:r>
    </w:p>
    <w:p>
      <w:pPr>
        <w:sectPr>
          <w:pgSz w:w="11900" w:h="16838" w:orient="portrait"/>
          <w:cols w:equalWidth="0" w:num="1">
            <w:col w:w="11400"/>
          </w:cols>
          <w:pgMar w:left="240" w:top="274" w:right="259" w:bottom="1440" w:gutter="0" w:footer="0" w:header="0"/>
        </w:sectPr>
      </w:pPr>
    </w:p>
    <w:bookmarkStart w:id="267" w:name="page268"/>
    <w:bookmarkEnd w:id="26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82" w:lineRule="exact"/>
        <w:rPr>
          <w:sz w:val="20"/>
          <w:szCs w:val="20"/>
          <w:color w:val="auto"/>
        </w:rPr>
      </w:pPr>
    </w:p>
    <w:p>
      <w:pPr>
        <w:ind w:right="100" w:firstLine="464"/>
        <w:spacing w:after="0" w:line="293" w:lineRule="auto"/>
        <w:tabs>
          <w:tab w:leader="none" w:pos="711"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does not exceed one-eleventh of the aggregate number of Securities to be purchased on such date, then the Company shall have the right to require each non-defaulting Underwriter to purchase the number of Securities that such Underwriter agreed to purchase hereunder on such date plus such Underwriter’s pro rata share (based on the number of Securities that such Underwriter agreed to purchase on such date) of the Securities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right="100" w:firstLine="464"/>
        <w:spacing w:after="0" w:line="254" w:lineRule="auto"/>
        <w:tabs>
          <w:tab w:leader="none" w:pos="70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Securities of a defaulting Underwriter or Underwriters by the non-defaulting Underwriters and the Company as provided in paragraph (a) above, the aggregate number of Securities that remain unpurchased on the Closing Date or the Additional Closing Date, as the case may be, exceeds one-eleventh of the 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92" w:lineRule="exact"/>
        <w:rPr>
          <w:rFonts w:ascii="Arial" w:cs="Arial" w:eastAsia="Arial" w:hAnsi="Arial"/>
          <w:sz w:val="18"/>
          <w:szCs w:val="18"/>
          <w:color w:val="auto"/>
        </w:rPr>
      </w:pPr>
    </w:p>
    <w:p>
      <w:pPr>
        <w:ind w:right="60" w:firstLine="464"/>
        <w:spacing w:after="0" w:line="277" w:lineRule="auto"/>
        <w:tabs>
          <w:tab w:leader="none" w:pos="711"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40" w:hanging="276"/>
        <w:spacing w:after="0"/>
        <w:tabs>
          <w:tab w:leader="none" w:pos="7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firstLine="464"/>
        <w:spacing w:after="0" w:line="291" w:lineRule="auto"/>
        <w:tabs>
          <w:tab w:leader="none" w:pos="701" w:val="left"/>
        </w:tabs>
        <w:numPr>
          <w:ilvl w:val="0"/>
          <w:numId w:val="239"/>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w:t>
      </w:r>
    </w:p>
    <w:p>
      <w:pPr>
        <w:sectPr>
          <w:pgSz w:w="11900" w:h="16838" w:orient="portrait"/>
          <w:cols w:equalWidth="0" w:num="1">
            <w:col w:w="11320"/>
          </w:cols>
          <w:pgMar w:left="240" w:top="274" w:right="339" w:bottom="1440" w:gutter="0" w:footer="0" w:header="0"/>
        </w:sectPr>
      </w:pPr>
    </w:p>
    <w:bookmarkStart w:id="268" w:name="page269"/>
    <w:bookmarkEnd w:id="268"/>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(vi) the costs and charges of any transfer agent and any registrar; (vii) all filing fees and the reasonable fees and expenses incurred in connection with any filing with, and</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clearance of the offering by, FINRA (such fees and expenses pursuant to this clause (vii) and clause (iv), in the aggregate, shall not exceed $[ ]); (viii)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and (ix) all expenses and application fees related to the listing of the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84" w:lineRule="exact"/>
        <w:rPr>
          <w:sz w:val="20"/>
          <w:szCs w:val="20"/>
          <w:color w:val="auto"/>
        </w:rPr>
      </w:pPr>
    </w:p>
    <w:p>
      <w:pPr>
        <w:ind w:left="720" w:hanging="256"/>
        <w:spacing w:after="0"/>
        <w:tabs>
          <w:tab w:leader="none" w:pos="720"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firstLine="8"/>
        <w:spacing w:after="0" w:line="253" w:lineRule="auto"/>
        <w:tabs>
          <w:tab w:leader="none" w:pos="26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Company for any reason fails to 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91" w:lineRule="exact"/>
        <w:rPr>
          <w:sz w:val="20"/>
          <w:szCs w:val="20"/>
          <w:color w:val="auto"/>
        </w:rPr>
      </w:pPr>
    </w:p>
    <w:p>
      <w:pPr>
        <w:ind w:right="120" w:firstLine="464"/>
        <w:spacing w:after="0" w:line="279" w:lineRule="auto"/>
        <w:tabs>
          <w:tab w:leader="none" w:pos="726"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280" w:firstLine="464"/>
        <w:spacing w:after="0" w:line="279" w:lineRule="auto"/>
        <w:tabs>
          <w:tab w:leader="none" w:pos="726"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60" w:firstLine="464"/>
        <w:spacing w:after="0" w:line="286" w:lineRule="auto"/>
        <w:tabs>
          <w:tab w:leader="none" w:pos="726"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ectPr>
          <w:pgSz w:w="11900" w:h="16838" w:orient="portrait"/>
          <w:cols w:equalWidth="0" w:num="1">
            <w:col w:w="11380"/>
          </w:cols>
          <w:pgMar w:left="240" w:top="274" w:right="279" w:bottom="1440" w:gutter="0" w:footer="0" w:header="0"/>
        </w:sectPr>
      </w:pPr>
    </w:p>
    <w:bookmarkStart w:id="269" w:name="page270"/>
    <w:bookmarkEnd w:id="269"/>
    <w:p>
      <w:pPr>
        <w:ind w:left="740" w:hanging="276"/>
        <w:spacing w:after="0"/>
        <w:tabs>
          <w:tab w:leader="none" w:pos="74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59"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700" w:firstLine="464"/>
        <w:spacing w:after="0" w:line="308" w:lineRule="auto"/>
        <w:tabs>
          <w:tab w:leader="none" w:pos="701"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1380" w:firstLine="464"/>
        <w:spacing w:after="0" w:line="308" w:lineRule="auto"/>
        <w:tabs>
          <w:tab w:leader="none" w:pos="711" w:val="left"/>
        </w:tabs>
        <w:numPr>
          <w:ilvl w:val="0"/>
          <w:numId w:val="244"/>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pacing w:after="0" w:line="146" w:lineRule="exact"/>
        <w:rPr>
          <w:rFonts w:ascii="Arial" w:cs="Arial" w:eastAsia="Arial" w:hAnsi="Arial"/>
          <w:sz w:val="17"/>
          <w:szCs w:val="17"/>
          <w:color w:val="auto"/>
        </w:rPr>
      </w:pPr>
    </w:p>
    <w:p>
      <w:pPr>
        <w:ind w:right="360" w:firstLine="464"/>
        <w:spacing w:after="0" w:line="277" w:lineRule="auto"/>
        <w:tabs>
          <w:tab w:leader="none" w:pos="70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right="660" w:firstLine="464"/>
        <w:spacing w:after="0" w:line="277" w:lineRule="auto"/>
        <w:tabs>
          <w:tab w:leader="none" w:pos="681" w:val="left"/>
        </w:tabs>
        <w:numPr>
          <w:ilvl w:val="0"/>
          <w:numId w:val="244"/>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1420"/>
          </w:cols>
          <w:pgMar w:left="240" w:top="274" w:right="239" w:bottom="1440" w:gutter="0" w:footer="0" w:header="0"/>
        </w:sectPr>
      </w:pPr>
    </w:p>
    <w:bookmarkStart w:id="270" w:name="page271"/>
    <w:bookmarkEnd w:id="27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w:t>
      </w:r>
    </w:p>
    <w:p>
      <w:pPr>
        <w:spacing w:after="0" w:line="248" w:lineRule="exact"/>
        <w:rPr>
          <w:sz w:val="20"/>
          <w:szCs w:val="20"/>
          <w:color w:val="auto"/>
        </w:rPr>
      </w:pPr>
    </w:p>
    <w:p>
      <w:pPr>
        <w:spacing w:after="0"/>
        <w:tabs>
          <w:tab w:leader="none" w:pos="10160" w:val="left"/>
        </w:tabs>
        <w:rPr>
          <w:sz w:val="20"/>
          <w:szCs w:val="20"/>
          <w:color w:val="auto"/>
        </w:rPr>
      </w:pPr>
      <w:r>
        <w:rPr>
          <w:rFonts w:ascii="Arial" w:cs="Arial" w:eastAsia="Arial" w:hAnsi="Arial"/>
          <w:sz w:val="13"/>
          <w:szCs w:val="13"/>
          <w:u w:val="single" w:color="auto"/>
          <w:color w:val="auto"/>
        </w:rPr>
        <w:t>Underwriter</w:t>
      </w:r>
      <w:r>
        <w:rPr>
          <w:sz w:val="20"/>
          <w:szCs w:val="20"/>
          <w:color w:val="auto"/>
        </w:rPr>
        <w:tab/>
      </w:r>
      <w:r>
        <w:rPr>
          <w:rFonts w:ascii="Arial" w:cs="Arial" w:eastAsia="Arial" w:hAnsi="Arial"/>
          <w:sz w:val="13"/>
          <w:szCs w:val="13"/>
          <w:u w:val="single" w:color="auto"/>
          <w:color w:val="auto"/>
        </w:rPr>
        <w:t>Number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6462395</wp:posOffset>
            </wp:positionH>
            <wp:positionV relativeFrom="paragraph">
              <wp:posOffset>14605</wp:posOffset>
            </wp:positionV>
            <wp:extent cx="7886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6462395</wp:posOffset>
            </wp:positionH>
            <wp:positionV relativeFrom="paragraph">
              <wp:posOffset>31750</wp:posOffset>
            </wp:positionV>
            <wp:extent cx="7886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[Subsidiaries of the Company]</w:t>
      </w:r>
    </w:p>
    <w:p>
      <w:pPr>
        <w:sectPr>
          <w:pgSz w:w="11900" w:h="16838" w:orient="portrait"/>
          <w:cols w:equalWidth="0" w:num="1">
            <w:col w:w="10220"/>
          </w:cols>
          <w:pgMar w:left="1440" w:top="27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Annex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Information</w:t>
      </w:r>
    </w:p>
    <w:p>
      <w:pPr>
        <w:spacing w:after="0" w:line="135"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Securities: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Public Offering Price Per Securities:</w:t>
      </w:r>
    </w:p>
    <w:p>
      <w:pPr>
        <w:sectPr>
          <w:pgSz w:w="11900" w:h="16838" w:orient="portrait"/>
          <w:cols w:equalWidth="0" w:num="1">
            <w:col w:w="11420"/>
          </w:cols>
          <w:pgMar w:left="240" w:top="27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(h)(2)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4280" w:hanging="488"/>
        <w:spacing w:after="0"/>
        <w:tabs>
          <w:tab w:leader="none" w:pos="42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Aggregate Principal Amount Senior Securities</w:t>
      </w:r>
    </w:p>
    <w:p>
      <w:pPr>
        <w:spacing w:after="0" w:line="23" w:lineRule="exact"/>
        <w:rPr>
          <w:sz w:val="20"/>
          <w:szCs w:val="20"/>
          <w:color w:val="auto"/>
        </w:rPr>
      </w:pPr>
    </w:p>
    <w:p>
      <w:pPr>
        <w:ind w:left="5580" w:right="3540" w:hanging="2033"/>
        <w:spacing w:after="0" w:line="250" w:lineRule="auto"/>
        <w:tabs>
          <w:tab w:leader="none" w:pos="403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Aggregate Principal Amount Subordinated Securities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[Names of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several Underwriters listed</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TPG Specialty Lending, Inc., a Delaware corporation (the “Company”), proposes, subject to the terms and conditions stated herein, to issue and to sell to the several Underwriters listed in Schedule 1 hereto (the “Underwriters”), for whom you are acting as representative[s] (the “Representative[s]”), $</w:t>
      </w:r>
    </w:p>
    <w:p>
      <w:pPr>
        <w:ind w:right="360"/>
        <w:spacing w:after="0" w:line="281" w:lineRule="auto"/>
        <w:rPr>
          <w:sz w:val="20"/>
          <w:szCs w:val="20"/>
          <w:color w:val="auto"/>
        </w:rPr>
      </w:pPr>
      <w:r>
        <w:rPr>
          <w:rFonts w:ascii="Arial" w:cs="Arial" w:eastAsia="Arial" w:hAnsi="Arial"/>
          <w:sz w:val="16"/>
          <w:szCs w:val="16"/>
          <w:color w:val="auto"/>
        </w:rPr>
        <w:t>aggregate principal amount [of senior debt securities (the “Senior Securities”)] [$ aggregate principal amount of subordinated debt securities (the “Subordinated Securities”)] [of warrants (the “Warrants”) to purchase Senior Securities or Subordinated Securities, or both, of the Company] (each of the</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aforesaid, the “Underwritten Securities”) and, at the option of the Underwriters, up to an additional [ ] of [ ], solely to cover overallotments (the “Option Securities”). The Underwritten Securities and the Option Securities are herein referred to as the “Securities.” “Warrant Securities” shall mean the Senior Securities or Subordinated Securities issuable upon exercise of Warrants.</w:t>
      </w:r>
    </w:p>
    <w:p>
      <w:pPr>
        <w:spacing w:after="0" w:line="190"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color w:val="auto"/>
        </w:rPr>
        <w:t>The [Senior Securities][Subordinated Securities] will be issued under an indenture to be dated as of [ ] (the “Base Indenture”), as supplemented by a supplemental indenture, dated as of [ ], (the “Supplemental Indenture” and, together with the Base Indenture, the “Indenture”)</w:t>
      </w:r>
    </w:p>
    <w:p>
      <w:pPr>
        <w:ind w:right="160"/>
        <w:spacing w:after="0" w:line="290" w:lineRule="auto"/>
        <w:rPr>
          <w:sz w:val="20"/>
          <w:szCs w:val="20"/>
          <w:color w:val="auto"/>
        </w:rPr>
      </w:pPr>
      <w:r>
        <w:rPr>
          <w:rFonts w:ascii="Arial" w:cs="Arial" w:eastAsia="Arial" w:hAnsi="Arial"/>
          <w:sz w:val="16"/>
          <w:szCs w:val="16"/>
          <w:color w:val="auto"/>
        </w:rPr>
        <w:t>between the Company and Wells Fargo Bank, National Association, as trustee (the “Trustee”). [The Warrants will be issued under one or more warrant agreements (the warrant agreement relating to any issue of Warrants to be sold pursuant to this Agreement is referred to herein as the “Warrant Agreement”) between the Company and the Warrant Agent identified in such Warrant Agreement (the “Warrant Agent”). ] Each issue of Senior Securities, Subordinated Securities and Warrants may vary, as applicable, as to aggregate principal amount, maturity date, interest rate or formula and timing of payments thereof, redemption provisions, conversion provisions and sinking fund requirements, if any, and any other variable terms which the Indenture or any Warrant Agreement, as the case may be, contemplates may be set forth in the Senior Securities, Subordinated Securities and Warrants as issued from time to time.</w:t>
      </w:r>
    </w:p>
    <w:p>
      <w:pPr>
        <w:spacing w:after="0" w:line="16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Securities will be issued in book-entry form to Cede &amp; Co. as nominee of the Depository Trust Company (“DTC”) pursuant to a blanket letter of representations, dated as of March 24, 2014, between the Company and DTC.</w:t>
      </w:r>
    </w:p>
    <w:p>
      <w:pPr>
        <w:sectPr>
          <w:pgSz w:w="11900" w:h="16838" w:orient="portrait"/>
          <w:cols w:equalWidth="0" w:num="1">
            <w:col w:w="11420"/>
          </w:cols>
          <w:pgMar w:left="240" w:top="121" w:right="239" w:bottom="1440" w:gutter="0" w:footer="0" w:header="0"/>
        </w:sectPr>
      </w:pPr>
    </w:p>
    <w:bookmarkStart w:id="277" w:name="page278"/>
    <w:bookmarkEnd w:id="277"/>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hereby confirms its agreement with the several Underwriters concerning the purchase and sale of the Securities, as follows:</w:t>
      </w:r>
    </w:p>
    <w:p>
      <w:pPr>
        <w:spacing w:after="0" w:line="237" w:lineRule="exact"/>
        <w:rPr>
          <w:sz w:val="20"/>
          <w:szCs w:val="20"/>
          <w:color w:val="auto"/>
        </w:rPr>
      </w:pPr>
    </w:p>
    <w:p>
      <w:pPr>
        <w:ind w:firstLine="464"/>
        <w:spacing w:after="0" w:line="291" w:lineRule="auto"/>
        <w:tabs>
          <w:tab w:leader="none" w:pos="636" w:val="left"/>
        </w:tabs>
        <w:numPr>
          <w:ilvl w:val="0"/>
          <w:numId w:val="24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Securities and Exchange Commission (the “Commission”) under the Securities Act of 1933, as amended, and the rules and regulations of the Commission thereunder (collectively, the “Securities Act”), a shelf registration statement on</w:t>
      </w:r>
    </w:p>
    <w:p>
      <w:pPr>
        <w:spacing w:after="0"/>
        <w:rPr>
          <w:rFonts w:ascii="Arial" w:cs="Arial" w:eastAsia="Arial" w:hAnsi="Arial"/>
          <w:sz w:val="16"/>
          <w:szCs w:val="16"/>
          <w:color w:val="auto"/>
        </w:rPr>
      </w:pPr>
      <w:r>
        <w:rPr>
          <w:rFonts w:ascii="Arial" w:cs="Arial" w:eastAsia="Arial" w:hAnsi="Arial"/>
          <w:sz w:val="18"/>
          <w:szCs w:val="18"/>
          <w:color w:val="auto"/>
        </w:rPr>
        <w:t>Form N-2 (File No. 333-</w:t>
      </w:r>
      <w:r>
        <w:rPr>
          <w:rFonts w:ascii="Arial" w:cs="Arial" w:eastAsia="Arial" w:hAnsi="Arial"/>
          <w:sz w:val="16"/>
          <w:szCs w:val="16"/>
          <w:color w:val="auto"/>
        </w:rPr>
        <w:t>), relating to the Securities and certain of the Company’s other securities, which registration statement was declared effective</w:t>
      </w:r>
    </w:p>
    <w:p>
      <w:pPr>
        <w:spacing w:after="0" w:line="2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by the Commission. The Indenture has been qualified under the Trust Indenture Act of 1939, as amended (the “1939 Act”). The Company has also filed with the Commission a preliminary prospectus supplement, dated , as such prospectus may be amended, which contains a base prospectus, dated (the “Base Prospectus” and, collectively, the “Preliminary Prospectus”). Promptly after execution and delivery of this</w:t>
      </w:r>
    </w:p>
    <w:p>
      <w:pPr>
        <w:ind w:right="40"/>
        <w:spacing w:after="0" w:line="267" w:lineRule="auto"/>
        <w:rPr>
          <w:sz w:val="20"/>
          <w:szCs w:val="20"/>
          <w:color w:val="auto"/>
        </w:rPr>
      </w:pPr>
      <w:r>
        <w:rPr>
          <w:rFonts w:ascii="Arial" w:cs="Arial" w:eastAsia="Arial" w:hAnsi="Arial"/>
          <w:sz w:val="17"/>
          <w:szCs w:val="17"/>
          <w:color w:val="auto"/>
        </w:rPr>
        <w:t>Agreement, the Company will prepare and file a prospectus in accordance with the provisions of Rule 430C (“Rule 430C”) of the rules and regulations of the Commission under the Securities Act and Rule 497 under the Securities Act. The information included in such prospectus that was omitted from such registration statement at the time it became effective but that is deemed to be part of such registration statement pursuant to Rule 430C is referred to as “Rule 430C Information.” Unless the context otherwise requires, such registration statement, including all documents filed as a part thereof, and including all post-effective amendments thereto filed on or prior to the date hereof and any Rule 430C Information contained in a prospectus subsequently filed with the Commission pursuant to Rule 497 under the Securities Act and deemed to be part of the registration statement, is herein called the “Registration Statement.” The final prospectus in the form first used in connection with confirmation of sales of the Securities, which will include the Base Prospectus, together with a final prospectus supplement, is herein called the “Prospectus.”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8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A Form N-6F Notice of Intent to Elect to be Subject to Sections 55 through 65 of the Investment Company Act of 1940 (File No. 814-00854) (the “Notice of Intent”) was filed, pursuant to Section 6(f) of the Investment Company Act of 1940, as amended, and the rules and regulations of the Commission thereunder (collectively, the “Investment Company Act”) with the Commission on January 14, 2011. A Form N-54A Notification of Election to be Subject to Sections 55 through 65 of the Investment Company Act of 1940 filed pursuant to Section 54(a) of the Investment Company Act (File No. 814-00854) (the “Notification of Election”) was filed under the Investment Company Act with the Commission on April 15, 2011.</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entered into an Amended and Restated Investment Advisory and Management Agreement, dated as of December 12, 2011 (the “Investment Management Agreement”), with TSL Advisers, LLC, a Delaware limited liability company registered as an investment adviser (the “Adviser”) under the Investment Advisers Act of 1940, as amended, and the rules and regulations thereunder (the “Advisers Act”).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also entered into an Administration Agreement, dated as of March 15, 2011 (the “Administration Agreement”) with the Adviser.</w:t>
      </w:r>
    </w:p>
    <w:p>
      <w:pPr>
        <w:spacing w:after="0" w:line="23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At or prior to the Applicable Time (as defined below), the Company had prepared the Preliminary Prospectus, which together with the pricing information set forth on Annex A, comprises the “Pricing Disclosure Package.</w:t>
      </w:r>
    </w:p>
    <w:p>
      <w:pPr>
        <w:sectPr>
          <w:pgSz w:w="11900" w:h="16838" w:orient="portrait"/>
          <w:cols w:equalWidth="0" w:num="1">
            <w:col w:w="11420"/>
          </w:cols>
          <w:pgMar w:left="240" w:top="274" w:right="239" w:bottom="1440" w:gutter="0" w:footer="0" w:header="0"/>
        </w:sectPr>
      </w:pPr>
    </w:p>
    <w:bookmarkStart w:id="278" w:name="page279"/>
    <w:bookmarkEnd w:id="278"/>
    <w:p>
      <w:pPr>
        <w:ind w:left="460"/>
        <w:spacing w:after="0"/>
        <w:tabs>
          <w:tab w:leader="none" w:pos="2960" w:val="left"/>
          <w:tab w:leader="none" w:pos="65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Time” means [</w:t>
      </w:r>
      <w:r>
        <w:rPr>
          <w:sz w:val="20"/>
          <w:szCs w:val="20"/>
          <w:color w:val="auto"/>
        </w:rPr>
        <w:tab/>
      </w:r>
      <w:r>
        <w:rPr>
          <w:rFonts w:ascii="Arial" w:cs="Arial" w:eastAsia="Arial" w:hAnsi="Arial"/>
          <w:sz w:val="18"/>
          <w:szCs w:val="18"/>
          <w:color w:val="auto"/>
        </w:rPr>
        <w:t>][A./ P.M.], New York City time, on [</w:t>
      </w:r>
      <w:r>
        <w:rPr>
          <w:sz w:val="20"/>
          <w:szCs w:val="20"/>
          <w:color w:val="auto"/>
        </w:rPr>
        <w:tab/>
      </w:r>
      <w:r>
        <w:rPr>
          <w:rFonts w:ascii="Arial" w:cs="Arial" w:eastAsia="Arial" w:hAnsi="Arial"/>
          <w:sz w:val="17"/>
          <w:szCs w:val="17"/>
          <w:color w:val="auto"/>
        </w:rPr>
        <w:t>].</w:t>
      </w:r>
    </w:p>
    <w:p>
      <w:pPr>
        <w:spacing w:after="0" w:line="225" w:lineRule="exact"/>
        <w:rPr>
          <w:sz w:val="20"/>
          <w:szCs w:val="20"/>
          <w:color w:val="auto"/>
        </w:rPr>
      </w:pPr>
    </w:p>
    <w:p>
      <w:pPr>
        <w:ind w:left="640" w:hanging="176"/>
        <w:spacing w:after="0"/>
        <w:tabs>
          <w:tab w:leader="none" w:pos="6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Purchase of the Securities by the Underwriters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7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agrees to issue and sell the Underwritten Securities to the several Underwriters as provided in this Agreement, and each Underwriter, on the basis of the representations, warranties and agreements set forth herein and subject to the conditions set forth herein, agrees, severally and not jointly, to purchase from the Company [the aggregate principal amount of][the number of] Underwritten Securities set forth opposite such Underwriter’s name in Schedule 1 hereto at the price (the “Purchase Price”) set forth in Schedule 1 hereto.</w:t>
      </w:r>
    </w:p>
    <w:p>
      <w:pPr>
        <w:spacing w:after="0" w:line="187"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In addition, the Company agrees to issue and sell the Option Securities to the several Underwriters as provided in this Agreement, and the Underwriters, on the basis of the representations, warranties and agreements set forth herein and subject to the conditions set forth herein, shall have the option to purchase, severally and not jointly, from the Company the Option Securities at the Purchase Price.</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If any Option Securities are to be purchased, the [aggregate principal amount] [number] of Option Securities to be purchased by each Underwriter shall be the [aggregate principal amount] [number] of Option Securities which bears the same ratio to the [aggregate principal amount] [aggregate number]of Option Securities being purchased as the number of Underwritten Securities set forth opposite the name of such Underwriter in Schedule 1 hereto (or such number increased as set forth in Section 11 hereof) bears to the [aggregate principal amount] [aggregate number] of Underwritten Securities being purchased from the Company by the several Underwriters.</w:t>
      </w:r>
    </w:p>
    <w:p>
      <w:pPr>
        <w:spacing w:after="0" w:line="18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Underwriters may exercise the option to purchase Option Securities at any time in whole, or from time to time in part, on or before the thirtieth day following the date of the Prospectus, by written notice from the Representative[s] to the Company. Such notice shall set forth the [aggregate principal amount] [aggregate number] of Option Securities as to which the option is being exercised and the date and time when the Option Securities are to be delivered and paid for, which may be the same date and time as the Closing Date (as hereinafter defined) but shall not be earlier than the Closing Date or later than the tenth full business day (as hereinafter defined) after the date of such notice (unless such time and date are postponed in accordance with the provisions of Section 11 hereof). Any such notice shall be given at least three business days prior to the date and time of delivery specified therein.</w:t>
      </w:r>
    </w:p>
    <w:p>
      <w:pPr>
        <w:spacing w:after="0" w:line="165" w:lineRule="exact"/>
        <w:rPr>
          <w:sz w:val="20"/>
          <w:szCs w:val="20"/>
          <w:color w:val="auto"/>
        </w:rPr>
      </w:pPr>
    </w:p>
    <w:p>
      <w:pPr>
        <w:ind w:right="80" w:firstLine="464"/>
        <w:spacing w:after="0" w:line="286" w:lineRule="auto"/>
        <w:tabs>
          <w:tab w:leader="none" w:pos="71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The Company understands that the Underwriters intend to make a public offering of the Securities as soon after the effectiveness of this Agreement as in the judgment of the Representative[s] is advisable, and initially to offer the Securities on the terms set forth in the Prospectus. The Company acknowledges and agrees that the Underwriters may offer and sell Securities to or through any affiliate of an Underwriter.</w:t>
      </w:r>
    </w:p>
    <w:p>
      <w:pPr>
        <w:spacing w:after="0" w:line="165" w:lineRule="exact"/>
        <w:rPr>
          <w:rFonts w:ascii="Arial" w:cs="Arial" w:eastAsia="Arial" w:hAnsi="Arial"/>
          <w:sz w:val="17"/>
          <w:szCs w:val="17"/>
          <w:color w:val="auto"/>
        </w:rPr>
      </w:pPr>
    </w:p>
    <w:p>
      <w:pPr>
        <w:ind w:left="700" w:hanging="236"/>
        <w:spacing w:after="0"/>
        <w:tabs>
          <w:tab w:leader="none" w:pos="70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Payment for the Securities shall be made by wire transfer in immediately available funds to the account specified by the Company to the</w:t>
      </w:r>
    </w:p>
    <w:p>
      <w:pPr>
        <w:spacing w:after="0" w:line="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Representative[s] in the case of the Underwritten Securities, at the offices of [ ], at 10:00 A.M., New York City time, on [ ], or at such other time or place on the same or such other date, not later than the fifth business day thereafter, as the Representative[s] and the Company may agree upon in writing or, in the case of the Option Securities, on the date and at the time and place specified by the Representative[s] in the written notice of the Underwriters’ election to purchase such Option Securities. The time and date of such payment for the Underwritten Securities is referred to herein as the “Closing Date”, and the time and date for such payment for the Option Securities, if other than the Closing Date, is herein referred to as the “Additional Closing Date.”</w:t>
      </w:r>
    </w:p>
    <w:p>
      <w:pPr>
        <w:sectPr>
          <w:pgSz w:w="11900" w:h="16838" w:orient="portrait"/>
          <w:cols w:equalWidth="0" w:num="1">
            <w:col w:w="11420"/>
          </w:cols>
          <w:pgMar w:left="240" w:top="274" w:right="239" w:bottom="1440" w:gutter="0" w:footer="0" w:header="0"/>
        </w:sectPr>
      </w:pPr>
    </w:p>
    <w:bookmarkStart w:id="279" w:name="page280"/>
    <w:bookmarkEnd w:id="279"/>
    <w:p>
      <w:pPr>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for the Securities to be purchased on the Closing Date or the Additional Closing Date, as the case may be, shall be made against delivery to the Representative[s] for the respective accounts of the several Underwriters of the Securities to be purchased on such date with any transfer taxes payable in connection with the sale of such Securities duly paid by the Company. Delivery of the Securities shall be made through the facilities of The Depository Trust Company (“DTC”) unless the Representative[s] shall otherwise instruct.</w:t>
      </w:r>
    </w:p>
    <w:p>
      <w:pPr>
        <w:spacing w:after="0" w:line="187" w:lineRule="exact"/>
        <w:rPr>
          <w:sz w:val="20"/>
          <w:szCs w:val="20"/>
          <w:color w:val="auto"/>
        </w:rPr>
      </w:pPr>
    </w:p>
    <w:p>
      <w:pPr>
        <w:ind w:right="60" w:firstLine="464"/>
        <w:spacing w:after="0" w:line="271" w:lineRule="auto"/>
        <w:tabs>
          <w:tab w:leader="none" w:pos="71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Company acknowledges and agrees that the Underwriters are acting solely in the capacity of an arm’s-length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640" w:hanging="176"/>
        <w:spacing w:after="0"/>
        <w:tabs>
          <w:tab w:leader="none" w:pos="64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that:</w:t>
      </w:r>
    </w:p>
    <w:p>
      <w:pPr>
        <w:spacing w:after="0" w:line="117" w:lineRule="exact"/>
        <w:rPr>
          <w:rFonts w:ascii="Arial" w:cs="Arial" w:eastAsia="Arial" w:hAnsi="Arial"/>
          <w:sz w:val="18"/>
          <w:szCs w:val="18"/>
          <w:color w:val="auto"/>
        </w:rPr>
      </w:pPr>
    </w:p>
    <w:p>
      <w:pPr>
        <w:ind w:left="460" w:firstLine="443"/>
        <w:spacing w:after="0" w:line="271" w:lineRule="auto"/>
        <w:tabs>
          <w:tab w:leader="none" w:pos="1143" w:val="left"/>
        </w:tabs>
        <w:numPr>
          <w:ilvl w:val="1"/>
          <w:numId w:val="253"/>
        </w:numPr>
        <w:rPr>
          <w:rFonts w:ascii="Arial" w:cs="Arial" w:eastAsia="Arial" w:hAnsi="Arial"/>
          <w:sz w:val="17"/>
          <w:szCs w:val="17"/>
          <w:color w:val="auto"/>
        </w:rPr>
      </w:pPr>
      <w:r>
        <w:rPr>
          <w:rFonts w:ascii="Arial" w:cs="Arial" w:eastAsia="Arial" w:hAnsi="Arial"/>
          <w:sz w:val="17"/>
          <w:szCs w:val="17"/>
          <w:i w:val="1"/>
          <w:iCs w:val="1"/>
          <w:color w:val="auto"/>
        </w:rPr>
        <w:t>Preliminary Prospectus</w:t>
      </w:r>
      <w:r>
        <w:rPr>
          <w:rFonts w:ascii="Arial" w:cs="Arial" w:eastAsia="Arial" w:hAnsi="Arial"/>
          <w:sz w:val="17"/>
          <w:szCs w:val="17"/>
          <w:color w:val="auto"/>
        </w:rPr>
        <w:t>. No order preventing or suspending the use of any Preliminary Prospectus has been issued by the Commission,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each Preliminary Prospectus included in the Pricing Disclosure Package, at the time of filing thereof, complied in all material respects with the Securities Act, and the Preliminary Prospectus, at the time of filing thereof, did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8(b) hereof.</w:t>
      </w:r>
    </w:p>
    <w:p>
      <w:pPr>
        <w:spacing w:after="0" w:line="70" w:lineRule="exact"/>
        <w:rPr>
          <w:rFonts w:ascii="Arial" w:cs="Arial" w:eastAsia="Arial" w:hAnsi="Arial"/>
          <w:sz w:val="17"/>
          <w:szCs w:val="17"/>
          <w:color w:val="auto"/>
        </w:rPr>
      </w:pPr>
    </w:p>
    <w:p>
      <w:pPr>
        <w:ind w:left="460" w:firstLine="443"/>
        <w:spacing w:after="0" w:line="272" w:lineRule="auto"/>
        <w:tabs>
          <w:tab w:leader="none" w:pos="1153" w:val="left"/>
        </w:tabs>
        <w:numPr>
          <w:ilvl w:val="1"/>
          <w:numId w:val="253"/>
        </w:numPr>
        <w:rPr>
          <w:rFonts w:ascii="Arial" w:cs="Arial" w:eastAsia="Arial" w:hAnsi="Arial"/>
          <w:sz w:val="17"/>
          <w:szCs w:val="17"/>
          <w:color w:val="auto"/>
        </w:rPr>
      </w:pPr>
      <w:r>
        <w:rPr>
          <w:rFonts w:ascii="Arial" w:cs="Arial" w:eastAsia="Arial" w:hAnsi="Arial"/>
          <w:sz w:val="17"/>
          <w:szCs w:val="17"/>
          <w:i w:val="1"/>
          <w:iCs w:val="1"/>
          <w:color w:val="auto"/>
        </w:rPr>
        <w:t>Pricing Disclosure Package</w:t>
      </w:r>
      <w:r>
        <w:rPr>
          <w:rFonts w:ascii="Arial" w:cs="Arial" w:eastAsia="Arial" w:hAnsi="Arial"/>
          <w:sz w:val="17"/>
          <w:szCs w:val="17"/>
          <w:color w:val="auto"/>
        </w:rPr>
        <w:t>. The Pricing Disclosure Package as of the Applicable Time did not, and the Pricing Disclosure Package (together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with any amendment or supplement thereto)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8(b) hereof.</w:t>
      </w:r>
    </w:p>
    <w:p>
      <w:pPr>
        <w:spacing w:after="0" w:line="69" w:lineRule="exact"/>
        <w:rPr>
          <w:rFonts w:ascii="Arial" w:cs="Arial" w:eastAsia="Arial" w:hAnsi="Arial"/>
          <w:sz w:val="17"/>
          <w:szCs w:val="17"/>
          <w:color w:val="auto"/>
        </w:rPr>
      </w:pPr>
    </w:p>
    <w:p>
      <w:pPr>
        <w:ind w:left="460" w:right="40" w:firstLine="443"/>
        <w:spacing w:after="0" w:line="308" w:lineRule="auto"/>
        <w:tabs>
          <w:tab w:leader="none" w:pos="1143" w:val="left"/>
        </w:tabs>
        <w:numPr>
          <w:ilvl w:val="1"/>
          <w:numId w:val="253"/>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Statement and Prospectus. </w:t>
      </w:r>
      <w:r>
        <w:rPr>
          <w:rFonts w:ascii="Arial" w:cs="Arial" w:eastAsia="Arial" w:hAnsi="Arial"/>
          <w:sz w:val="17"/>
          <w:szCs w:val="17"/>
          <w:color w:val="auto"/>
        </w:rPr>
        <w:t>The Company is eligible to use Form N-2. The Registration Statement has been declared effective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Commission. No order suspending the effectiveness of the Registration Statement has been issued by the Commission,</w:t>
      </w:r>
    </w:p>
    <w:p>
      <w:pPr>
        <w:sectPr>
          <w:pgSz w:w="11900" w:h="16838" w:orient="portrait"/>
          <w:cols w:equalWidth="0" w:num="1">
            <w:col w:w="11360"/>
          </w:cols>
          <w:pgMar w:left="240" w:top="274" w:right="299" w:bottom="1440" w:gutter="0" w:footer="0" w:header="0"/>
        </w:sectPr>
      </w:pPr>
    </w:p>
    <w:bookmarkStart w:id="280" w:name="page281"/>
    <w:bookmarkEnd w:id="280"/>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no proceeding for that purpose or pursuant to Section 8A of the Securities Act against the Company or related to the offering of the Securities has been initiated or threatened by the Commission; as of the applicable effective date of the Registration Statement and any post-effective amendment thereto, the Registration Statement and any such post-effective amendment complied and will comply in all material respects with the Securities Act, the applicable rules and regulations of the Commission thereunder, the Investment Company Act and the 1939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and any amendment or supplement thereto will not contain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makes no representation and warranty with respect to (i) that part of the Registration Statement that constitutes the Statement of Eligibility and Qualification (Form T-1) of the Trustee under the 1939 Act or (ii)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8(b) hereof.</w:t>
      </w:r>
    </w:p>
    <w:p>
      <w:pPr>
        <w:spacing w:after="0" w:line="67" w:lineRule="exact"/>
        <w:rPr>
          <w:sz w:val="20"/>
          <w:szCs w:val="20"/>
          <w:color w:val="auto"/>
        </w:rPr>
      </w:pPr>
    </w:p>
    <w:p>
      <w:pPr>
        <w:ind w:firstLine="443"/>
        <w:spacing w:after="0" w:line="270" w:lineRule="auto"/>
        <w:tabs>
          <w:tab w:leader="none" w:pos="693" w:val="left"/>
        </w:tabs>
        <w:numPr>
          <w:ilvl w:val="1"/>
          <w:numId w:val="254"/>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The financial statements (including the related notes thereto) of the Company and its consolidated subsidiaries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and any supporting schedules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and other books and records of the Company and its consolidated subsidiaries and presents fairly in all material respects the information shown thereby.</w:t>
      </w:r>
    </w:p>
    <w:p>
      <w:pPr>
        <w:spacing w:after="0" w:line="73" w:lineRule="exact"/>
        <w:rPr>
          <w:rFonts w:ascii="Arial" w:cs="Arial" w:eastAsia="Arial" w:hAnsi="Arial"/>
          <w:sz w:val="17"/>
          <w:szCs w:val="17"/>
          <w:color w:val="auto"/>
        </w:rPr>
      </w:pPr>
    </w:p>
    <w:p>
      <w:pPr>
        <w:jc w:val="both"/>
        <w:ind w:right="40" w:firstLine="443"/>
        <w:spacing w:after="0" w:line="291" w:lineRule="auto"/>
        <w:tabs>
          <w:tab w:leader="none" w:pos="683" w:val="left"/>
        </w:tabs>
        <w:numPr>
          <w:ilvl w:val="1"/>
          <w:numId w:val="254"/>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40" w:firstLine="4"/>
        <w:spacing w:after="0" w:line="288" w:lineRule="auto"/>
        <w:tabs>
          <w:tab w:leader="none" w:pos="21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there has not been any material change in the capital stock of the Company, short-term debt or long-term debt of the Company or any of its subsidiaries, or any dividend or distribution of any kind declared, set aside for payment, paid or made by the Company on any class of capital stock, or any material adverse change, or any development that would reasonably be expected to result in a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w:t>
      </w:r>
    </w:p>
    <w:p>
      <w:pPr>
        <w:sectPr>
          <w:pgSz w:w="11900" w:h="16838" w:orient="portrait"/>
          <w:cols w:equalWidth="0" w:num="1">
            <w:col w:w="10940"/>
          </w:cols>
          <w:pgMar w:left="700" w:top="274" w:right="259" w:bottom="1440" w:gutter="0" w:footer="0" w:header="0"/>
        </w:sectPr>
      </w:pPr>
    </w:p>
    <w:bookmarkStart w:id="281" w:name="page282"/>
    <w:bookmarkEnd w:id="281"/>
    <w:p>
      <w:pPr>
        <w:ind w:right="1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73" w:lineRule="exact"/>
        <w:rPr>
          <w:sz w:val="20"/>
          <w:szCs w:val="20"/>
          <w:color w:val="auto"/>
        </w:rPr>
      </w:pPr>
    </w:p>
    <w:p>
      <w:pPr>
        <w:ind w:right="20" w:firstLine="443"/>
        <w:spacing w:after="0" w:line="270" w:lineRule="auto"/>
        <w:tabs>
          <w:tab w:leader="none" w:pos="663" w:val="left"/>
        </w:tabs>
        <w:numPr>
          <w:ilvl w:val="0"/>
          <w:numId w:val="256"/>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Company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the Indenture, the Securities, the Investment Management Agreement and the Administration Agreement [and the Warrant Agreement] (a “Material Adverse Effect”). The subsidiaries listed in Schedule 2 to this Agreement are the only subsidiaries of the Company.</w:t>
      </w:r>
    </w:p>
    <w:p>
      <w:pPr>
        <w:spacing w:after="0" w:line="74" w:lineRule="exact"/>
        <w:rPr>
          <w:sz w:val="20"/>
          <w:szCs w:val="20"/>
          <w:color w:val="auto"/>
        </w:rPr>
      </w:pPr>
    </w:p>
    <w:p>
      <w:pPr>
        <w:ind w:firstLine="438"/>
        <w:spacing w:after="0" w:line="286"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i w:val="1"/>
          <w:iCs w:val="1"/>
          <w:color w:val="auto"/>
        </w:rPr>
        <w:t>Capitalization.</w:t>
      </w:r>
      <w:r>
        <w:rPr>
          <w:rFonts w:ascii="Arial" w:cs="Arial" w:eastAsia="Arial" w:hAnsi="Arial"/>
          <w:sz w:val="16"/>
          <w:szCs w:val="16"/>
          <w:color w:val="auto"/>
        </w:rPr>
        <w:t xml:space="preserve"> As of [ ], the Company had the authorized capitalization as set forth in the Registration Statement, the Pricing Disclosure Package and the Prospectus in “Capitalization” under the heading “Actual,” and, after giving effect to the offering pursuant to this Agreement and the use of proceeds thereof, would have had the authorized capitalization as set forth in column entitled “As Adjusted”; all the outstanding shares of capital stock of the Company have been duly authorized and validly issued and are fully paid and non-assessable and are not subject to any pre-emptive or similar rights; except as described in or expressly contemplated by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authorized and validly issued, are fully paid and non-assessable (except as otherwise described in the Registration Statement, the Pricing Disclosure Package and the Prospectus), and are owned directly or indirectly by the Company, free and clear of any lien, charge, encumbrance, security interest, restriction on voting or transfer or any other claim of any third party, except as described in the Registration Statement, the Pricing Disclosure Package and the Prospectus.</w:t>
      </w:r>
    </w:p>
    <w:p>
      <w:pPr>
        <w:spacing w:after="0" w:line="64" w:lineRule="exact"/>
        <w:rPr>
          <w:sz w:val="20"/>
          <w:szCs w:val="20"/>
          <w:color w:val="auto"/>
        </w:rPr>
      </w:pPr>
    </w:p>
    <w:p>
      <w:pPr>
        <w:ind w:left="700" w:hanging="257"/>
        <w:spacing w:after="0"/>
        <w:tabs>
          <w:tab w:leader="none" w:pos="700"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Company has not granted, and has no policy or expectation of granting stock options.</w:t>
      </w:r>
    </w:p>
    <w:p>
      <w:pPr>
        <w:spacing w:after="0" w:line="117" w:lineRule="exact"/>
        <w:rPr>
          <w:rFonts w:ascii="Arial" w:cs="Arial" w:eastAsia="Arial" w:hAnsi="Arial"/>
          <w:sz w:val="18"/>
          <w:szCs w:val="18"/>
          <w:color w:val="auto"/>
        </w:rPr>
      </w:pPr>
    </w:p>
    <w:p>
      <w:pPr>
        <w:ind w:right="160" w:firstLine="443"/>
        <w:spacing w:after="0" w:line="259" w:lineRule="auto"/>
        <w:tabs>
          <w:tab w:leader="none" w:pos="653" w:val="left"/>
        </w:tabs>
        <w:numPr>
          <w:ilvl w:val="0"/>
          <w:numId w:val="257"/>
        </w:numPr>
        <w:rPr>
          <w:rFonts w:ascii="Arial" w:cs="Arial" w:eastAsia="Arial" w:hAnsi="Arial"/>
          <w:sz w:val="18"/>
          <w:szCs w:val="18"/>
          <w:color w:val="auto"/>
        </w:rPr>
      </w:pPr>
      <w:r>
        <w:rPr>
          <w:rFonts w:ascii="Arial" w:cs="Arial" w:eastAsia="Arial" w:hAnsi="Arial"/>
          <w:sz w:val="18"/>
          <w:szCs w:val="18"/>
          <w:i w:val="1"/>
          <w:iCs w:val="1"/>
          <w:color w:val="auto"/>
        </w:rPr>
        <w:t xml:space="preserve">Due Authorization. </w:t>
      </w:r>
      <w:r>
        <w:rPr>
          <w:rFonts w:ascii="Arial" w:cs="Arial" w:eastAsia="Arial" w:hAnsi="Arial"/>
          <w:sz w:val="18"/>
          <w:szCs w:val="18"/>
          <w:color w:val="auto"/>
        </w:rPr>
        <w:t>The Company has corporate power and authority to execute and deliver this Agreement, the Indenture and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at the applicable time had corporate power and authority to execute and deliver the Investment Management Agreement and the Administration Agreement [and the Warrant Agreement] and to perform its obligations hereunder and thereunder; and all action required to be taken for the due and proper authorization,</w:t>
      </w:r>
    </w:p>
    <w:p>
      <w:pPr>
        <w:sectPr>
          <w:pgSz w:w="11900" w:h="16838" w:orient="portrait"/>
          <w:cols w:equalWidth="0" w:num="1">
            <w:col w:w="10960"/>
          </w:cols>
          <w:pgMar w:left="700" w:top="274" w:right="239" w:bottom="1440" w:gutter="0" w:footer="0" w:header="0"/>
        </w:sectPr>
      </w:pPr>
    </w:p>
    <w:bookmarkStart w:id="282" w:name="page283"/>
    <w:bookmarkEnd w:id="282"/>
    <w:p>
      <w:pPr>
        <w:ind w:right="3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execution and delivery by it of this Agreement, the Indenture, the Securities, and each of the Investment Management Agreement and the Administration Agreement [and the Warrant Agreement] and the consummation by it of the transactions contemplated hereby and thereby has been duly and validly taken.</w:t>
      </w:r>
    </w:p>
    <w:p>
      <w:pPr>
        <w:spacing w:after="0" w:line="73" w:lineRule="exact"/>
        <w:rPr>
          <w:sz w:val="20"/>
          <w:szCs w:val="20"/>
          <w:color w:val="auto"/>
        </w:rPr>
      </w:pPr>
    </w:p>
    <w:p>
      <w:pPr>
        <w:ind w:left="660" w:hanging="217"/>
        <w:spacing w:after="0"/>
        <w:tabs>
          <w:tab w:leader="none" w:pos="660" w:val="left"/>
        </w:tabs>
        <w:numPr>
          <w:ilvl w:val="0"/>
          <w:numId w:val="258"/>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ind w:right="20" w:firstLine="443"/>
        <w:spacing w:after="0" w:line="287" w:lineRule="auto"/>
        <w:tabs>
          <w:tab w:leader="none" w:pos="693" w:val="left"/>
        </w:tabs>
        <w:numPr>
          <w:ilvl w:val="0"/>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Indenture, Investment Management Agreement and Administration Agreement [and Warrant Agreement]. </w:t>
      </w:r>
      <w:r>
        <w:rPr>
          <w:rFonts w:ascii="Arial" w:cs="Arial" w:eastAsia="Arial" w:hAnsi="Arial"/>
          <w:sz w:val="16"/>
          <w:szCs w:val="16"/>
          <w:color w:val="auto"/>
        </w:rPr>
        <w:t>The Investment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and the Administration Agreement have each been duly authorized, executed and delivered by the Company and are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Indenture has been duly authorized, executed and delivered by the Company, and when executed and delivered by the Trustee, the Base Indenture constituted and the Supplemental Indenture will constitute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[The Warrant Agreement will have been duly authorized, executed and delivered by the Company prior to the issuance of any applicable Warrants and, when executed and delivered by the Warrant Agent, will constitute a valid and binding obligation of the Company, enforceable against the Company in accordance with its terms, except as enforceability may be limited by applicable bankruptcy, insolvency or similar laws affecting creditors’ rights generally or by equitable principles relating to enforceability.]</w:t>
      </w:r>
    </w:p>
    <w:p>
      <w:pPr>
        <w:spacing w:after="0" w:line="64" w:lineRule="exact"/>
        <w:rPr>
          <w:rFonts w:ascii="Arial" w:cs="Arial" w:eastAsia="Arial" w:hAnsi="Arial"/>
          <w:sz w:val="16"/>
          <w:szCs w:val="16"/>
          <w:color w:val="auto"/>
        </w:rPr>
      </w:pPr>
    </w:p>
    <w:p>
      <w:pPr>
        <w:ind w:firstLine="443"/>
        <w:spacing w:after="0" w:line="289" w:lineRule="auto"/>
        <w:tabs>
          <w:tab w:leader="none" w:pos="653" w:val="left"/>
        </w:tabs>
        <w:numPr>
          <w:ilvl w:val="0"/>
          <w:numId w:val="258"/>
        </w:numPr>
        <w:rPr>
          <w:rFonts w:ascii="Arial" w:cs="Arial" w:eastAsia="Arial" w:hAnsi="Arial"/>
          <w:sz w:val="16"/>
          <w:szCs w:val="16"/>
          <w:color w:val="auto"/>
        </w:rPr>
      </w:pPr>
      <w:r>
        <w:rPr>
          <w:rFonts w:ascii="Arial" w:cs="Arial" w:eastAsia="Arial" w:hAnsi="Arial"/>
          <w:sz w:val="16"/>
          <w:szCs w:val="16"/>
          <w:i w:val="1"/>
          <w:iCs w:val="1"/>
          <w:color w:val="auto"/>
        </w:rPr>
        <w:t xml:space="preserve">The Securities. </w:t>
      </w:r>
      <w:r>
        <w:rPr>
          <w:rFonts w:ascii="Arial" w:cs="Arial" w:eastAsia="Arial" w:hAnsi="Arial"/>
          <w:sz w:val="16"/>
          <w:szCs w:val="16"/>
          <w:color w:val="auto"/>
        </w:rPr>
        <w:t>(i) The Securities to be issued and sold by the Company hereunder have been duly authorized for issuance and sale and, when</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authenticated and delivered by the Company and authenticated by the Trustee pursuant to the provisions of this Agreement and the Indenture, against payment of the consideration set forth in this Agreement, will be valid and binding obligations of the Company, enforceable against the Company in accordance with their terms, except as enforceability may be limited by applicable bankruptcy, insolvency or similar laws affecting creditors’ rights generally or by equitable principles relating to enforceability, and will conform in all material respects to the descriptions thereof in the Registration Statement, the Pricing Disclosure Package and the Prospectus. [The Warrant Securities issuable upon exercise of the Warrants have been duly authorized and reserved for issuance upon such exercise, and when issued upon such exercise pursuant to the provisions of the Warrant Agreement, will be duly and validly issued, will be fully paid and nonassessable and not subject to any preemptive or similar rights and will conform in all material respects to the descriptions thereof in the Registration Statement, the Pricing Disclosure Package and the Prospectus.]</w:t>
      </w:r>
    </w:p>
    <w:p>
      <w:pPr>
        <w:spacing w:after="0" w:line="58" w:lineRule="exact"/>
        <w:rPr>
          <w:rFonts w:ascii="Arial" w:cs="Arial" w:eastAsia="Arial" w:hAnsi="Arial"/>
          <w:sz w:val="16"/>
          <w:szCs w:val="16"/>
          <w:color w:val="auto"/>
        </w:rPr>
      </w:pPr>
    </w:p>
    <w:p>
      <w:pPr>
        <w:ind w:left="460" w:right="40" w:firstLine="1"/>
        <w:spacing w:after="0" w:line="273" w:lineRule="auto"/>
        <w:tabs>
          <w:tab w:leader="none" w:pos="725" w:val="left"/>
        </w:tabs>
        <w:numPr>
          <w:ilvl w:val="1"/>
          <w:numId w:val="258"/>
        </w:numPr>
        <w:rPr>
          <w:rFonts w:ascii="Arial" w:cs="Arial" w:eastAsia="Arial" w:hAnsi="Arial"/>
          <w:sz w:val="17"/>
          <w:szCs w:val="17"/>
          <w:color w:val="auto"/>
        </w:rPr>
      </w:pPr>
      <w:r>
        <w:rPr>
          <w:rFonts w:ascii="Arial" w:cs="Arial" w:eastAsia="Arial" w:hAnsi="Arial"/>
          <w:sz w:val="17"/>
          <w:szCs w:val="17"/>
          <w:color w:val="auto"/>
        </w:rPr>
        <w:t>[Upon issuance and delivery of the Securities in accordance with this Agreement and the Indenture, the Securities will be convertible at the option of the holder thereof into [cash][shares of Common Stock (the “Underlying Securities”), par value $0.01 per share, of the Company (the “Common Stock”)][or a combination of cash and Underlying Securities, at the Company’s election], in accordance with the terms of the Securities and the Indenture, the Underlying Securities reserved for issuance upon conversion of the Securities will have been duly authorized and reserved and, if issued upon conversion of the Securities in accordance with the terms of the Securities, will be validly issued, fully paid and non-assessable and the issuance of the Underlying Securities will not be subject to any preemptive or similar rights.]</w:t>
      </w:r>
    </w:p>
    <w:p>
      <w:pPr>
        <w:sectPr>
          <w:pgSz w:w="11900" w:h="16838" w:orient="portrait"/>
          <w:cols w:equalWidth="0" w:num="1">
            <w:col w:w="10920"/>
          </w:cols>
          <w:pgMar w:left="700" w:top="274" w:right="279" w:bottom="1440" w:gutter="0" w:footer="0" w:header="0"/>
        </w:sectPr>
      </w:pPr>
    </w:p>
    <w:bookmarkStart w:id="283" w:name="page284"/>
    <w:bookmarkEnd w:id="283"/>
    <w:p>
      <w:pPr>
        <w:ind w:left="-443" w:right="180" w:firstLine="443"/>
        <w:spacing w:after="0" w:line="264" w:lineRule="auto"/>
        <w:tabs>
          <w:tab w:leader="none" w:pos="300" w:val="left"/>
        </w:tabs>
        <w:numPr>
          <w:ilvl w:val="0"/>
          <w:numId w:val="25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Descriptions of Investment Management Agreement and Administration Agreement</w:t>
      </w:r>
      <w:r>
        <w:rPr>
          <w:rFonts w:ascii="Arial" w:cs="Arial" w:eastAsia="Arial" w:hAnsi="Arial"/>
          <w:sz w:val="18"/>
          <w:szCs w:val="18"/>
          <w:color w:val="auto"/>
        </w:rPr>
        <w:t>. Both the Investment Management Agreement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Administration Agreement conform in all material respects to the descriptions thereof contained in the Registration Statement, the Pricing Disclosure Package and the Prospectus.</w:t>
      </w:r>
    </w:p>
    <w:p>
      <w:pPr>
        <w:spacing w:after="0" w:line="73" w:lineRule="exact"/>
        <w:rPr>
          <w:rFonts w:ascii="Arial" w:cs="Arial" w:eastAsia="Arial" w:hAnsi="Arial"/>
          <w:sz w:val="18"/>
          <w:szCs w:val="18"/>
          <w:color w:val="auto"/>
        </w:rPr>
      </w:pPr>
    </w:p>
    <w:p>
      <w:pPr>
        <w:ind w:left="-443" w:right="60" w:firstLine="443"/>
        <w:spacing w:after="0" w:line="271" w:lineRule="auto"/>
        <w:tabs>
          <w:tab w:leader="none" w:pos="250"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Company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(ii) and (iii) above, for any such default or violation that would not reasonably be expected, individually or in the aggregate, to have a Material Adverse Effect.</w:t>
      </w:r>
    </w:p>
    <w:p>
      <w:pPr>
        <w:spacing w:after="0" w:line="70" w:lineRule="exact"/>
        <w:rPr>
          <w:rFonts w:ascii="Arial" w:cs="Arial" w:eastAsia="Arial" w:hAnsi="Arial"/>
          <w:sz w:val="17"/>
          <w:szCs w:val="17"/>
          <w:color w:val="auto"/>
        </w:rPr>
      </w:pPr>
    </w:p>
    <w:p>
      <w:pPr>
        <w:ind w:left="-443" w:right="20" w:firstLine="443"/>
        <w:spacing w:after="0" w:line="287" w:lineRule="auto"/>
        <w:tabs>
          <w:tab w:leader="none" w:pos="250" w:val="left"/>
        </w:tabs>
        <w:numPr>
          <w:ilvl w:val="0"/>
          <w:numId w:val="259"/>
        </w:numPr>
        <w:rPr>
          <w:rFonts w:ascii="Arial" w:cs="Arial" w:eastAsia="Arial" w:hAnsi="Arial"/>
          <w:sz w:val="16"/>
          <w:szCs w:val="16"/>
          <w:color w:val="auto"/>
        </w:rPr>
      </w:pPr>
      <w:r>
        <w:rPr>
          <w:rFonts w:ascii="Arial" w:cs="Arial" w:eastAsia="Arial" w:hAnsi="Arial"/>
          <w:sz w:val="16"/>
          <w:szCs w:val="16"/>
          <w:i w:val="1"/>
          <w:iCs w:val="1"/>
          <w:color w:val="auto"/>
        </w:rPr>
        <w:t xml:space="preserve">No Conflicts. </w:t>
      </w:r>
      <w:r>
        <w:rPr>
          <w:rFonts w:ascii="Arial" w:cs="Arial" w:eastAsia="Arial" w:hAnsi="Arial"/>
          <w:sz w:val="16"/>
          <w:szCs w:val="16"/>
          <w:color w:val="auto"/>
        </w:rPr>
        <w:t>The execution, delivery and performance by the Company of this Agreement and the Indenture, the issuance and sale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[(including issuance of the Underlying Securities upon conversion thereof)] and the consummation of the transactions contemplated by this Agreement and the Indenture and the performance by the Company of the Investment Management Agreement and the Administration Agreement [and the Warrant Agreement] will not (i) conflict with or result in a breach or violation of any of the terms or provisions of, or constitute a default under, or result in the creation or imposition of any lien, charge or encumbrance upon any property or assets of the Company or any of its subsidiaries pursuant to,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(ii) result in any violation of the provisions of the charter or by-laws or similar organizational documents of the Company or any of its subsidiaries or (iii) result in the violation of any law or statute applicable to the Company or any of its subsidiaries or any judgment, order, rule or regulation of any court or arbitrator or governmental or regulatory authority having jurisdiction over the Company or any of its subsidiaries, except, in the case of clauses (i) and (iii) above, for any such conflict, breach, violation, default, lien, charge or encumbrance that would not reasonably be expected, individually or in the aggregate, to have a Material Adverse Effect.</w:t>
      </w:r>
    </w:p>
    <w:p>
      <w:pPr>
        <w:spacing w:after="0" w:line="60" w:lineRule="exact"/>
        <w:rPr>
          <w:rFonts w:ascii="Arial" w:cs="Arial" w:eastAsia="Arial" w:hAnsi="Arial"/>
          <w:sz w:val="16"/>
          <w:szCs w:val="16"/>
          <w:color w:val="auto"/>
        </w:rPr>
      </w:pPr>
    </w:p>
    <w:p>
      <w:pPr>
        <w:ind w:left="-443" w:firstLine="443"/>
        <w:spacing w:after="0" w:line="272" w:lineRule="auto"/>
        <w:tabs>
          <w:tab w:leader="none" w:pos="250" w:val="left"/>
        </w:tabs>
        <w:numPr>
          <w:ilvl w:val="0"/>
          <w:numId w:val="259"/>
        </w:numPr>
        <w:rPr>
          <w:rFonts w:ascii="Arial" w:cs="Arial" w:eastAsia="Arial" w:hAnsi="Arial"/>
          <w:sz w:val="17"/>
          <w:szCs w:val="17"/>
          <w:color w:val="auto"/>
        </w:rPr>
      </w:pPr>
      <w:r>
        <w:rPr>
          <w:rFonts w:ascii="Arial" w:cs="Arial" w:eastAsia="Arial" w:hAnsi="Arial"/>
          <w:sz w:val="17"/>
          <w:szCs w:val="17"/>
          <w:i w:val="1"/>
          <w:iCs w:val="1"/>
          <w:color w:val="auto"/>
        </w:rPr>
        <w:t xml:space="preserve">No Consents Required. </w:t>
      </w:r>
      <w:r>
        <w:rPr>
          <w:rFonts w:ascii="Arial" w:cs="Arial" w:eastAsia="Arial" w:hAnsi="Arial"/>
          <w:sz w:val="17"/>
          <w:szCs w:val="17"/>
          <w:color w:val="auto"/>
        </w:rPr>
        <w:t>No consent, approval, authorization, order, license, registration or qualification of or with any court or arbitrator or</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authority is required for the execution, delivery and performance by the Company of this Agreement and the Indenture, the issuance and sale of the Securities and the consummation of the transactions contemplated by this Agreement and the Indenture or the performance by the Company of the Investment Management Agreement and the Administration Agreement [and the Warrant Agreement], except for (i) the registration of the Securities under the Securities Act, (ii) such consents, approvals, authorizations, orders, licenses, registrations or qualifications as have already been obtained or made, (iii) the qualification of the Indenture under the 1939 Act, (iv) such consents, approvals, authorizations, orders and registrations or qualifications as may be required by the</w:t>
      </w:r>
    </w:p>
    <w:p>
      <w:pPr>
        <w:sectPr>
          <w:pgSz w:w="11900" w:h="16838" w:orient="portrait"/>
          <w:cols w:equalWidth="0" w:num="1">
            <w:col w:w="10497"/>
          </w:cols>
          <w:pgMar w:left="1143" w:top="274" w:right="259" w:bottom="1440" w:gutter="0" w:footer="0" w:header="0"/>
        </w:sectPr>
      </w:pPr>
    </w:p>
    <w:bookmarkStart w:id="284" w:name="page285"/>
    <w:bookmarkEnd w:id="284"/>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Industry Regulatory Authority, Inc. (“FINRA”), [applicable stock exchange] or under applicable state securities laws in connection with the purchase and distribution of the Securities by the Underwriters and (v) where the failure to obtain any such consent, approval, authorization, order, license, registration or qualification would not reasonably be expected, individually or in the aggregate, to have a Material Adverse Effect.</w:t>
      </w:r>
    </w:p>
    <w:p>
      <w:pPr>
        <w:spacing w:after="0" w:line="39" w:lineRule="exact"/>
        <w:rPr>
          <w:sz w:val="20"/>
          <w:szCs w:val="20"/>
          <w:color w:val="auto"/>
        </w:rPr>
      </w:pPr>
    </w:p>
    <w:p>
      <w:pPr>
        <w:ind w:firstLine="443"/>
        <w:spacing w:after="0" w:line="269" w:lineRule="auto"/>
        <w:tabs>
          <w:tab w:leader="none" w:pos="693"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Company or any of its subsidiaries is or, to the knowledge of the Company, may be reasonably expected to become a party or to which any property of the Company or any of its subsidiaries is or, to the knowledge of the Company, may be reasonably expected to become the subject that, individually or in the aggregate, if determined adversely to the Company or any of its subsidiaries, would reasonably be expected to have a Material Adverse Effect; no such investigations, actions, suits or proceedings are threatened or, to the knowledge of the Company, contemplated by any governmental or regulatory authority or threatened by others, except as would not reasonably be expected, individually or in the aggregate, to have a Material Adverse Effect; and (i)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 and (ii) there are no contracts or other documents that are required under the Securities Act to be filed as exhibits to the Registration Statement that are not so filed as exhibits to the Registration Statement.</w:t>
      </w:r>
    </w:p>
    <w:p>
      <w:pPr>
        <w:spacing w:after="0" w:line="74" w:lineRule="exact"/>
        <w:rPr>
          <w:rFonts w:ascii="Arial" w:cs="Arial" w:eastAsia="Arial" w:hAnsi="Arial"/>
          <w:sz w:val="17"/>
          <w:szCs w:val="17"/>
          <w:color w:val="auto"/>
        </w:rPr>
      </w:pPr>
    </w:p>
    <w:p>
      <w:pPr>
        <w:ind w:right="80" w:firstLine="443"/>
        <w:spacing w:after="0" w:line="259" w:lineRule="auto"/>
        <w:tabs>
          <w:tab w:leader="none" w:pos="663" w:val="left"/>
        </w:tabs>
        <w:numPr>
          <w:ilvl w:val="0"/>
          <w:numId w:val="260"/>
        </w:numPr>
        <w:rPr>
          <w:rFonts w:ascii="Arial" w:cs="Arial" w:eastAsia="Arial" w:hAnsi="Arial"/>
          <w:sz w:val="18"/>
          <w:szCs w:val="18"/>
          <w:color w:val="auto"/>
        </w:rPr>
      </w:pPr>
      <w:r>
        <w:rPr>
          <w:rFonts w:ascii="Arial" w:cs="Arial" w:eastAsia="Arial" w:hAnsi="Arial"/>
          <w:sz w:val="18"/>
          <w:szCs w:val="18"/>
          <w:i w:val="1"/>
          <w:iCs w:val="1"/>
          <w:color w:val="auto"/>
        </w:rPr>
        <w:t>Notification of Election</w:t>
      </w:r>
      <w:r>
        <w:rPr>
          <w:rFonts w:ascii="Arial" w:cs="Arial" w:eastAsia="Arial" w:hAnsi="Arial"/>
          <w:sz w:val="18"/>
          <w:szCs w:val="18"/>
          <w:color w:val="auto"/>
        </w:rPr>
        <w:t>. When the Notification of Election was filed with the Commission, it (i) contained all statements required to be stated</w:t>
      </w:r>
      <w:r>
        <w:rPr>
          <w:rFonts w:ascii="Arial" w:cs="Arial" w:eastAsia="Arial" w:hAnsi="Arial"/>
          <w:sz w:val="18"/>
          <w:szCs w:val="18"/>
          <w:i w:val="1"/>
          <w:iCs w:val="1"/>
          <w:color w:val="auto"/>
        </w:rPr>
        <w:t xml:space="preserve"> </w:t>
      </w:r>
      <w:r>
        <w:rPr>
          <w:rFonts w:ascii="Arial" w:cs="Arial" w:eastAsia="Arial" w:hAnsi="Arial"/>
          <w:sz w:val="18"/>
          <w:szCs w:val="18"/>
          <w:color w:val="auto"/>
        </w:rPr>
        <w:t>therein in accordance with, and complied in all material respects with the requirements of, the Investment Company Act and (ii) did not include any untrue statement of a material fact or omit to state a material fact necessary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100" w:firstLine="443"/>
        <w:spacing w:after="0" w:line="271" w:lineRule="auto"/>
        <w:tabs>
          <w:tab w:leader="none" w:pos="673"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Election to be Treated as a Business Development Company</w:t>
      </w:r>
      <w:r>
        <w:rPr>
          <w:rFonts w:ascii="Arial" w:cs="Arial" w:eastAsia="Arial" w:hAnsi="Arial"/>
          <w:sz w:val="17"/>
          <w:szCs w:val="17"/>
          <w:color w:val="auto"/>
        </w:rPr>
        <w:t>. (A) The Company has duly elected to be treated by the Commission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Company Act as a business development company, such election is effective and the Company has not withdrawn such election and, to the Company’s knowledge, the Commission has not ordered such election to be withdrawn nor, to the Company’s knowledge have proceedings to effectuate such withdrawal been initiated or threatened by the Commission; (B) the provisions of the certificate of incorporation and by-laws of the Company and the investment objectives, policies and restrictions of the Company described in the Prospectus, assuming they are implemented as described, will comply in all material respects with the requirements of the Investment Company Act; and (C) as of the time of each sale of Securities, as of the Closing Date and as of any Additional Closing Date, the operations of the Company are in compliance in all material respects with the provisions of the Investment Company Act applicable to business development companies.</w:t>
      </w:r>
    </w:p>
    <w:p>
      <w:pPr>
        <w:spacing w:after="0" w:line="70" w:lineRule="exact"/>
        <w:rPr>
          <w:rFonts w:ascii="Arial" w:cs="Arial" w:eastAsia="Arial" w:hAnsi="Arial"/>
          <w:sz w:val="17"/>
          <w:szCs w:val="17"/>
          <w:color w:val="auto"/>
        </w:rPr>
      </w:pPr>
    </w:p>
    <w:p>
      <w:pPr>
        <w:ind w:right="100" w:firstLine="443"/>
        <w:spacing w:after="0" w:line="286" w:lineRule="auto"/>
        <w:tabs>
          <w:tab w:leader="none" w:pos="653" w:val="left"/>
        </w:tabs>
        <w:numPr>
          <w:ilvl w:val="0"/>
          <w:numId w:val="260"/>
        </w:numPr>
        <w:rPr>
          <w:rFonts w:ascii="Arial" w:cs="Arial" w:eastAsia="Arial" w:hAnsi="Arial"/>
          <w:sz w:val="17"/>
          <w:szCs w:val="17"/>
          <w:color w:val="auto"/>
        </w:rPr>
      </w:pPr>
      <w:r>
        <w:rPr>
          <w:rFonts w:ascii="Arial" w:cs="Arial" w:eastAsia="Arial" w:hAnsi="Arial"/>
          <w:sz w:val="17"/>
          <w:szCs w:val="17"/>
          <w:i w:val="1"/>
          <w:iCs w:val="1"/>
          <w:color w:val="auto"/>
        </w:rPr>
        <w:t>Independent Accountants</w:t>
      </w:r>
      <w:r>
        <w:rPr>
          <w:rFonts w:ascii="Arial" w:cs="Arial" w:eastAsia="Arial" w:hAnsi="Arial"/>
          <w:sz w:val="17"/>
          <w:szCs w:val="17"/>
          <w:color w:val="auto"/>
        </w:rPr>
        <w:t>. KPMG LLP, who have certified certain financial statements of the Company and its subsidiaries, is an independent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registered public accounting firm with respect to the Company and its subsidiaries within the applicable rules and regulations adopted by the Commission and the Public Company Accounting Oversight Board (United States) and as required by the Securities Act.</w:t>
      </w:r>
    </w:p>
    <w:p>
      <w:pPr>
        <w:sectPr>
          <w:pgSz w:w="11900" w:h="16838" w:orient="portrait"/>
          <w:cols w:equalWidth="0" w:num="1">
            <w:col w:w="10940"/>
          </w:cols>
          <w:pgMar w:left="700" w:top="274" w:right="259" w:bottom="1440" w:gutter="0" w:footer="0" w:header="0"/>
        </w:sectPr>
      </w:pPr>
    </w:p>
    <w:bookmarkStart w:id="285" w:name="page286"/>
    <w:bookmarkEnd w:id="285"/>
    <w:p>
      <w:pPr>
        <w:ind w:left="-4" w:right="20" w:firstLine="443"/>
        <w:spacing w:after="0" w:line="293" w:lineRule="auto"/>
        <w:tabs>
          <w:tab w:leader="none" w:pos="688" w:val="left"/>
        </w:tabs>
        <w:numPr>
          <w:ilvl w:val="1"/>
          <w:numId w:val="26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Title to Real and Personal Property</w:t>
      </w:r>
      <w:r>
        <w:rPr>
          <w:rFonts w:ascii="Arial" w:cs="Arial" w:eastAsia="Arial" w:hAnsi="Arial"/>
          <w:sz w:val="16"/>
          <w:szCs w:val="16"/>
          <w:color w:val="auto"/>
        </w:rPr>
        <w:t>. Except as would not reasonably be expected, individually or in the aggregate, to have a Material Adverse</w:t>
      </w:r>
      <w:r>
        <w:rPr>
          <w:rFonts w:ascii="Arial" w:cs="Arial" w:eastAsia="Arial" w:hAnsi="Arial"/>
          <w:sz w:val="16"/>
          <w:szCs w:val="16"/>
          <w:i w:val="1"/>
          <w:iCs w:val="1"/>
          <w:color w:val="auto"/>
        </w:rPr>
        <w:t xml:space="preserve"> </w:t>
      </w:r>
      <w:r>
        <w:rPr>
          <w:rFonts w:ascii="Arial" w:cs="Arial" w:eastAsia="Arial" w:hAnsi="Arial"/>
          <w:sz w:val="16"/>
          <w:szCs w:val="16"/>
          <w:color w:val="auto"/>
        </w:rPr>
        <w:t>Effect, the Company and its subsidiaries have good and marketable title in fee simple (in the case of real property) to, or have valid and marketable rights to lease or otherwise use, all items of real and personal property and assets (other than intellectual property, which is subject to Section 3(v)) that are material to the business of the Company and its subsidiaries, in each case free and clear of all liens, encumbrances, claims and defects and imperfections of title except (i) as otherwise described in the Registration Statement, the Pricing Disclosure Package and the Prospectus or (ii) those that do not materially interfere with the use made and proposed to be made of such property by the Company and its subsidiaries.</w:t>
      </w:r>
    </w:p>
    <w:p>
      <w:pPr>
        <w:spacing w:after="0" w:line="56" w:lineRule="exact"/>
        <w:rPr>
          <w:rFonts w:ascii="Arial" w:cs="Arial" w:eastAsia="Arial" w:hAnsi="Arial"/>
          <w:sz w:val="16"/>
          <w:szCs w:val="16"/>
          <w:color w:val="auto"/>
        </w:rPr>
      </w:pPr>
    </w:p>
    <w:p>
      <w:pPr>
        <w:ind w:left="696" w:hanging="257"/>
        <w:spacing w:after="0"/>
        <w:tabs>
          <w:tab w:leader="none" w:pos="696" w:val="left"/>
        </w:tabs>
        <w:numPr>
          <w:ilvl w:val="1"/>
          <w:numId w:val="261"/>
        </w:numPr>
        <w:rPr>
          <w:rFonts w:ascii="Arial" w:cs="Arial" w:eastAsia="Arial" w:hAnsi="Arial"/>
          <w:sz w:val="16"/>
          <w:szCs w:val="16"/>
          <w:color w:val="auto"/>
        </w:rPr>
      </w:pPr>
      <w:r>
        <w:rPr>
          <w:rFonts w:ascii="Arial" w:cs="Arial" w:eastAsia="Arial" w:hAnsi="Arial"/>
          <w:sz w:val="16"/>
          <w:szCs w:val="16"/>
          <w:i w:val="1"/>
          <w:iCs w:val="1"/>
          <w:color w:val="auto"/>
        </w:rPr>
        <w:t>Title to Intellectual Property</w:t>
      </w:r>
      <w:r>
        <w:rPr>
          <w:rFonts w:ascii="Arial" w:cs="Arial" w:eastAsia="Arial" w:hAnsi="Arial"/>
          <w:sz w:val="16"/>
          <w:szCs w:val="16"/>
          <w:color w:val="auto"/>
        </w:rPr>
        <w:t>. Except as would not reasonably be expected, individually or in the aggregate, to have a Material Adverse Effect,</w:t>
      </w:r>
    </w:p>
    <w:p>
      <w:pPr>
        <w:spacing w:after="0" w:line="46" w:lineRule="exact"/>
        <w:rPr>
          <w:rFonts w:ascii="Arial" w:cs="Arial" w:eastAsia="Arial" w:hAnsi="Arial"/>
          <w:sz w:val="16"/>
          <w:szCs w:val="16"/>
          <w:color w:val="auto"/>
        </w:rPr>
      </w:pPr>
    </w:p>
    <w:p>
      <w:pPr>
        <w:ind w:left="-4" w:right="20" w:firstLine="4"/>
        <w:spacing w:after="0" w:line="252" w:lineRule="auto"/>
        <w:tabs>
          <w:tab w:leader="none" w:pos="21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Company and its subsidiaries, to the knowledge of the Company, own or possess, or can acquire on reasonable terms, adequate rights to use all patents, patent applications, trademarks, service marks, trade names, trademark registrations, service mark registrations, copyrights, licenses and know-how (including trade secrets) necessary for the conduct of their respective businesses as currently conducted, and (ii) to the knowledge of the Company, the conduct of their respective businesses as currently conducted does not conflict with any such rights of others. The Company and its subsidiaries have not received any written notice of any claim of infringement, misappropriation or conflict with any such rights of others in connection with its patents, patent rights, licenses, inventions, trademarks, service marks, trade names, copyrights and know-how, which would reasonably be expected to result in a Material Adverse Effect.</w:t>
      </w:r>
    </w:p>
    <w:p>
      <w:pPr>
        <w:spacing w:after="0" w:line="84" w:lineRule="exact"/>
        <w:rPr>
          <w:rFonts w:ascii="Arial" w:cs="Arial" w:eastAsia="Arial" w:hAnsi="Arial"/>
          <w:sz w:val="18"/>
          <w:szCs w:val="18"/>
          <w:color w:val="auto"/>
        </w:rPr>
      </w:pPr>
    </w:p>
    <w:p>
      <w:pPr>
        <w:ind w:left="-4" w:right="20" w:firstLine="443"/>
        <w:spacing w:after="0" w:line="259" w:lineRule="auto"/>
        <w:tabs>
          <w:tab w:leader="none" w:pos="729"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No Undisclosed Relationships</w:t>
      </w:r>
      <w:r>
        <w:rPr>
          <w:rFonts w:ascii="Arial" w:cs="Arial" w:eastAsia="Arial" w:hAnsi="Arial"/>
          <w:sz w:val="18"/>
          <w:szCs w:val="18"/>
          <w:color w:val="auto"/>
        </w:rPr>
        <w:t>. No relationship, direct or indirect, exists between or among the Company or any of its subsidiaries, on the one</w:t>
      </w:r>
      <w:r>
        <w:rPr>
          <w:rFonts w:ascii="Arial" w:cs="Arial" w:eastAsia="Arial" w:hAnsi="Arial"/>
          <w:sz w:val="18"/>
          <w:szCs w:val="18"/>
          <w:i w:val="1"/>
          <w:iCs w:val="1"/>
          <w:color w:val="auto"/>
        </w:rPr>
        <w:t xml:space="preserve"> </w:t>
      </w:r>
      <w:r>
        <w:rPr>
          <w:rFonts w:ascii="Arial" w:cs="Arial" w:eastAsia="Arial" w:hAnsi="Arial"/>
          <w:sz w:val="18"/>
          <w:szCs w:val="18"/>
          <w:color w:val="auto"/>
        </w:rPr>
        <w:t>hand, and the directors, officers, stockholders, customers or suppliers of the Company or any of its subsidiaries, on the other, that is required by the Securities Act to be described in the Registration Statement and the Prospectus and that is not so described in such documents and in the Pricing Disclosure Package.</w:t>
      </w:r>
    </w:p>
    <w:p>
      <w:pPr>
        <w:spacing w:after="0" w:line="78" w:lineRule="exact"/>
        <w:rPr>
          <w:rFonts w:ascii="Arial" w:cs="Arial" w:eastAsia="Arial" w:hAnsi="Arial"/>
          <w:sz w:val="18"/>
          <w:szCs w:val="18"/>
          <w:color w:val="auto"/>
        </w:rPr>
      </w:pPr>
    </w:p>
    <w:p>
      <w:pPr>
        <w:ind w:left="-4" w:firstLine="443"/>
        <w:spacing w:after="0" w:line="297" w:lineRule="auto"/>
        <w:tabs>
          <w:tab w:leader="none" w:pos="688" w:val="left"/>
        </w:tabs>
        <w:numPr>
          <w:ilvl w:val="1"/>
          <w:numId w:val="262"/>
        </w:numPr>
        <w:rPr>
          <w:rFonts w:ascii="Arial" w:cs="Arial" w:eastAsia="Arial" w:hAnsi="Arial"/>
          <w:sz w:val="16"/>
          <w:szCs w:val="16"/>
          <w:color w:val="auto"/>
        </w:rPr>
      </w:pPr>
      <w:r>
        <w:rPr>
          <w:rFonts w:ascii="Arial" w:cs="Arial" w:eastAsia="Arial" w:hAnsi="Arial"/>
          <w:sz w:val="16"/>
          <w:szCs w:val="16"/>
          <w:i w:val="1"/>
          <w:iCs w:val="1"/>
          <w:color w:val="auto"/>
        </w:rPr>
        <w:t>Investment Company Act</w:t>
      </w:r>
      <w:r>
        <w:rPr>
          <w:rFonts w:ascii="Arial" w:cs="Arial" w:eastAsia="Arial" w:hAnsi="Arial"/>
          <w:sz w:val="16"/>
          <w:szCs w:val="16"/>
          <w:color w:val="auto"/>
        </w:rPr>
        <w:t>. The Company is not and its subsidiaries are not, and, after giving effect to the offering and sale of the Securities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application of the proceeds thereof as described in the Registration Statement, the Pricing Disclosure Package and the Prospectus, neither the Company nor its subsidiaries will be required to register as an “investment company” or an entity “controlled” by an “investment company” within the meaning of the Investment Company Act. No person is serving or acting as an officer, director or investment adviser of the Company or any subsidiary of the Company except in accordance with the applicable provisions of the Investment Company Act and the Advisers Act.</w:t>
      </w:r>
    </w:p>
    <w:p>
      <w:pPr>
        <w:spacing w:after="0" w:line="50" w:lineRule="exact"/>
        <w:rPr>
          <w:rFonts w:ascii="Arial" w:cs="Arial" w:eastAsia="Arial" w:hAnsi="Arial"/>
          <w:sz w:val="16"/>
          <w:szCs w:val="16"/>
          <w:color w:val="auto"/>
        </w:rPr>
      </w:pPr>
    </w:p>
    <w:p>
      <w:pPr>
        <w:ind w:left="-4" w:right="60" w:firstLine="443"/>
        <w:spacing w:after="0" w:line="293" w:lineRule="auto"/>
        <w:tabs>
          <w:tab w:leader="none" w:pos="688" w:val="left"/>
        </w:tabs>
        <w:numPr>
          <w:ilvl w:val="1"/>
          <w:numId w:val="262"/>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and its subsidiaries have paid (or caused to be paid) all federal, state, local and foreign taxes required by law to be paid,</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filed (or caused to be filed) all tax returns required by law to be filed, in each case, through the date hereof, except where the failure to pay such taxes or file such returns would not reasonably be expected, individually or in the aggregate, to have a Material Adverse Effect. Except as otherwise disclosed in the Registration Statement, the Pricing Disclosure Package and the Prospectus, there is no tax deficiency that has been, or, to the knowledge of the Company, would reasonably be expected to be, asserted against the Company or any of its subsidiaries or any of their respective properties or assets that, in any case, would reasonably be expected, individually or in the aggregate, to have a Material Adverse Effect.</w:t>
      </w:r>
    </w:p>
    <w:p>
      <w:pPr>
        <w:sectPr>
          <w:pgSz w:w="11900" w:h="16838" w:orient="portrait"/>
          <w:cols w:equalWidth="0" w:num="1">
            <w:col w:w="10956"/>
          </w:cols>
          <w:pgMar w:left="704" w:top="274" w:right="239" w:bottom="1440" w:gutter="0" w:footer="0" w:header="0"/>
        </w:sectPr>
      </w:pPr>
    </w:p>
    <w:bookmarkStart w:id="286" w:name="page287"/>
    <w:bookmarkEnd w:id="286"/>
    <w:p>
      <w:pPr>
        <w:ind w:left="-4" w:right="20" w:firstLine="443"/>
        <w:spacing w:after="0" w:line="270" w:lineRule="auto"/>
        <w:tabs>
          <w:tab w:leader="none" w:pos="678" w:val="left"/>
        </w:tabs>
        <w:numPr>
          <w:ilvl w:val="0"/>
          <w:numId w:val="263"/>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Licenses and Permits. </w:t>
      </w:r>
      <w:r>
        <w:rPr>
          <w:rFonts w:ascii="Arial" w:cs="Arial" w:eastAsia="Arial" w:hAnsi="Arial"/>
          <w:sz w:val="17"/>
          <w:szCs w:val="17"/>
          <w:color w:val="auto"/>
        </w:rPr>
        <w:t>The Company and its subsidiaries possess all licenses, certificates, permits and other authorizations issued by, and have</w:t>
      </w:r>
      <w:r>
        <w:rPr>
          <w:rFonts w:ascii="Arial" w:cs="Arial" w:eastAsia="Arial" w:hAnsi="Arial"/>
          <w:sz w:val="17"/>
          <w:szCs w:val="17"/>
          <w:i w:val="1"/>
          <w:iCs w:val="1"/>
          <w:color w:val="auto"/>
        </w:rPr>
        <w:t xml:space="preserve"> </w:t>
      </w:r>
      <w:r>
        <w:rPr>
          <w:rFonts w:ascii="Arial" w:cs="Arial" w:eastAsia="Arial" w:hAnsi="Arial"/>
          <w:sz w:val="17"/>
          <w:szCs w:val="17"/>
          <w:color w:val="auto"/>
        </w:rPr>
        <w:t>made all declarations and filings with, the appropriate federal, state, local or foreign governmental or regulatory authorities having jurisdiction over the Company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 Material Adverse Effect; and except as described in the Registration Statement, the Pricing Disclosure Package and the Prospectus, neither the Company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 Material Adverse Effect.</w:t>
      </w:r>
    </w:p>
    <w:p>
      <w:pPr>
        <w:spacing w:after="0" w:line="74" w:lineRule="exact"/>
        <w:rPr>
          <w:sz w:val="20"/>
          <w:szCs w:val="20"/>
          <w:color w:val="auto"/>
        </w:rPr>
      </w:pPr>
    </w:p>
    <w:p>
      <w:pPr>
        <w:ind w:left="-4" w:firstLine="443"/>
        <w:spacing w:after="0" w:line="272" w:lineRule="auto"/>
        <w:tabs>
          <w:tab w:leader="none" w:pos="758" w:val="left"/>
        </w:tabs>
        <w:numPr>
          <w:ilvl w:val="1"/>
          <w:numId w:val="264"/>
        </w:numPr>
        <w:rPr>
          <w:rFonts w:ascii="Arial" w:cs="Arial" w:eastAsia="Arial" w:hAnsi="Arial"/>
          <w:sz w:val="17"/>
          <w:szCs w:val="17"/>
          <w:color w:val="auto"/>
        </w:rPr>
      </w:pPr>
      <w:r>
        <w:rPr>
          <w:rFonts w:ascii="Arial" w:cs="Arial" w:eastAsia="Arial" w:hAnsi="Arial"/>
          <w:sz w:val="17"/>
          <w:szCs w:val="17"/>
          <w:i w:val="1"/>
          <w:iCs w:val="1"/>
          <w:color w:val="auto"/>
        </w:rPr>
        <w:t>Disclosure Controls</w:t>
      </w:r>
      <w:r>
        <w:rPr>
          <w:rFonts w:ascii="Arial" w:cs="Arial" w:eastAsia="Arial" w:hAnsi="Arial"/>
          <w:sz w:val="17"/>
          <w:szCs w:val="17"/>
          <w:color w:val="auto"/>
        </w:rPr>
        <w:t>. The Company maintains an effective system of “disclosure controls and procedures” (as defined in Rule 13a-15(e)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Exchange Act of 1934, as amended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has carried out an evaluation of the effectiveness of its disclosure controls and procedures as required by Rule 13a-15 of the Exchange Act.</w:t>
      </w:r>
    </w:p>
    <w:p>
      <w:pPr>
        <w:spacing w:after="0" w:line="69" w:lineRule="exact"/>
        <w:rPr>
          <w:rFonts w:ascii="Arial" w:cs="Arial" w:eastAsia="Arial" w:hAnsi="Arial"/>
          <w:sz w:val="17"/>
          <w:szCs w:val="17"/>
          <w:color w:val="auto"/>
        </w:rPr>
      </w:pPr>
    </w:p>
    <w:p>
      <w:pPr>
        <w:ind w:left="-4" w:right="20" w:firstLine="443"/>
        <w:spacing w:after="0" w:line="284" w:lineRule="auto"/>
        <w:tabs>
          <w:tab w:leader="none" w:pos="779" w:val="left"/>
        </w:tabs>
        <w:numPr>
          <w:ilvl w:val="1"/>
          <w:numId w:val="264"/>
        </w:numPr>
        <w:rPr>
          <w:rFonts w:ascii="Arial" w:cs="Arial" w:eastAsia="Arial" w:hAnsi="Arial"/>
          <w:sz w:val="16"/>
          <w:szCs w:val="16"/>
          <w:color w:val="auto"/>
        </w:rPr>
      </w:pPr>
      <w:r>
        <w:rPr>
          <w:rFonts w:ascii="Arial" w:cs="Arial" w:eastAsia="Arial" w:hAnsi="Arial"/>
          <w:sz w:val="16"/>
          <w:szCs w:val="16"/>
          <w:i w:val="1"/>
          <w:iCs w:val="1"/>
          <w:color w:val="auto"/>
        </w:rPr>
        <w:t xml:space="preserve">Accounting Controls. </w:t>
      </w:r>
      <w:r>
        <w:rPr>
          <w:rFonts w:ascii="Arial" w:cs="Arial" w:eastAsia="Arial" w:hAnsi="Arial"/>
          <w:sz w:val="16"/>
          <w:szCs w:val="16"/>
          <w:color w:val="auto"/>
        </w:rPr>
        <w:t>The Company maintains a system of “internal control over financial reporting” (as defined in Rule 13a-15(f)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Act) that complies with the requirements of the Exchange Act and that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U.S. generally accepted accounting principles, including, but not limited to, internal accounting controls sufficient to provide reasonable assurance that (i) transactions are executed in accordance with management’s general or specific authorizations; (ii) transactions are executed in accordance with the investment objectives, policies and restrictions of the Company and the applicable requirements of the Investment Company Act and the Internal Revenue Code of 1986, as amended (the “Code”);</w:t>
      </w:r>
    </w:p>
    <w:p>
      <w:pPr>
        <w:spacing w:after="0" w:line="2" w:lineRule="exact"/>
        <w:rPr>
          <w:rFonts w:ascii="Arial" w:cs="Arial" w:eastAsia="Arial" w:hAnsi="Arial"/>
          <w:sz w:val="16"/>
          <w:szCs w:val="16"/>
          <w:color w:val="auto"/>
        </w:rPr>
      </w:pPr>
    </w:p>
    <w:p>
      <w:pPr>
        <w:ind w:left="-4" w:right="40" w:firstLine="4"/>
        <w:spacing w:after="0" w:line="281" w:lineRule="auto"/>
        <w:tabs>
          <w:tab w:leader="none" w:pos="31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generally accepted accounting principles, to calculate net asset value, to maintain asset accountability, and to maintain material compliance with the books and records requirements under the Investment Company Act; (iv) access to assets is permitted only in accordance with management’s general or specific authorization; and (v)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The Company’s auditors and the Audit Committee of the Board of Directors of the Company have been advised of:</w:t>
      </w:r>
    </w:p>
    <w:p>
      <w:pPr>
        <w:spacing w:after="0" w:line="4" w:lineRule="exact"/>
        <w:rPr>
          <w:rFonts w:ascii="Arial" w:cs="Arial" w:eastAsia="Arial" w:hAnsi="Arial"/>
          <w:sz w:val="16"/>
          <w:szCs w:val="16"/>
          <w:color w:val="auto"/>
        </w:rPr>
      </w:pPr>
    </w:p>
    <w:p>
      <w:pPr>
        <w:ind w:left="-4" w:right="140" w:firstLine="4"/>
        <w:spacing w:after="0" w:line="254" w:lineRule="auto"/>
        <w:tabs>
          <w:tab w:leader="none" w:pos="211"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ectPr>
          <w:pgSz w:w="11900" w:h="16838" w:orient="portrait"/>
          <w:cols w:equalWidth="0" w:num="1">
            <w:col w:w="10936"/>
          </w:cols>
          <w:pgMar w:left="704" w:top="274" w:right="259" w:bottom="1440" w:gutter="0" w:footer="0" w:header="0"/>
        </w:sectPr>
      </w:pPr>
    </w:p>
    <w:bookmarkStart w:id="287" w:name="page288"/>
    <w:bookmarkEnd w:id="287"/>
    <w:p>
      <w:pPr>
        <w:ind w:left="-4" w:right="80" w:firstLine="443"/>
        <w:spacing w:after="0" w:line="288" w:lineRule="auto"/>
        <w:tabs>
          <w:tab w:leader="none" w:pos="758" w:val="left"/>
        </w:tabs>
        <w:numPr>
          <w:ilvl w:val="1"/>
          <w:numId w:val="267"/>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Insurance. </w:t>
      </w:r>
      <w:r>
        <w:rPr>
          <w:rFonts w:ascii="Arial" w:cs="Arial" w:eastAsia="Arial" w:hAnsi="Arial"/>
          <w:sz w:val="16"/>
          <w:szCs w:val="16"/>
          <w:color w:val="auto"/>
        </w:rPr>
        <w:t>The Company and its subsidiaries have insurance covering their respective properties, operations, personnel and businesses,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business interruption insurance, which insurance is in amounts and insures against such losses and risks as the Company reasonably believes are adequate to protect the Company and its subsidiaries and their respective businesses; and neither the Company nor any of its subsidiaries has</w:t>
      </w:r>
    </w:p>
    <w:p>
      <w:pPr>
        <w:ind w:left="-4" w:right="20" w:firstLine="4"/>
        <w:spacing w:after="0" w:line="254" w:lineRule="auto"/>
        <w:tabs>
          <w:tab w:leader="none" w:pos="21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 except, in each case, as would not, individually or in the aggregate, have a Material Adverse Effect.</w:t>
      </w:r>
    </w:p>
    <w:p>
      <w:pPr>
        <w:spacing w:after="0" w:line="81" w:lineRule="exact"/>
        <w:rPr>
          <w:rFonts w:ascii="Arial" w:cs="Arial" w:eastAsia="Arial" w:hAnsi="Arial"/>
          <w:sz w:val="18"/>
          <w:szCs w:val="18"/>
          <w:color w:val="auto"/>
        </w:rPr>
      </w:pPr>
    </w:p>
    <w:p>
      <w:pPr>
        <w:ind w:left="-4" w:firstLine="443"/>
        <w:spacing w:after="0" w:line="284" w:lineRule="auto"/>
        <w:tabs>
          <w:tab w:leader="none" w:pos="779" w:val="left"/>
        </w:tabs>
        <w:numPr>
          <w:ilvl w:val="1"/>
          <w:numId w:val="268"/>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Company nor any of its subsidiaries nor any director, officer, or employee of the Company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Company, any agent, affiliate or other person associated with or acting on behalf of the Company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200" w:firstLine="4"/>
        <w:spacing w:after="0" w:line="252" w:lineRule="auto"/>
        <w:tabs>
          <w:tab w:leader="none" w:pos="311" w:val="left"/>
        </w:tabs>
        <w:numPr>
          <w:ilvl w:val="0"/>
          <w:numId w:val="26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laws (collectively, the “Anti-Corruption Laws”);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and will continue to maintain and enforce policies and procedures designed to promote and ensure compliance with the Anti-Corruption Laws.</w:t>
      </w:r>
    </w:p>
    <w:p>
      <w:pPr>
        <w:spacing w:after="0" w:line="84" w:lineRule="exact"/>
        <w:rPr>
          <w:rFonts w:ascii="Arial" w:cs="Arial" w:eastAsia="Arial" w:hAnsi="Arial"/>
          <w:sz w:val="18"/>
          <w:szCs w:val="18"/>
          <w:color w:val="auto"/>
        </w:rPr>
      </w:pPr>
    </w:p>
    <w:p>
      <w:pPr>
        <w:ind w:left="-4" w:right="80" w:firstLine="443"/>
        <w:spacing w:after="0" w:line="291" w:lineRule="auto"/>
        <w:tabs>
          <w:tab w:leader="none" w:pos="758" w:val="left"/>
        </w:tabs>
        <w:numPr>
          <w:ilvl w:val="1"/>
          <w:numId w:val="269"/>
        </w:numPr>
        <w:rPr>
          <w:rFonts w:ascii="Arial" w:cs="Arial" w:eastAsia="Arial" w:hAnsi="Arial"/>
          <w:sz w:val="16"/>
          <w:szCs w:val="16"/>
          <w:color w:val="auto"/>
        </w:rPr>
      </w:pPr>
      <w:r>
        <w:rPr>
          <w:rFonts w:ascii="Arial" w:cs="Arial" w:eastAsia="Arial" w:hAnsi="Arial"/>
          <w:sz w:val="16"/>
          <w:szCs w:val="16"/>
          <w:i w:val="1"/>
          <w:iCs w:val="1"/>
          <w:color w:val="auto"/>
        </w:rPr>
        <w:t>Compliance with Money Laundering Laws</w:t>
      </w:r>
      <w:r>
        <w:rPr>
          <w:rFonts w:ascii="Arial" w:cs="Arial" w:eastAsia="Arial" w:hAnsi="Arial"/>
          <w:sz w:val="16"/>
          <w:szCs w:val="16"/>
          <w:color w:val="auto"/>
        </w:rPr>
        <w:t>. The operations of the Company and its subsidiaries are and have been conducted at all times in</w:t>
      </w:r>
      <w:r>
        <w:rPr>
          <w:rFonts w:ascii="Arial" w:cs="Arial" w:eastAsia="Arial" w:hAnsi="Arial"/>
          <w:sz w:val="16"/>
          <w:szCs w:val="16"/>
          <w:i w:val="1"/>
          <w:iCs w:val="1"/>
          <w:color w:val="auto"/>
        </w:rPr>
        <w:t xml:space="preserve"> </w:t>
      </w:r>
      <w:r>
        <w:rPr>
          <w:rFonts w:ascii="Arial" w:cs="Arial" w:eastAsia="Arial" w:hAnsi="Arial"/>
          <w:sz w:val="16"/>
          <w:szCs w:val="16"/>
          <w:color w:val="auto"/>
        </w:rPr>
        <w:t>compliance with applicable financial recordkeeping and reporting requirements, including those of the Currency and Foreign Transactions Reporting Act of 1970, as amended, the applicable money laundering statutes, the rules and regulations thereunder and any related or similar rules, regulations or guidelines issued, administered or enforced by any governmental or regulatory agency (collectively, the “Anti-Money Laundering Laws”) of all jurisdictions having jurisdiction over the Company and its subsidiaries, and no action, suit or proceeding by or before any court or governmental or regulatory agency, authority or body or any arbitrator involving the Company or any of its subsidiaries with respect to the Anti-Money Laundering Laws of all jurisdictions having jurisdiction over the Company and its subsidiaries is pending or, to the knowledge of the Company, threatened.</w:t>
      </w:r>
    </w:p>
    <w:p>
      <w:pPr>
        <w:spacing w:after="0" w:line="59" w:lineRule="exact"/>
        <w:rPr>
          <w:rFonts w:ascii="Arial" w:cs="Arial" w:eastAsia="Arial" w:hAnsi="Arial"/>
          <w:sz w:val="16"/>
          <w:szCs w:val="16"/>
          <w:color w:val="auto"/>
        </w:rPr>
      </w:pPr>
    </w:p>
    <w:p>
      <w:pPr>
        <w:ind w:left="-4" w:right="40" w:firstLine="443"/>
        <w:spacing w:after="0" w:line="277" w:lineRule="auto"/>
        <w:tabs>
          <w:tab w:leader="none" w:pos="715" w:val="left"/>
        </w:tabs>
        <w:numPr>
          <w:ilvl w:val="1"/>
          <w:numId w:val="269"/>
        </w:numPr>
        <w:rPr>
          <w:rFonts w:ascii="Arial" w:cs="Arial" w:eastAsia="Arial" w:hAnsi="Arial"/>
          <w:sz w:val="18"/>
          <w:szCs w:val="18"/>
          <w:color w:val="auto"/>
        </w:rPr>
      </w:pPr>
      <w:r>
        <w:rPr>
          <w:rFonts w:ascii="Arial" w:cs="Arial" w:eastAsia="Arial" w:hAnsi="Arial"/>
          <w:sz w:val="18"/>
          <w:szCs w:val="18"/>
          <w:i w:val="1"/>
          <w:iCs w:val="1"/>
          <w:color w:val="auto"/>
        </w:rPr>
        <w:t xml:space="preserve">No Conflicts with Sanctions Laws. </w:t>
      </w:r>
      <w:r>
        <w:rPr>
          <w:rFonts w:ascii="Arial" w:cs="Arial" w:eastAsia="Arial" w:hAnsi="Arial"/>
          <w:sz w:val="18"/>
          <w:szCs w:val="18"/>
          <w:color w:val="auto"/>
        </w:rPr>
        <w:t>Neither the Company nor any of its subsidiaries, directors, officers or employees, nor,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any agent,</w:t>
      </w:r>
    </w:p>
    <w:p>
      <w:pPr>
        <w:sectPr>
          <w:pgSz w:w="11900" w:h="16838" w:orient="portrait"/>
          <w:cols w:equalWidth="0" w:num="1">
            <w:col w:w="10936"/>
          </w:cols>
          <w:pgMar w:left="704" w:top="274" w:right="259" w:bottom="1440" w:gutter="0" w:footer="0" w:header="0"/>
        </w:sectPr>
      </w:pPr>
    </w:p>
    <w:bookmarkStart w:id="288" w:name="page289"/>
    <w:bookmarkEnd w:id="28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affiliate, or other person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Her Majesty’s Treasury (“HMT”), or other relevant sanctions authority (collectively, “Sanctions,” and each such subject or target, a “Sanctioned Person”), nor is the Company or any of its subsidiaries located, organized or resident in a country or territory that is the subject or the target of Sanctions, including, without limitation, Crimea, Cuba, Iran, North Korea, Sudan and Syria, that broadly prohibit dealings with that country or territory (each, a “Sanctioned Territory”); and the Company will not directly or indirectly use the proceeds of the offering of the Securities hereunder, or lend, contribute or otherwise make available such proceeds to any subsidiary, joint venture partner or other person or entity to fund or facilitate any activities of or business with any person, or in any country or territory, that, at the time of such funding or facilitation, is a Sanctioned Person or Sanctioned Territory in each case, in any manner that will result in a violation by any person (including any person participating in the transaction, whether as underwriter, advisor, investor or otherwise) of Sanctions. Since the inception of the Company, the Company and its subsidiaries have not knowingly engaged in, and are not now knowingly engaged in, any dealings or transactions with any person that at the time of the dealing or transaction is or was a Sanctioned Person or with any Sanctioned Territory.</w:t>
      </w:r>
    </w:p>
    <w:p>
      <w:pPr>
        <w:spacing w:after="0" w:line="67" w:lineRule="exact"/>
        <w:rPr>
          <w:sz w:val="20"/>
          <w:szCs w:val="20"/>
          <w:color w:val="auto"/>
        </w:rPr>
      </w:pPr>
    </w:p>
    <w:p>
      <w:pPr>
        <w:ind w:right="60" w:firstLine="443"/>
        <w:spacing w:after="0" w:line="257" w:lineRule="auto"/>
        <w:tabs>
          <w:tab w:leader="none" w:pos="783"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No Restrictions on Subsidiaries</w:t>
      </w:r>
      <w:r>
        <w:rPr>
          <w:rFonts w:ascii="Arial" w:cs="Arial" w:eastAsia="Arial" w:hAnsi="Arial"/>
          <w:sz w:val="18"/>
          <w:szCs w:val="18"/>
          <w:color w:val="auto"/>
        </w:rPr>
        <w:t>. No subsidiary of the Company is currently prohibited, directly or indirectly, under any agreement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 to which it is a party or is subject, from paying any dividends to the Company, from making any other distribution on such subsidiary’s capital stock, from repaying to the Company any loans or advances to such subsidiary from the Company or from transferring any of such subsidiary’s properties or assets to the Company or any other subsidiary of the Company, except as disclosed in the Registration Statement, the Pricing Disclosure Package and the Prospectus.</w:t>
      </w:r>
    </w:p>
    <w:p>
      <w:pPr>
        <w:spacing w:after="0" w:line="80" w:lineRule="exact"/>
        <w:rPr>
          <w:rFonts w:ascii="Arial" w:cs="Arial" w:eastAsia="Arial" w:hAnsi="Arial"/>
          <w:sz w:val="18"/>
          <w:szCs w:val="18"/>
          <w:color w:val="auto"/>
        </w:rPr>
      </w:pPr>
    </w:p>
    <w:p>
      <w:pPr>
        <w:ind w:right="240" w:firstLine="443"/>
        <w:spacing w:after="0" w:line="264" w:lineRule="auto"/>
        <w:tabs>
          <w:tab w:leader="none" w:pos="783" w:val="left"/>
        </w:tabs>
        <w:numPr>
          <w:ilvl w:val="0"/>
          <w:numId w:val="270"/>
        </w:numPr>
        <w:rPr>
          <w:rFonts w:ascii="Arial" w:cs="Arial" w:eastAsia="Arial" w:hAnsi="Arial"/>
          <w:sz w:val="18"/>
          <w:szCs w:val="18"/>
          <w:color w:val="auto"/>
        </w:rPr>
      </w:pPr>
      <w:r>
        <w:rPr>
          <w:rFonts w:ascii="Arial" w:cs="Arial" w:eastAsia="Arial" w:hAnsi="Arial"/>
          <w:sz w:val="18"/>
          <w:szCs w:val="18"/>
          <w:i w:val="1"/>
          <w:iCs w:val="1"/>
          <w:color w:val="auto"/>
        </w:rPr>
        <w:t xml:space="preserve">No Broker’s Fees. </w:t>
      </w:r>
      <w:r>
        <w:rPr>
          <w:rFonts w:ascii="Arial" w:cs="Arial" w:eastAsia="Arial" w:hAnsi="Arial"/>
          <w:sz w:val="18"/>
          <w:szCs w:val="18"/>
          <w:color w:val="auto"/>
        </w:rPr>
        <w:t>Neither the Company nor any of its subsidiaries is a party to any contract, agreement or understanding with any person</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this Agreement) that would give rise to a valid claim against the Company or any of its subsidiaries or any Underwriter for a brokerage commission, finder’s fee or like payment in connection with the offering and sale of the Securities.</w:t>
      </w:r>
    </w:p>
    <w:p>
      <w:pPr>
        <w:spacing w:after="0" w:line="73" w:lineRule="exact"/>
        <w:rPr>
          <w:rFonts w:ascii="Arial" w:cs="Arial" w:eastAsia="Arial" w:hAnsi="Arial"/>
          <w:sz w:val="18"/>
          <w:szCs w:val="18"/>
          <w:color w:val="auto"/>
        </w:rPr>
      </w:pPr>
    </w:p>
    <w:p>
      <w:pPr>
        <w:ind w:right="140" w:firstLine="443"/>
        <w:spacing w:after="0" w:line="308" w:lineRule="auto"/>
        <w:tabs>
          <w:tab w:leader="none" w:pos="703"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No Registration Rights</w:t>
      </w:r>
      <w:r>
        <w:rPr>
          <w:rFonts w:ascii="Arial" w:cs="Arial" w:eastAsia="Arial" w:hAnsi="Arial"/>
          <w:sz w:val="17"/>
          <w:szCs w:val="17"/>
          <w:color w:val="auto"/>
        </w:rPr>
        <w:t>. No person has the right to require the Company or any of its subsidiaries to register any securities for sale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by reason of the filing of the Registration Statement with the Commission or the issuance and sale of the Securities.</w:t>
      </w:r>
    </w:p>
    <w:p>
      <w:pPr>
        <w:spacing w:after="0" w:line="38" w:lineRule="exact"/>
        <w:rPr>
          <w:rFonts w:ascii="Arial" w:cs="Arial" w:eastAsia="Arial" w:hAnsi="Arial"/>
          <w:sz w:val="17"/>
          <w:szCs w:val="17"/>
          <w:color w:val="auto"/>
        </w:rPr>
      </w:pPr>
    </w:p>
    <w:p>
      <w:pPr>
        <w:ind w:left="700" w:hanging="257"/>
        <w:spacing w:after="0"/>
        <w:tabs>
          <w:tab w:leader="none" w:pos="700" w:val="left"/>
        </w:tabs>
        <w:numPr>
          <w:ilvl w:val="0"/>
          <w:numId w:val="270"/>
        </w:numPr>
        <w:rPr>
          <w:rFonts w:ascii="Arial" w:cs="Arial" w:eastAsia="Arial" w:hAnsi="Arial"/>
          <w:sz w:val="17"/>
          <w:szCs w:val="17"/>
          <w:color w:val="auto"/>
        </w:rPr>
      </w:pPr>
      <w:r>
        <w:rPr>
          <w:rFonts w:ascii="Arial" w:cs="Arial" w:eastAsia="Arial" w:hAnsi="Arial"/>
          <w:sz w:val="17"/>
          <w:szCs w:val="17"/>
          <w:i w:val="1"/>
          <w:iCs w:val="1"/>
          <w:color w:val="auto"/>
        </w:rPr>
        <w:t xml:space="preserve">No Stabilization. </w:t>
      </w:r>
      <w:r>
        <w:rPr>
          <w:rFonts w:ascii="Arial" w:cs="Arial" w:eastAsia="Arial" w:hAnsi="Arial"/>
          <w:sz w:val="17"/>
          <w:szCs w:val="17"/>
          <w:color w:val="auto"/>
        </w:rPr>
        <w:t>Except permitted activity pursuant to Regulation M and Rule 10b-18 under the Exchange Act, and as set forth in</w:t>
      </w:r>
    </w:p>
    <w:p>
      <w:pPr>
        <w:spacing w:after="0" w:line="35"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color w:val="auto"/>
        </w:rPr>
        <w:t>Section 4(q) with respect to the Adviser, the Company has not taken, directly or indirectly, without giving effect to any activities by the Underwriters, any action designed to or that would reasonably be expected to cause or result in any stabilization or manipulation of the price of the Securities.</w:t>
      </w:r>
    </w:p>
    <w:p>
      <w:pPr>
        <w:spacing w:after="0" w:line="31" w:lineRule="exact"/>
        <w:rPr>
          <w:sz w:val="20"/>
          <w:szCs w:val="20"/>
          <w:color w:val="auto"/>
        </w:rPr>
      </w:pPr>
    </w:p>
    <w:p>
      <w:pPr>
        <w:ind w:right="180" w:firstLine="443"/>
        <w:spacing w:after="0" w:line="264" w:lineRule="auto"/>
        <w:tabs>
          <w:tab w:leader="none" w:pos="783" w:val="left"/>
        </w:tabs>
        <w:numPr>
          <w:ilvl w:val="0"/>
          <w:numId w:val="271"/>
        </w:numPr>
        <w:rPr>
          <w:rFonts w:ascii="Arial" w:cs="Arial" w:eastAsia="Arial" w:hAnsi="Arial"/>
          <w:sz w:val="18"/>
          <w:szCs w:val="18"/>
          <w:color w:val="auto"/>
        </w:rPr>
      </w:pPr>
      <w:r>
        <w:rPr>
          <w:rFonts w:ascii="Arial" w:cs="Arial" w:eastAsia="Arial" w:hAnsi="Arial"/>
          <w:sz w:val="18"/>
          <w:szCs w:val="18"/>
          <w:i w:val="1"/>
          <w:iCs w:val="1"/>
          <w:color w:val="auto"/>
        </w:rPr>
        <w:t xml:space="preserve">Forward-Looking Statements. </w:t>
      </w:r>
      <w:r>
        <w:rPr>
          <w:rFonts w:ascii="Arial" w:cs="Arial" w:eastAsia="Arial" w:hAnsi="Arial"/>
          <w:sz w:val="18"/>
          <w:szCs w:val="18"/>
          <w:color w:val="auto"/>
        </w:rPr>
        <w:t>No forward-looking statement (within the meaning of Section 27A of the Securities Act and Section 21E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Exchange Act) contained in the Registration Statement, the Pricing Disclosure Package or the Prospectus has been made or reaffirmed without a reasonable basis or has been disclosed other than in good faith.</w:t>
      </w:r>
    </w:p>
    <w:p>
      <w:pPr>
        <w:sectPr>
          <w:pgSz w:w="11900" w:h="16838" w:orient="portrait"/>
          <w:cols w:equalWidth="0" w:num="1">
            <w:col w:w="10920"/>
          </w:cols>
          <w:pgMar w:left="700" w:top="274" w:right="279" w:bottom="1440" w:gutter="0" w:footer="0" w:header="0"/>
        </w:sectPr>
      </w:pPr>
    </w:p>
    <w:bookmarkStart w:id="289" w:name="page290"/>
    <w:bookmarkEnd w:id="289"/>
    <w:p>
      <w:pPr>
        <w:ind w:right="20" w:firstLine="443"/>
        <w:spacing w:after="0" w:line="264" w:lineRule="auto"/>
        <w:tabs>
          <w:tab w:leader="none" w:pos="703"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Statistical and Market Data. </w:t>
      </w:r>
      <w:r>
        <w:rPr>
          <w:rFonts w:ascii="Arial" w:cs="Arial" w:eastAsia="Arial" w:hAnsi="Arial"/>
          <w:sz w:val="18"/>
          <w:szCs w:val="18"/>
          <w:color w:val="auto"/>
        </w:rPr>
        <w:t>Nothing has come to the attention of the Company that has caused the Company to believe that the statistical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market-related data included in the Registration Statement, the Pricing Disclosure Package and the Prospectus is not based on or derived from sources that are reasonably reliable and accurate in all material respects.</w:t>
      </w:r>
    </w:p>
    <w:p>
      <w:pPr>
        <w:spacing w:after="0" w:line="73" w:lineRule="exact"/>
        <w:rPr>
          <w:rFonts w:ascii="Arial" w:cs="Arial" w:eastAsia="Arial" w:hAnsi="Arial"/>
          <w:sz w:val="18"/>
          <w:szCs w:val="18"/>
          <w:color w:val="auto"/>
        </w:rPr>
      </w:pPr>
    </w:p>
    <w:p>
      <w:pPr>
        <w:ind w:firstLine="443"/>
        <w:spacing w:after="0" w:line="259" w:lineRule="auto"/>
        <w:tabs>
          <w:tab w:leader="none" w:pos="883"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To the extent applicable to the Company on the date hereof, there is and has been no failure on the part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to the knowledge of the Company, any of the Company’s directors or officers, in their capacities as such, to comply in all material respects with any provision of the Sarbanes-Oxley Act of 2002 and the rules and regulations promulgated in connection therewith (the “Sarbanes-Oxley Act”), including Section 402 related to loans and Sections 302 and 906 related to certifications.</w:t>
      </w:r>
    </w:p>
    <w:p>
      <w:pPr>
        <w:spacing w:after="0" w:line="78" w:lineRule="exact"/>
        <w:rPr>
          <w:rFonts w:ascii="Arial" w:cs="Arial" w:eastAsia="Arial" w:hAnsi="Arial"/>
          <w:sz w:val="18"/>
          <w:szCs w:val="18"/>
          <w:color w:val="auto"/>
        </w:rPr>
      </w:pPr>
    </w:p>
    <w:p>
      <w:pPr>
        <w:ind w:right="80" w:firstLine="443"/>
        <w:spacing w:after="0" w:line="286" w:lineRule="auto"/>
        <w:tabs>
          <w:tab w:leader="none" w:pos="783" w:val="left"/>
        </w:tabs>
        <w:numPr>
          <w:ilvl w:val="1"/>
          <w:numId w:val="272"/>
        </w:numPr>
        <w:rPr>
          <w:rFonts w:ascii="Arial" w:cs="Arial" w:eastAsia="Arial" w:hAnsi="Arial"/>
          <w:sz w:val="17"/>
          <w:szCs w:val="17"/>
          <w:color w:val="auto"/>
        </w:rPr>
      </w:pPr>
      <w:r>
        <w:rPr>
          <w:rFonts w:ascii="Arial" w:cs="Arial" w:eastAsia="Arial" w:hAnsi="Arial"/>
          <w:sz w:val="17"/>
          <w:szCs w:val="17"/>
          <w:i w:val="1"/>
          <w:iCs w:val="1"/>
          <w:color w:val="auto"/>
        </w:rPr>
        <w:t>Rule 38a-1 Compliance</w:t>
      </w:r>
      <w:r>
        <w:rPr>
          <w:rFonts w:ascii="Arial" w:cs="Arial" w:eastAsia="Arial" w:hAnsi="Arial"/>
          <w:sz w:val="17"/>
          <w:szCs w:val="17"/>
          <w:color w:val="auto"/>
        </w:rPr>
        <w:t>. The Company has adopted and implemented written policies and procedures reasonably designed to prevent</w:t>
      </w:r>
      <w:r>
        <w:rPr>
          <w:rFonts w:ascii="Arial" w:cs="Arial" w:eastAsia="Arial" w:hAnsi="Arial"/>
          <w:sz w:val="17"/>
          <w:szCs w:val="17"/>
          <w:i w:val="1"/>
          <w:iCs w:val="1"/>
          <w:color w:val="auto"/>
        </w:rPr>
        <w:t xml:space="preserve"> </w:t>
      </w:r>
      <w:r>
        <w:rPr>
          <w:rFonts w:ascii="Arial" w:cs="Arial" w:eastAsia="Arial" w:hAnsi="Arial"/>
          <w:sz w:val="17"/>
          <w:szCs w:val="17"/>
          <w:color w:val="auto"/>
        </w:rPr>
        <w:t>violation of the Federal Securities Laws (as that term is defined in Rule 38a-1 under the Investment Company Act) by the Company, including policies and procedures that provide oversight of compliance by each investment adviser, administrator and transfer agent of the Company.</w:t>
      </w:r>
    </w:p>
    <w:p>
      <w:pPr>
        <w:spacing w:after="0" w:line="57" w:lineRule="exact"/>
        <w:rPr>
          <w:rFonts w:ascii="Arial" w:cs="Arial" w:eastAsia="Arial" w:hAnsi="Arial"/>
          <w:sz w:val="17"/>
          <w:szCs w:val="17"/>
          <w:color w:val="auto"/>
        </w:rPr>
      </w:pPr>
    </w:p>
    <w:p>
      <w:pPr>
        <w:jc w:val="both"/>
        <w:ind w:right="80" w:firstLine="443"/>
        <w:spacing w:after="0" w:line="259" w:lineRule="auto"/>
        <w:tabs>
          <w:tab w:leader="none" w:pos="783" w:val="left"/>
        </w:tabs>
        <w:numPr>
          <w:ilvl w:val="1"/>
          <w:numId w:val="272"/>
        </w:numPr>
        <w:rPr>
          <w:rFonts w:ascii="Arial" w:cs="Arial" w:eastAsia="Arial" w:hAnsi="Arial"/>
          <w:sz w:val="18"/>
          <w:szCs w:val="18"/>
          <w:color w:val="auto"/>
        </w:rPr>
      </w:pPr>
      <w:r>
        <w:rPr>
          <w:rFonts w:ascii="Arial" w:cs="Arial" w:eastAsia="Arial" w:hAnsi="Arial"/>
          <w:sz w:val="18"/>
          <w:szCs w:val="18"/>
          <w:i w:val="1"/>
          <w:iCs w:val="1"/>
          <w:color w:val="auto"/>
        </w:rPr>
        <w:t>Regulated Investment Company</w:t>
      </w:r>
      <w:r>
        <w:rPr>
          <w:rFonts w:ascii="Arial" w:cs="Arial" w:eastAsia="Arial" w:hAnsi="Arial"/>
          <w:sz w:val="18"/>
          <w:szCs w:val="18"/>
          <w:color w:val="auto"/>
        </w:rPr>
        <w:t>. The Company has elected to be treated, and has operated, and intends to continue to operate, its business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a manner so as to enable the Company to continue to qualify as a regulated investment company under Subchapter M of the Code. The Company intends to direct the investment of the proceeds of the offering of the Securities in such a manner as to comply with the requirements of Subchapter M of the Code.</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Adviser</w:t>
      </w:r>
      <w:r>
        <w:rPr>
          <w:rFonts w:ascii="Arial" w:cs="Arial" w:eastAsia="Arial" w:hAnsi="Arial"/>
          <w:sz w:val="18"/>
          <w:szCs w:val="18"/>
          <w:color w:val="auto"/>
        </w:rPr>
        <w:t>. The Adviser represents and warrants to, and agrees with, each Underwriter that:</w:t>
      </w:r>
    </w:p>
    <w:p>
      <w:pPr>
        <w:spacing w:after="0" w:line="117" w:lineRule="exact"/>
        <w:rPr>
          <w:rFonts w:ascii="Arial" w:cs="Arial" w:eastAsia="Arial" w:hAnsi="Arial"/>
          <w:sz w:val="18"/>
          <w:szCs w:val="18"/>
          <w:color w:val="auto"/>
        </w:rPr>
      </w:pPr>
    </w:p>
    <w:p>
      <w:pPr>
        <w:jc w:val="both"/>
        <w:ind w:right="60" w:firstLine="443"/>
        <w:spacing w:after="0" w:line="291" w:lineRule="auto"/>
        <w:tabs>
          <w:tab w:leader="none" w:pos="683" w:val="left"/>
        </w:tabs>
        <w:numPr>
          <w:ilvl w:val="1"/>
          <w:numId w:val="273"/>
        </w:numPr>
        <w:rPr>
          <w:rFonts w:ascii="Arial" w:cs="Arial" w:eastAsia="Arial" w:hAnsi="Arial"/>
          <w:sz w:val="16"/>
          <w:szCs w:val="16"/>
          <w:color w:val="auto"/>
        </w:rPr>
      </w:pPr>
      <w:r>
        <w:rPr>
          <w:rFonts w:ascii="Arial" w:cs="Arial" w:eastAsia="Arial" w:hAnsi="Arial"/>
          <w:sz w:val="16"/>
          <w:szCs w:val="16"/>
          <w:i w:val="1"/>
          <w:iCs w:val="1"/>
          <w:color w:val="auto"/>
        </w:rPr>
        <w:t xml:space="preserve">No Material Adverse Change. </w:t>
      </w:r>
      <w:r>
        <w:rPr>
          <w:rFonts w:ascii="Arial" w:cs="Arial" w:eastAsia="Arial" w:hAnsi="Arial"/>
          <w:sz w:val="16"/>
          <w:szCs w:val="16"/>
          <w:color w:val="auto"/>
        </w:rPr>
        <w:t>Except as disclosed in the Registration Statement, the Pricing Disclosure Package and the Prospectus,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date of the most recent financial statements of the Company included in the Registration Statement, the Pricing Disclosure Package and the Prospectus,</w:t>
      </w:r>
    </w:p>
    <w:p>
      <w:pPr>
        <w:ind w:right="140"/>
        <w:spacing w:after="0" w:line="292" w:lineRule="auto"/>
        <w:rPr>
          <w:rFonts w:ascii="Arial" w:cs="Arial" w:eastAsia="Arial" w:hAnsi="Arial"/>
          <w:sz w:val="16"/>
          <w:szCs w:val="16"/>
          <w:color w:val="auto"/>
        </w:rPr>
      </w:pPr>
      <w:r>
        <w:rPr>
          <w:rFonts w:ascii="Arial" w:cs="Arial" w:eastAsia="Arial" w:hAnsi="Arial"/>
          <w:sz w:val="16"/>
          <w:szCs w:val="16"/>
          <w:color w:val="auto"/>
        </w:rPr>
        <w:t>(i) there has not been any material adverse change, or any development that would reasonably be expected to result in a material adverse change, in or affecting the business, properties, management, financial position, stockholders’ equity, results of operations or prospects of the Adviser and its subsidiaries taken as a whole; and (ii) neither the Adviser nor any of its subsidiaries has sustained any loss or interference with its business that is material to the Adviser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spacing w:after="0" w:line="54" w:lineRule="exact"/>
        <w:rPr>
          <w:rFonts w:ascii="Arial" w:cs="Arial" w:eastAsia="Arial" w:hAnsi="Arial"/>
          <w:sz w:val="16"/>
          <w:szCs w:val="16"/>
          <w:color w:val="auto"/>
        </w:rPr>
      </w:pPr>
    </w:p>
    <w:p>
      <w:pPr>
        <w:ind w:right="120" w:firstLine="443"/>
        <w:spacing w:after="0" w:line="271" w:lineRule="auto"/>
        <w:tabs>
          <w:tab w:leader="none" w:pos="693" w:val="left"/>
        </w:tabs>
        <w:numPr>
          <w:ilvl w:val="1"/>
          <w:numId w:val="273"/>
        </w:numPr>
        <w:rPr>
          <w:rFonts w:ascii="Arial" w:cs="Arial" w:eastAsia="Arial" w:hAnsi="Arial"/>
          <w:sz w:val="17"/>
          <w:szCs w:val="17"/>
          <w:color w:val="auto"/>
        </w:rPr>
      </w:pPr>
      <w:r>
        <w:rPr>
          <w:rFonts w:ascii="Arial" w:cs="Arial" w:eastAsia="Arial" w:hAnsi="Arial"/>
          <w:sz w:val="17"/>
          <w:szCs w:val="17"/>
          <w:i w:val="1"/>
          <w:iCs w:val="1"/>
          <w:color w:val="auto"/>
        </w:rPr>
        <w:t xml:space="preserve">Organization and Good Standing. </w:t>
      </w:r>
      <w:r>
        <w:rPr>
          <w:rFonts w:ascii="Arial" w:cs="Arial" w:eastAsia="Arial" w:hAnsi="Arial"/>
          <w:sz w:val="17"/>
          <w:szCs w:val="17"/>
          <w:color w:val="auto"/>
        </w:rPr>
        <w:t>The Adviser and each of its subsidiaries have been duly organized and are validly existing and in good</w:t>
      </w:r>
      <w:r>
        <w:rPr>
          <w:rFonts w:ascii="Arial" w:cs="Arial" w:eastAsia="Arial" w:hAnsi="Arial"/>
          <w:sz w:val="17"/>
          <w:szCs w:val="17"/>
          <w:i w:val="1"/>
          <w:iCs w:val="1"/>
          <w:color w:val="auto"/>
        </w:rPr>
        <w:t xml:space="preserve"> </w:t>
      </w:r>
      <w:r>
        <w:rPr>
          <w:rFonts w:ascii="Arial" w:cs="Arial" w:eastAsia="Arial" w:hAnsi="Arial"/>
          <w:sz w:val="17"/>
          <w:szCs w:val="17"/>
          <w:color w:val="auto"/>
        </w:rPr>
        <w:t>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Adviser and its subsidiaries taken as a whole or on the performance by the Adviser of its obligations under this Agreement, the Investment Management Agreement and the Administration Agreement (an “Adviser Material Adverse Effect”).</w:t>
      </w:r>
    </w:p>
    <w:p>
      <w:pPr>
        <w:sectPr>
          <w:pgSz w:w="11900" w:h="16838" w:orient="portrait"/>
          <w:cols w:equalWidth="0" w:num="1">
            <w:col w:w="10960"/>
          </w:cols>
          <w:pgMar w:left="700" w:top="274" w:right="239" w:bottom="1440" w:gutter="0" w:footer="0" w:header="0"/>
        </w:sectPr>
      </w:pPr>
    </w:p>
    <w:bookmarkStart w:id="290" w:name="page291"/>
    <w:bookmarkEnd w:id="290"/>
    <w:p>
      <w:pPr>
        <w:ind w:right="40" w:firstLine="443"/>
        <w:spacing w:after="0" w:line="276" w:lineRule="auto"/>
        <w:tabs>
          <w:tab w:leader="none" w:pos="683"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Registration as an Investment Adviser</w:t>
      </w:r>
      <w:r>
        <w:rPr>
          <w:rFonts w:ascii="Arial" w:cs="Arial" w:eastAsia="Arial" w:hAnsi="Arial"/>
          <w:sz w:val="17"/>
          <w:szCs w:val="17"/>
          <w:color w:val="auto"/>
        </w:rPr>
        <w:t>. The Adviser is duly registered with the Commission as an investment adviser under the Advisers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Adviser is not prohibited by the Advisers Act or the Investment Company Act from acting under the Investment Management Agreement as an investment adviser to the Company, as contemplated by the Registration Statement, the Pricing Disclosure Package and the Prospectus. There does not exist any proceeding or, to the Adviser’s knowledge, any facts or circumstances, the existence of which would lead to any proceeding which would reasonably be expected to adversely affect the registration of the Adviser with the Commission.</w:t>
      </w:r>
    </w:p>
    <w:p>
      <w:pPr>
        <w:spacing w:after="0" w:line="64" w:lineRule="exact"/>
        <w:rPr>
          <w:rFonts w:ascii="Arial" w:cs="Arial" w:eastAsia="Arial" w:hAnsi="Arial"/>
          <w:sz w:val="17"/>
          <w:szCs w:val="17"/>
          <w:color w:val="auto"/>
        </w:rPr>
      </w:pPr>
    </w:p>
    <w:p>
      <w:pPr>
        <w:ind w:left="700" w:hanging="257"/>
        <w:spacing w:after="0"/>
        <w:tabs>
          <w:tab w:leader="none" w:pos="700" w:val="left"/>
        </w:tabs>
        <w:numPr>
          <w:ilvl w:val="0"/>
          <w:numId w:val="274"/>
        </w:numPr>
        <w:rPr>
          <w:rFonts w:ascii="Arial" w:cs="Arial" w:eastAsia="Arial" w:hAnsi="Arial"/>
          <w:sz w:val="18"/>
          <w:szCs w:val="18"/>
          <w:color w:val="auto"/>
        </w:rPr>
      </w:pPr>
      <w:r>
        <w:rPr>
          <w:rFonts w:ascii="Arial" w:cs="Arial" w:eastAsia="Arial" w:hAnsi="Arial"/>
          <w:sz w:val="18"/>
          <w:szCs w:val="18"/>
          <w:i w:val="1"/>
          <w:iCs w:val="1"/>
          <w:color w:val="auto"/>
        </w:rPr>
        <w:t xml:space="preserve">Underwriting Agreement. </w:t>
      </w:r>
      <w:r>
        <w:rPr>
          <w:rFonts w:ascii="Arial" w:cs="Arial" w:eastAsia="Arial" w:hAnsi="Arial"/>
          <w:sz w:val="18"/>
          <w:szCs w:val="18"/>
          <w:color w:val="auto"/>
        </w:rPr>
        <w:t>This Agreement has been duly authorized, executed and delivered by the Adviser.</w:t>
      </w:r>
    </w:p>
    <w:p>
      <w:pPr>
        <w:spacing w:after="0" w:line="117" w:lineRule="exact"/>
        <w:rPr>
          <w:rFonts w:ascii="Arial" w:cs="Arial" w:eastAsia="Arial" w:hAnsi="Arial"/>
          <w:sz w:val="18"/>
          <w:szCs w:val="18"/>
          <w:color w:val="auto"/>
        </w:rPr>
      </w:pPr>
    </w:p>
    <w:p>
      <w:pPr>
        <w:ind w:right="240" w:firstLine="443"/>
        <w:spacing w:after="0" w:line="279" w:lineRule="auto"/>
        <w:tabs>
          <w:tab w:leader="none" w:pos="683"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 xml:space="preserve">Investment Management Agreement and the Administration Agreement. </w:t>
      </w:r>
      <w:r>
        <w:rPr>
          <w:rFonts w:ascii="Arial" w:cs="Arial" w:eastAsia="Arial" w:hAnsi="Arial"/>
          <w:sz w:val="17"/>
          <w:szCs w:val="17"/>
          <w:color w:val="auto"/>
        </w:rPr>
        <w:t>The Investment Management Agreement and the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have each been duly authorized, executed and delivered by the Adviser and are valid and binding obligations of the Adviser, enforceable against the Adviser in accordance with their terms, except as enforceability may be limited by applicable bankruptcy, insolvency or similar laws affecting creditors’ rights generally or by equitable principles relating to enforceability.</w:t>
      </w:r>
    </w:p>
    <w:p>
      <w:pPr>
        <w:spacing w:after="0" w:line="63" w:lineRule="exact"/>
        <w:rPr>
          <w:rFonts w:ascii="Arial" w:cs="Arial" w:eastAsia="Arial" w:hAnsi="Arial"/>
          <w:sz w:val="17"/>
          <w:szCs w:val="17"/>
          <w:color w:val="auto"/>
        </w:rPr>
      </w:pPr>
    </w:p>
    <w:p>
      <w:pPr>
        <w:ind w:right="40" w:firstLine="443"/>
        <w:spacing w:after="0" w:line="271" w:lineRule="auto"/>
        <w:tabs>
          <w:tab w:leader="none" w:pos="663"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 xml:space="preserve">No Violation or Default. </w:t>
      </w:r>
      <w:r>
        <w:rPr>
          <w:rFonts w:ascii="Arial" w:cs="Arial" w:eastAsia="Arial" w:hAnsi="Arial"/>
          <w:sz w:val="17"/>
          <w:szCs w:val="17"/>
          <w:color w:val="auto"/>
        </w:rPr>
        <w:t>Neither the Adviser nor any of its subsidiaries is (i) in violation of its charter or by-laws or similar organizational</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Adviser or any of its subsidiaries is a party or by which the Adviser or any of its subsidiaries is bound or to which any of the property or assets of the Adviser or any of its subsidiaries is subject; or (iii) in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(ii) and (iii) above, for any such default or violation that would not reasonably be expected, individually or in the aggregate, to have an Adviser Material Adverse Effect.</w:t>
      </w:r>
    </w:p>
    <w:p>
      <w:pPr>
        <w:spacing w:after="0" w:line="70" w:lineRule="exact"/>
        <w:rPr>
          <w:rFonts w:ascii="Arial" w:cs="Arial" w:eastAsia="Arial" w:hAnsi="Arial"/>
          <w:sz w:val="17"/>
          <w:szCs w:val="17"/>
          <w:color w:val="auto"/>
        </w:rPr>
      </w:pPr>
    </w:p>
    <w:p>
      <w:pPr>
        <w:ind w:left="700" w:hanging="257"/>
        <w:spacing w:after="0"/>
        <w:tabs>
          <w:tab w:leader="none" w:pos="700" w:val="left"/>
        </w:tabs>
        <w:numPr>
          <w:ilvl w:val="0"/>
          <w:numId w:val="274"/>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t>
      </w:r>
      <w:r>
        <w:rPr>
          <w:rFonts w:ascii="Arial" w:cs="Arial" w:eastAsia="Arial" w:hAnsi="Arial"/>
          <w:sz w:val="17"/>
          <w:szCs w:val="17"/>
          <w:color w:val="auto"/>
        </w:rPr>
        <w:t>The execution, delivery and performance by the Adviser of this Agreement and the performance by the Adviser of the</w:t>
      </w:r>
    </w:p>
    <w:p>
      <w:pPr>
        <w:spacing w:after="0" w:line="34" w:lineRule="exact"/>
        <w:rPr>
          <w:rFonts w:ascii="Arial" w:cs="Arial" w:eastAsia="Arial" w:hAnsi="Arial"/>
          <w:sz w:val="17"/>
          <w:szCs w:val="17"/>
          <w:color w:val="auto"/>
        </w:rPr>
      </w:pPr>
    </w:p>
    <w:p>
      <w:pPr>
        <w:spacing w:after="0" w:line="287" w:lineRule="auto"/>
        <w:rPr>
          <w:rFonts w:ascii="Arial" w:cs="Arial" w:eastAsia="Arial" w:hAnsi="Arial"/>
          <w:sz w:val="17"/>
          <w:szCs w:val="17"/>
          <w:color w:val="auto"/>
        </w:rPr>
      </w:pPr>
      <w:r>
        <w:rPr>
          <w:rFonts w:ascii="Arial" w:cs="Arial" w:eastAsia="Arial" w:hAnsi="Arial"/>
          <w:sz w:val="16"/>
          <w:szCs w:val="16"/>
          <w:color w:val="auto"/>
        </w:rPr>
        <w:t>Investment Management Agreement and the Administration Agreement will not (i) conflict with or result in a breach or violation of any of the terms or provisions of, or constitute a default under, or result in the creation or imposition of any lien, charge or encumbrance upon any property or assets of the Adviser or any of its subsidiaries pursuant to, any indenture, mortgage, deed of trust, loan agreement or other agreement or instrument to which the Adviser or any of its subsidiaries is a party or by which the Company or any of its subsidiaries is bound or to which any of the property or assets of the Adviser or any of its subsidiaries is subject, (ii) result in any violation of the provisions of the charter or by-laws or similar organizational documents of the Adviser or any of its subsidiaries or (iii) result in the violation of any law or statute applicable to the Adviser or any of its subsidiaries or any judgment, order, rule or regulation of any court or arbitrator or governmental or regulatory authority having jurisdiction over the Adviser or any of its subsidiaries, except, in the case of clauses (i) and (iii) above, for any such conflict, breach, violation, default, lien, charge or encumbrance that would not reasonably be expected, individually or in the aggregate, to have an Adviser Material Adverse Effect.</w:t>
      </w:r>
    </w:p>
    <w:p>
      <w:pPr>
        <w:sectPr>
          <w:pgSz w:w="11900" w:h="16838" w:orient="portrait"/>
          <w:cols w:equalWidth="0" w:num="1">
            <w:col w:w="10920"/>
          </w:cols>
          <w:pgMar w:left="700" w:top="274" w:right="279" w:bottom="1440" w:gutter="0" w:footer="0" w:header="0"/>
        </w:sectPr>
      </w:pPr>
    </w:p>
    <w:bookmarkStart w:id="291" w:name="page292"/>
    <w:bookmarkEnd w:id="291"/>
    <w:p>
      <w:pPr>
        <w:ind w:left="-443" w:right="160" w:firstLine="443"/>
        <w:spacing w:after="0" w:line="255" w:lineRule="auto"/>
        <w:tabs>
          <w:tab w:leader="none" w:pos="250"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 Consents Required. </w:t>
      </w:r>
      <w:r>
        <w:rPr>
          <w:rFonts w:ascii="Arial" w:cs="Arial" w:eastAsia="Arial" w:hAnsi="Arial"/>
          <w:sz w:val="18"/>
          <w:szCs w:val="18"/>
          <w:color w:val="auto"/>
        </w:rPr>
        <w:t>No consent, approval, authorization, order, license, registration or qualification of or with any court or arbitrator or</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or regulatory authority is required for the execution, delivery and performance by the Adviser of this Agreement or the performance by the Adviser of the Investment Management Agreement and the Administration Agreement, except for (i) such consents, approvals, authorizations, orders, licenses and registrations or qualifications as have already been obtained or made and (ii) where the failure to obtain any such consent, approval, authorization, order, license, registration or qualification would not reasonably be expected, individually or in the aggregate, to have an Adviser Material Adverse Effect.</w:t>
      </w:r>
    </w:p>
    <w:p>
      <w:pPr>
        <w:spacing w:after="0" w:line="85" w:lineRule="exact"/>
        <w:rPr>
          <w:rFonts w:ascii="Arial" w:cs="Arial" w:eastAsia="Arial" w:hAnsi="Arial"/>
          <w:sz w:val="18"/>
          <w:szCs w:val="18"/>
          <w:color w:val="auto"/>
        </w:rPr>
      </w:pPr>
    </w:p>
    <w:p>
      <w:pPr>
        <w:ind w:left="-443" w:right="80" w:firstLine="443"/>
        <w:spacing w:after="0" w:line="270" w:lineRule="auto"/>
        <w:tabs>
          <w:tab w:leader="none" w:pos="210" w:val="left"/>
        </w:tabs>
        <w:numPr>
          <w:ilvl w:val="0"/>
          <w:numId w:val="275"/>
        </w:numPr>
        <w:rPr>
          <w:rFonts w:ascii="Arial" w:cs="Arial" w:eastAsia="Arial" w:hAnsi="Arial"/>
          <w:sz w:val="17"/>
          <w:szCs w:val="17"/>
          <w:color w:val="auto"/>
        </w:rPr>
      </w:pPr>
      <w:r>
        <w:rPr>
          <w:rFonts w:ascii="Arial" w:cs="Arial" w:eastAsia="Arial" w:hAnsi="Arial"/>
          <w:sz w:val="17"/>
          <w:szCs w:val="17"/>
          <w:i w:val="1"/>
          <w:iCs w:val="1"/>
          <w:color w:val="auto"/>
        </w:rPr>
        <w:t xml:space="preserve">Legal Proceedings. </w:t>
      </w:r>
      <w:r>
        <w:rPr>
          <w:rFonts w:ascii="Arial" w:cs="Arial" w:eastAsia="Arial" w:hAnsi="Arial"/>
          <w:sz w:val="17"/>
          <w:szCs w:val="17"/>
          <w:color w:val="auto"/>
        </w:rPr>
        <w:t>Except as described in the Registration Statement, the Pricing Disclosure Package and the Prospectus, there are no legal,</w:t>
      </w:r>
      <w:r>
        <w:rPr>
          <w:rFonts w:ascii="Arial" w:cs="Arial" w:eastAsia="Arial" w:hAnsi="Arial"/>
          <w:sz w:val="17"/>
          <w:szCs w:val="17"/>
          <w:i w:val="1"/>
          <w:iCs w:val="1"/>
          <w:color w:val="auto"/>
        </w:rPr>
        <w:t xml:space="preserve"> </w:t>
      </w:r>
      <w:r>
        <w:rPr>
          <w:rFonts w:ascii="Arial" w:cs="Arial" w:eastAsia="Arial" w:hAnsi="Arial"/>
          <w:sz w:val="17"/>
          <w:szCs w:val="17"/>
          <w:color w:val="auto"/>
        </w:rPr>
        <w:t>governmental or regulatory investigations, actions, suits or proceedings pending to which the Adviser or any of its subsidiaries is or, to the knowledge of the Adviser, may be reasonably expected to become a party or to which any property of the Adviser or any of its subsidiaries is or, to the knowledge of the Adviser, may be reasonably expected to become the subject that, individually or in the aggregate, if determined adversely to the Adviser or any of its subsidiaries, would reasonably be expected to have an Adviser Material Adverse Effect; no such investigations, actions, suits or proceedings are threatened or, to the knowledge of the Adviser, contemplated by any governmental or regulatory authority or threatened by others, except as would not reasonably be expected, individually or in the aggregate, to have an Adviser Material Adverse Effect; and there are no current or pending legal, governmental or regulatory actions, suits or proceedings that are required under the Securities Act to be described in the Registration Statement, the Pricing Disclosure Package or the Prospectus that are not so described in the Registration Statement, the Pricing Disclosure Package and the Prospectus.</w:t>
      </w:r>
    </w:p>
    <w:p>
      <w:pPr>
        <w:spacing w:after="0" w:line="69" w:lineRule="exact"/>
        <w:rPr>
          <w:rFonts w:ascii="Arial" w:cs="Arial" w:eastAsia="Arial" w:hAnsi="Arial"/>
          <w:sz w:val="17"/>
          <w:szCs w:val="17"/>
          <w:color w:val="auto"/>
        </w:rPr>
      </w:pPr>
    </w:p>
    <w:p>
      <w:pPr>
        <w:ind w:left="-443" w:firstLine="443"/>
        <w:spacing w:after="0" w:line="289" w:lineRule="auto"/>
        <w:tabs>
          <w:tab w:leader="none" w:pos="210" w:val="left"/>
        </w:tabs>
        <w:numPr>
          <w:ilvl w:val="0"/>
          <w:numId w:val="275"/>
        </w:numPr>
        <w:rPr>
          <w:rFonts w:ascii="Arial" w:cs="Arial" w:eastAsia="Arial" w:hAnsi="Arial"/>
          <w:sz w:val="16"/>
          <w:szCs w:val="16"/>
          <w:color w:val="auto"/>
        </w:rPr>
      </w:pPr>
      <w:r>
        <w:rPr>
          <w:rFonts w:ascii="Arial" w:cs="Arial" w:eastAsia="Arial" w:hAnsi="Arial"/>
          <w:sz w:val="16"/>
          <w:szCs w:val="16"/>
          <w:i w:val="1"/>
          <w:iCs w:val="1"/>
          <w:color w:val="auto"/>
        </w:rPr>
        <w:t xml:space="preserve">Licenses and Permits. </w:t>
      </w:r>
      <w:r>
        <w:rPr>
          <w:rFonts w:ascii="Arial" w:cs="Arial" w:eastAsia="Arial" w:hAnsi="Arial"/>
          <w:sz w:val="16"/>
          <w:szCs w:val="16"/>
          <w:color w:val="auto"/>
        </w:rPr>
        <w:t>The Adviser and its subsidiaries possess all licenses, certificates, permits and other authorizations issued by, and have</w:t>
      </w:r>
      <w:r>
        <w:rPr>
          <w:rFonts w:ascii="Arial" w:cs="Arial" w:eastAsia="Arial" w:hAnsi="Arial"/>
          <w:sz w:val="16"/>
          <w:szCs w:val="16"/>
          <w:i w:val="1"/>
          <w:iCs w:val="1"/>
          <w:color w:val="auto"/>
        </w:rPr>
        <w:t xml:space="preserve"> </w:t>
      </w:r>
      <w:r>
        <w:rPr>
          <w:rFonts w:ascii="Arial" w:cs="Arial" w:eastAsia="Arial" w:hAnsi="Arial"/>
          <w:sz w:val="16"/>
          <w:szCs w:val="16"/>
          <w:color w:val="auto"/>
        </w:rPr>
        <w:t>made all declarations and filings with, the appropriate federal, state, local or foreign governmental or regulatory authorities having jurisdiction over the Adviser and its subsidiaries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reasonably be expected, individually or in the aggregate, to have an Adviser Material Adverse Effect; and except as described in the Registration Statement, the Pricing Disclosure Package and the Prospectus, neither the Adviser nor any of its subsidiaries has received written notice of any revocation or modification of any such license, certificate, permit or authorization or has any reason to believe that any such license, certificate, permit or authorization will not be renewed in the ordinary course, except where such revocation, modification or non-renewal would not reasonably be expected, individually or in the aggregate, to have an Adviser Material Adverse Effect.</w:t>
      </w:r>
    </w:p>
    <w:p>
      <w:pPr>
        <w:spacing w:after="0" w:line="58" w:lineRule="exact"/>
        <w:rPr>
          <w:rFonts w:ascii="Arial" w:cs="Arial" w:eastAsia="Arial" w:hAnsi="Arial"/>
          <w:sz w:val="16"/>
          <w:szCs w:val="16"/>
          <w:color w:val="auto"/>
        </w:rPr>
      </w:pPr>
    </w:p>
    <w:p>
      <w:pPr>
        <w:ind w:left="-443" w:right="180" w:firstLine="443"/>
        <w:spacing w:after="0" w:line="312" w:lineRule="auto"/>
        <w:tabs>
          <w:tab w:leader="none" w:pos="250" w:val="left"/>
        </w:tabs>
        <w:numPr>
          <w:ilvl w:val="0"/>
          <w:numId w:val="275"/>
        </w:numPr>
        <w:rPr>
          <w:rFonts w:ascii="Arial" w:cs="Arial" w:eastAsia="Arial" w:hAnsi="Arial"/>
          <w:sz w:val="16"/>
          <w:szCs w:val="16"/>
          <w:color w:val="auto"/>
        </w:rPr>
      </w:pPr>
      <w:r>
        <w:rPr>
          <w:rFonts w:ascii="Arial" w:cs="Arial" w:eastAsia="Arial" w:hAnsi="Arial"/>
          <w:sz w:val="16"/>
          <w:szCs w:val="16"/>
          <w:i w:val="1"/>
          <w:iCs w:val="1"/>
          <w:color w:val="auto"/>
        </w:rPr>
        <w:t>Description of the Adviser</w:t>
      </w:r>
      <w:r>
        <w:rPr>
          <w:rFonts w:ascii="Arial" w:cs="Arial" w:eastAsia="Arial" w:hAnsi="Arial"/>
          <w:sz w:val="16"/>
          <w:szCs w:val="16"/>
          <w:color w:val="auto"/>
        </w:rPr>
        <w:t>. The description of the Adviser and its respective principals and business in the Registration Statement, Pricing</w:t>
      </w:r>
      <w:r>
        <w:rPr>
          <w:rFonts w:ascii="Arial" w:cs="Arial" w:eastAsia="Arial" w:hAnsi="Arial"/>
          <w:sz w:val="16"/>
          <w:szCs w:val="16"/>
          <w:i w:val="1"/>
          <w:iCs w:val="1"/>
          <w:color w:val="auto"/>
        </w:rPr>
        <w:t xml:space="preserve"> </w:t>
      </w:r>
      <w:r>
        <w:rPr>
          <w:rFonts w:ascii="Arial" w:cs="Arial" w:eastAsia="Arial" w:hAnsi="Arial"/>
          <w:sz w:val="16"/>
          <w:szCs w:val="16"/>
          <w:color w:val="auto"/>
        </w:rPr>
        <w:t>Disclosure Package and the Prospectus do not and will not contain an untrue statement of a material fact or omit to state a material fact required to be stated therein or necessary to make the statements therein, in the light of the circumstances under which they were made, not misleading.</w:t>
      </w:r>
    </w:p>
    <w:p>
      <w:pPr>
        <w:spacing w:after="0" w:line="38" w:lineRule="exact"/>
        <w:rPr>
          <w:rFonts w:ascii="Arial" w:cs="Arial" w:eastAsia="Arial" w:hAnsi="Arial"/>
          <w:sz w:val="16"/>
          <w:szCs w:val="16"/>
          <w:color w:val="auto"/>
        </w:rPr>
      </w:pPr>
    </w:p>
    <w:p>
      <w:pPr>
        <w:ind w:left="-443" w:right="440" w:firstLine="443"/>
        <w:spacing w:after="0" w:line="264" w:lineRule="auto"/>
        <w:tabs>
          <w:tab w:leader="none" w:pos="210" w:val="left"/>
        </w:tabs>
        <w:numPr>
          <w:ilvl w:val="0"/>
          <w:numId w:val="275"/>
        </w:numPr>
        <w:rPr>
          <w:rFonts w:ascii="Arial" w:cs="Arial" w:eastAsia="Arial" w:hAnsi="Arial"/>
          <w:sz w:val="18"/>
          <w:szCs w:val="18"/>
          <w:color w:val="auto"/>
        </w:rPr>
      </w:pPr>
      <w:r>
        <w:rPr>
          <w:rFonts w:ascii="Arial" w:cs="Arial" w:eastAsia="Arial" w:hAnsi="Arial"/>
          <w:sz w:val="18"/>
          <w:szCs w:val="18"/>
          <w:i w:val="1"/>
          <w:iCs w:val="1"/>
          <w:color w:val="auto"/>
        </w:rPr>
        <w:t>Financial Resources</w:t>
      </w:r>
      <w:r>
        <w:rPr>
          <w:rFonts w:ascii="Arial" w:cs="Arial" w:eastAsia="Arial" w:hAnsi="Arial"/>
          <w:sz w:val="18"/>
          <w:szCs w:val="18"/>
          <w:color w:val="auto"/>
        </w:rPr>
        <w:t>. The Adviser has the financial resources available to it necessary for the performance of its services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contemplated in the Pricing Disclosure Package, the Prospectus, and under this Agreement, the Investment Management Agreement and the Administration Agreement.</w:t>
      </w:r>
    </w:p>
    <w:p>
      <w:pPr>
        <w:sectPr>
          <w:pgSz w:w="11900" w:h="16838" w:orient="portrait"/>
          <w:cols w:equalWidth="0" w:num="1">
            <w:col w:w="10497"/>
          </w:cols>
          <w:pgMar w:left="1143" w:top="274" w:right="259" w:bottom="1440" w:gutter="0" w:footer="0" w:header="0"/>
        </w:sectPr>
      </w:pPr>
    </w:p>
    <w:bookmarkStart w:id="292" w:name="page293"/>
    <w:bookmarkEnd w:id="292"/>
    <w:p>
      <w:pPr>
        <w:ind w:left="736" w:hanging="297"/>
        <w:spacing w:after="0"/>
        <w:tabs>
          <w:tab w:leader="none" w:pos="736" w:val="left"/>
        </w:tabs>
        <w:numPr>
          <w:ilvl w:val="1"/>
          <w:numId w:val="27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Internal Controls</w:t>
      </w:r>
      <w:r>
        <w:rPr>
          <w:rFonts w:ascii="Arial" w:cs="Arial" w:eastAsia="Arial" w:hAnsi="Arial"/>
          <w:sz w:val="18"/>
          <w:szCs w:val="18"/>
          <w:color w:val="auto"/>
        </w:rPr>
        <w:t>. The Adviser maintains a system of internal accounting controls sufficient to provide reasonable assurance that</w:t>
      </w:r>
    </w:p>
    <w:p>
      <w:pPr>
        <w:spacing w:after="0" w:line="23" w:lineRule="exact"/>
        <w:rPr>
          <w:rFonts w:ascii="Arial" w:cs="Arial" w:eastAsia="Arial" w:hAnsi="Arial"/>
          <w:sz w:val="18"/>
          <w:szCs w:val="18"/>
          <w:color w:val="auto"/>
        </w:rPr>
      </w:pPr>
    </w:p>
    <w:p>
      <w:pPr>
        <w:ind w:left="-4" w:right="20" w:firstLine="4"/>
        <w:spacing w:after="0" w:line="281" w:lineRule="auto"/>
        <w:tabs>
          <w:tab w:leader="none" w:pos="21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transactions are executed in accordance with its management’s general or specific authorization and with the investment objectives, policies and restrictions of the Company and the applicable requirements of the Investment Company Act and the Code; (ii) transactions are recorded as necessary to permit preparation of the Company’s financial statements in conformity with generally accepted accounting principles, to calculate net asset value, and to maintain asset accountability, and to maintain material compliance with the books and records requirements under the Investment Company Act;</w:t>
      </w:r>
    </w:p>
    <w:p>
      <w:pPr>
        <w:spacing w:after="0" w:line="2" w:lineRule="exact"/>
        <w:rPr>
          <w:rFonts w:ascii="Arial" w:cs="Arial" w:eastAsia="Arial" w:hAnsi="Arial"/>
          <w:sz w:val="16"/>
          <w:szCs w:val="16"/>
          <w:color w:val="auto"/>
        </w:rPr>
      </w:pPr>
    </w:p>
    <w:p>
      <w:pPr>
        <w:ind w:left="316" w:hanging="316"/>
        <w:spacing w:after="0"/>
        <w:tabs>
          <w:tab w:leader="none" w:pos="316" w:val="left"/>
        </w:tabs>
        <w:numPr>
          <w:ilvl w:val="0"/>
          <w:numId w:val="278"/>
        </w:numPr>
        <w:rPr>
          <w:rFonts w:ascii="Arial" w:cs="Arial" w:eastAsia="Arial" w:hAnsi="Arial"/>
          <w:sz w:val="16"/>
          <w:szCs w:val="16"/>
          <w:color w:val="auto"/>
        </w:rPr>
      </w:pPr>
      <w:r>
        <w:rPr>
          <w:rFonts w:ascii="Arial" w:cs="Arial" w:eastAsia="Arial" w:hAnsi="Arial"/>
          <w:sz w:val="16"/>
          <w:szCs w:val="16"/>
          <w:color w:val="auto"/>
        </w:rPr>
        <w:t>access to assets of the Company and its subsidiaries is permitted only in accordance with its management’s general or specific authorization; and</w:t>
      </w:r>
    </w:p>
    <w:p>
      <w:pPr>
        <w:spacing w:after="0" w:line="32" w:lineRule="exact"/>
        <w:rPr>
          <w:rFonts w:ascii="Arial" w:cs="Arial" w:eastAsia="Arial" w:hAnsi="Arial"/>
          <w:sz w:val="16"/>
          <w:szCs w:val="16"/>
          <w:color w:val="auto"/>
        </w:rPr>
      </w:pPr>
    </w:p>
    <w:p>
      <w:pPr>
        <w:ind w:left="-4" w:right="260" w:firstLine="4"/>
        <w:spacing w:after="0" w:line="261" w:lineRule="auto"/>
        <w:tabs>
          <w:tab w:leader="none" w:pos="301"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recorded accountability for assets is compared with existing assets at reasonable intervals and appropriate action is taken with respect to any differences.</w:t>
      </w:r>
    </w:p>
    <w:p>
      <w:pPr>
        <w:spacing w:after="0" w:line="75" w:lineRule="exact"/>
        <w:rPr>
          <w:rFonts w:ascii="Arial" w:cs="Arial" w:eastAsia="Arial" w:hAnsi="Arial"/>
          <w:sz w:val="18"/>
          <w:szCs w:val="18"/>
          <w:color w:val="auto"/>
        </w:rPr>
      </w:pPr>
    </w:p>
    <w:p>
      <w:pPr>
        <w:ind w:left="-4" w:firstLine="443"/>
        <w:spacing w:after="0" w:line="284" w:lineRule="auto"/>
        <w:tabs>
          <w:tab w:leader="none" w:pos="688" w:val="left"/>
        </w:tabs>
        <w:numPr>
          <w:ilvl w:val="1"/>
          <w:numId w:val="278"/>
        </w:numPr>
        <w:rPr>
          <w:rFonts w:ascii="Arial" w:cs="Arial" w:eastAsia="Arial" w:hAnsi="Arial"/>
          <w:sz w:val="16"/>
          <w:szCs w:val="16"/>
          <w:color w:val="auto"/>
        </w:rPr>
      </w:pPr>
      <w:r>
        <w:rPr>
          <w:rFonts w:ascii="Arial" w:cs="Arial" w:eastAsia="Arial" w:hAnsi="Arial"/>
          <w:sz w:val="16"/>
          <w:szCs w:val="16"/>
          <w:i w:val="1"/>
          <w:iCs w:val="1"/>
          <w:color w:val="auto"/>
        </w:rPr>
        <w:t xml:space="preserve">No Unlawful Payments. </w:t>
      </w:r>
      <w:r>
        <w:rPr>
          <w:rFonts w:ascii="Arial" w:cs="Arial" w:eastAsia="Arial" w:hAnsi="Arial"/>
          <w:sz w:val="16"/>
          <w:szCs w:val="16"/>
          <w:color w:val="auto"/>
        </w:rPr>
        <w:t>Neither the Adviser nor any of its subsidiaries nor any director, officer, or employee of the Adviser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nor, to the knowledge of the Adviser, any agent, affiliate or other person associated with or acting on behalf of the Adviser or any of its subsidiaries has (i) used any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or regulatory official or employee, including of any government-owned or controlled entity or of a public international organization, or any person acting in an official capacity for or on behalf of any of the foregoing, or any political party or party official or candidate for political office;</w:t>
      </w:r>
    </w:p>
    <w:p>
      <w:pPr>
        <w:spacing w:after="0" w:line="4" w:lineRule="exact"/>
        <w:rPr>
          <w:rFonts w:ascii="Arial" w:cs="Arial" w:eastAsia="Arial" w:hAnsi="Arial"/>
          <w:sz w:val="16"/>
          <w:szCs w:val="16"/>
          <w:color w:val="auto"/>
        </w:rPr>
      </w:pPr>
    </w:p>
    <w:p>
      <w:pPr>
        <w:ind w:left="-4" w:right="60" w:firstLine="4"/>
        <w:spacing w:after="0" w:line="254" w:lineRule="auto"/>
        <w:tabs>
          <w:tab w:leader="none" w:pos="311" w:val="left"/>
        </w:tabs>
        <w:numPr>
          <w:ilvl w:val="0"/>
          <w:numId w:val="279"/>
        </w:numPr>
        <w:rPr>
          <w:rFonts w:ascii="Arial" w:cs="Arial" w:eastAsia="Arial" w:hAnsi="Arial"/>
          <w:sz w:val="18"/>
          <w:szCs w:val="18"/>
          <w:color w:val="auto"/>
        </w:rPr>
      </w:pPr>
      <w:r>
        <w:rPr>
          <w:rFonts w:ascii="Arial" w:cs="Arial" w:eastAsia="Arial" w:hAnsi="Arial"/>
          <w:sz w:val="18"/>
          <w:szCs w:val="18"/>
          <w:color w:val="auto"/>
        </w:rPr>
        <w:t>violated or is in violation of any provision of the Anti-Corruption Laws; or (iv) made, offered, agreed, requested or taken an act in furtherance of any unlawful bribe or other unlawful benefit, including, without limitation, any rebate, payoff, influence payment, kickback or other unlawful or improper payment or benefit. The Adviser and its subsidiaries have instituted, maintain and enforce, and will continue to maintain and enforce policies and procedures designed to promote and ensure compliance with all Anti-Corruption Laws.</w:t>
      </w:r>
    </w:p>
    <w:p>
      <w:pPr>
        <w:spacing w:after="0" w:line="81" w:lineRule="exact"/>
        <w:rPr>
          <w:rFonts w:ascii="Arial" w:cs="Arial" w:eastAsia="Arial" w:hAnsi="Arial"/>
          <w:sz w:val="18"/>
          <w:szCs w:val="18"/>
          <w:color w:val="auto"/>
        </w:rPr>
      </w:pPr>
    </w:p>
    <w:p>
      <w:pPr>
        <w:ind w:left="-4" w:right="60" w:firstLine="443"/>
        <w:spacing w:after="0" w:line="276" w:lineRule="auto"/>
        <w:tabs>
          <w:tab w:leader="none" w:pos="688" w:val="left"/>
        </w:tabs>
        <w:numPr>
          <w:ilvl w:val="1"/>
          <w:numId w:val="279"/>
        </w:numPr>
        <w:rPr>
          <w:rFonts w:ascii="Arial" w:cs="Arial" w:eastAsia="Arial" w:hAnsi="Arial"/>
          <w:sz w:val="17"/>
          <w:szCs w:val="17"/>
          <w:color w:val="auto"/>
        </w:rPr>
      </w:pPr>
      <w:r>
        <w:rPr>
          <w:rFonts w:ascii="Arial" w:cs="Arial" w:eastAsia="Arial" w:hAnsi="Arial"/>
          <w:sz w:val="17"/>
          <w:szCs w:val="17"/>
          <w:i w:val="1"/>
          <w:iCs w:val="1"/>
          <w:color w:val="auto"/>
        </w:rPr>
        <w:t>Compliance with Money Laundering Laws</w:t>
      </w:r>
      <w:r>
        <w:rPr>
          <w:rFonts w:ascii="Arial" w:cs="Arial" w:eastAsia="Arial" w:hAnsi="Arial"/>
          <w:sz w:val="17"/>
          <w:szCs w:val="17"/>
          <w:color w:val="auto"/>
        </w:rPr>
        <w:t>. The operations of the Adviser and its subsidiaries are and have been conducted at all times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with applicable financial recordkeeping and reporting requirements, including those of the Anti-Money Laundering Laws of all jurisdictions having jurisdiction over the Adviser and its subsidiaries, and no action, suit or proceeding by or before any court or governmental or regulatory agency, authority or body or any arbitrator involving the Adviser or any of its subsidiaries with respect to the Anti-Money Laundering Laws of all jurisdictions having jurisdiction over the Adviser and its subsidiaries is pending or, to the knowledge of the Adviser, threatened.</w:t>
      </w:r>
    </w:p>
    <w:p>
      <w:pPr>
        <w:spacing w:after="0" w:line="64" w:lineRule="exact"/>
        <w:rPr>
          <w:rFonts w:ascii="Arial" w:cs="Arial" w:eastAsia="Arial" w:hAnsi="Arial"/>
          <w:sz w:val="17"/>
          <w:szCs w:val="17"/>
          <w:color w:val="auto"/>
        </w:rPr>
      </w:pPr>
    </w:p>
    <w:p>
      <w:pPr>
        <w:ind w:left="-4" w:right="40" w:firstLine="443"/>
        <w:spacing w:after="0" w:line="276" w:lineRule="auto"/>
        <w:tabs>
          <w:tab w:leader="none" w:pos="688" w:val="left"/>
        </w:tabs>
        <w:numPr>
          <w:ilvl w:val="1"/>
          <w:numId w:val="279"/>
        </w:numPr>
        <w:rPr>
          <w:rFonts w:ascii="Arial" w:cs="Arial" w:eastAsia="Arial" w:hAnsi="Arial"/>
          <w:sz w:val="17"/>
          <w:szCs w:val="17"/>
          <w:color w:val="auto"/>
        </w:rPr>
      </w:pPr>
      <w:r>
        <w:rPr>
          <w:rFonts w:ascii="Arial" w:cs="Arial" w:eastAsia="Arial" w:hAnsi="Arial"/>
          <w:sz w:val="17"/>
          <w:szCs w:val="17"/>
          <w:i w:val="1"/>
          <w:iCs w:val="1"/>
          <w:color w:val="auto"/>
        </w:rPr>
        <w:t xml:space="preserve">No Conflicts with Sanctions Laws. </w:t>
      </w:r>
      <w:r>
        <w:rPr>
          <w:rFonts w:ascii="Arial" w:cs="Arial" w:eastAsia="Arial" w:hAnsi="Arial"/>
          <w:sz w:val="17"/>
          <w:szCs w:val="17"/>
          <w:color w:val="auto"/>
        </w:rPr>
        <w:t>Neither the Adviser nor any of its subsidiaries, directors, officers or employees, nor, to the knowledge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Adviser, any agent, or affiliate or other person associated with or acting on behalf of the Adviser or any of its subsidiaries is currently the subject or the target of any Sanctions, nor is the Adviser, any of its subsidiaries located, organized or resident in a Sanctioned Country. Since the inception of the Adviser, the Adviser and its subsidiaries have not knowingly engaged in, and are not now knowingly engaged in, any dealings or transactions with any person that at the time of the dealing or transaction is or was a Sanctioned Person or with any Sanctioned Country.</w:t>
      </w:r>
    </w:p>
    <w:p>
      <w:pPr>
        <w:spacing w:after="0" w:line="64" w:lineRule="exact"/>
        <w:rPr>
          <w:rFonts w:ascii="Arial" w:cs="Arial" w:eastAsia="Arial" w:hAnsi="Arial"/>
          <w:sz w:val="17"/>
          <w:szCs w:val="17"/>
          <w:color w:val="auto"/>
        </w:rPr>
      </w:pPr>
    </w:p>
    <w:p>
      <w:pPr>
        <w:ind w:left="-4" w:right="440" w:firstLine="443"/>
        <w:spacing w:after="0" w:line="264" w:lineRule="auto"/>
        <w:tabs>
          <w:tab w:leader="none" w:pos="688" w:val="left"/>
        </w:tabs>
        <w:numPr>
          <w:ilvl w:val="1"/>
          <w:numId w:val="27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Adviser has not taken, directly or indirectly, without giving effect to any activities by the Underwriters,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or that would reasonably be expected to cause or result in any stabilization or manipulation of the price of the Securities, other than permitted activity pursuant to Regulation M and Rule 10b-18 under the Exchange Act.</w:t>
      </w:r>
    </w:p>
    <w:p>
      <w:pPr>
        <w:sectPr>
          <w:pgSz w:w="11900" w:h="16838" w:orient="portrait"/>
          <w:cols w:equalWidth="0" w:num="1">
            <w:col w:w="10936"/>
          </w:cols>
          <w:pgMar w:left="704" w:top="274" w:right="259" w:bottom="1440" w:gutter="0" w:footer="0" w:header="0"/>
        </w:sectPr>
      </w:pPr>
    </w:p>
    <w:bookmarkStart w:id="293" w:name="page294"/>
    <w:bookmarkEnd w:id="293"/>
    <w:p>
      <w:pPr>
        <w:jc w:val="both"/>
        <w:ind w:right="220" w:firstLine="443"/>
        <w:spacing w:after="0" w:line="302" w:lineRule="auto"/>
        <w:tabs>
          <w:tab w:leader="none" w:pos="663" w:val="left"/>
        </w:tabs>
        <w:numPr>
          <w:ilvl w:val="1"/>
          <w:numId w:val="28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Key Employees. </w:t>
      </w:r>
      <w:r>
        <w:rPr>
          <w:rFonts w:ascii="Arial" w:cs="Arial" w:eastAsia="Arial" w:hAnsi="Arial"/>
          <w:sz w:val="16"/>
          <w:szCs w:val="16"/>
          <w:color w:val="auto"/>
        </w:rPr>
        <w:t>The Adviser is not aware that (i) any of its executives, key employees or significant group of employees plans to terminate</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with the Adviser or (ii) any such executive or key employee is subject to any noncompete, nondisclosure, confidentiality, employment, consulting or similar agreement that would be violated by either the Adviser’s present or proposed business activities, except, in each case, as would not reasonably be expected, individually or in the aggregate, to have an Adviser Material Adverse Effect.</w:t>
      </w:r>
    </w:p>
    <w:p>
      <w:pPr>
        <w:spacing w:after="0" w:line="46" w:lineRule="exact"/>
        <w:rPr>
          <w:rFonts w:ascii="Arial" w:cs="Arial" w:eastAsia="Arial" w:hAnsi="Arial"/>
          <w:sz w:val="16"/>
          <w:szCs w:val="16"/>
          <w:color w:val="auto"/>
        </w:rPr>
      </w:pPr>
    </w:p>
    <w:p>
      <w:pPr>
        <w:ind w:right="60" w:firstLine="443"/>
        <w:spacing w:after="0" w:line="259" w:lineRule="auto"/>
        <w:tabs>
          <w:tab w:leader="none" w:pos="673" w:val="left"/>
        </w:tabs>
        <w:numPr>
          <w:ilvl w:val="1"/>
          <w:numId w:val="280"/>
        </w:numPr>
        <w:rPr>
          <w:rFonts w:ascii="Arial" w:cs="Arial" w:eastAsia="Arial" w:hAnsi="Arial"/>
          <w:sz w:val="18"/>
          <w:szCs w:val="18"/>
          <w:color w:val="auto"/>
        </w:rPr>
      </w:pPr>
      <w:r>
        <w:rPr>
          <w:rFonts w:ascii="Arial" w:cs="Arial" w:eastAsia="Arial" w:hAnsi="Arial"/>
          <w:sz w:val="18"/>
          <w:szCs w:val="18"/>
          <w:i w:val="1"/>
          <w:iCs w:val="1"/>
          <w:color w:val="auto"/>
        </w:rPr>
        <w:t xml:space="preserve">No Labor Disputes. </w:t>
      </w:r>
      <w:r>
        <w:rPr>
          <w:rFonts w:ascii="Arial" w:cs="Arial" w:eastAsia="Arial" w:hAnsi="Arial"/>
          <w:sz w:val="18"/>
          <w:szCs w:val="18"/>
          <w:color w:val="auto"/>
        </w:rPr>
        <w:t>No labor disturbance by or dispute with employees of the Adviser or any of its subsidiaries exists or, to the knowledge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have an Adviser Material Adverse Effect.</w:t>
      </w:r>
    </w:p>
    <w:p>
      <w:pPr>
        <w:spacing w:after="0" w:line="186" w:lineRule="exact"/>
        <w:rPr>
          <w:rFonts w:ascii="Arial" w:cs="Arial" w:eastAsia="Arial" w:hAnsi="Arial"/>
          <w:sz w:val="18"/>
          <w:szCs w:val="18"/>
          <w:color w:val="auto"/>
        </w:rPr>
      </w:pPr>
    </w:p>
    <w:p>
      <w:pPr>
        <w:ind w:left="180" w:hanging="176"/>
        <w:spacing w:after="0"/>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Further Agreements of the Company</w:t>
      </w:r>
      <w:r>
        <w:rPr>
          <w:rFonts w:ascii="Arial" w:cs="Arial" w:eastAsia="Arial" w:hAnsi="Arial"/>
          <w:sz w:val="18"/>
          <w:szCs w:val="18"/>
          <w:color w:val="auto"/>
        </w:rPr>
        <w:t>. The Company covenants and agrees with each Underwriter that:</w:t>
      </w:r>
    </w:p>
    <w:p>
      <w:pPr>
        <w:spacing w:after="0" w:line="117" w:lineRule="exact"/>
        <w:rPr>
          <w:rFonts w:ascii="Arial" w:cs="Arial" w:eastAsia="Arial" w:hAnsi="Arial"/>
          <w:sz w:val="18"/>
          <w:szCs w:val="18"/>
          <w:color w:val="auto"/>
        </w:rPr>
      </w:pPr>
    </w:p>
    <w:p>
      <w:pPr>
        <w:ind w:right="120" w:firstLine="443"/>
        <w:spacing w:after="0" w:line="272" w:lineRule="auto"/>
        <w:tabs>
          <w:tab w:leader="none" w:pos="683" w:val="left"/>
        </w:tabs>
        <w:numPr>
          <w:ilvl w:val="1"/>
          <w:numId w:val="281"/>
        </w:numPr>
        <w:rPr>
          <w:rFonts w:ascii="Arial" w:cs="Arial" w:eastAsia="Arial" w:hAnsi="Arial"/>
          <w:sz w:val="17"/>
          <w:szCs w:val="17"/>
          <w:color w:val="auto"/>
        </w:rPr>
      </w:pPr>
      <w:r>
        <w:rPr>
          <w:rFonts w:ascii="Arial" w:cs="Arial" w:eastAsia="Arial" w:hAnsi="Arial"/>
          <w:sz w:val="17"/>
          <w:szCs w:val="17"/>
          <w:i w:val="1"/>
          <w:iCs w:val="1"/>
          <w:color w:val="auto"/>
        </w:rPr>
        <w:t xml:space="preserve">Required Filings. </w:t>
      </w:r>
      <w:r>
        <w:rPr>
          <w:rFonts w:ascii="Arial" w:cs="Arial" w:eastAsia="Arial" w:hAnsi="Arial"/>
          <w:sz w:val="17"/>
          <w:szCs w:val="17"/>
          <w:color w:val="auto"/>
        </w:rPr>
        <w:t>The Company will file the final Prospectus with the Commission within the time periods specified by Rule 497 and Rule</w:t>
      </w:r>
      <w:r>
        <w:rPr>
          <w:rFonts w:ascii="Arial" w:cs="Arial" w:eastAsia="Arial" w:hAnsi="Arial"/>
          <w:sz w:val="17"/>
          <w:szCs w:val="17"/>
          <w:i w:val="1"/>
          <w:iCs w:val="1"/>
          <w:color w:val="auto"/>
        </w:rPr>
        <w:t xml:space="preserve"> </w:t>
      </w:r>
      <w:r>
        <w:rPr>
          <w:rFonts w:ascii="Arial" w:cs="Arial" w:eastAsia="Arial" w:hAnsi="Arial"/>
          <w:sz w:val="17"/>
          <w:szCs w:val="17"/>
          <w:color w:val="auto"/>
        </w:rPr>
        <w:t>430C under the Securities Act;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Securities; and will furnish electronic copies of the Prospectus to the Underwriters in New York City prior to 5:00 P.M., New York City time, on the business day next succeeding the date of this Agreement, with written copies of the Prospectus to follow as soon as practicable but in no event later than 5:00 P.M., New York City time, on the second business day succeeding the date of this Agreement in such quantities as the Representative[s] may reasonably request.</w:t>
      </w:r>
    </w:p>
    <w:p>
      <w:pPr>
        <w:spacing w:after="0" w:line="69" w:lineRule="exact"/>
        <w:rPr>
          <w:rFonts w:ascii="Arial" w:cs="Arial" w:eastAsia="Arial" w:hAnsi="Arial"/>
          <w:sz w:val="17"/>
          <w:szCs w:val="17"/>
          <w:color w:val="auto"/>
        </w:rPr>
      </w:pPr>
    </w:p>
    <w:p>
      <w:pPr>
        <w:ind w:right="80" w:firstLine="443"/>
        <w:spacing w:after="0" w:line="291" w:lineRule="auto"/>
        <w:tabs>
          <w:tab w:leader="none" w:pos="693" w:val="left"/>
        </w:tabs>
        <w:numPr>
          <w:ilvl w:val="1"/>
          <w:numId w:val="281"/>
        </w:numPr>
        <w:rPr>
          <w:rFonts w:ascii="Arial" w:cs="Arial" w:eastAsia="Arial" w:hAnsi="Arial"/>
          <w:sz w:val="16"/>
          <w:szCs w:val="16"/>
          <w:color w:val="auto"/>
        </w:rPr>
      </w:pPr>
      <w:r>
        <w:rPr>
          <w:rFonts w:ascii="Arial" w:cs="Arial" w:eastAsia="Arial" w:hAnsi="Arial"/>
          <w:sz w:val="16"/>
          <w:szCs w:val="16"/>
          <w:i w:val="1"/>
          <w:iCs w:val="1"/>
          <w:color w:val="auto"/>
        </w:rPr>
        <w:t xml:space="preserve">Delivery of Copies. </w:t>
      </w:r>
      <w:r>
        <w:rPr>
          <w:rFonts w:ascii="Arial" w:cs="Arial" w:eastAsia="Arial" w:hAnsi="Arial"/>
          <w:sz w:val="16"/>
          <w:szCs w:val="16"/>
          <w:color w:val="auto"/>
        </w:rPr>
        <w:t>The Company will deliver, without charge, (i) to the Representative[s], electronic signed copies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as originally filed and each amendment thereto, in each case including all exhibits and consents filed therewith; and (ii) to each Underwriter</w:t>
      </w:r>
    </w:p>
    <w:p>
      <w:pPr>
        <w:ind w:right="120"/>
        <w:spacing w:after="0" w:line="253" w:lineRule="auto"/>
        <w:rPr>
          <w:rFonts w:ascii="Arial" w:cs="Arial" w:eastAsia="Arial" w:hAnsi="Arial"/>
          <w:sz w:val="16"/>
          <w:szCs w:val="16"/>
          <w:color w:val="auto"/>
        </w:rPr>
      </w:pPr>
      <w:r>
        <w:rPr>
          <w:rFonts w:ascii="Arial" w:cs="Arial" w:eastAsia="Arial" w:hAnsi="Arial"/>
          <w:sz w:val="18"/>
          <w:szCs w:val="18"/>
          <w:color w:val="auto"/>
        </w:rPr>
        <w:t>(A) a conformed copy of the Registration Statement as originally filed and each amendment thereto (without exhibits) and (B) during the Prospectus Delivery Period (as defined below), as many copies of the Prospectus as the Representative[s] may reasonably request. As used herein, the term “Prospectus Delivery Period” means such period of time after the first date of the public offering of the Securities as in the opinion of counsel for the Underwriters a prospectus relating to the Securities is required by law to be delivered in connection with sales of the Securities by any Underwriter or dealer.</w:t>
      </w:r>
    </w:p>
    <w:p>
      <w:pPr>
        <w:spacing w:after="0" w:line="83" w:lineRule="exact"/>
        <w:rPr>
          <w:rFonts w:ascii="Arial" w:cs="Arial" w:eastAsia="Arial" w:hAnsi="Arial"/>
          <w:sz w:val="16"/>
          <w:szCs w:val="16"/>
          <w:color w:val="auto"/>
        </w:rPr>
      </w:pPr>
    </w:p>
    <w:p>
      <w:pPr>
        <w:ind w:firstLine="443"/>
        <w:spacing w:after="0" w:line="259" w:lineRule="auto"/>
        <w:tabs>
          <w:tab w:leader="none" w:pos="683" w:val="left"/>
        </w:tabs>
        <w:numPr>
          <w:ilvl w:val="1"/>
          <w:numId w:val="281"/>
        </w:numPr>
        <w:rPr>
          <w:rFonts w:ascii="Arial" w:cs="Arial" w:eastAsia="Arial" w:hAnsi="Arial"/>
          <w:sz w:val="18"/>
          <w:szCs w:val="18"/>
          <w:color w:val="auto"/>
        </w:rPr>
      </w:pPr>
      <w:r>
        <w:rPr>
          <w:rFonts w:ascii="Arial" w:cs="Arial" w:eastAsia="Arial" w:hAnsi="Arial"/>
          <w:sz w:val="18"/>
          <w:szCs w:val="18"/>
          <w:i w:val="1"/>
          <w:iCs w:val="1"/>
          <w:color w:val="auto"/>
        </w:rPr>
        <w:t xml:space="preserve">Amendments or Supplements. </w:t>
      </w:r>
      <w:r>
        <w:rPr>
          <w:rFonts w:ascii="Arial" w:cs="Arial" w:eastAsia="Arial" w:hAnsi="Arial"/>
          <w:sz w:val="18"/>
          <w:szCs w:val="18"/>
          <w:color w:val="auto"/>
        </w:rPr>
        <w:t>Before using, authorizing, approving, referring to or filing any amendment or supplement to the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the Prospectus, the Company will furnish to the Representative[s] and counsel for the Underwriters a copy of the proposed amendment or supplement for review and will not use, authorize, approve, refer to or file any such proposed amendment or supplement to which the Representative[s] reasonably object in a timely manner.</w:t>
      </w:r>
    </w:p>
    <w:p>
      <w:pPr>
        <w:sectPr>
          <w:pgSz w:w="11900" w:h="16838" w:orient="portrait"/>
          <w:cols w:equalWidth="0" w:num="1">
            <w:col w:w="10920"/>
          </w:cols>
          <w:pgMar w:left="700" w:top="274" w:right="279" w:bottom="1440" w:gutter="0" w:footer="0" w:header="0"/>
        </w:sectPr>
      </w:pPr>
    </w:p>
    <w:bookmarkStart w:id="294" w:name="page295"/>
    <w:bookmarkEnd w:id="294"/>
    <w:p>
      <w:pPr>
        <w:ind w:left="-443" w:right="40" w:firstLine="443"/>
        <w:spacing w:after="0" w:line="286" w:lineRule="auto"/>
        <w:tabs>
          <w:tab w:leader="none" w:pos="250" w:val="left"/>
        </w:tabs>
        <w:numPr>
          <w:ilvl w:val="0"/>
          <w:numId w:val="28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to the Representative[s]. </w:t>
      </w:r>
      <w:r>
        <w:rPr>
          <w:rFonts w:ascii="Arial" w:cs="Arial" w:eastAsia="Arial" w:hAnsi="Arial"/>
          <w:sz w:val="16"/>
          <w:szCs w:val="16"/>
          <w:color w:val="auto"/>
        </w:rPr>
        <w:t>The Company will advise the Representative[s] promptly, and confirm such advice in writing, (i) when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has been filed or becomes effective; (ii) when any supplement to the Prospectus or any amendment to the Prospectus has been filed or distributed; (iii)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of any order suspending the effectiveness of the Registration Statement or preventing or suspending the use of any Preliminary Prospectus, the Pricing Disclosure Package or the Prospectus or the initiation or threatening of any proceeding for that purpose or pursuant to Section 8A of the Securities Act; (v) of the occurrence of any event or development within the Prospectus Delivery Period as a result of which the Prospectus or the Pricing Disclosure Package, as then amended or supplemented, would include any untrue statement of a material fact or omit to state a material fact necessary in order to make the statements therein, in the light of the circumstances existing when the Prospectus or the Pricing Disclosure Package is delivered to a purchaser, not misleading; and (vi) of the receipt by the Company of any notice with respect to any suspension of the qualification of the Securities for offer and sale in any jurisdiction or the initiation or threatening of any proceeding for such purpose; and the Company will use commercially reasonable efforts to prevent the issuance of any such order suspending the effectiveness of the Registration Statement, preventing or suspending the use of any Preliminary Prospectus, any of the Pricing Disclosure Package or the Prospectus or suspending any such qualification of the Securities and, if any such order is issued, will use commercially reasonable efforts to obtain as soon as possible the withdrawal thereof.</w:t>
      </w:r>
    </w:p>
    <w:p>
      <w:pPr>
        <w:spacing w:after="0" w:line="60" w:lineRule="exact"/>
        <w:rPr>
          <w:rFonts w:ascii="Arial" w:cs="Arial" w:eastAsia="Arial" w:hAnsi="Arial"/>
          <w:sz w:val="16"/>
          <w:szCs w:val="16"/>
          <w:color w:val="auto"/>
        </w:rPr>
      </w:pPr>
    </w:p>
    <w:p>
      <w:pPr>
        <w:ind w:left="-443" w:firstLine="443"/>
        <w:spacing w:after="0" w:line="268" w:lineRule="auto"/>
        <w:tabs>
          <w:tab w:leader="none" w:pos="240" w:val="left"/>
        </w:tabs>
        <w:numPr>
          <w:ilvl w:val="0"/>
          <w:numId w:val="282"/>
        </w:numPr>
        <w:rPr>
          <w:rFonts w:ascii="Arial" w:cs="Arial" w:eastAsia="Arial" w:hAnsi="Arial"/>
          <w:sz w:val="17"/>
          <w:szCs w:val="17"/>
          <w:color w:val="auto"/>
        </w:rPr>
      </w:pPr>
      <w:r>
        <w:rPr>
          <w:rFonts w:ascii="Arial" w:cs="Arial" w:eastAsia="Arial" w:hAnsi="Arial"/>
          <w:sz w:val="17"/>
          <w:szCs w:val="17"/>
          <w:i w:val="1"/>
          <w:iCs w:val="1"/>
          <w:color w:val="auto"/>
        </w:rPr>
        <w:t xml:space="preserve">Ongoing Compliance. </w:t>
      </w:r>
      <w:r>
        <w:rPr>
          <w:rFonts w:ascii="Arial" w:cs="Arial" w:eastAsia="Arial" w:hAnsi="Arial"/>
          <w:sz w:val="17"/>
          <w:szCs w:val="17"/>
          <w:color w:val="auto"/>
        </w:rPr>
        <w:t>(1) If during the Prospectus Delivery Period (i) any event or development shall occur or condition shall exist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immediately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law, the Company will immediately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sectPr>
          <w:pgSz w:w="11900" w:h="16838" w:orient="portrait"/>
          <w:cols w:equalWidth="0" w:num="1">
            <w:col w:w="10477"/>
          </w:cols>
          <w:pgMar w:left="1143" w:top="274" w:right="279" w:bottom="1440" w:gutter="0" w:footer="0" w:header="0"/>
        </w:sectPr>
      </w:pPr>
    </w:p>
    <w:bookmarkStart w:id="295" w:name="page296"/>
    <w:bookmarkEnd w:id="295"/>
    <w:p>
      <w:pPr>
        <w:ind w:left="-4" w:firstLine="443"/>
        <w:spacing w:after="0" w:line="255" w:lineRule="auto"/>
        <w:tabs>
          <w:tab w:leader="none" w:pos="658"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Blue Sky Compliance. </w:t>
      </w:r>
      <w:r>
        <w:rPr>
          <w:rFonts w:ascii="Arial" w:cs="Arial" w:eastAsia="Arial" w:hAnsi="Arial"/>
          <w:sz w:val="18"/>
          <w:szCs w:val="18"/>
          <w:color w:val="auto"/>
        </w:rPr>
        <w:t>The Company will use commercially reasonable efforts, in cooperation with the Representative[s], to qualify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for offer and sale under the securities or Blue Sky laws of such jurisdictions as the Representative[s] shall reasonably request and will continue such qualifications in effect so long as required for distribution of the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spacing w:after="0" w:line="85" w:lineRule="exact"/>
        <w:rPr>
          <w:rFonts w:ascii="Arial" w:cs="Arial" w:eastAsia="Arial" w:hAnsi="Arial"/>
          <w:sz w:val="18"/>
          <w:szCs w:val="18"/>
          <w:color w:val="auto"/>
        </w:rPr>
      </w:pPr>
    </w:p>
    <w:p>
      <w:pPr>
        <w:ind w:left="-4" w:right="60" w:firstLine="443"/>
        <w:spacing w:after="0" w:line="257" w:lineRule="auto"/>
        <w:tabs>
          <w:tab w:leader="none" w:pos="688"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 xml:space="preserve">Earning Statement. </w:t>
      </w:r>
      <w:r>
        <w:rPr>
          <w:rFonts w:ascii="Arial" w:cs="Arial" w:eastAsia="Arial" w:hAnsi="Arial"/>
          <w:sz w:val="18"/>
          <w:szCs w:val="18"/>
          <w:color w:val="auto"/>
        </w:rPr>
        <w:t>The Company will make generally available to its security holders and the Representative[s] as soon as practicable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earning statement that satisfies the provisions of Section 11(a) of the Securities Act and Rule 158 of the Commission promulgated thereunder covering a period of at least twelve months beginning after the “effective date” (as defined in Rule 158) of the Registration Statement;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Company will be deemed to have complied with such requirement by filing such an earning statement on the Commission’s Electronic Data Gathering, Analysis, and Retrieval system (or any successor system) (“EDGAR”).</w:t>
      </w:r>
    </w:p>
    <w:p>
      <w:pPr>
        <w:spacing w:after="0" w:line="80" w:lineRule="exact"/>
        <w:rPr>
          <w:rFonts w:ascii="Arial" w:cs="Arial" w:eastAsia="Arial" w:hAnsi="Arial"/>
          <w:sz w:val="18"/>
          <w:szCs w:val="18"/>
          <w:color w:val="auto"/>
        </w:rPr>
      </w:pPr>
    </w:p>
    <w:p>
      <w:pPr>
        <w:ind w:left="-4" w:firstLine="443"/>
        <w:spacing w:after="0" w:line="270" w:lineRule="auto"/>
        <w:tabs>
          <w:tab w:leader="none" w:pos="688"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Clear Market. </w:t>
      </w:r>
      <w:r>
        <w:rPr>
          <w:rFonts w:ascii="Arial" w:cs="Arial" w:eastAsia="Arial" w:hAnsi="Arial"/>
          <w:sz w:val="17"/>
          <w:szCs w:val="17"/>
          <w:color w:val="auto"/>
        </w:rPr>
        <w:t>For a period of [ ] days after the date of the Prospectus, the Company will not (i) offer, pledge, sell, contract to sell, sell</w:t>
      </w:r>
      <w:r>
        <w:rPr>
          <w:rFonts w:ascii="Arial" w:cs="Arial" w:eastAsia="Arial" w:hAnsi="Arial"/>
          <w:sz w:val="17"/>
          <w:szCs w:val="17"/>
          <w:i w:val="1"/>
          <w:iCs w:val="1"/>
          <w:color w:val="auto"/>
        </w:rPr>
        <w:t xml:space="preserve"> </w:t>
      </w:r>
      <w:r>
        <w:rPr>
          <w:rFonts w:ascii="Arial" w:cs="Arial" w:eastAsia="Arial" w:hAnsi="Arial"/>
          <w:sz w:val="17"/>
          <w:szCs w:val="17"/>
          <w:color w:val="auto"/>
        </w:rPr>
        <w:t>any option or contract to purchase, purchase any option or contract to sell, grant any option, right or warrant to purchase, or otherwise transfer or dispose of, directly or indirectly, or file with the Commission a registration statement under the Securities Act relating to, any [shares of Common Stock][Securities] or any securities convertible into or exercisable or exchangeable for [Common Stock][the Securities], or publicly disclose the intention to make any such offer, sale, pledge, disposition or filing, or (ii) enter into any swap or other agreement that transfers, in whole or in part, any of the economic consequences of ownership of the [Common Stock][Securities] or any such other securities, whether any such transaction described in clause (i) or (ii) above is to be settled by delivery of [Common Stock][Securities] or such other securities, in cash or otherwise, without the prior written consent of the Representative[s] on behalf of the Underwriters, other than the (A) Securities to be sold hereunder [or the issuance of the Underlying Securities upon conversion of the Securities][or issuance of the Warrant Securities upon exercise of the Warrants], and (B) Stock issued or delivered in connection with the Company’s dividend reinvestment plan.</w:t>
      </w:r>
    </w:p>
    <w:p>
      <w:pPr>
        <w:spacing w:after="0" w:line="69" w:lineRule="exact"/>
        <w:rPr>
          <w:rFonts w:ascii="Arial" w:cs="Arial" w:eastAsia="Arial" w:hAnsi="Arial"/>
          <w:sz w:val="17"/>
          <w:szCs w:val="17"/>
          <w:color w:val="auto"/>
        </w:rPr>
      </w:pPr>
    </w:p>
    <w:p>
      <w:pPr>
        <w:ind w:left="-4" w:right="780" w:firstLine="443"/>
        <w:spacing w:after="0" w:line="308" w:lineRule="auto"/>
        <w:tabs>
          <w:tab w:leader="none" w:pos="649"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Use of Proceeds. </w:t>
      </w:r>
      <w:r>
        <w:rPr>
          <w:rFonts w:ascii="Arial" w:cs="Arial" w:eastAsia="Arial" w:hAnsi="Arial"/>
          <w:sz w:val="17"/>
          <w:szCs w:val="17"/>
          <w:color w:val="auto"/>
        </w:rPr>
        <w:t>The Company will apply the net proceeds from the sale of the Securities in all material respects as described in the</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Registration Statement, the Pricing Disclosure Package and the Prospectus under the heading “Use of Proceeds”.</w:t>
      </w:r>
    </w:p>
    <w:p>
      <w:pPr>
        <w:spacing w:after="0" w:line="38" w:lineRule="exact"/>
        <w:rPr>
          <w:rFonts w:ascii="Arial" w:cs="Arial" w:eastAsia="Arial" w:hAnsi="Arial"/>
          <w:sz w:val="17"/>
          <w:szCs w:val="17"/>
          <w:color w:val="auto"/>
        </w:rPr>
      </w:pPr>
    </w:p>
    <w:p>
      <w:pPr>
        <w:ind w:left="-4" w:right="40" w:firstLine="443"/>
        <w:spacing w:after="0" w:line="312" w:lineRule="auto"/>
        <w:tabs>
          <w:tab w:leader="none" w:pos="649" w:val="left"/>
        </w:tabs>
        <w:numPr>
          <w:ilvl w:val="0"/>
          <w:numId w:val="28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Underlying Securities</w:t>
      </w:r>
      <w:r>
        <w:rPr>
          <w:rFonts w:ascii="Arial" w:cs="Arial" w:eastAsia="Arial" w:hAnsi="Arial"/>
          <w:sz w:val="16"/>
          <w:szCs w:val="16"/>
          <w:color w:val="auto"/>
        </w:rPr>
        <w:t>. The Company will reserve and keep available at all times, free of preemptive rights, shares of Common Stock for the purpose of enabling the Company to satisfy all obligations to issue the Underlying Securities upon conversion of the Securities. [The Company will use its commercially reasonable efforts to cause the Underlying Securities to be listed on the [applicable stock exchange] and to maintain such listing]].</w:t>
      </w:r>
    </w:p>
    <w:p>
      <w:pPr>
        <w:spacing w:after="0" w:line="38" w:lineRule="exact"/>
        <w:rPr>
          <w:rFonts w:ascii="Arial" w:cs="Arial" w:eastAsia="Arial" w:hAnsi="Arial"/>
          <w:sz w:val="16"/>
          <w:szCs w:val="16"/>
          <w:color w:val="auto"/>
        </w:rPr>
      </w:pPr>
    </w:p>
    <w:p>
      <w:pPr>
        <w:jc w:val="both"/>
        <w:ind w:left="-4" w:right="140" w:firstLine="443"/>
        <w:spacing w:after="0" w:line="264" w:lineRule="auto"/>
        <w:tabs>
          <w:tab w:leader="none" w:pos="688" w:val="left"/>
        </w:tabs>
        <w:numPr>
          <w:ilvl w:val="0"/>
          <w:numId w:val="283"/>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Except as described in 3(jj) herein, the Company will not take, directly or indirectly, without giving effect to any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Underwriters, any action designed to or that would reasonably be expected to cause or result in any stabilization or manipulation of the price of the Stock or the Securities.</w:t>
      </w:r>
    </w:p>
    <w:p>
      <w:pPr>
        <w:spacing w:after="0" w:line="73" w:lineRule="exact"/>
        <w:rPr>
          <w:rFonts w:ascii="Arial" w:cs="Arial" w:eastAsia="Arial" w:hAnsi="Arial"/>
          <w:sz w:val="18"/>
          <w:szCs w:val="18"/>
          <w:color w:val="auto"/>
        </w:rPr>
      </w:pPr>
    </w:p>
    <w:p>
      <w:pPr>
        <w:ind w:left="656" w:hanging="217"/>
        <w:spacing w:after="0"/>
        <w:tabs>
          <w:tab w:leader="none" w:pos="656" w:val="left"/>
        </w:tabs>
        <w:numPr>
          <w:ilvl w:val="0"/>
          <w:numId w:val="283"/>
        </w:numPr>
        <w:rPr>
          <w:rFonts w:ascii="Arial" w:cs="Arial" w:eastAsia="Arial" w:hAnsi="Arial"/>
          <w:sz w:val="17"/>
          <w:szCs w:val="17"/>
          <w:color w:val="auto"/>
        </w:rPr>
      </w:pPr>
      <w:r>
        <w:rPr>
          <w:rFonts w:ascii="Arial" w:cs="Arial" w:eastAsia="Arial" w:hAnsi="Arial"/>
          <w:sz w:val="17"/>
          <w:szCs w:val="17"/>
          <w:i w:val="1"/>
          <w:iCs w:val="1"/>
          <w:color w:val="auto"/>
        </w:rPr>
        <w:t xml:space="preserve">Exchange Listing. </w:t>
      </w:r>
      <w:r>
        <w:rPr>
          <w:rFonts w:ascii="Arial" w:cs="Arial" w:eastAsia="Arial" w:hAnsi="Arial"/>
          <w:sz w:val="17"/>
          <w:szCs w:val="17"/>
          <w:color w:val="auto"/>
        </w:rPr>
        <w:t>The Company will use commercially reasonable efforts to effect and maintain the quotation of [the Securities] on</w:t>
      </w:r>
    </w:p>
    <w:p>
      <w:pPr>
        <w:spacing w:after="0" w:line="35" w:lineRule="exact"/>
        <w:rPr>
          <w:sz w:val="20"/>
          <w:szCs w:val="20"/>
          <w:color w:val="auto"/>
        </w:rPr>
      </w:pPr>
    </w:p>
    <w:p>
      <w:pPr>
        <w:ind w:left="956" w:hanging="956"/>
        <w:spacing w:after="0"/>
        <w:tabs>
          <w:tab w:leader="none" w:pos="956" w:val="left"/>
        </w:tabs>
        <w:numPr>
          <w:ilvl w:val="0"/>
          <w:numId w:val="284"/>
        </w:numPr>
        <w:rPr>
          <w:rFonts w:ascii="Arial" w:cs="Arial" w:eastAsia="Arial" w:hAnsi="Arial"/>
          <w:sz w:val="18"/>
          <w:szCs w:val="18"/>
          <w:color w:val="auto"/>
        </w:rPr>
      </w:pPr>
      <w:r>
        <w:rPr>
          <w:rFonts w:ascii="Arial" w:cs="Arial" w:eastAsia="Arial" w:hAnsi="Arial"/>
          <w:sz w:val="18"/>
          <w:szCs w:val="18"/>
          <w:color w:val="auto"/>
        </w:rPr>
        <w:t>].</w:t>
      </w:r>
    </w:p>
    <w:p>
      <w:pPr>
        <w:sectPr>
          <w:pgSz w:w="11900" w:h="16838" w:orient="portrait"/>
          <w:cols w:equalWidth="0" w:num="1">
            <w:col w:w="10956"/>
          </w:cols>
          <w:pgMar w:left="704" w:top="274" w:right="239" w:bottom="1440" w:gutter="0" w:footer="0" w:header="0"/>
        </w:sectPr>
      </w:pPr>
    </w:p>
    <w:bookmarkStart w:id="296" w:name="page297"/>
    <w:bookmarkEnd w:id="296"/>
    <w:p>
      <w:pPr>
        <w:ind w:left="-4" w:right="100" w:firstLine="443"/>
        <w:spacing w:after="0" w:line="257" w:lineRule="auto"/>
        <w:tabs>
          <w:tab w:leader="none" w:pos="738"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Reports. </w:t>
      </w:r>
      <w:r>
        <w:rPr>
          <w:rFonts w:ascii="Arial" w:cs="Arial" w:eastAsia="Arial" w:hAnsi="Arial"/>
          <w:sz w:val="18"/>
          <w:szCs w:val="18"/>
          <w:color w:val="auto"/>
        </w:rPr>
        <w:t>For a period of one year from the date of this Agreement, so long as the Securities are outstanding, the Company will furnish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Representative[s], as soon as commercially reasonable after the date they are available, copies of all reports or other communications (financial or other) furnished to holders of the Securities, and copies of any reports and financial statements furnished to or filed with the Commission or any national securities exchange or automatic quotation system;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the Company will be deemed to have furnished such reports and financial statements to the Representative[s] to the extent they are filed on EDGAR.</w:t>
      </w:r>
    </w:p>
    <w:p>
      <w:pPr>
        <w:spacing w:after="0" w:line="80" w:lineRule="exact"/>
        <w:rPr>
          <w:rFonts w:ascii="Arial" w:cs="Arial" w:eastAsia="Arial" w:hAnsi="Arial"/>
          <w:sz w:val="18"/>
          <w:szCs w:val="18"/>
          <w:color w:val="auto"/>
        </w:rPr>
      </w:pPr>
    </w:p>
    <w:p>
      <w:pPr>
        <w:ind w:left="-4" w:right="60" w:firstLine="443"/>
        <w:spacing w:after="0" w:line="302" w:lineRule="auto"/>
        <w:tabs>
          <w:tab w:leader="none" w:pos="688" w:val="left"/>
        </w:tabs>
        <w:numPr>
          <w:ilvl w:val="1"/>
          <w:numId w:val="285"/>
        </w:numPr>
        <w:rPr>
          <w:rFonts w:ascii="Arial" w:cs="Arial" w:eastAsia="Arial" w:hAnsi="Arial"/>
          <w:sz w:val="16"/>
          <w:szCs w:val="16"/>
          <w:color w:val="auto"/>
        </w:rPr>
      </w:pPr>
      <w:r>
        <w:rPr>
          <w:rFonts w:ascii="Arial" w:cs="Arial" w:eastAsia="Arial" w:hAnsi="Arial"/>
          <w:sz w:val="16"/>
          <w:szCs w:val="16"/>
          <w:i w:val="1"/>
          <w:iCs w:val="1"/>
          <w:color w:val="auto"/>
        </w:rPr>
        <w:t>Business Development Company</w:t>
      </w:r>
      <w:r>
        <w:rPr>
          <w:rFonts w:ascii="Arial" w:cs="Arial" w:eastAsia="Arial" w:hAnsi="Arial"/>
          <w:sz w:val="16"/>
          <w:szCs w:val="16"/>
          <w:color w:val="auto"/>
        </w:rPr>
        <w:t>. The Company, during a period of twelve months from the date of the Prospectus, will use commercially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reasonable efforts to maintain its status as a business development company under the Investment Company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may change the nature of its business so as to cease to be, or withdraw its election to be treated as, a business development company with the approval of its Board of Directors and a vote of stockholders as required by Section 58 of the Investment Company Act.</w:t>
      </w:r>
    </w:p>
    <w:p>
      <w:pPr>
        <w:spacing w:after="0" w:line="46" w:lineRule="exact"/>
        <w:rPr>
          <w:rFonts w:ascii="Arial" w:cs="Arial" w:eastAsia="Arial" w:hAnsi="Arial"/>
          <w:sz w:val="16"/>
          <w:szCs w:val="16"/>
          <w:color w:val="auto"/>
        </w:rPr>
      </w:pPr>
    </w:p>
    <w:p>
      <w:pPr>
        <w:ind w:left="-4" w:right="100" w:firstLine="443"/>
        <w:spacing w:after="0" w:line="264" w:lineRule="auto"/>
        <w:tabs>
          <w:tab w:leader="none" w:pos="688"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 xml:space="preserve">Regulated Investment Company. </w:t>
      </w:r>
      <w:r>
        <w:rPr>
          <w:rFonts w:ascii="Arial" w:cs="Arial" w:eastAsia="Arial" w:hAnsi="Arial"/>
          <w:sz w:val="18"/>
          <w:szCs w:val="18"/>
          <w:color w:val="auto"/>
        </w:rPr>
        <w:t>The Company will use commercially reasonable efforts to maintain in effect its qualification and election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be treated as a regulated investment company under Subchapter M of the Code for each taxable year during which it is a business development company under the Investment Company Act.</w:t>
      </w:r>
    </w:p>
    <w:p>
      <w:pPr>
        <w:spacing w:after="0" w:line="73" w:lineRule="exact"/>
        <w:rPr>
          <w:rFonts w:ascii="Arial" w:cs="Arial" w:eastAsia="Arial" w:hAnsi="Arial"/>
          <w:sz w:val="18"/>
          <w:szCs w:val="18"/>
          <w:color w:val="auto"/>
        </w:rPr>
      </w:pPr>
    </w:p>
    <w:p>
      <w:pPr>
        <w:ind w:left="-4" w:right="160" w:firstLine="443"/>
        <w:spacing w:after="0" w:line="257" w:lineRule="auto"/>
        <w:tabs>
          <w:tab w:leader="none" w:pos="688"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(i) to test procedures and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annual compliance reviews designed to determine compliance with the regulated investment company provisions of the Code and the Company’s exempt status under the Investment Company Act and (ii) to otherwise assist the Company in monitoring appropriate accounting systems and procedures designed to determine compliance with the regulated investment company provisions of the Code and the Company’s exempt status under the Investment Company Act.</w:t>
      </w:r>
    </w:p>
    <w:p>
      <w:pPr>
        <w:spacing w:after="0" w:line="80" w:lineRule="exact"/>
        <w:rPr>
          <w:rFonts w:ascii="Arial" w:cs="Arial" w:eastAsia="Arial" w:hAnsi="Arial"/>
          <w:sz w:val="18"/>
          <w:szCs w:val="18"/>
          <w:color w:val="auto"/>
        </w:rPr>
      </w:pPr>
    </w:p>
    <w:p>
      <w:pPr>
        <w:ind w:left="-4" w:right="160" w:firstLine="443"/>
        <w:spacing w:after="0" w:line="255" w:lineRule="auto"/>
        <w:tabs>
          <w:tab w:leader="none" w:pos="688" w:val="left"/>
        </w:tabs>
        <w:numPr>
          <w:ilvl w:val="1"/>
          <w:numId w:val="285"/>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w:t>
      </w:r>
      <w:r>
        <w:rPr>
          <w:rFonts w:ascii="Arial" w:cs="Arial" w:eastAsia="Arial" w:hAnsi="Arial"/>
          <w:sz w:val="18"/>
          <w:szCs w:val="18"/>
          <w:color w:val="auto"/>
        </w:rPr>
        <w:t>. The Company represents and agrees that, without the prior consent of the Representative[s] (i)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distribute any offering material other than the Registration Statement, the Pricing Disclosure Package or the Prospectus, and (ii) it has not made and will not make any offer relating to the Securities that would constitute a “free writing prospectus” as defined in Rule 405 under the Act and which the parties agree, for the purposes of this Agreement, includes (x) any “advertisement” as defined in Rule 482 under the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9" w:lineRule="exact"/>
        <w:rPr>
          <w:rFonts w:ascii="Arial" w:cs="Arial" w:eastAsia="Arial" w:hAnsi="Arial"/>
          <w:sz w:val="18"/>
          <w:szCs w:val="18"/>
          <w:color w:val="auto"/>
        </w:rPr>
      </w:pPr>
    </w:p>
    <w:p>
      <w:pPr>
        <w:ind w:left="176" w:hanging="176"/>
        <w:spacing w:after="0"/>
        <w:tabs>
          <w:tab w:leader="none" w:pos="17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warrants and agrees that:</w:t>
      </w:r>
    </w:p>
    <w:p>
      <w:pPr>
        <w:spacing w:after="0" w:line="117" w:lineRule="exact"/>
        <w:rPr>
          <w:rFonts w:ascii="Arial" w:cs="Arial" w:eastAsia="Arial" w:hAnsi="Arial"/>
          <w:sz w:val="18"/>
          <w:szCs w:val="18"/>
          <w:color w:val="auto"/>
        </w:rPr>
      </w:pPr>
    </w:p>
    <w:p>
      <w:pPr>
        <w:ind w:left="-4" w:firstLine="443"/>
        <w:spacing w:after="0" w:line="259" w:lineRule="auto"/>
        <w:tabs>
          <w:tab w:leader="none" w:pos="679" w:val="left"/>
        </w:tabs>
        <w:numPr>
          <w:ilvl w:val="1"/>
          <w:numId w:val="286"/>
        </w:numPr>
        <w:rPr>
          <w:rFonts w:ascii="Arial" w:cs="Arial" w:eastAsia="Arial" w:hAnsi="Arial"/>
          <w:sz w:val="18"/>
          <w:szCs w:val="18"/>
          <w:color w:val="auto"/>
        </w:rPr>
      </w:pPr>
      <w:r>
        <w:rPr>
          <w:rFonts w:ascii="Arial" w:cs="Arial" w:eastAsia="Arial" w:hAnsi="Arial"/>
          <w:sz w:val="18"/>
          <w:szCs w:val="18"/>
          <w:color w:val="auto"/>
        </w:rPr>
        <w:t>Without the prior written consent of the Company, it has not used, authorized use of, referred to or participated in the planning for the use of, and will not use, authorize the use of, refer to or participate in the planning for the use of, any written information concerning the offering of the Securities, other than materials contained in the Pricing Disclosure Package, the Prospectus or any other offering materials prepared by or with the prior written consent of the Company.</w:t>
      </w:r>
    </w:p>
    <w:p>
      <w:pPr>
        <w:spacing w:after="0" w:line="78" w:lineRule="exact"/>
        <w:rPr>
          <w:rFonts w:ascii="Arial" w:cs="Arial" w:eastAsia="Arial" w:hAnsi="Arial"/>
          <w:sz w:val="18"/>
          <w:szCs w:val="18"/>
          <w:color w:val="auto"/>
        </w:rPr>
      </w:pPr>
    </w:p>
    <w:p>
      <w:pPr>
        <w:ind w:left="-4" w:right="820" w:firstLine="443"/>
        <w:spacing w:after="0" w:line="342" w:lineRule="auto"/>
        <w:tabs>
          <w:tab w:leader="none" w:pos="689" w:val="left"/>
        </w:tabs>
        <w:numPr>
          <w:ilvl w:val="1"/>
          <w:numId w:val="286"/>
        </w:numPr>
        <w:rPr>
          <w:rFonts w:ascii="Arial" w:cs="Arial" w:eastAsia="Arial" w:hAnsi="Arial"/>
          <w:sz w:val="16"/>
          <w:szCs w:val="16"/>
          <w:color w:val="auto"/>
        </w:rPr>
      </w:pPr>
      <w:r>
        <w:rPr>
          <w:rFonts w:ascii="Arial" w:cs="Arial" w:eastAsia="Arial" w:hAnsi="Arial"/>
          <w:sz w:val="16"/>
          <w:szCs w:val="16"/>
          <w:color w:val="auto"/>
        </w:rPr>
        <w:t>It is not subject to any pending proceeding under Section 8A of the Securities Act with respect to the offering contemplated by this Agreement (and will promptly notify the Company if any such proceeding against it is initiated during the Prospectus Delivery Period).</w:t>
      </w:r>
    </w:p>
    <w:p>
      <w:pPr>
        <w:sectPr>
          <w:pgSz w:w="11900" w:h="16838" w:orient="portrait"/>
          <w:cols w:equalWidth="0" w:num="1">
            <w:col w:w="10936"/>
          </w:cols>
          <w:pgMar w:left="704" w:top="274" w:right="259" w:bottom="1440" w:gutter="0" w:footer="0" w:header="0"/>
        </w:sectPr>
      </w:pPr>
    </w:p>
    <w:bookmarkStart w:id="297" w:name="page298"/>
    <w:bookmarkEnd w:id="297"/>
    <w:p>
      <w:pPr>
        <w:ind w:left="-464" w:firstLine="464"/>
        <w:spacing w:after="0" w:line="264" w:lineRule="auto"/>
        <w:tabs>
          <w:tab w:leader="none" w:pos="172"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of Underwriters’ Obligations.</w:t>
      </w:r>
      <w:r>
        <w:rPr>
          <w:rFonts w:ascii="Arial" w:cs="Arial" w:eastAsia="Arial" w:hAnsi="Arial"/>
          <w:sz w:val="18"/>
          <w:szCs w:val="18"/>
          <w:color w:val="auto"/>
        </w:rPr>
        <w:t xml:space="preserve"> The obligation of each Underwriter to purchase the Underwritten Securities on the Closing Date or the Option Securities on the Closing Date or the Additional Closing Date, as the case may be, as provided herein is subject to the performance by the Company of its covenants and other obligations hereunder and to the following additional conditions:</w:t>
      </w:r>
    </w:p>
    <w:p>
      <w:pPr>
        <w:spacing w:after="0" w:line="73" w:lineRule="exact"/>
        <w:rPr>
          <w:rFonts w:ascii="Arial" w:cs="Arial" w:eastAsia="Arial" w:hAnsi="Arial"/>
          <w:sz w:val="18"/>
          <w:szCs w:val="18"/>
          <w:color w:val="auto"/>
        </w:rPr>
      </w:pPr>
    </w:p>
    <w:p>
      <w:pPr>
        <w:ind w:left="-4" w:right="200" w:firstLine="443"/>
        <w:spacing w:after="0" w:line="279" w:lineRule="auto"/>
        <w:tabs>
          <w:tab w:leader="none" w:pos="678" w:val="left"/>
        </w:tabs>
        <w:numPr>
          <w:ilvl w:val="1"/>
          <w:numId w:val="287"/>
        </w:numPr>
        <w:rPr>
          <w:rFonts w:ascii="Arial" w:cs="Arial" w:eastAsia="Arial" w:hAnsi="Arial"/>
          <w:sz w:val="17"/>
          <w:szCs w:val="17"/>
          <w:color w:val="auto"/>
        </w:rPr>
      </w:pPr>
      <w:r>
        <w:rPr>
          <w:rFonts w:ascii="Arial" w:cs="Arial" w:eastAsia="Arial" w:hAnsi="Arial"/>
          <w:sz w:val="17"/>
          <w:szCs w:val="17"/>
          <w:i w:val="1"/>
          <w:iCs w:val="1"/>
          <w:color w:val="auto"/>
        </w:rPr>
        <w:t xml:space="preserve">Registration Compliance; No Stop Order. </w:t>
      </w:r>
      <w:r>
        <w:rPr>
          <w:rFonts w:ascii="Arial" w:cs="Arial" w:eastAsia="Arial" w:hAnsi="Arial"/>
          <w:sz w:val="17"/>
          <w:szCs w:val="17"/>
          <w:color w:val="auto"/>
        </w:rPr>
        <w:t>No order suspending the effectiveness of the Registration Statement shall be in effect, and no</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for such purpose or pursuant to Section 8A under the Securities Act shall be pending before or threatened by the Commission; the Prospectus shall have been timely filed with the Commission under the Securities Act and in accordance with Section 5(a) hereof; and all requests by the Commission for additional information shall have been complied with to the reasonable satisfaction of the Representative[s].</w:t>
      </w:r>
    </w:p>
    <w:p>
      <w:pPr>
        <w:spacing w:after="0" w:line="63" w:lineRule="exact"/>
        <w:rPr>
          <w:rFonts w:ascii="Arial" w:cs="Arial" w:eastAsia="Arial" w:hAnsi="Arial"/>
          <w:sz w:val="17"/>
          <w:szCs w:val="17"/>
          <w:color w:val="auto"/>
        </w:rPr>
      </w:pPr>
    </w:p>
    <w:p>
      <w:pPr>
        <w:ind w:left="-4" w:firstLine="443"/>
        <w:spacing w:after="0" w:line="259" w:lineRule="auto"/>
        <w:tabs>
          <w:tab w:leader="none" w:pos="688" w:val="left"/>
        </w:tabs>
        <w:numPr>
          <w:ilvl w:val="1"/>
          <w:numId w:val="287"/>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w:t>
      </w:r>
      <w:r>
        <w:rPr>
          <w:rFonts w:ascii="Arial" w:cs="Arial" w:eastAsia="Arial" w:hAnsi="Arial"/>
          <w:sz w:val="18"/>
          <w:szCs w:val="18"/>
          <w:color w:val="auto"/>
        </w:rPr>
        <w:t>The representations and warranties of the Company and the Adviser contained herein shall be true and</w:t>
      </w:r>
      <w:r>
        <w:rPr>
          <w:rFonts w:ascii="Arial" w:cs="Arial" w:eastAsia="Arial" w:hAnsi="Arial"/>
          <w:sz w:val="18"/>
          <w:szCs w:val="18"/>
          <w:i w:val="1"/>
          <w:iCs w:val="1"/>
          <w:color w:val="auto"/>
        </w:rPr>
        <w:t xml:space="preserve"> </w:t>
      </w:r>
      <w:r>
        <w:rPr>
          <w:rFonts w:ascii="Arial" w:cs="Arial" w:eastAsia="Arial" w:hAnsi="Arial"/>
          <w:sz w:val="18"/>
          <w:szCs w:val="18"/>
          <w:color w:val="auto"/>
        </w:rPr>
        <w:t>correct on the date hereof and on and as of the Closing Date or the Additional Closing Date, as the case may be; and the statements of the Company and its officers made in any certificates delivered pursuant to this Agreement shall be true and correct on and as of the Closing Date or the Additional Closing Date, as the case may be.</w:t>
      </w:r>
    </w:p>
    <w:p>
      <w:pPr>
        <w:spacing w:after="0" w:line="78" w:lineRule="exact"/>
        <w:rPr>
          <w:rFonts w:ascii="Arial" w:cs="Arial" w:eastAsia="Arial" w:hAnsi="Arial"/>
          <w:sz w:val="18"/>
          <w:szCs w:val="18"/>
          <w:color w:val="auto"/>
        </w:rPr>
      </w:pPr>
    </w:p>
    <w:p>
      <w:pPr>
        <w:ind w:left="-4" w:firstLine="443"/>
        <w:spacing w:after="0" w:line="276" w:lineRule="auto"/>
        <w:tabs>
          <w:tab w:leader="none" w:pos="678" w:val="left"/>
        </w:tabs>
        <w:numPr>
          <w:ilvl w:val="1"/>
          <w:numId w:val="287"/>
        </w:numPr>
        <w:rPr>
          <w:rFonts w:ascii="Arial" w:cs="Arial" w:eastAsia="Arial" w:hAnsi="Arial"/>
          <w:sz w:val="17"/>
          <w:szCs w:val="17"/>
          <w:color w:val="auto"/>
        </w:rPr>
      </w:pPr>
      <w:r>
        <w:rPr>
          <w:rFonts w:ascii="Arial" w:cs="Arial" w:eastAsia="Arial" w:hAnsi="Arial"/>
          <w:sz w:val="17"/>
          <w:szCs w:val="17"/>
          <w:i w:val="1"/>
          <w:iCs w:val="1"/>
          <w:color w:val="auto"/>
        </w:rPr>
        <w:t xml:space="preserve">No Material Adverse Change. </w:t>
      </w:r>
      <w:r>
        <w:rPr>
          <w:rFonts w:ascii="Arial" w:cs="Arial" w:eastAsia="Arial" w:hAnsi="Arial"/>
          <w:sz w:val="17"/>
          <w:szCs w:val="17"/>
          <w:color w:val="auto"/>
        </w:rPr>
        <w:t>No event or condition of a type described in Section 3(e) and Section 4(a) hereof shall have occurred or shall</w:t>
      </w:r>
      <w:r>
        <w:rPr>
          <w:rFonts w:ascii="Arial" w:cs="Arial" w:eastAsia="Arial" w:hAnsi="Arial"/>
          <w:sz w:val="17"/>
          <w:szCs w:val="17"/>
          <w:i w:val="1"/>
          <w:iCs w:val="1"/>
          <w:color w:val="auto"/>
        </w:rPr>
        <w:t xml:space="preserve"> </w:t>
      </w:r>
      <w:r>
        <w:rPr>
          <w:rFonts w:ascii="Arial" w:cs="Arial" w:eastAsia="Arial" w:hAnsi="Arial"/>
          <w:sz w:val="17"/>
          <w:szCs w:val="17"/>
          <w:color w:val="auto"/>
        </w:rPr>
        <w:t>exist, which 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64" w:lineRule="exact"/>
        <w:rPr>
          <w:rFonts w:ascii="Arial" w:cs="Arial" w:eastAsia="Arial" w:hAnsi="Arial"/>
          <w:sz w:val="17"/>
          <w:szCs w:val="17"/>
          <w:color w:val="auto"/>
        </w:rPr>
      </w:pPr>
    </w:p>
    <w:p>
      <w:pPr>
        <w:ind w:left="-4" w:right="80" w:firstLine="443"/>
        <w:spacing w:after="0" w:line="289" w:lineRule="auto"/>
        <w:tabs>
          <w:tab w:leader="none" w:pos="688" w:val="left"/>
        </w:tabs>
        <w:numPr>
          <w:ilvl w:val="1"/>
          <w:numId w:val="287"/>
        </w:numPr>
        <w:rPr>
          <w:rFonts w:ascii="Arial" w:cs="Arial" w:eastAsia="Arial" w:hAnsi="Arial"/>
          <w:sz w:val="16"/>
          <w:szCs w:val="16"/>
          <w:color w:val="auto"/>
        </w:rPr>
      </w:pPr>
      <w:r>
        <w:rPr>
          <w:rFonts w:ascii="Arial" w:cs="Arial" w:eastAsia="Arial" w:hAnsi="Arial"/>
          <w:sz w:val="16"/>
          <w:szCs w:val="16"/>
          <w:i w:val="1"/>
          <w:iCs w:val="1"/>
          <w:color w:val="auto"/>
        </w:rPr>
        <w:t xml:space="preserve">Company’s Officer’s Certificate. </w:t>
      </w:r>
      <w:r>
        <w:rPr>
          <w:rFonts w:ascii="Arial" w:cs="Arial" w:eastAsia="Arial" w:hAnsi="Arial"/>
          <w:sz w:val="16"/>
          <w:szCs w:val="16"/>
          <w:color w:val="auto"/>
        </w:rPr>
        <w:t>The Representative[s] shall have received on and as of the Closing Date or the Additional Closing Date,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case may be, a certificate, which shall be delivered on behalf of the Company and not the signatories in their individual capacity, of the chief financial officer or chief accounting officer (or other authorized officer) of the Company and one additional senior executive officer of the Company who is reasonably satisfactory to the Representative[s] (i) confirming that such officers have carefully reviewed the Registration Statement, the Pricing Disclosure Package and the Prospectus, (ii) confirming that, to the knowledge of such officers, the representations and warranties of the Company in Sections 3(b) and 3(d) hereof are true and correct, (iii) confirming that, to the knowledge of such officers, the other representations and warranties of the Company in this Agreement are true and correct and that the Company has complied with all agreements and satisfied all conditions on its part to be performed or satisfied hereunder at or prior to the Closing Date or the Additional Closing Date, as the case may be, and (iv) to the effect set forth in paragraph (a) above and, with respect to the Company and its subsidiaries, to the effect set forth in paragraph (c) above.</w:t>
      </w:r>
    </w:p>
    <w:p>
      <w:pPr>
        <w:spacing w:after="0" w:line="58" w:lineRule="exact"/>
        <w:rPr>
          <w:rFonts w:ascii="Arial" w:cs="Arial" w:eastAsia="Arial" w:hAnsi="Arial"/>
          <w:sz w:val="16"/>
          <w:szCs w:val="16"/>
          <w:color w:val="auto"/>
        </w:rPr>
      </w:pPr>
    </w:p>
    <w:p>
      <w:pPr>
        <w:ind w:left="-4" w:right="80" w:firstLine="443"/>
        <w:spacing w:after="0" w:line="264" w:lineRule="auto"/>
        <w:tabs>
          <w:tab w:leader="none" w:pos="678" w:val="left"/>
        </w:tabs>
        <w:numPr>
          <w:ilvl w:val="1"/>
          <w:numId w:val="287"/>
        </w:numPr>
        <w:rPr>
          <w:rFonts w:ascii="Arial" w:cs="Arial" w:eastAsia="Arial" w:hAnsi="Arial"/>
          <w:sz w:val="18"/>
          <w:szCs w:val="18"/>
          <w:color w:val="auto"/>
        </w:rPr>
      </w:pPr>
      <w:r>
        <w:rPr>
          <w:rFonts w:ascii="Arial" w:cs="Arial" w:eastAsia="Arial" w:hAnsi="Arial"/>
          <w:sz w:val="18"/>
          <w:szCs w:val="18"/>
          <w:i w:val="1"/>
          <w:iCs w:val="1"/>
          <w:color w:val="auto"/>
        </w:rPr>
        <w:t xml:space="preserve">Adviser’s Officer’s Certificate. </w:t>
      </w:r>
      <w:r>
        <w:rPr>
          <w:rFonts w:ascii="Arial" w:cs="Arial" w:eastAsia="Arial" w:hAnsi="Arial"/>
          <w:sz w:val="18"/>
          <w:szCs w:val="18"/>
          <w:color w:val="auto"/>
        </w:rPr>
        <w:t>The Representative[s] shall have received on and as of the Closing Date or the Additional Closing Date,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case may be, a certificate, which shall be delivered on behalf of the Adviser and not the signatories in their individual capacity, from the two appropriate senior officers of the Adviser reasonably satisfactory to the</w:t>
      </w:r>
    </w:p>
    <w:p>
      <w:pPr>
        <w:sectPr>
          <w:pgSz w:w="11900" w:h="16838" w:orient="portrait"/>
          <w:cols w:equalWidth="0" w:num="1">
            <w:col w:w="10956"/>
          </w:cols>
          <w:pgMar w:left="704" w:top="274" w:right="239" w:bottom="1440" w:gutter="0" w:footer="0" w:header="0"/>
        </w:sectPr>
      </w:pPr>
    </w:p>
    <w:bookmarkStart w:id="298" w:name="page299"/>
    <w:bookmarkEnd w:id="298"/>
    <w:p>
      <w:pPr>
        <w:ind w:right="1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(i) confirming that the representations and warranties of the Adviser in this Agreement are true and correct and that the Adviser has complied with all agreements and satisfied all conditions on its part to be performed or satisfied hereunder at or prior to the Closing Date or the Additional Closing Date, as the case may be, and (ii) with respect to the Adviser and its subsidiaries, to the effect set forth in paragraph (c) above.</w:t>
      </w:r>
    </w:p>
    <w:p>
      <w:pPr>
        <w:spacing w:after="0" w:line="39" w:lineRule="exact"/>
        <w:rPr>
          <w:sz w:val="20"/>
          <w:szCs w:val="20"/>
          <w:color w:val="auto"/>
        </w:rPr>
      </w:pPr>
    </w:p>
    <w:p>
      <w:pPr>
        <w:ind w:right="40" w:firstLine="443"/>
        <w:spacing w:after="0" w:line="286" w:lineRule="auto"/>
        <w:tabs>
          <w:tab w:leader="none" w:pos="663" w:val="left"/>
        </w:tabs>
        <w:numPr>
          <w:ilvl w:val="0"/>
          <w:numId w:val="288"/>
        </w:numPr>
        <w:rPr>
          <w:rFonts w:ascii="Arial" w:cs="Arial" w:eastAsia="Arial" w:hAnsi="Arial"/>
          <w:sz w:val="16"/>
          <w:szCs w:val="16"/>
          <w:color w:val="auto"/>
        </w:rPr>
      </w:pPr>
      <w:r>
        <w:rPr>
          <w:rFonts w:ascii="Arial" w:cs="Arial" w:eastAsia="Arial" w:hAnsi="Arial"/>
          <w:sz w:val="16"/>
          <w:szCs w:val="16"/>
          <w:i w:val="1"/>
          <w:iCs w:val="1"/>
          <w:color w:val="auto"/>
        </w:rPr>
        <w:t xml:space="preserve">Comfort Letters. </w:t>
      </w:r>
      <w:r>
        <w:rPr>
          <w:rFonts w:ascii="Arial" w:cs="Arial" w:eastAsia="Arial" w:hAnsi="Arial"/>
          <w:sz w:val="16"/>
          <w:szCs w:val="16"/>
          <w:color w:val="auto"/>
        </w:rPr>
        <w:t>On the date of this Agreement and on the Closing Date or the Additional Closing Date, as the case may be, KPMG LLP shall</w:t>
      </w:r>
      <w:r>
        <w:rPr>
          <w:rFonts w:ascii="Arial" w:cs="Arial" w:eastAsia="Arial" w:hAnsi="Arial"/>
          <w:sz w:val="16"/>
          <w:szCs w:val="16"/>
          <w:i w:val="1"/>
          <w:iCs w:val="1"/>
          <w:color w:val="auto"/>
        </w:rPr>
        <w:t xml:space="preserve"> </w:t>
      </w:r>
      <w:r>
        <w:rPr>
          <w:rFonts w:ascii="Arial" w:cs="Arial" w:eastAsia="Arial" w:hAnsi="Arial"/>
          <w:sz w:val="16"/>
          <w:szCs w:val="16"/>
          <w:color w:val="auto"/>
        </w:rPr>
        <w:t>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the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Registration Statement, the Pricing Disclosure Package and the Prospectus; provided, that the letter delivered on the Closing Date or the Additional</w:t>
      </w:r>
    </w:p>
    <w:p>
      <w:pPr>
        <w:spacing w:after="0" w:line="20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Closing Date, as the case may be, shall use a “cut-off” date no more than business days prior to such Closing Date or such Additional Closing Date, as the case may be.</w:t>
      </w:r>
    </w:p>
    <w:p>
      <w:pPr>
        <w:spacing w:after="0" w:line="62" w:lineRule="exact"/>
        <w:rPr>
          <w:sz w:val="20"/>
          <w:szCs w:val="20"/>
          <w:color w:val="auto"/>
        </w:rPr>
      </w:pPr>
    </w:p>
    <w:p>
      <w:pPr>
        <w:jc w:val="both"/>
        <w:ind w:right="40" w:firstLine="443"/>
        <w:spacing w:after="0" w:line="259" w:lineRule="auto"/>
        <w:tabs>
          <w:tab w:leader="none" w:pos="693" w:val="left"/>
        </w:tabs>
        <w:numPr>
          <w:ilvl w:val="0"/>
          <w:numId w:val="289"/>
        </w:numPr>
        <w:rPr>
          <w:rFonts w:ascii="Arial" w:cs="Arial" w:eastAsia="Arial" w:hAnsi="Arial"/>
          <w:sz w:val="18"/>
          <w:szCs w:val="18"/>
          <w:color w:val="auto"/>
        </w:rPr>
      </w:pPr>
      <w:r>
        <w:rPr>
          <w:rFonts w:ascii="Arial" w:cs="Arial" w:eastAsia="Arial" w:hAnsi="Arial"/>
          <w:sz w:val="18"/>
          <w:szCs w:val="18"/>
          <w:i w:val="1"/>
          <w:iCs w:val="1"/>
          <w:color w:val="auto"/>
        </w:rPr>
        <w:t xml:space="preserve">Opinion and 10b-5 Statement of Counsel for the Company and Adviser. </w:t>
      </w:r>
      <w:r>
        <w:rPr>
          <w:rFonts w:ascii="Arial" w:cs="Arial" w:eastAsia="Arial" w:hAnsi="Arial"/>
          <w:sz w:val="18"/>
          <w:szCs w:val="18"/>
          <w:color w:val="auto"/>
        </w:rPr>
        <w:t>Cleary Gottlieb Steen &amp; Hamilton LLP, counsel for the Company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Adviser, shall have furnished to the Representative[s], at the request of the Company and the Adviser, their written opinions and 10b-5 letter, dated the Closing Date or the Additional Closing Date, as the case may be, and addressed to the Underwriters, in form and substance reasonably satisfactory to the Representative[s].</w:t>
      </w:r>
    </w:p>
    <w:p>
      <w:pPr>
        <w:spacing w:after="0" w:line="78" w:lineRule="exact"/>
        <w:rPr>
          <w:rFonts w:ascii="Arial" w:cs="Arial" w:eastAsia="Arial" w:hAnsi="Arial"/>
          <w:sz w:val="18"/>
          <w:szCs w:val="18"/>
          <w:color w:val="auto"/>
        </w:rPr>
      </w:pPr>
    </w:p>
    <w:p>
      <w:pPr>
        <w:ind w:left="700" w:hanging="257"/>
        <w:spacing w:after="0"/>
        <w:tabs>
          <w:tab w:leader="none" w:pos="700" w:val="left"/>
        </w:tabs>
        <w:numPr>
          <w:ilvl w:val="0"/>
          <w:numId w:val="289"/>
        </w:numPr>
        <w:rPr>
          <w:rFonts w:ascii="Arial" w:cs="Arial" w:eastAsia="Arial" w:hAnsi="Arial"/>
          <w:sz w:val="16"/>
          <w:szCs w:val="16"/>
          <w:color w:val="auto"/>
        </w:rPr>
      </w:pPr>
      <w:r>
        <w:rPr>
          <w:rFonts w:ascii="Arial" w:cs="Arial" w:eastAsia="Arial" w:hAnsi="Arial"/>
          <w:sz w:val="16"/>
          <w:szCs w:val="16"/>
          <w:i w:val="1"/>
          <w:iCs w:val="1"/>
          <w:color w:val="auto"/>
        </w:rPr>
        <w:t xml:space="preserve">Opinion and 10b-5 Statement of Counsel for the Underwriters. </w:t>
      </w:r>
      <w:r>
        <w:rPr>
          <w:rFonts w:ascii="Arial" w:cs="Arial" w:eastAsia="Arial" w:hAnsi="Arial"/>
          <w:sz w:val="16"/>
          <w:szCs w:val="16"/>
          <w:color w:val="auto"/>
        </w:rPr>
        <w:t>The Representative[s] shall have received on and as of the Closing Date or the</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 Closing Date, as the case may be, an opinion and 10b-5 statement of ,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82" w:lineRule="exact"/>
        <w:rPr>
          <w:sz w:val="20"/>
          <w:szCs w:val="20"/>
          <w:color w:val="auto"/>
        </w:rPr>
      </w:pPr>
    </w:p>
    <w:p>
      <w:pPr>
        <w:ind w:right="20" w:firstLine="443"/>
        <w:spacing w:after="0" w:line="297" w:lineRule="auto"/>
        <w:tabs>
          <w:tab w:leader="none" w:pos="653" w:val="left"/>
        </w:tabs>
        <w:numPr>
          <w:ilvl w:val="0"/>
          <w:numId w:val="290"/>
        </w:numPr>
        <w:rPr>
          <w:rFonts w:ascii="Arial" w:cs="Arial" w:eastAsia="Arial" w:hAnsi="Arial"/>
          <w:sz w:val="16"/>
          <w:szCs w:val="16"/>
          <w:color w:val="auto"/>
        </w:rPr>
      </w:pPr>
      <w:r>
        <w:rPr>
          <w:rFonts w:ascii="Arial" w:cs="Arial" w:eastAsia="Arial" w:hAnsi="Arial"/>
          <w:sz w:val="16"/>
          <w:szCs w:val="16"/>
          <w:i w:val="1"/>
          <w:iCs w:val="1"/>
          <w:color w:val="auto"/>
        </w:rPr>
        <w:t xml:space="preserve">No Legal Impediment to Issuance. </w:t>
      </w:r>
      <w:r>
        <w:rPr>
          <w:rFonts w:ascii="Arial" w:cs="Arial" w:eastAsia="Arial" w:hAnsi="Arial"/>
          <w:sz w:val="16"/>
          <w:szCs w:val="16"/>
          <w:color w:val="auto"/>
        </w:rPr>
        <w:t>No action shall have been taken and no statute, rule, regulation or order shall have been enacted, adopted or</w:t>
      </w:r>
      <w:r>
        <w:rPr>
          <w:rFonts w:ascii="Arial" w:cs="Arial" w:eastAsia="Arial" w:hAnsi="Arial"/>
          <w:sz w:val="16"/>
          <w:szCs w:val="16"/>
          <w:i w:val="1"/>
          <w:iCs w:val="1"/>
          <w:color w:val="auto"/>
        </w:rPr>
        <w:t xml:space="preserve"> </w:t>
      </w:r>
      <w:r>
        <w:rPr>
          <w:rFonts w:ascii="Arial" w:cs="Arial" w:eastAsia="Arial" w:hAnsi="Arial"/>
          <w:sz w:val="16"/>
          <w:szCs w:val="16"/>
          <w:color w:val="auto"/>
        </w:rPr>
        <w:t>issued by any federal, state or foreign governmental or regulatory authority that would, as of the Closing Date or the Additional Closing Date, as the case may be, prevent the issuance or sale of the Securities [(including the issuance of the Underlying Securities upon conversion thereof)]; and no injunction or order of any federal, state or foreign court shall have been issued that would, as of the Closing Date or the Additional Closing Date, as the case may be, prevent the issuance or sale of the Securities [(including the issuance of the Underlying Securities upon conversion thereof)].</w:t>
      </w:r>
    </w:p>
    <w:p>
      <w:pPr>
        <w:spacing w:after="0" w:line="50" w:lineRule="exact"/>
        <w:rPr>
          <w:rFonts w:ascii="Arial" w:cs="Arial" w:eastAsia="Arial" w:hAnsi="Arial"/>
          <w:sz w:val="16"/>
          <w:szCs w:val="16"/>
          <w:color w:val="auto"/>
        </w:rPr>
      </w:pPr>
    </w:p>
    <w:p>
      <w:pPr>
        <w:ind w:right="180" w:firstLine="443"/>
        <w:spacing w:after="0" w:line="279" w:lineRule="auto"/>
        <w:tabs>
          <w:tab w:leader="none" w:pos="653" w:val="left"/>
        </w:tabs>
        <w:numPr>
          <w:ilvl w:val="0"/>
          <w:numId w:val="290"/>
        </w:numPr>
        <w:rPr>
          <w:rFonts w:ascii="Arial" w:cs="Arial" w:eastAsia="Arial" w:hAnsi="Arial"/>
          <w:sz w:val="17"/>
          <w:szCs w:val="17"/>
          <w:color w:val="auto"/>
        </w:rPr>
      </w:pPr>
      <w:r>
        <w:rPr>
          <w:rFonts w:ascii="Arial" w:cs="Arial" w:eastAsia="Arial" w:hAnsi="Arial"/>
          <w:sz w:val="17"/>
          <w:szCs w:val="17"/>
          <w:i w:val="1"/>
          <w:iCs w:val="1"/>
          <w:color w:val="auto"/>
        </w:rPr>
        <w:t>Good Standing</w:t>
      </w:r>
      <w:r>
        <w:rPr>
          <w:rFonts w:ascii="Arial" w:cs="Arial" w:eastAsia="Arial" w:hAnsi="Arial"/>
          <w:sz w:val="17"/>
          <w:szCs w:val="17"/>
          <w:color w:val="auto"/>
        </w:rPr>
        <w:t>. The Representative[s] shall have received on and as of the Closing Date or the Additional Closing Date, as the case may be,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satisfactory evidence of the good standing of the Company and its subsidiaries in their respective jurisdictions of organization and their good standing as foreign entities in such other jurisdictions as the Representative[s] may reasonably request, in each case in writing or any standard form of telecommunication from the appropriate governmental authorities of such jurisdictions.</w:t>
      </w:r>
    </w:p>
    <w:p>
      <w:pPr>
        <w:spacing w:after="0" w:line="63" w:lineRule="exact"/>
        <w:rPr>
          <w:rFonts w:ascii="Arial" w:cs="Arial" w:eastAsia="Arial" w:hAnsi="Arial"/>
          <w:sz w:val="17"/>
          <w:szCs w:val="17"/>
          <w:color w:val="auto"/>
        </w:rPr>
      </w:pPr>
    </w:p>
    <w:p>
      <w:pPr>
        <w:ind w:right="160" w:firstLine="443"/>
        <w:spacing w:after="0" w:line="277" w:lineRule="auto"/>
        <w:tabs>
          <w:tab w:leader="none" w:pos="693" w:val="left"/>
        </w:tabs>
        <w:numPr>
          <w:ilvl w:val="0"/>
          <w:numId w:val="290"/>
        </w:numPr>
        <w:rPr>
          <w:rFonts w:ascii="Arial" w:cs="Arial" w:eastAsia="Arial" w:hAnsi="Arial"/>
          <w:sz w:val="18"/>
          <w:szCs w:val="18"/>
          <w:color w:val="auto"/>
        </w:rPr>
      </w:pPr>
      <w:r>
        <w:rPr>
          <w:rFonts w:ascii="Arial" w:cs="Arial" w:eastAsia="Arial" w:hAnsi="Arial"/>
          <w:sz w:val="18"/>
          <w:szCs w:val="18"/>
          <w:i w:val="1"/>
          <w:iCs w:val="1"/>
          <w:color w:val="auto"/>
        </w:rPr>
        <w:t xml:space="preserve">Indenture and Securities. </w:t>
      </w:r>
      <w:r>
        <w:rPr>
          <w:rFonts w:ascii="Arial" w:cs="Arial" w:eastAsia="Arial" w:hAnsi="Arial"/>
          <w:sz w:val="18"/>
          <w:szCs w:val="18"/>
          <w:color w:val="auto"/>
        </w:rPr>
        <w:t>On or prior to the Closing Date, the Company and the Trustee shall have executed and delivered the Indenture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w:t>
      </w:r>
    </w:p>
    <w:p>
      <w:pPr>
        <w:sectPr>
          <w:pgSz w:w="11900" w:h="16838" w:orient="portrait"/>
          <w:cols w:equalWidth="0" w:num="1">
            <w:col w:w="10940"/>
          </w:cols>
          <w:pgMar w:left="700" w:top="274" w:right="259" w:bottom="1440" w:gutter="0" w:footer="0" w:header="0"/>
        </w:sectPr>
      </w:pPr>
    </w:p>
    <w:bookmarkStart w:id="299" w:name="page300"/>
    <w:bookmarkEnd w:id="299"/>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 [</w:t>
      </w:r>
      <w:r>
        <w:rPr>
          <w:rFonts w:ascii="Arial" w:cs="Arial" w:eastAsia="Arial" w:hAnsi="Arial"/>
          <w:sz w:val="17"/>
          <w:szCs w:val="17"/>
          <w:i w:val="1"/>
          <w:iCs w:val="1"/>
          <w:color w:val="auto"/>
        </w:rPr>
        <w:t>Exchange Listing.</w:t>
      </w:r>
      <w:r>
        <w:rPr>
          <w:rFonts w:ascii="Arial" w:cs="Arial" w:eastAsia="Arial" w:hAnsi="Arial"/>
          <w:sz w:val="17"/>
          <w:szCs w:val="17"/>
          <w:color w:val="auto"/>
        </w:rPr>
        <w:t xml:space="preserve"> The Securities to be delivered on the Closing Date or Additional Closing Date, as the case may be, shall have been</w:t>
      </w:r>
    </w:p>
    <w:p>
      <w:pPr>
        <w:spacing w:after="0" w:line="35" w:lineRule="exact"/>
        <w:rPr>
          <w:sz w:val="20"/>
          <w:szCs w:val="20"/>
          <w:color w:val="auto"/>
        </w:rPr>
      </w:pPr>
    </w:p>
    <w:p>
      <w:pPr>
        <w:ind w:left="460"/>
        <w:spacing w:after="0"/>
        <w:tabs>
          <w:tab w:leader="none" w:pos="3040" w:val="left"/>
        </w:tabs>
        <w:rPr>
          <w:sz w:val="20"/>
          <w:szCs w:val="20"/>
          <w:color w:val="auto"/>
        </w:rPr>
      </w:pPr>
      <w:r>
        <w:rPr>
          <w:rFonts w:ascii="Arial" w:cs="Arial" w:eastAsia="Arial" w:hAnsi="Arial"/>
          <w:sz w:val="18"/>
          <w:szCs w:val="18"/>
          <w:color w:val="auto"/>
        </w:rPr>
        <w:t>approved for listing on</w:t>
      </w:r>
      <w:r>
        <w:rPr>
          <w:sz w:val="20"/>
          <w:szCs w:val="20"/>
          <w:color w:val="auto"/>
        </w:rPr>
        <w:tab/>
      </w:r>
      <w:r>
        <w:rPr>
          <w:rFonts w:ascii="Arial" w:cs="Arial" w:eastAsia="Arial" w:hAnsi="Arial"/>
          <w:sz w:val="16"/>
          <w:szCs w:val="16"/>
          <w:color w:val="auto"/>
        </w:rPr>
        <w:t>, subject to official notice of issuance.]</w:t>
      </w:r>
    </w:p>
    <w:p>
      <w:pPr>
        <w:spacing w:after="0" w:line="103" w:lineRule="exact"/>
        <w:rPr>
          <w:sz w:val="20"/>
          <w:szCs w:val="20"/>
          <w:color w:val="auto"/>
        </w:rPr>
      </w:pPr>
    </w:p>
    <w:p>
      <w:pPr>
        <w:ind w:left="460" w:right="20" w:firstLine="443"/>
        <w:spacing w:after="0" w:line="259" w:lineRule="auto"/>
        <w:tabs>
          <w:tab w:leader="none" w:pos="120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Agreements</w:t>
      </w:r>
      <w:r>
        <w:rPr>
          <w:rFonts w:ascii="Arial" w:cs="Arial" w:eastAsia="Arial" w:hAnsi="Arial"/>
          <w:sz w:val="18"/>
          <w:szCs w:val="18"/>
          <w:color w:val="auto"/>
        </w:rPr>
        <w:t>. The “lock-up” agreements, each substantially in the form of Exhibit A-1 hereto, between you and the persons listed on Schedule 3, and in the form of Exhibit A-2 hereto, between you and the Adviser, relating to sales and certain other dispositions of shares of common stock or certain other securities, delivered to you on or before the date hereof, shall be in full force and effect on the Closing Date or Additional Closing Date, as the case may be.]</w:t>
      </w:r>
    </w:p>
    <w:p>
      <w:pPr>
        <w:spacing w:after="0" w:line="78" w:lineRule="exact"/>
        <w:rPr>
          <w:rFonts w:ascii="Arial" w:cs="Arial" w:eastAsia="Arial" w:hAnsi="Arial"/>
          <w:sz w:val="18"/>
          <w:szCs w:val="18"/>
          <w:color w:val="auto"/>
        </w:rPr>
      </w:pPr>
    </w:p>
    <w:p>
      <w:pPr>
        <w:ind w:left="460" w:firstLine="443"/>
        <w:spacing w:after="0" w:line="255" w:lineRule="auto"/>
        <w:tabs>
          <w:tab w:leader="none" w:pos="1153"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No Downgrade</w:t>
      </w:r>
      <w:r>
        <w:rPr>
          <w:rFonts w:ascii="Arial" w:cs="Arial" w:eastAsia="Arial" w:hAnsi="Arial"/>
          <w:sz w:val="18"/>
          <w:szCs w:val="18"/>
          <w:color w:val="auto"/>
        </w:rPr>
        <w:t>. Subsequent to the earlier of (A) the Applicable Time and (B) the execution and delivery of this Agreement, if there are any</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 or preferred stock of, or guaranteed, by, the Company or any of its subsidiaries that are rated by a “nationally recognized statistical rating organization,” as such term is defined in Section 3(a)(62) of the Exchange Act, (i) no downgrading shall have occurred in the rating accorded any such debt securities or preferred stock and (ii) no such organization shall have publicly announced that it has under surveillance or review, or has changed its outlook with respect to, its rating of any such debt securities or preferred stock (other than an announcement with positive implications of a possible upgrading).</w:t>
      </w:r>
    </w:p>
    <w:p>
      <w:pPr>
        <w:spacing w:after="0" w:line="85"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291"/>
        </w:numPr>
        <w:rPr>
          <w:rFonts w:ascii="Arial" w:cs="Arial" w:eastAsia="Arial" w:hAnsi="Arial"/>
          <w:sz w:val="18"/>
          <w:szCs w:val="18"/>
          <w:color w:val="auto"/>
        </w:rPr>
      </w:pPr>
      <w:r>
        <w:rPr>
          <w:rFonts w:ascii="Arial" w:cs="Arial" w:eastAsia="Arial" w:hAnsi="Arial"/>
          <w:sz w:val="18"/>
          <w:szCs w:val="18"/>
          <w:i w:val="1"/>
          <w:iCs w:val="1"/>
          <w:color w:val="auto"/>
        </w:rPr>
        <w:t xml:space="preserve">Additional Documents. </w:t>
      </w:r>
      <w:r>
        <w:rPr>
          <w:rFonts w:ascii="Arial" w:cs="Arial" w:eastAsia="Arial" w:hAnsi="Arial"/>
          <w:sz w:val="18"/>
          <w:szCs w:val="18"/>
          <w:color w:val="auto"/>
        </w:rPr>
        <w:t>On or prior to the Closing Date or the Additional Closing Date, as the case may be, the Company shall have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Representative[s] such further certificates and documents as the Representative[s] may reasonably request.</w:t>
      </w:r>
    </w:p>
    <w:p>
      <w:pPr>
        <w:spacing w:after="0" w:line="17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70" w:lineRule="exact"/>
        <w:rPr>
          <w:sz w:val="20"/>
          <w:szCs w:val="20"/>
          <w:color w:val="auto"/>
        </w:rPr>
      </w:pPr>
    </w:p>
    <w:p>
      <w:pPr>
        <w:ind w:left="640" w:hanging="176"/>
        <w:spacing w:after="0"/>
        <w:tabs>
          <w:tab w:leader="none" w:pos="64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68" w:lineRule="auto"/>
        <w:tabs>
          <w:tab w:leader="none" w:pos="701" w:val="left"/>
        </w:tabs>
        <w:numPr>
          <w:ilvl w:val="0"/>
          <w:numId w:val="293"/>
        </w:numPr>
        <w:rPr>
          <w:rFonts w:ascii="Arial" w:cs="Arial" w:eastAsia="Arial" w:hAnsi="Arial"/>
          <w:sz w:val="17"/>
          <w:szCs w:val="17"/>
          <w:color w:val="auto"/>
        </w:rPr>
      </w:pPr>
      <w:r>
        <w:rPr>
          <w:rFonts w:ascii="Arial" w:cs="Arial" w:eastAsia="Arial" w:hAnsi="Arial"/>
          <w:sz w:val="17"/>
          <w:szCs w:val="17"/>
          <w:i w:val="1"/>
          <w:iCs w:val="1"/>
          <w:color w:val="auto"/>
        </w:rPr>
        <w:t xml:space="preserve">Indemnification of the Underwriters. </w:t>
      </w:r>
      <w:r>
        <w:rPr>
          <w:rFonts w:ascii="Arial" w:cs="Arial" w:eastAsia="Arial" w:hAnsi="Arial"/>
          <w:sz w:val="17"/>
          <w:szCs w:val="17"/>
          <w:color w:val="auto"/>
        </w:rPr>
        <w:t>The Company agrees to indemnify and hold harmless each Underwriter, its affiliates, directors and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road show as defined in Rule 433(h) under the Securities Act (a “road show”) or the Pricing Disclosure Package (including any Pricing Disclosure Package that has subsequently been amended), or caused by any omission or alleged omission to state therein a material fact necessary in order to make the statements therein, in the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subsection (b) below.</w:t>
      </w:r>
    </w:p>
    <w:p>
      <w:pPr>
        <w:sectPr>
          <w:pgSz w:w="11900" w:h="16838" w:orient="portrait"/>
          <w:cols w:equalWidth="0" w:num="1">
            <w:col w:w="11420"/>
          </w:cols>
          <w:pgMar w:left="240" w:top="274" w:right="239" w:bottom="1440" w:gutter="0" w:footer="0" w:header="0"/>
        </w:sectPr>
      </w:pPr>
    </w:p>
    <w:bookmarkStart w:id="300" w:name="page301"/>
    <w:bookmarkEnd w:id="300"/>
    <w:p>
      <w:pPr>
        <w:ind w:right="100" w:firstLine="464"/>
        <w:spacing w:after="0" w:line="284" w:lineRule="auto"/>
        <w:tabs>
          <w:tab w:leader="none" w:pos="711" w:val="left"/>
        </w:tabs>
        <w:numPr>
          <w:ilvl w:val="0"/>
          <w:numId w:val="29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Indemnification of the Company. </w:t>
      </w:r>
      <w:r>
        <w:rPr>
          <w:rFonts w:ascii="Arial" w:cs="Arial" w:eastAsia="Arial" w:hAnsi="Arial"/>
          <w:sz w:val="16"/>
          <w:szCs w:val="16"/>
          <w:color w:val="auto"/>
        </w:rPr>
        <w:t>Each Underwriter agrees, severally and not jointly, to indemnify and hold harmless the Company, its directors, its</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road show or any Pricing Disclosure Package (including any Pricing Disclosure Package that has subsequently been amended), it being understood and agreed upon that the only such information</w:t>
      </w:r>
    </w:p>
    <w:p>
      <w:pPr>
        <w:spacing w:after="0" w:line="3"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furnished by any Underwriter consists of the following information in the Prospectus furnished on behalf of each Underwriter:</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64"/>
        <w:spacing w:after="0" w:line="282" w:lineRule="auto"/>
        <w:tabs>
          <w:tab w:leader="none" w:pos="701" w:val="left"/>
        </w:tabs>
        <w:numPr>
          <w:ilvl w:val="0"/>
          <w:numId w:val="295"/>
        </w:numPr>
        <w:rPr>
          <w:rFonts w:ascii="Arial" w:cs="Arial" w:eastAsia="Arial" w:hAnsi="Arial"/>
          <w:sz w:val="16"/>
          <w:szCs w:val="16"/>
          <w:color w:val="auto"/>
        </w:rPr>
      </w:pPr>
      <w:r>
        <w:rPr>
          <w:rFonts w:ascii="Arial" w:cs="Arial" w:eastAsia="Arial" w:hAnsi="Arial"/>
          <w:sz w:val="16"/>
          <w:szCs w:val="16"/>
          <w:i w:val="1"/>
          <w:iCs w:val="1"/>
          <w:color w:val="auto"/>
        </w:rPr>
        <w:t xml:space="preserve">Notice and Procedures. </w:t>
      </w:r>
      <w:r>
        <w:rPr>
          <w:rFonts w:ascii="Arial" w:cs="Arial" w:eastAsia="Arial" w:hAnsi="Arial"/>
          <w:sz w:val="16"/>
          <w:szCs w:val="16"/>
          <w:color w:val="auto"/>
        </w:rPr>
        <w:t>If any suit, action, proceeding (including any governmental or regulatory investigation), claim or demand shall be brought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asserted against any person in respect of which indemnification may be sought pursuant to either paragraph (a) or (b) above, such person (the “Indemnified Person”) shall promptly notify the person against whom such indemnification may be sought (the “Indemnifying Person”)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notify the Indemnifying Person shall not relieve it from any liability that it may have under paragraph (a) or (b) above except to the extent that it has been materially prejudiced (including through the forfeiture of substantive rights or defenses) by such failure;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failure to notify the Indemnifying Person shall not relieve it from any liability that it may have to an Indemnified Person otherwise than under paragraph (a) or (b) above.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the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 between them. It is understood and agreed that the Indemnifying Person shall not, in connection with any proceeding or related proceedings in the same jurisdiction, be liable for the reasonable and documented fees and expenses of more than one separate firm (in addition to any local counsel) for all Indemnified Persons, and that all such reasonable and documented fees and expenses shall be paid or reimbursed as they are incurred. Any such separate firm</w:t>
      </w:r>
    </w:p>
    <w:p>
      <w:pPr>
        <w:spacing w:after="0" w:line="1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any Underwriter, its affiliates, directors and officers and any control persons of such Underwriter shall be designated in writing by and any such separate firm for the Company, its directors, its officers who signed the Registration Statement and any control persons of the Company shall be designated in writing by the Company. The Indemnifying Person shall not be liable for any settlement of any proceeding effected without its written consent, but if settled with such consent or if there be a final judgment for the plaintiff, the Indemnifying Person agrees to indemnify each Indemnified Person from and against any loss or liability by reason of such settlement or judgment.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w:t>
      </w:r>
    </w:p>
    <w:p>
      <w:pPr>
        <w:sectPr>
          <w:pgSz w:w="11900" w:h="16838" w:orient="portrait"/>
          <w:cols w:equalWidth="0" w:num="1">
            <w:col w:w="11400"/>
          </w:cols>
          <w:pgMar w:left="240" w:top="274" w:right="259" w:bottom="1440" w:gutter="0" w:footer="0" w:header="0"/>
        </w:sectPr>
      </w:pPr>
    </w:p>
    <w:bookmarkStart w:id="301" w:name="page302"/>
    <w:bookmarkEnd w:id="301"/>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spacing w:after="0" w:line="178" w:lineRule="exact"/>
        <w:rPr>
          <w:sz w:val="20"/>
          <w:szCs w:val="20"/>
          <w:color w:val="auto"/>
        </w:rPr>
      </w:pPr>
    </w:p>
    <w:p>
      <w:pPr>
        <w:ind w:right="80" w:firstLine="464"/>
        <w:spacing w:after="0" w:line="286" w:lineRule="auto"/>
        <w:tabs>
          <w:tab w:leader="none" w:pos="711" w:val="left"/>
        </w:tabs>
        <w:numPr>
          <w:ilvl w:val="1"/>
          <w:numId w:val="296"/>
        </w:numPr>
        <w:rPr>
          <w:rFonts w:ascii="Arial" w:cs="Arial" w:eastAsia="Arial" w:hAnsi="Arial"/>
          <w:sz w:val="16"/>
          <w:szCs w:val="16"/>
          <w:color w:val="auto"/>
        </w:rPr>
      </w:pPr>
      <w:r>
        <w:rPr>
          <w:rFonts w:ascii="Arial" w:cs="Arial" w:eastAsia="Arial" w:hAnsi="Arial"/>
          <w:sz w:val="16"/>
          <w:szCs w:val="16"/>
          <w:i w:val="1"/>
          <w:iCs w:val="1"/>
          <w:color w:val="auto"/>
        </w:rPr>
        <w:t xml:space="preserve">Contribution. </w:t>
      </w:r>
      <w:r>
        <w:rPr>
          <w:rFonts w:ascii="Arial" w:cs="Arial" w:eastAsia="Arial" w:hAnsi="Arial"/>
          <w:sz w:val="16"/>
          <w:szCs w:val="16"/>
          <w:color w:val="auto"/>
        </w:rPr>
        <w:t>If the indemnification provided for in paragraphs (a) and (b) above is unavailable to an Indemnified Person or insufficient in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on the one hand, and the Underwriters on the other, from the offering of the Securities or (ii) if the allocation provided by clause (i) is not permitted by applicable law, in such proportion as is appropriate to reflect not only the relative benefits referred to in clause (i) but also the relative fault of the Company, on the one hand, and the Underwriters on the other, in connection with the statements or omissions that resulted in such losses, claims, damages or liabilities, as well as any other relevant equitable considerations. The relative benefits received by the Company, on the one hand, and the Underwriters on the other, shall be deemed to be in the same respective proportions as the net proceeds (before deducting expenses) received by the Company from the sale of the Securities and the total underwriting discounts and commissions received by the Underwriters in connection therewith, in each case as set forth in the table on the cover of the Prospectus, bear to the aggregate offering price of the Securities.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Notwithstanding any other provision in this Section 8, no party shall be entitled to indemnification or contribution under this Agreement in violation of Section 17(j) of the Investment Company Act.</w:t>
      </w:r>
    </w:p>
    <w:p>
      <w:pPr>
        <w:spacing w:after="0" w:line="168" w:lineRule="exact"/>
        <w:rPr>
          <w:rFonts w:ascii="Arial" w:cs="Arial" w:eastAsia="Arial" w:hAnsi="Arial"/>
          <w:sz w:val="16"/>
          <w:szCs w:val="16"/>
          <w:color w:val="auto"/>
        </w:rPr>
      </w:pPr>
    </w:p>
    <w:p>
      <w:pPr>
        <w:ind w:left="700" w:hanging="236"/>
        <w:spacing w:after="0"/>
        <w:tabs>
          <w:tab w:leader="none" w:pos="700" w:val="left"/>
        </w:tabs>
        <w:numPr>
          <w:ilvl w:val="1"/>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Limitation on Liability. </w:t>
      </w:r>
      <w:r>
        <w:rPr>
          <w:rFonts w:ascii="Arial" w:cs="Arial" w:eastAsia="Arial" w:hAnsi="Arial"/>
          <w:sz w:val="17"/>
          <w:szCs w:val="17"/>
          <w:color w:val="auto"/>
        </w:rPr>
        <w:t>The Company and the Underwriters agree that it would not be just and equitable if contribution pursuant to paragraph</w:t>
      </w:r>
    </w:p>
    <w:p>
      <w:pPr>
        <w:spacing w:after="0" w:line="34" w:lineRule="exact"/>
        <w:rPr>
          <w:rFonts w:ascii="Arial" w:cs="Arial" w:eastAsia="Arial" w:hAnsi="Arial"/>
          <w:sz w:val="17"/>
          <w:szCs w:val="17"/>
          <w:color w:val="auto"/>
        </w:rPr>
      </w:pPr>
    </w:p>
    <w:p>
      <w:pPr>
        <w:ind w:firstLine="8"/>
        <w:spacing w:after="0" w:line="268" w:lineRule="auto"/>
        <w:tabs>
          <w:tab w:leader="none" w:pos="255"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above were determined by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allocation (even if the Underwriters were treated as one entity for such purpose) or by any other method of allocation that does not take account of the equitable considerations referred to in paragraph (d) above. The amount paid or payable by an Indemnified Person as a result of the losses, claims, damages and liabilities referred to in paragraph (d) above shall be deemed to include, subject to the limitations set forth above, any reasonable and documented legal or other expenses incurred by such Indemnified Person in connection with any such action or claim. Notwithstanding the provisions of paragraphs (d) and (e) of this Section 8, in no event shall an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paragraphs (d) and (e) of this Section 8 are several in proportion to their respective purchase obligations hereunder and not joint.</w:t>
      </w:r>
    </w:p>
    <w:p>
      <w:pPr>
        <w:spacing w:after="0" w:line="179" w:lineRule="exact"/>
        <w:rPr>
          <w:rFonts w:ascii="Arial" w:cs="Arial" w:eastAsia="Arial" w:hAnsi="Arial"/>
          <w:sz w:val="17"/>
          <w:szCs w:val="17"/>
          <w:color w:val="auto"/>
        </w:rPr>
      </w:pPr>
    </w:p>
    <w:p>
      <w:pPr>
        <w:ind w:right="220" w:firstLine="464"/>
        <w:spacing w:after="0" w:line="277" w:lineRule="auto"/>
        <w:tabs>
          <w:tab w:leader="none" w:pos="681" w:val="left"/>
        </w:tabs>
        <w:numPr>
          <w:ilvl w:val="1"/>
          <w:numId w:val="297"/>
        </w:numPr>
        <w:rPr>
          <w:rFonts w:ascii="Arial" w:cs="Arial" w:eastAsia="Arial" w:hAnsi="Arial"/>
          <w:sz w:val="18"/>
          <w:szCs w:val="18"/>
          <w:color w:val="auto"/>
        </w:rPr>
      </w:pPr>
      <w:r>
        <w:rPr>
          <w:rFonts w:ascii="Arial" w:cs="Arial" w:eastAsia="Arial" w:hAnsi="Arial"/>
          <w:sz w:val="18"/>
          <w:szCs w:val="18"/>
          <w:i w:val="1"/>
          <w:iCs w:val="1"/>
          <w:color w:val="auto"/>
        </w:rPr>
        <w:t xml:space="preserve">Non-Exclusive Remedies. </w:t>
      </w:r>
      <w:r>
        <w:rPr>
          <w:rFonts w:ascii="Arial" w:cs="Arial" w:eastAsia="Arial" w:hAnsi="Arial"/>
          <w:sz w:val="18"/>
          <w:szCs w:val="18"/>
          <w:color w:val="auto"/>
        </w:rPr>
        <w:t>The remedies provided for in this Section 8 paragraphs (a) through (e) are not exclusive and shall not limit any rights or</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which may otherwise be available to any Indemnified Person at law or in equity.</w:t>
      </w:r>
    </w:p>
    <w:p>
      <w:pPr>
        <w:sectPr>
          <w:pgSz w:w="11900" w:h="16838" w:orient="portrait"/>
          <w:cols w:equalWidth="0" w:num="1">
            <w:col w:w="11400"/>
          </w:cols>
          <w:pgMar w:left="240" w:top="274" w:right="259" w:bottom="1440" w:gutter="0" w:footer="0" w:header="0"/>
        </w:sectPr>
      </w:pPr>
    </w:p>
    <w:bookmarkStart w:id="302" w:name="page303"/>
    <w:bookmarkEnd w:id="302"/>
    <w:p>
      <w:pPr>
        <w:ind w:left="176" w:hanging="176"/>
        <w:spacing w:after="0"/>
        <w:tabs>
          <w:tab w:leader="none" w:pos="176"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Effectiveness of Agreement</w:t>
      </w:r>
      <w:r>
        <w:rPr>
          <w:rFonts w:ascii="Arial" w:cs="Arial" w:eastAsia="Arial" w:hAnsi="Arial"/>
          <w:sz w:val="18"/>
          <w:szCs w:val="18"/>
          <w:color w:val="auto"/>
        </w:rPr>
        <w:t>. This Agreement shall become effective upon the execution and delivery hereof by the parties hereto.</w:t>
      </w:r>
    </w:p>
    <w:p>
      <w:pPr>
        <w:spacing w:after="0" w:line="225" w:lineRule="exact"/>
        <w:rPr>
          <w:rFonts w:ascii="Arial" w:cs="Arial" w:eastAsia="Arial" w:hAnsi="Arial"/>
          <w:sz w:val="18"/>
          <w:szCs w:val="18"/>
          <w:color w:val="auto"/>
        </w:rPr>
      </w:pPr>
    </w:p>
    <w:p>
      <w:pPr>
        <w:ind w:left="-464" w:right="20" w:firstLine="464"/>
        <w:spacing w:after="0" w:line="253" w:lineRule="auto"/>
        <w:tabs>
          <w:tab w:leader="none" w:pos="26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may be terminated in the absolute discretion of the Representative[s], by notice to the Company, if after the execution and delivery of this Agreement and prior to the Closing Date or, in the case of the Option Securities, prior to the Additional Closing Date (i) trading generally shall have been suspended or materially limited on or by either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U.S. federal or New York State authorities; or (iv)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Securities on the Closing Date or the Additional Closing Date, as the case may be, on the terms and in the manner contemplated by this Agreement, the Pricing Disclosure Package and the Prospectus.</w:t>
      </w:r>
    </w:p>
    <w:p>
      <w:pPr>
        <w:spacing w:after="0" w:line="197" w:lineRule="exact"/>
        <w:rPr>
          <w:rFonts w:ascii="Arial" w:cs="Arial" w:eastAsia="Arial" w:hAnsi="Arial"/>
          <w:sz w:val="18"/>
          <w:szCs w:val="18"/>
          <w:color w:val="auto"/>
        </w:rPr>
      </w:pPr>
    </w:p>
    <w:p>
      <w:pPr>
        <w:ind w:left="256" w:hanging="256"/>
        <w:spacing w:after="0"/>
        <w:tabs>
          <w:tab w:leader="none" w:pos="256"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Defaulting Underwriter</w:t>
      </w:r>
      <w:r>
        <w:rPr>
          <w:rFonts w:ascii="Arial" w:cs="Arial" w:eastAsia="Arial" w:hAnsi="Arial"/>
          <w:sz w:val="18"/>
          <w:szCs w:val="18"/>
          <w:color w:val="auto"/>
        </w:rPr>
        <w:t>.</w:t>
      </w:r>
    </w:p>
    <w:p>
      <w:pPr>
        <w:spacing w:after="0" w:line="225" w:lineRule="exact"/>
        <w:rPr>
          <w:sz w:val="20"/>
          <w:szCs w:val="20"/>
          <w:color w:val="auto"/>
        </w:rPr>
      </w:pPr>
    </w:p>
    <w:p>
      <w:pPr>
        <w:ind w:left="-464" w:firstLine="464"/>
        <w:spacing w:after="0" w:line="287" w:lineRule="auto"/>
        <w:tabs>
          <w:tab w:leader="none" w:pos="237"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If, on the Closing Date or the Additional Closing Date, as the case may be, any Underwriter defaults on its obligation to purchase the Securities that it has agreed to purchase hereunder on such date, the non-defaulting Underwriters may in their discretion arrange for the purchase of such Securities by other persons satisfactory to the Company on the terms contained in this Agreement. If, within 36 hours after any such default by any Underwriter, the non-defaulting Underwriters do not arrange for the purchase of such Securities, then the Company shall be entitled to a further period of 36 hours within which to procure other persons reasonably satisfactory to the non-defaulting Underwriters to purchase such Securities on such terms. If other persons become obligated or agree to purchase the Securities of a defaulting Underwriter, either the non-defaulting Underwriters or the Company may postpone the Closing Date or the Additional Closing Date, as the case may be, for up to five full business days in order to effect any changes that in the opinion of counsel for the Company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Schedule 1 hereto that, pursuant to this Section 11, purchases Securities that a defaulting Underwriter agreed but failed to purchase.</w:t>
      </w:r>
    </w:p>
    <w:p>
      <w:pPr>
        <w:spacing w:after="0" w:line="172" w:lineRule="exact"/>
        <w:rPr>
          <w:rFonts w:ascii="Arial" w:cs="Arial" w:eastAsia="Arial" w:hAnsi="Arial"/>
          <w:sz w:val="16"/>
          <w:szCs w:val="16"/>
          <w:color w:val="auto"/>
        </w:rPr>
      </w:pPr>
    </w:p>
    <w:p>
      <w:pPr>
        <w:ind w:left="-464" w:right="60" w:firstLine="464"/>
        <w:spacing w:after="0" w:line="272" w:lineRule="auto"/>
        <w:tabs>
          <w:tab w:leader="none" w:pos="247"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does not exceed one-eleventh of the [aggregate principal amount] [aggregate number] of Securities to be purchased on such date, then the Company shall have the right to require each non-defaulting Underwriter to purchase the [aggregate principal amount][number] of Securities that such Underwriter agreed to purchase hereunder on such date plus such Underwriter’s pro rata share (based on the [aggregate principal amount][number] of Securities that such Underwriter agreed to purchase on such date) of the Securities of such defaulting Underwriter or Underwriters for which such arrangements have not been made.</w:t>
      </w:r>
    </w:p>
    <w:p>
      <w:pPr>
        <w:sectPr>
          <w:pgSz w:w="11900" w:h="16838" w:orient="portrait"/>
          <w:cols w:equalWidth="0" w:num="1">
            <w:col w:w="10936"/>
          </w:cols>
          <w:pgMar w:left="704" w:top="274" w:right="259" w:bottom="1440" w:gutter="0" w:footer="0" w:header="0"/>
        </w:sectPr>
      </w:pPr>
    </w:p>
    <w:bookmarkStart w:id="303" w:name="page304"/>
    <w:bookmarkEnd w:id="303"/>
    <w:p>
      <w:pPr>
        <w:ind w:left="-8" w:firstLine="464"/>
        <w:spacing w:after="0" w:line="271" w:lineRule="auto"/>
        <w:tabs>
          <w:tab w:leader="none" w:pos="693" w:val="left"/>
        </w:tabs>
        <w:numPr>
          <w:ilvl w:val="0"/>
          <w:numId w:val="3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after giving effect to any arrangements for the purchase of the Securities of a defaulting Underwriter or Underwriters by the non-defaulting Underwriters and the Company as provided in paragraph (a) above, the [aggregate principal amount][aggregate number] of Securities that remain unpurchased on the Closing Date or the Additional Closing Date, as the case may be, exceeds one-eleventh of the [aggregate principal amount][aggregate amount] of Securities to be purchased on such date, or if the Company shall not exercise the right described in paragraph (b) above, then this Agreement or, with respect to any Additional Closing Date, the obligation of the Underwriters to purchase Securities on the Additional Closing Date, as the case may be, shall terminate without liability on the part of the non-defaulting Underwriters. Any termination of this Agreement pursuant to this Section 11 shall be without liability on the part of the Company, except that the Company will continue to be liable for the payment of expenses as set forth in Section 12 hereof and except that the provisions of Section 8 hereof shall not terminate and shall remain in effect.</w:t>
      </w:r>
    </w:p>
    <w:p>
      <w:pPr>
        <w:spacing w:after="0" w:line="178" w:lineRule="exact"/>
        <w:rPr>
          <w:rFonts w:ascii="Arial" w:cs="Arial" w:eastAsia="Arial" w:hAnsi="Arial"/>
          <w:sz w:val="17"/>
          <w:szCs w:val="17"/>
          <w:color w:val="auto"/>
        </w:rPr>
      </w:pPr>
    </w:p>
    <w:p>
      <w:pPr>
        <w:ind w:left="-8" w:right="160" w:firstLine="464"/>
        <w:spacing w:after="0" w:line="277" w:lineRule="auto"/>
        <w:tabs>
          <w:tab w:leader="none" w:pos="70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Nothing contained herein shall relieve a defaulting Underwriter of any liability it may have to the Company or any non-defaulting Underwriter for damages caused by its default.</w:t>
      </w:r>
    </w:p>
    <w:p>
      <w:pPr>
        <w:spacing w:after="0" w:line="170" w:lineRule="exact"/>
        <w:rPr>
          <w:sz w:val="20"/>
          <w:szCs w:val="20"/>
          <w:color w:val="auto"/>
        </w:rPr>
      </w:pPr>
    </w:p>
    <w:p>
      <w:pPr>
        <w:ind w:left="732" w:hanging="276"/>
        <w:spacing w:after="0"/>
        <w:tabs>
          <w:tab w:leader="none" w:pos="732"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i w:val="1"/>
          <w:iCs w:val="1"/>
          <w:color w:val="auto"/>
        </w:rPr>
        <w:t>.</w:t>
      </w:r>
    </w:p>
    <w:p>
      <w:pPr>
        <w:spacing w:after="0" w:line="225" w:lineRule="exact"/>
        <w:rPr>
          <w:sz w:val="20"/>
          <w:szCs w:val="20"/>
          <w:color w:val="auto"/>
        </w:rPr>
      </w:pPr>
    </w:p>
    <w:p>
      <w:pPr>
        <w:ind w:left="-8" w:right="60" w:firstLine="464"/>
        <w:spacing w:after="0" w:line="283" w:lineRule="auto"/>
        <w:tabs>
          <w:tab w:leader="none" w:pos="693" w:val="left"/>
        </w:tabs>
        <w:numPr>
          <w:ilvl w:val="1"/>
          <w:numId w:val="302"/>
        </w:numPr>
        <w:rPr>
          <w:rFonts w:ascii="Arial" w:cs="Arial" w:eastAsia="Arial" w:hAnsi="Arial"/>
          <w:sz w:val="16"/>
          <w:szCs w:val="16"/>
          <w:color w:val="auto"/>
        </w:rPr>
      </w:pPr>
      <w:r>
        <w:rPr>
          <w:rFonts w:ascii="Arial" w:cs="Arial" w:eastAsia="Arial" w:hAnsi="Arial"/>
          <w:sz w:val="16"/>
          <w:szCs w:val="16"/>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Warrant Securities issuable upon exercise of the Warrants] and any stamp, issuance, transfer or other similar taxes payable in that connection; (ii) the costs incident to the preparation, printing and filing under the Securities Act of the Registration Statement, the Preliminary Prospectus, any Pricing Disclosure Package and the Prospectus (including all exhibits, amendments and supplements thereto) and the distribution thereof; (iii) the fees and expenses of the Company’s counsel and independent accountants; (iv) the reasonable and documented fees and expenses incurred in connection with the registration or qualification of the Securities [and any Warrant Securities issuable upon exercise of the Warrants] under the state or foreign securities or blue sky laws of such jurisdictions as the Representative[s] may designate with the prior approval of the Company (such approval not to be unreasonably withheld, conditioned or delayed) (including the related reasonable and documented fees and expenses of counsel for the Underwriters); (v) the cost of preparing stock certificates, if applicable, in connection with the issuance and sale of any Underlying Securities;</w:t>
      </w:r>
    </w:p>
    <w:p>
      <w:pPr>
        <w:spacing w:after="0" w:line="5" w:lineRule="exact"/>
        <w:rPr>
          <w:rFonts w:ascii="Arial" w:cs="Arial" w:eastAsia="Arial" w:hAnsi="Arial"/>
          <w:sz w:val="16"/>
          <w:szCs w:val="16"/>
          <w:color w:val="auto"/>
        </w:rPr>
      </w:pPr>
    </w:p>
    <w:p>
      <w:pPr>
        <w:ind w:left="-8" w:right="80" w:firstLine="8"/>
        <w:spacing w:after="0" w:line="268" w:lineRule="auto"/>
        <w:tabs>
          <w:tab w:leader="none" w:pos="29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the costs and charges of any transfer agent and any registrar in connection with the issuance and sale of any Underlying Securities; [(vii) all filing fees and the reasonable fees and expenses incurred in connection with any filing with, and clearance of the offering by, FINRA (such fees and expenses pursuant to this clause (vii) and clause (iv), in the aggregate, shall not exceed $[ ])]; (viii) all expenses incurred by the Company in connection with any “road show” presentation to potential investors, </w:t>
      </w:r>
      <w:r>
        <w:rPr>
          <w:rFonts w:ascii="Arial" w:cs="Arial" w:eastAsia="Arial" w:hAnsi="Arial"/>
          <w:sz w:val="17"/>
          <w:szCs w:val="17"/>
          <w:u w:val="single" w:color="auto"/>
          <w:color w:val="auto"/>
        </w:rPr>
        <w:t>provided, however</w:t>
      </w:r>
      <w:r>
        <w:rPr>
          <w:rFonts w:ascii="Arial" w:cs="Arial" w:eastAsia="Arial" w:hAnsi="Arial"/>
          <w:sz w:val="17"/>
          <w:szCs w:val="17"/>
          <w:color w:val="auto"/>
        </w:rPr>
        <w:t>, that the Underwriters shall be responsible for 50% of the third-party costs of any chartered private aircraft incurred in connection with such road show; (ix) the fees and expenses of the Trustee with respect to the Securities; and (x) all expenses and application fees related to the listing of the Securities, the Underlying Securities [or any Warrant Securities issuable upon exercise of the Warrants] on [applicable stock exchange]. It is, however, understood that except as provided in this Section 12 or in Section 8 of this Agreement, the Underwriters shall pay all of their own costs and expenses, including, without limitation, the fees and disbursements of their counsel, any advertising expenses connected with any offers they make and 50% of the third-party costs of any chartered private aircraft incurred in connection with the road show and all travel, lodging and other expenses of the Underwriters incurred by them in connection with any road show.</w:t>
      </w:r>
    </w:p>
    <w:p>
      <w:pPr>
        <w:spacing w:after="0" w:line="179" w:lineRule="exact"/>
        <w:rPr>
          <w:rFonts w:ascii="Arial" w:cs="Arial" w:eastAsia="Arial" w:hAnsi="Arial"/>
          <w:sz w:val="17"/>
          <w:szCs w:val="17"/>
          <w:color w:val="auto"/>
        </w:rPr>
      </w:pPr>
    </w:p>
    <w:p>
      <w:pPr>
        <w:ind w:left="712" w:hanging="256"/>
        <w:spacing w:after="0"/>
        <w:tabs>
          <w:tab w:leader="none" w:pos="712" w:val="left"/>
        </w:tabs>
        <w:numPr>
          <w:ilvl w:val="1"/>
          <w:numId w:val="303"/>
        </w:numPr>
        <w:rPr>
          <w:rFonts w:ascii="Arial" w:cs="Arial" w:eastAsia="Arial" w:hAnsi="Arial"/>
          <w:sz w:val="16"/>
          <w:szCs w:val="16"/>
          <w:color w:val="auto"/>
        </w:rPr>
      </w:pPr>
      <w:r>
        <w:rPr>
          <w:rFonts w:ascii="Arial" w:cs="Arial" w:eastAsia="Arial" w:hAnsi="Arial"/>
          <w:sz w:val="16"/>
          <w:szCs w:val="16"/>
          <w:color w:val="auto"/>
        </w:rPr>
        <w:t>If (i) this Agreement is terminated pursuant to Section 10 (other than as a result of a termination pursuant to clauses (i), (iii) or (iv) of Section 10),</w:t>
      </w:r>
    </w:p>
    <w:p>
      <w:pPr>
        <w:spacing w:after="0" w:line="46" w:lineRule="exact"/>
        <w:rPr>
          <w:rFonts w:ascii="Arial" w:cs="Arial" w:eastAsia="Arial" w:hAnsi="Arial"/>
          <w:sz w:val="16"/>
          <w:szCs w:val="16"/>
          <w:color w:val="auto"/>
        </w:rPr>
      </w:pPr>
    </w:p>
    <w:p>
      <w:pPr>
        <w:ind w:left="272" w:hanging="272"/>
        <w:spacing w:after="0"/>
        <w:tabs>
          <w:tab w:leader="none" w:pos="272"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Company for any reason fails to</w:t>
      </w:r>
    </w:p>
    <w:p>
      <w:pPr>
        <w:sectPr>
          <w:pgSz w:w="11900" w:h="16838" w:orient="portrait"/>
          <w:cols w:equalWidth="0" w:num="1">
            <w:col w:w="11412"/>
          </w:cols>
          <w:pgMar w:left="248" w:top="274" w:right="239" w:bottom="1440" w:gutter="0" w:footer="0" w:header="0"/>
        </w:sectPr>
      </w:pPr>
    </w:p>
    <w:bookmarkStart w:id="304" w:name="page305"/>
    <w:bookmarkEnd w:id="304"/>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tender the Securities for delivery to the Underwriters (other than as a result of a termination pursuant to Section 11 or clauses (i), (iii) or (iv) of Section 10 or the default by one or more of the Underwriters in its or their respective obligations hereunder) or (iii) the Underwriters decline to purchase the Securities for any reason permitted under this Agreement, the Company agrees to reimburse the Underwriters for all out-of-pocket costs and expenses (including the reasonable and documented fees and expenses of their counsel) reasonably incurred by the Underwriters in connection with this Agreement and the offering contemplated hereby.</w:t>
      </w:r>
    </w:p>
    <w:p>
      <w:pPr>
        <w:spacing w:after="0" w:line="188" w:lineRule="exact"/>
        <w:rPr>
          <w:sz w:val="20"/>
          <w:szCs w:val="20"/>
          <w:color w:val="auto"/>
        </w:rPr>
      </w:pPr>
    </w:p>
    <w:p>
      <w:pPr>
        <w:ind w:right="160" w:firstLine="464"/>
        <w:spacing w:after="0" w:line="279" w:lineRule="auto"/>
        <w:tabs>
          <w:tab w:leader="none" w:pos="72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Persons Entitled to Benefit of Agreement</w:t>
      </w:r>
      <w:r>
        <w:rPr>
          <w:rFonts w:ascii="Arial" w:cs="Arial" w:eastAsia="Arial" w:hAnsi="Arial"/>
          <w:sz w:val="17"/>
          <w:szCs w:val="17"/>
          <w:color w:val="auto"/>
        </w:rPr>
        <w:t>. This Agreement shall inure to the benefit of and be binding upon the parties hereto and their respective successors and the officers and directors and any controlling persons referred to in Section 8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71" w:lineRule="exact"/>
        <w:rPr>
          <w:rFonts w:ascii="Arial" w:cs="Arial" w:eastAsia="Arial" w:hAnsi="Arial"/>
          <w:sz w:val="17"/>
          <w:szCs w:val="17"/>
          <w:color w:val="auto"/>
        </w:rPr>
      </w:pPr>
    </w:p>
    <w:p>
      <w:pPr>
        <w:jc w:val="both"/>
        <w:ind w:right="320" w:firstLine="464"/>
        <w:spacing w:after="0" w:line="279" w:lineRule="auto"/>
        <w:tabs>
          <w:tab w:leader="none" w:pos="72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respective indemnities, rights of contribution, representations, warranties and agreements of the Company, the Adviser and the Underwriters contained in this Agreement or made by or on behalf of the Company, the Adviser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Adviser or the Underwriters.</w:t>
      </w:r>
    </w:p>
    <w:p>
      <w:pPr>
        <w:spacing w:after="0" w:line="171" w:lineRule="exact"/>
        <w:rPr>
          <w:rFonts w:ascii="Arial" w:cs="Arial" w:eastAsia="Arial" w:hAnsi="Arial"/>
          <w:sz w:val="17"/>
          <w:szCs w:val="17"/>
          <w:color w:val="auto"/>
        </w:rPr>
      </w:pPr>
    </w:p>
    <w:p>
      <w:pPr>
        <w:ind w:right="100" w:firstLine="464"/>
        <w:spacing w:after="0" w:line="286" w:lineRule="auto"/>
        <w:tabs>
          <w:tab w:leader="none" w:pos="726"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Certain Defined Terms</w:t>
      </w:r>
      <w:r>
        <w:rPr>
          <w:rFonts w:ascii="Arial" w:cs="Arial" w:eastAsia="Arial" w:hAnsi="Arial"/>
          <w:sz w:val="17"/>
          <w:szCs w:val="17"/>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“subsidiary” has the meaning set forth in Rule 405 under the Securities Act.</w:t>
      </w:r>
    </w:p>
    <w:p>
      <w:pPr>
        <w:spacing w:after="0" w:line="165" w:lineRule="exact"/>
        <w:rPr>
          <w:rFonts w:ascii="Arial" w:cs="Arial" w:eastAsia="Arial" w:hAnsi="Arial"/>
          <w:sz w:val="17"/>
          <w:szCs w:val="17"/>
          <w:color w:val="auto"/>
        </w:rPr>
      </w:pPr>
    </w:p>
    <w:p>
      <w:pPr>
        <w:ind w:left="740" w:hanging="276"/>
        <w:spacing w:after="0"/>
        <w:tabs>
          <w:tab w:leader="none" w:pos="7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59" w:lineRule="auto"/>
        <w:tabs>
          <w:tab w:leader="none" w:pos="701"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w:t>
      </w:r>
      <w:r>
        <w:rPr>
          <w:rFonts w:ascii="Arial" w:cs="Arial" w:eastAsia="Arial" w:hAnsi="Arial"/>
          <w:sz w:val="18"/>
          <w:szCs w:val="18"/>
          <w:i w:val="1"/>
          <w:iCs w:val="1"/>
          <w:color w:val="auto"/>
        </w:rPr>
        <w:t xml:space="preserve"> </w:t>
      </w:r>
      <w:r>
        <w:rPr>
          <w:rFonts w:ascii="Arial" w:cs="Arial" w:eastAsia="Arial" w:hAnsi="Arial"/>
          <w:sz w:val="18"/>
          <w:szCs w:val="18"/>
          <w:color w:val="auto"/>
        </w:rPr>
        <w:t>and confirmed by any standard form of telecommunication. Notices to the Underwriters shall be given to the Representative[s] at [address of underwriter]. Notices to the Company or the Adviser shall be given to either of them at TPG Specialty Lending, Inc., 345 California Street, Suite 3300, San Francisco, California 94104 (fax: (917) 463-0175), Attention: David Stiepleman.</w:t>
      </w:r>
    </w:p>
    <w:p>
      <w:pPr>
        <w:spacing w:after="0" w:line="186" w:lineRule="exact"/>
        <w:rPr>
          <w:rFonts w:ascii="Arial" w:cs="Arial" w:eastAsia="Arial" w:hAnsi="Arial"/>
          <w:sz w:val="18"/>
          <w:szCs w:val="18"/>
          <w:color w:val="auto"/>
        </w:rPr>
      </w:pPr>
    </w:p>
    <w:p>
      <w:pPr>
        <w:ind w:firstLine="464"/>
        <w:spacing w:after="0" w:line="264" w:lineRule="auto"/>
        <w:tabs>
          <w:tab w:leader="none" w:pos="711" w:val="left"/>
        </w:tabs>
        <w:numPr>
          <w:ilvl w:val="0"/>
          <w:numId w:val="306"/>
        </w:numPr>
        <w:rPr>
          <w:rFonts w:ascii="Arial" w:cs="Arial" w:eastAsia="Arial" w:hAnsi="Arial"/>
          <w:sz w:val="18"/>
          <w:szCs w:val="18"/>
          <w:color w:val="auto"/>
        </w:rPr>
      </w:pPr>
      <w:r>
        <w:rPr>
          <w:rFonts w:ascii="Arial" w:cs="Arial" w:eastAsia="Arial" w:hAnsi="Arial"/>
          <w:sz w:val="18"/>
          <w:szCs w:val="18"/>
          <w:i w:val="1"/>
          <w:iCs w:val="1"/>
          <w:color w:val="auto"/>
        </w:rPr>
        <w:t>USA Patriot Act</w:t>
      </w:r>
      <w:r>
        <w:rPr>
          <w:rFonts w:ascii="Arial" w:cs="Arial" w:eastAsia="Arial" w:hAnsi="Arial"/>
          <w:sz w:val="18"/>
          <w:szCs w:val="18"/>
          <w:color w:val="auto"/>
        </w:rPr>
        <w:t>. In accordance with the requirements of the USA Patriot Act (Title III of Pub. L, 107-56 (signed into law October 26, 2001)),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are required to obtain, verify and record information that identifies their clients, which may include the name and address of their clients, as well as other information that will allow the Underwriters to properly identify their clients.</w:t>
      </w:r>
    </w:p>
    <w:p>
      <w:pPr>
        <w:spacing w:after="0" w:line="181" w:lineRule="exact"/>
        <w:rPr>
          <w:rFonts w:ascii="Arial" w:cs="Arial" w:eastAsia="Arial" w:hAnsi="Arial"/>
          <w:sz w:val="18"/>
          <w:szCs w:val="18"/>
          <w:color w:val="auto"/>
        </w:rPr>
      </w:pPr>
    </w:p>
    <w:p>
      <w:pPr>
        <w:ind w:right="700" w:firstLine="464"/>
        <w:spacing w:after="0" w:line="308" w:lineRule="auto"/>
        <w:tabs>
          <w:tab w:leader="none" w:pos="701" w:val="left"/>
        </w:tabs>
        <w:numPr>
          <w:ilvl w:val="0"/>
          <w:numId w:val="306"/>
        </w:numPr>
        <w:rPr>
          <w:rFonts w:ascii="Arial" w:cs="Arial" w:eastAsia="Arial" w:hAnsi="Arial"/>
          <w:sz w:val="17"/>
          <w:szCs w:val="17"/>
          <w:color w:val="auto"/>
        </w:rPr>
      </w:pPr>
      <w:r>
        <w:rPr>
          <w:rFonts w:ascii="Arial" w:cs="Arial" w:eastAsia="Arial" w:hAnsi="Arial"/>
          <w:sz w:val="17"/>
          <w:szCs w:val="17"/>
          <w:i w:val="1"/>
          <w:iCs w:val="1"/>
          <w:color w:val="auto"/>
        </w:rPr>
        <w:t xml:space="preserve">Governing Law. </w:t>
      </w:r>
      <w:r>
        <w:rPr>
          <w:rFonts w:ascii="Arial" w:cs="Arial" w:eastAsia="Arial" w:hAnsi="Arial"/>
          <w:sz w:val="17"/>
          <w:szCs w:val="17"/>
          <w:color w:val="auto"/>
        </w:rPr>
        <w:t>This Agreement and any claim, controversy or dispute arising under or related to this Agreement shall be governed by and</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in accordance with the laws of the State of New York applicable to agreements made and to be performed in such state.</w:t>
      </w:r>
    </w:p>
    <w:p>
      <w:pPr>
        <w:spacing w:after="0" w:line="146" w:lineRule="exact"/>
        <w:rPr>
          <w:rFonts w:ascii="Arial" w:cs="Arial" w:eastAsia="Arial" w:hAnsi="Arial"/>
          <w:sz w:val="17"/>
          <w:szCs w:val="17"/>
          <w:color w:val="auto"/>
        </w:rPr>
      </w:pPr>
    </w:p>
    <w:p>
      <w:pPr>
        <w:ind w:right="1380" w:firstLine="464"/>
        <w:spacing w:after="0" w:line="308" w:lineRule="auto"/>
        <w:tabs>
          <w:tab w:leader="none" w:pos="711" w:val="left"/>
        </w:tabs>
        <w:numPr>
          <w:ilvl w:val="0"/>
          <w:numId w:val="306"/>
        </w:numPr>
        <w:rPr>
          <w:rFonts w:ascii="Arial" w:cs="Arial" w:eastAsia="Arial" w:hAnsi="Arial"/>
          <w:sz w:val="17"/>
          <w:szCs w:val="17"/>
          <w:color w:val="auto"/>
        </w:rPr>
      </w:pPr>
      <w:r>
        <w:rPr>
          <w:rFonts w:ascii="Arial" w:cs="Arial" w:eastAsia="Arial" w:hAnsi="Arial"/>
          <w:sz w:val="17"/>
          <w:szCs w:val="17"/>
          <w:i w:val="1"/>
          <w:iCs w:val="1"/>
          <w:color w:val="auto"/>
        </w:rPr>
        <w:t xml:space="preserve">Counterparts. </w:t>
      </w:r>
      <w:r>
        <w:rPr>
          <w:rFonts w:ascii="Arial" w:cs="Arial" w:eastAsia="Arial" w:hAnsi="Arial"/>
          <w:sz w:val="17"/>
          <w:szCs w:val="17"/>
          <w:color w:val="auto"/>
        </w:rPr>
        <w:t>This Agreement may be signed in counterparts (which may include counterparts delivered by any standard form of</w:t>
      </w:r>
      <w:r>
        <w:rPr>
          <w:rFonts w:ascii="Arial" w:cs="Arial" w:eastAsia="Arial" w:hAnsi="Arial"/>
          <w:sz w:val="17"/>
          <w:szCs w:val="17"/>
          <w:i w:val="1"/>
          <w:iCs w:val="1"/>
          <w:color w:val="auto"/>
        </w:rPr>
        <w:t xml:space="preserve"> </w:t>
      </w:r>
      <w:r>
        <w:rPr>
          <w:rFonts w:ascii="Arial" w:cs="Arial" w:eastAsia="Arial" w:hAnsi="Arial"/>
          <w:sz w:val="17"/>
          <w:szCs w:val="17"/>
          <w:color w:val="auto"/>
        </w:rPr>
        <w:t>telecommunication), each of which shall be an original and all of which together shall constitute one and the same instrument.</w:t>
      </w:r>
    </w:p>
    <w:p>
      <w:pPr>
        <w:sectPr>
          <w:pgSz w:w="11900" w:h="16838" w:orient="portrait"/>
          <w:cols w:equalWidth="0" w:num="1">
            <w:col w:w="11420"/>
          </w:cols>
          <w:pgMar w:left="240" w:top="273" w:right="239" w:bottom="1440" w:gutter="0" w:footer="0" w:header="0"/>
        </w:sectPr>
      </w:pPr>
    </w:p>
    <w:bookmarkStart w:id="305" w:name="page306"/>
    <w:bookmarkEnd w:id="305"/>
    <w:p>
      <w:pPr>
        <w:ind w:left="-220" w:right="140" w:firstLine="464"/>
        <w:spacing w:after="0" w:line="277" w:lineRule="auto"/>
        <w:tabs>
          <w:tab w:leader="none" w:pos="481"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Amendments or Waivers. </w:t>
      </w:r>
      <w:r>
        <w:rPr>
          <w:rFonts w:ascii="Arial" w:cs="Arial" w:eastAsia="Arial" w:hAnsi="Arial"/>
          <w:sz w:val="18"/>
          <w:szCs w:val="18"/>
          <w:color w:val="auto"/>
        </w:rPr>
        <w:t>No amendment or waiver of any provision of this Agreement, nor any consent or approval to any departure therefrom,</w:t>
      </w:r>
      <w:r>
        <w:rPr>
          <w:rFonts w:ascii="Arial" w:cs="Arial" w:eastAsia="Arial" w:hAnsi="Arial"/>
          <w:sz w:val="18"/>
          <w:szCs w:val="18"/>
          <w:i w:val="1"/>
          <w:iCs w:val="1"/>
          <w:color w:val="auto"/>
        </w:rPr>
        <w:t xml:space="preserve"> </w:t>
      </w:r>
      <w:r>
        <w:rPr>
          <w:rFonts w:ascii="Arial" w:cs="Arial" w:eastAsia="Arial" w:hAnsi="Arial"/>
          <w:sz w:val="18"/>
          <w:szCs w:val="18"/>
          <w:color w:val="auto"/>
        </w:rPr>
        <w:t>shall in any event be effective unless the same shall be in writing and signed by the parties hereto.</w:t>
      </w:r>
    </w:p>
    <w:p>
      <w:pPr>
        <w:spacing w:after="0" w:line="170" w:lineRule="exact"/>
        <w:rPr>
          <w:rFonts w:ascii="Arial" w:cs="Arial" w:eastAsia="Arial" w:hAnsi="Arial"/>
          <w:sz w:val="18"/>
          <w:szCs w:val="18"/>
          <w:color w:val="auto"/>
        </w:rPr>
      </w:pPr>
    </w:p>
    <w:p>
      <w:pPr>
        <w:ind w:left="-220" w:right="440" w:firstLine="464"/>
        <w:spacing w:after="0" w:line="277" w:lineRule="auto"/>
        <w:tabs>
          <w:tab w:leader="none" w:pos="461" w:val="left"/>
        </w:tabs>
        <w:numPr>
          <w:ilvl w:val="0"/>
          <w:numId w:val="307"/>
        </w:numPr>
        <w:rPr>
          <w:rFonts w:ascii="Arial" w:cs="Arial" w:eastAsia="Arial" w:hAnsi="Arial"/>
          <w:sz w:val="18"/>
          <w:szCs w:val="18"/>
          <w:color w:val="auto"/>
        </w:rPr>
      </w:pPr>
      <w:r>
        <w:rPr>
          <w:rFonts w:ascii="Arial" w:cs="Arial" w:eastAsia="Arial" w:hAnsi="Arial"/>
          <w:sz w:val="18"/>
          <w:szCs w:val="18"/>
          <w:i w:val="1"/>
          <w:iCs w:val="1"/>
          <w:color w:val="auto"/>
        </w:rPr>
        <w:t xml:space="preserve">Headings. </w:t>
      </w:r>
      <w:r>
        <w:rPr>
          <w:rFonts w:ascii="Arial" w:cs="Arial" w:eastAsia="Arial" w:hAnsi="Arial"/>
          <w:sz w:val="18"/>
          <w:szCs w:val="18"/>
          <w:color w:val="auto"/>
        </w:rPr>
        <w:t>The headings herein are included for convenience of reference only and are not intended to be part of, or to affect the meaning or</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 of, this Agreement.</w:t>
      </w:r>
    </w:p>
    <w:p>
      <w:pPr>
        <w:spacing w:after="0" w:line="17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If the foregoing is in accordance with your understanding, please indicate your acceptance of this Agreement by signing in the space provided below.</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80"/>
          </w:cols>
          <w:pgMar w:left="460" w:top="273" w:right="459" w:bottom="1440" w:gutter="0" w:footer="0" w:header="0"/>
        </w:sectPr>
      </w:pPr>
    </w:p>
    <w:bookmarkStart w:id="306" w:name="page307"/>
    <w:bookmarkEnd w:id="30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TSL ADVISERS, LLC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4" w:right="1440"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[Name of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Acting severally on behalf of themselves and the several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Underwriters listed in Schedule 1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UNDERWRITER]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48" w:lineRule="exact"/>
        <w:rPr>
          <w:sz w:val="20"/>
          <w:szCs w:val="20"/>
          <w:color w:val="auto"/>
        </w:rPr>
      </w:pPr>
    </w:p>
    <w:p>
      <w:pPr>
        <w:spacing w:after="0"/>
        <w:tabs>
          <w:tab w:leader="none" w:pos="8980" w:val="left"/>
        </w:tabs>
        <w:rPr>
          <w:sz w:val="20"/>
          <w:szCs w:val="20"/>
          <w:color w:val="auto"/>
        </w:rPr>
      </w:pPr>
      <w:r>
        <w:rPr>
          <w:rFonts w:ascii="Arial" w:cs="Arial" w:eastAsia="Arial" w:hAnsi="Arial"/>
          <w:sz w:val="13"/>
          <w:szCs w:val="13"/>
          <w:u w:val="single" w:color="auto"/>
          <w:color w:val="auto"/>
        </w:rPr>
        <w:t>Underwriter</w:t>
      </w:r>
      <w:r>
        <w:rPr>
          <w:sz w:val="20"/>
          <w:szCs w:val="20"/>
          <w:color w:val="auto"/>
        </w:rPr>
        <w:tab/>
      </w:r>
      <w:r>
        <w:rPr>
          <w:rFonts w:ascii="Arial" w:cs="Arial" w:eastAsia="Arial" w:hAnsi="Arial"/>
          <w:sz w:val="13"/>
          <w:szCs w:val="13"/>
          <w:u w:val="single" w:color="auto"/>
          <w:color w:val="auto"/>
        </w:rPr>
        <w:t>Aggregate Principal Amount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371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7246620" cy="146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14605</wp:posOffset>
            </wp:positionV>
            <wp:extent cx="153479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34795" cy="8890"/>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31750</wp:posOffset>
            </wp:positionV>
            <wp:extent cx="153479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2</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[Subsidiaries of the Company]</w:t>
      </w:r>
    </w:p>
    <w:p>
      <w:pPr>
        <w:sectPr>
          <w:pgSz w:w="11900" w:h="16838" w:orient="portrait"/>
          <w:cols w:equalWidth="0" w:num="1">
            <w:col w:w="10220"/>
          </w:cols>
          <w:pgMar w:left="1440" w:top="273"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3</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[List of persons and entities subject to lock-up]</w:t>
      </w:r>
    </w:p>
    <w:p>
      <w:pPr>
        <w:sectPr>
          <w:pgSz w:w="11900" w:h="16838" w:orient="portrait"/>
          <w:cols w:equalWidth="0" w:num="1">
            <w:col w:w="10220"/>
          </w:cols>
          <w:pgMar w:left="1440" w:top="273"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Senior Securities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Aggregate Principal Amount Subordinated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●Warrants to Purchase Debt Securities</w:t>
      </w:r>
    </w:p>
    <w:p>
      <w:pPr>
        <w:spacing w:after="0" w:line="211" w:lineRule="exact"/>
        <w:rPr>
          <w:sz w:val="20"/>
          <w:szCs w:val="20"/>
          <w:color w:val="auto"/>
        </w:rPr>
      </w:pPr>
    </w:p>
    <w:p>
      <w:pPr>
        <w:ind w:left="460"/>
        <w:spacing w:after="0"/>
        <w:tabs>
          <w:tab w:leader="none" w:pos="4800" w:val="left"/>
        </w:tabs>
        <w:rPr>
          <w:sz w:val="20"/>
          <w:szCs w:val="20"/>
          <w:color w:val="auto"/>
        </w:rPr>
      </w:pPr>
      <w:r>
        <w:rPr>
          <w:rFonts w:ascii="Arial" w:cs="Arial" w:eastAsia="Arial" w:hAnsi="Arial"/>
          <w:sz w:val="17"/>
          <w:szCs w:val="17"/>
          <w:color w:val="auto"/>
        </w:rPr>
        <w:t>1. The aggregate principal amount of the Securities is $</w:t>
      </w:r>
      <w:r>
        <w:rPr>
          <w:sz w:val="20"/>
          <w:szCs w:val="20"/>
          <w:color w:val="auto"/>
        </w:rPr>
        <w:tab/>
      </w:r>
      <w:r>
        <w:rPr>
          <w:rFonts w:ascii="Arial" w:cs="Arial" w:eastAsia="Arial" w:hAnsi="Arial"/>
          <w:sz w:val="14"/>
          <w:szCs w:val="14"/>
          <w:color w:val="auto"/>
        </w:rPr>
        <w:t>.</w:t>
      </w:r>
    </w:p>
    <w:p>
      <w:pPr>
        <w:spacing w:after="0" w:line="237" w:lineRule="exact"/>
        <w:rPr>
          <w:sz w:val="20"/>
          <w:szCs w:val="20"/>
          <w:color w:val="auto"/>
        </w:rPr>
      </w:pPr>
    </w:p>
    <w:p>
      <w:pPr>
        <w:ind w:right="500" w:firstLine="464"/>
        <w:spacing w:after="0" w:line="277" w:lineRule="auto"/>
        <w:tabs>
          <w:tab w:leader="none" w:pos="63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public offering price for the Securities shall be ●% of the aggregate principal amount thereof plus accrued interest, if any, from the date of issuance.</w:t>
      </w:r>
    </w:p>
    <w:p>
      <w:pPr>
        <w:spacing w:after="0" w:line="170" w:lineRule="exact"/>
        <w:rPr>
          <w:rFonts w:ascii="Arial" w:cs="Arial" w:eastAsia="Arial" w:hAnsi="Arial"/>
          <w:sz w:val="18"/>
          <w:szCs w:val="18"/>
          <w:color w:val="auto"/>
        </w:rPr>
      </w:pPr>
    </w:p>
    <w:p>
      <w:pPr>
        <w:ind w:left="640" w:hanging="176"/>
        <w:spacing w:after="0"/>
        <w:tabs>
          <w:tab w:leader="none" w:pos="6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purchase price for the Securities to be paid by the several Underwriters shall be ●% of the aggregate principal amount thereof.</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2680" w:type="dxa"/>
            <w:vAlign w:val="bottom"/>
          </w:tcPr>
          <w:p>
            <w:pPr>
              <w:ind w:left="20"/>
              <w:spacing w:after="0"/>
              <w:rPr>
                <w:sz w:val="20"/>
                <w:szCs w:val="20"/>
                <w:color w:val="auto"/>
              </w:rPr>
            </w:pPr>
            <w:r>
              <w:rPr>
                <w:rFonts w:ascii="Arial" w:cs="Arial" w:eastAsia="Arial" w:hAnsi="Arial"/>
                <w:sz w:val="18"/>
                <w:szCs w:val="18"/>
                <w:color w:val="auto"/>
              </w:rPr>
              <w:t>The interest rate is  %.</w:t>
            </w:r>
          </w:p>
        </w:tc>
        <w:tc>
          <w:tcPr>
            <w:tcW w:w="24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5.</w:t>
            </w:r>
          </w:p>
        </w:tc>
        <w:tc>
          <w:tcPr>
            <w:tcW w:w="2680" w:type="dxa"/>
            <w:vAlign w:val="bottom"/>
          </w:tcPr>
          <w:p>
            <w:pPr>
              <w:ind w:left="20"/>
              <w:spacing w:after="0"/>
              <w:rPr>
                <w:sz w:val="20"/>
                <w:szCs w:val="20"/>
                <w:color w:val="auto"/>
              </w:rPr>
            </w:pPr>
            <w:r>
              <w:rPr>
                <w:rFonts w:ascii="Arial" w:cs="Arial" w:eastAsia="Arial" w:hAnsi="Arial"/>
                <w:sz w:val="18"/>
                <w:szCs w:val="18"/>
                <w:color w:val="auto"/>
              </w:rPr>
              <w:t>The interest payment dates are</w:t>
            </w:r>
          </w:p>
        </w:tc>
        <w:tc>
          <w:tcPr>
            <w:tcW w:w="2440" w:type="dxa"/>
            <w:vAlign w:val="bottom"/>
          </w:tcPr>
          <w:p>
            <w:pPr>
              <w:ind w:left="440"/>
              <w:spacing w:after="0"/>
              <w:rPr>
                <w:sz w:val="20"/>
                <w:szCs w:val="20"/>
                <w:color w:val="auto"/>
              </w:rPr>
            </w:pPr>
            <w:r>
              <w:rPr>
                <w:rFonts w:ascii="Arial" w:cs="Arial" w:eastAsia="Arial" w:hAnsi="Arial"/>
                <w:sz w:val="18"/>
                <w:szCs w:val="18"/>
                <w:color w:val="auto"/>
              </w:rPr>
              <w:t>. The record dates are</w:t>
            </w:r>
          </w:p>
        </w:tc>
        <w:tc>
          <w:tcPr>
            <w:tcW w:w="3740" w:type="dxa"/>
            <w:vAlign w:val="bottom"/>
            <w:gridSpan w:val="2"/>
          </w:tcPr>
          <w:p>
            <w:pPr>
              <w:ind w:left="460"/>
              <w:spacing w:after="0"/>
              <w:rPr>
                <w:sz w:val="20"/>
                <w:szCs w:val="20"/>
                <w:color w:val="auto"/>
              </w:rPr>
            </w:pPr>
            <w:r>
              <w:rPr>
                <w:rFonts w:ascii="Arial" w:cs="Arial" w:eastAsia="Arial" w:hAnsi="Arial"/>
                <w:sz w:val="18"/>
                <w:szCs w:val="18"/>
                <w:color w:val="auto"/>
              </w:rPr>
              <w:t>. The first interest payment date will be</w:t>
            </w:r>
          </w:p>
        </w:tc>
        <w:tc>
          <w:tcPr>
            <w:tcW w:w="1840" w:type="dxa"/>
            <w:vAlign w:val="bottom"/>
          </w:tcPr>
          <w:p>
            <w:pPr>
              <w:jc w:val="right"/>
              <w:ind w:right="1250"/>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7340" w:type="dxa"/>
            <w:vAlign w:val="bottom"/>
            <w:gridSpan w:val="3"/>
          </w:tcPr>
          <w:p>
            <w:pPr>
              <w:ind w:left="20"/>
              <w:spacing w:after="0"/>
              <w:rPr>
                <w:sz w:val="20"/>
                <w:szCs w:val="20"/>
                <w:color w:val="auto"/>
              </w:rPr>
            </w:pPr>
            <w:r>
              <w:rPr>
                <w:rFonts w:ascii="Arial" w:cs="Arial" w:eastAsia="Arial" w:hAnsi="Arial"/>
                <w:sz w:val="18"/>
                <w:szCs w:val="18"/>
                <w:color w:val="auto"/>
                <w:w w:val="97"/>
              </w:rPr>
              <w:t>The Securities may be redeemed in whole or in part at any time or from time to time on or after</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 upon not less than 30 nor more than 60</w:t>
            </w:r>
          </w:p>
        </w:tc>
      </w:tr>
    </w:tbl>
    <w:p>
      <w:pPr>
        <w:spacing w:after="0"/>
        <w:rPr>
          <w:sz w:val="20"/>
          <w:szCs w:val="20"/>
          <w:color w:val="auto"/>
        </w:rPr>
      </w:pPr>
      <w:r>
        <w:rPr>
          <w:rFonts w:ascii="Arial" w:cs="Arial" w:eastAsia="Arial" w:hAnsi="Arial"/>
          <w:sz w:val="18"/>
          <w:szCs w:val="18"/>
          <w:color w:val="auto"/>
        </w:rPr>
        <w:t>days written notice, at a redemption price of per security plus accrued and unpaid interest.</w:t>
      </w:r>
    </w:p>
    <w:p>
      <w:pPr>
        <w:spacing w:after="0" w:line="211" w:lineRule="exact"/>
        <w:rPr>
          <w:sz w:val="20"/>
          <w:szCs w:val="20"/>
          <w:color w:val="auto"/>
        </w:rPr>
      </w:pPr>
    </w:p>
    <w:p>
      <w:pPr>
        <w:ind w:left="640" w:hanging="176"/>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trade date is ●.</w:t>
      </w:r>
    </w:p>
    <w:p>
      <w:pPr>
        <w:spacing w:after="0" w:line="225" w:lineRule="exact"/>
        <w:rPr>
          <w:rFonts w:ascii="Arial" w:cs="Arial" w:eastAsia="Arial" w:hAnsi="Arial"/>
          <w:sz w:val="18"/>
          <w:szCs w:val="18"/>
          <w:color w:val="auto"/>
        </w:rPr>
      </w:pPr>
    </w:p>
    <w:p>
      <w:pPr>
        <w:ind w:left="640" w:hanging="176"/>
        <w:spacing w:after="0"/>
        <w:tabs>
          <w:tab w:leader="none" w:pos="6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closing date will be ●.</w:t>
      </w:r>
    </w:p>
    <w:p>
      <w:pPr>
        <w:sectPr>
          <w:pgSz w:w="11900" w:h="16838" w:orient="portrait"/>
          <w:cols w:equalWidth="0" w:num="1">
            <w:col w:w="11420"/>
          </w:cols>
          <w:pgMar w:left="240" w:top="270"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(n)(2)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consent to the use of our report dated February 24, 2016, with respect to the consolidated balance sheets of TPG Specialty Lending, Inc. (and subsidiaries) (the Company), including the consolidated schedules of investments, as of December 31, 2015 and 2014, and the related consolidated statements of operations, changes in net assets and cash flows for each of the years in the three-year period ended December 31, 2015, and the effectiveness of internal control over financial reporting as of December 31, 2015, and our report dated March 2, 2016 on the consolidated senior securities schedule of the Company, included herein, and to the references to our firm under the headings “Senior Securities”, and “Experts” in the prospectus.</w:t>
      </w:r>
    </w:p>
    <w:p>
      <w:pPr>
        <w:spacing w:after="0" w:line="158"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ectPr>
          <w:pgSz w:w="11900" w:h="16838" w:orient="portrait"/>
          <w:cols w:equalWidth="0" w:num="1">
            <w:col w:w="11420"/>
          </w:cols>
          <w:pgMar w:left="240" w:top="121" w:right="239" w:bottom="1440" w:gutter="0" w:footer="0" w:header="0"/>
        </w:sectPr>
      </w:pPr>
    </w:p>
    <w:bookmarkStart w:id="313" w:name="page314"/>
    <w:bookmarkEnd w:id="3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88900</wp:posOffset>
            </wp:positionV>
            <wp:extent cx="6089015" cy="21183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608901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CORRESPONDENCE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Investment Management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20549-7553</w:t>
      </w:r>
    </w:p>
    <w:p>
      <w:pPr>
        <w:spacing w:after="0" w:line="23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TPG Specialty Lending, Inc.</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Registration Statement on Form N-2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Filed on 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 Williamson:</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behalf of TPG Specialty Lending, Inc. (the “</w:t>
      </w:r>
      <w:r>
        <w:rPr>
          <w:rFonts w:ascii="Arial" w:cs="Arial" w:eastAsia="Arial" w:hAnsi="Arial"/>
          <w:sz w:val="18"/>
          <w:szCs w:val="18"/>
          <w:u w:val="single" w:color="auto"/>
          <w:color w:val="auto"/>
        </w:rPr>
        <w:t>Company</w:t>
      </w:r>
      <w:r>
        <w:rPr>
          <w:rFonts w:ascii="Arial" w:cs="Arial" w:eastAsia="Arial" w:hAnsi="Arial"/>
          <w:sz w:val="18"/>
          <w:szCs w:val="18"/>
          <w:color w:val="auto"/>
        </w:rPr>
        <w:t>”), we hereby respectfully request that the staff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afford the Company’s shelf registration statement on Form N-2, filed pursuant to the Securities Act of 1933, as amended (the “</w:t>
      </w:r>
      <w:r>
        <w:rPr>
          <w:rFonts w:ascii="Arial" w:cs="Arial" w:eastAsia="Arial" w:hAnsi="Arial"/>
          <w:sz w:val="18"/>
          <w:szCs w:val="18"/>
          <w:u w:val="single" w:color="auto"/>
          <w:color w:val="auto"/>
        </w:rPr>
        <w:t>Securities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with the Commission on March 31, 2016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a selective review in accordance with Securities Act Release No. 6510 (February 15, 1984). The Registration Statement, upon effectiveness, is intended to replace the Company’s shelf registration statement on Form N-2 (File No. 333- 203450) (the “</w:t>
      </w:r>
      <w:r>
        <w:rPr>
          <w:rFonts w:ascii="Arial" w:cs="Arial" w:eastAsia="Arial" w:hAnsi="Arial"/>
          <w:sz w:val="18"/>
          <w:szCs w:val="18"/>
          <w:u w:val="single" w:color="auto"/>
          <w:color w:val="auto"/>
        </w:rPr>
        <w:t>Prior Registration Statement</w:t>
      </w:r>
      <w:r>
        <w:rPr>
          <w:rFonts w:ascii="Arial" w:cs="Arial" w:eastAsia="Arial" w:hAnsi="Arial"/>
          <w:sz w:val="18"/>
          <w:szCs w:val="18"/>
          <w:color w:val="auto"/>
        </w:rPr>
        <w: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disclosure contained in the Registration Statement is substantially similar to the disclosure included in the Prior Registration Statement, except for:</w:t>
      </w:r>
    </w:p>
    <w:p>
      <w:pPr>
        <w:spacing w:after="0" w:line="154" w:lineRule="exact"/>
        <w:rPr>
          <w:sz w:val="20"/>
          <w:szCs w:val="20"/>
          <w:color w:val="auto"/>
        </w:rPr>
      </w:pPr>
    </w:p>
    <w:p>
      <w:pPr>
        <w:ind w:left="900" w:hanging="325"/>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revisions reflecting certain factual updates related to the Company, current regulatory conditions and current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revisions reflecting current information about the Company’s board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169545</wp:posOffset>
            </wp:positionV>
            <wp:extent cx="5274310" cy="857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274310" cy="8572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14" w:name="page315"/>
    <w:bookmarkEnd w:id="3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Jay Williamson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p. 2</w:t>
      </w:r>
    </w:p>
    <w:p>
      <w:pPr>
        <w:spacing w:after="0" w:line="265" w:lineRule="exact"/>
        <w:rPr>
          <w:sz w:val="20"/>
          <w:szCs w:val="20"/>
          <w:color w:val="auto"/>
        </w:rPr>
      </w:pPr>
    </w:p>
    <w:p>
      <w:pPr>
        <w:ind w:left="900" w:hanging="325"/>
        <w:spacing w:after="0" w:line="257"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revisions reflecting material developments relating to the Company since the effective date of the Prior Registration Statement, including the waiver by the Company’s investment adviser of certain management and incentive fees attributable to the Company’s ownership of shares of common stock in TICC Capital Corp., the permanent extension by Congress of pass-through rules affecting withholding tax applicable to certain distributions to non-U.S. stockholders and the termination by the Company of its credit and security agreement with Natixis, New York Branch in September 2015;</w:t>
      </w:r>
    </w:p>
    <w:p>
      <w:pPr>
        <w:spacing w:after="0" w:line="93"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inclusion of audited financial statements and related financial data for the period ended December 31, 2015, together with disclosure relating thereto;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revisions to reflect other minor factual updates.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such, the Company hereby requests selective review of its Registration Statement.</w:t>
      </w:r>
    </w:p>
    <w:p>
      <w:pPr>
        <w:spacing w:after="0" w:line="225" w:lineRule="exact"/>
        <w:rPr>
          <w:sz w:val="20"/>
          <w:szCs w:val="20"/>
          <w:color w:val="auto"/>
        </w:rPr>
      </w:pPr>
    </w:p>
    <w:p>
      <w:pPr>
        <w:ind w:left="5220"/>
        <w:spacing w:after="0"/>
        <w:tabs>
          <w:tab w:leader="none" w:pos="5640" w:val="left"/>
          <w:tab w:leader="none" w:pos="61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you have any questions or additional comments concerning the foregoing, please contact Adam Fleisher at (212) 225-2286 or Helena Grannis at (212) 225-2376.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Adam E. Fleisher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Adam E. Fleisher</w:t>
      </w:r>
    </w:p>
    <w:p>
      <w:pPr>
        <w:spacing w:after="0" w:line="238" w:lineRule="exact"/>
        <w:rPr>
          <w:sz w:val="20"/>
          <w:szCs w:val="20"/>
          <w:color w:val="auto"/>
        </w:rPr>
      </w:pPr>
    </w:p>
    <w:p>
      <w:pPr>
        <w:ind w:left="460" w:hanging="452"/>
        <w:spacing w:after="0"/>
        <w:tabs>
          <w:tab w:leader="none" w:pos="46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Vincent J. DiStefano</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Stiepleman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Jennifer Gordon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A. Gerstenzang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Helena K. Grannis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Cleary Gottlieb Steen &amp; Hamilton LLP</w:t>
      </w:r>
    </w:p>
    <w:sectPr>
      <w:pgSz w:w="11900" w:h="16838" w:orient="portrait"/>
      <w:cols w:equalWidth="0" w:num="1">
        <w:col w:w="11400"/>
      </w:cols>
      <w:pgMar w:left="240" w:top="2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7C2FF4"/>
    <w:multiLevelType w:val="hybridMultilevel"/>
    <w:lvl w:ilvl="0">
      <w:lvlJc w:val="left"/>
      <w:lvlText w:val="☐"/>
      <w:numFmt w:val="bullet"/>
      <w:start w:val="1"/>
    </w:lvl>
  </w:abstractNum>
  <w:abstractNum w:abstractNumId="1">
    <w:nsid w:val="25413BEC"/>
    <w:multiLevelType w:val="hybridMultilevel"/>
    <w:lvl w:ilvl="0">
      <w:lvlJc w:val="left"/>
      <w:lvlText w:val="(%1)"/>
      <w:numFmt w:val="decimal"/>
      <w:start w:val="1"/>
    </w:lvl>
  </w:abstractNum>
  <w:abstractNum w:abstractNumId="2">
    <w:nsid w:val="17180B0B"/>
    <w:multiLevelType w:val="hybridMultilevel"/>
    <w:lvl w:ilvl="0">
      <w:lvlJc w:val="left"/>
      <w:lvlText w:val="%1"/>
      <w:numFmt w:val="decimal"/>
      <w:start w:val="13"/>
    </w:lvl>
  </w:abstractNum>
  <w:abstractNum w:abstractNumId="3">
    <w:nsid w:val="579328B9"/>
    <w:multiLevelType w:val="hybridMultilevel"/>
    <w:lvl w:ilvl="0">
      <w:lvlJc w:val="left"/>
      <w:lvlText w:val="•"/>
      <w:numFmt w:val="bullet"/>
      <w:start w:val="1"/>
    </w:lvl>
  </w:abstractNum>
  <w:abstractNum w:abstractNumId="4">
    <w:nsid w:val="5D205E20"/>
    <w:multiLevelType w:val="hybridMultilevel"/>
    <w:lvl w:ilvl="0">
      <w:lvlJc w:val="left"/>
      <w:lvlText w:val="•"/>
      <w:numFmt w:val="bullet"/>
      <w:start w:val="1"/>
    </w:lvl>
    <w:lvl w:ilvl="1">
      <w:lvlJc w:val="left"/>
      <w:lvlText w:val="•"/>
      <w:numFmt w:val="bullet"/>
      <w:start w:val="1"/>
    </w:lvl>
  </w:abstractNum>
  <w:abstractNum w:abstractNumId="5">
    <w:nsid w:val="11CCA8BA"/>
    <w:multiLevelType w:val="hybridMultilevel"/>
    <w:lvl w:ilvl="0">
      <w:lvlJc w:val="left"/>
      <w:lvlText w:val="•"/>
      <w:numFmt w:val="bullet"/>
      <w:start w:val="1"/>
    </w:lvl>
  </w:abstractNum>
  <w:abstractNum w:abstractNumId="6">
    <w:nsid w:val="4D32AB86"/>
    <w:multiLevelType w:val="hybridMultilevel"/>
    <w:lvl w:ilvl="0">
      <w:lvlJc w:val="left"/>
      <w:lvlText w:val="•"/>
      <w:numFmt w:val="bullet"/>
      <w:start w:val="1"/>
    </w:lvl>
  </w:abstractNum>
  <w:abstractNum w:abstractNumId="7">
    <w:nsid w:val="3F07ACC3"/>
    <w:multiLevelType w:val="hybridMultilevel"/>
    <w:lvl w:ilvl="0">
      <w:lvlJc w:val="left"/>
      <w:lvlText w:val="•"/>
      <w:numFmt w:val="bullet"/>
      <w:start w:val="1"/>
    </w:lvl>
  </w:abstractNum>
  <w:abstractNum w:abstractNumId="8">
    <w:nsid w:val="6B47F63E"/>
    <w:multiLevelType w:val="hybridMultilevel"/>
    <w:lvl w:ilvl="0">
      <w:lvlJc w:val="left"/>
      <w:lvlText w:val="•"/>
      <w:numFmt w:val="bullet"/>
      <w:start w:val="1"/>
    </w:lvl>
  </w:abstractNum>
  <w:abstractNum w:abstractNumId="9">
    <w:nsid w:val="5CB44A05"/>
    <w:multiLevelType w:val="hybridMultilevel"/>
    <w:lvl w:ilvl="0">
      <w:lvlJc w:val="left"/>
      <w:lvlText w:val="•"/>
      <w:numFmt w:val="bullet"/>
      <w:start w:val="1"/>
    </w:lvl>
  </w:abstractNum>
  <w:abstractNum w:abstractNumId="10">
    <w:nsid w:val="16CF80F1"/>
    <w:multiLevelType w:val="hybridMultilevel"/>
    <w:lvl w:ilvl="0">
      <w:lvlJc w:val="left"/>
      <w:lvlText w:val="(%1)"/>
      <w:numFmt w:val="decimal"/>
      <w:start w:val="817"/>
    </w:lvl>
  </w:abstractNum>
  <w:abstractNum w:abstractNumId="11">
    <w:nsid w:val="1C695DEC"/>
    <w:multiLevelType w:val="hybridMultilevel"/>
    <w:lvl w:ilvl="0">
      <w:lvlJc w:val="left"/>
      <w:lvlText w:val="(%1)"/>
      <w:numFmt w:val="lowerLetter"/>
      <w:start w:val="2"/>
    </w:lvl>
  </w:abstractNum>
  <w:abstractNum w:abstractNumId="12">
    <w:nsid w:val="3FCFAED9"/>
    <w:multiLevelType w:val="hybridMultilevel"/>
    <w:lvl w:ilvl="0">
      <w:lvlJc w:val="left"/>
      <w:lvlText w:val="(%1)"/>
      <w:numFmt w:val="decimal"/>
      <w:start w:val="1"/>
    </w:lvl>
  </w:abstractNum>
  <w:abstractNum w:abstractNumId="13">
    <w:nsid w:val="F856867"/>
    <w:multiLevelType w:val="hybridMultilevel"/>
    <w:lvl w:ilvl="0">
      <w:lvlJc w:val="left"/>
      <w:lvlText w:val="(%1)"/>
      <w:numFmt w:val="decimal"/>
      <w:start w:val="6"/>
    </w:lvl>
  </w:abstractNum>
  <w:abstractNum w:abstractNumId="14">
    <w:nsid w:val="11B1CC33"/>
    <w:multiLevelType w:val="hybridMultilevel"/>
    <w:lvl w:ilvl="0">
      <w:lvlJc w:val="left"/>
      <w:lvlText w:val="(%1)"/>
      <w:numFmt w:val="decimal"/>
      <w:start w:val="1"/>
    </w:lvl>
  </w:abstractNum>
  <w:abstractNum w:abstractNumId="15">
    <w:nsid w:val="2E22FBB7"/>
    <w:multiLevelType w:val="hybridMultilevel"/>
    <w:lvl w:ilvl="0">
      <w:lvlJc w:val="left"/>
      <w:lvlText w:val="(%1)"/>
      <w:numFmt w:val="decimal"/>
      <w:start w:val="1"/>
    </w:lvl>
  </w:abstractNum>
  <w:abstractNum w:abstractNumId="16">
    <w:nsid w:val="29934699"/>
    <w:multiLevelType w:val="hybridMultilevel"/>
    <w:lvl w:ilvl="0">
      <w:lvlJc w:val="left"/>
      <w:lvlText w:val="(%1)"/>
      <w:numFmt w:val="decimal"/>
      <w:start w:val="1"/>
    </w:lvl>
  </w:abstractNum>
  <w:abstractNum w:abstractNumId="17">
    <w:nsid w:val="77485850"/>
    <w:multiLevelType w:val="hybridMultilevel"/>
    <w:lvl w:ilvl="0">
      <w:lvlJc w:val="left"/>
      <w:lvlText w:val="•"/>
      <w:numFmt w:val="bullet"/>
      <w:start w:val="1"/>
    </w:lvl>
    <w:lvl w:ilvl="1">
      <w:lvlJc w:val="left"/>
      <w:lvlText w:val="•"/>
      <w:numFmt w:val="bullet"/>
      <w:start w:val="1"/>
    </w:lvl>
  </w:abstractNum>
  <w:abstractNum w:abstractNumId="18">
    <w:nsid w:val="744939A3"/>
    <w:multiLevelType w:val="hybridMultilevel"/>
    <w:lvl w:ilvl="0">
      <w:lvlJc w:val="left"/>
      <w:lvlText w:val="•"/>
      <w:numFmt w:val="bullet"/>
      <w:start w:val="1"/>
    </w:lvl>
  </w:abstractNum>
  <w:abstractNum w:abstractNumId="19">
    <w:nsid w:val="4FA0D2E3"/>
    <w:multiLevelType w:val="hybridMultilevel"/>
    <w:lvl w:ilvl="0">
      <w:lvlJc w:val="left"/>
      <w:lvlText w:val="•"/>
      <w:numFmt w:val="bullet"/>
      <w:start w:val="1"/>
    </w:lvl>
  </w:abstractNum>
  <w:abstractNum w:abstractNumId="20">
    <w:nsid w:val="6B1D2C14"/>
    <w:multiLevelType w:val="hybridMultilevel"/>
    <w:lvl w:ilvl="0">
      <w:lvlJc w:val="left"/>
      <w:lvlText w:val="•"/>
      <w:numFmt w:val="bullet"/>
      <w:start w:val="1"/>
    </w:lvl>
  </w:abstractNum>
  <w:abstractNum w:abstractNumId="21">
    <w:nsid w:val="68B867D3"/>
    <w:multiLevelType w:val="hybridMultilevel"/>
    <w:lvl w:ilvl="0">
      <w:lvlJc w:val="left"/>
      <w:lvlText w:val="•"/>
      <w:numFmt w:val="bullet"/>
      <w:start w:val="1"/>
    </w:lvl>
  </w:abstractNum>
  <w:abstractNum w:abstractNumId="22">
    <w:nsid w:val="3F7F5DD9"/>
    <w:multiLevelType w:val="hybridMultilevel"/>
    <w:lvl w:ilvl="0">
      <w:lvlJc w:val="left"/>
      <w:lvlText w:val="•"/>
      <w:numFmt w:val="bullet"/>
      <w:start w:val="1"/>
    </w:lvl>
  </w:abstractNum>
  <w:abstractNum w:abstractNumId="23">
    <w:nsid w:val="2AE05A34"/>
    <w:multiLevelType w:val="hybridMultilevel"/>
    <w:lvl w:ilvl="0">
      <w:lvlJc w:val="left"/>
      <w:lvlText w:val="•"/>
      <w:numFmt w:val="bullet"/>
      <w:start w:val="1"/>
    </w:lvl>
  </w:abstractNum>
  <w:abstractNum w:abstractNumId="24">
    <w:nsid w:val="32794FF7"/>
    <w:multiLevelType w:val="hybridMultilevel"/>
    <w:lvl w:ilvl="0">
      <w:lvlJc w:val="left"/>
      <w:lvlText w:val="•"/>
      <w:numFmt w:val="bullet"/>
      <w:start w:val="1"/>
    </w:lvl>
  </w:abstractNum>
  <w:abstractNum w:abstractNumId="25">
    <w:nsid w:val="5454945E"/>
    <w:multiLevelType w:val="hybridMultilevel"/>
    <w:lvl w:ilvl="0">
      <w:lvlJc w:val="left"/>
      <w:lvlText w:val="•"/>
      <w:numFmt w:val="bullet"/>
      <w:start w:val="1"/>
    </w:lvl>
  </w:abstractNum>
  <w:abstractNum w:abstractNumId="26">
    <w:nsid w:val="4DEFDFA0"/>
    <w:multiLevelType w:val="hybridMultilevel"/>
    <w:lvl w:ilvl="0">
      <w:lvlJc w:val="left"/>
      <w:lvlText w:val="•"/>
      <w:numFmt w:val="bullet"/>
      <w:start w:val="1"/>
    </w:lvl>
  </w:abstractNum>
  <w:abstractNum w:abstractNumId="27">
    <w:nsid w:val="2123D5F2"/>
    <w:multiLevelType w:val="hybridMultilevel"/>
    <w:lvl w:ilvl="0">
      <w:lvlJc w:val="left"/>
      <w:lvlText w:val="•"/>
      <w:numFmt w:val="bullet"/>
      <w:start w:val="1"/>
    </w:lvl>
  </w:abstractNum>
  <w:abstractNum w:abstractNumId="28">
    <w:nsid w:val="135B8110"/>
    <w:multiLevelType w:val="hybridMultilevel"/>
    <w:lvl w:ilvl="0">
      <w:lvlJc w:val="left"/>
      <w:lvlText w:val="•"/>
      <w:numFmt w:val="bullet"/>
      <w:start w:val="1"/>
    </w:lvl>
  </w:abstractNum>
  <w:abstractNum w:abstractNumId="29">
    <w:nsid w:val="94927A8"/>
    <w:multiLevelType w:val="hybridMultilevel"/>
    <w:lvl w:ilvl="0">
      <w:lvlJc w:val="left"/>
      <w:lvlText w:val="(%1)"/>
      <w:numFmt w:val="upperLetter"/>
      <w:start w:val="2"/>
    </w:lvl>
  </w:abstractNum>
  <w:abstractNum w:abstractNumId="30">
    <w:nsid w:val="DCDF8F6"/>
    <w:multiLevelType w:val="hybridMultilevel"/>
    <w:lvl w:ilvl="0">
      <w:lvlJc w:val="left"/>
      <w:lvlText w:val="(%1)"/>
      <w:numFmt w:val="decimal"/>
      <w:start w:val="1"/>
    </w:lvl>
  </w:abstractNum>
  <w:abstractNum w:abstractNumId="31">
    <w:nsid w:val="52D7B105"/>
    <w:multiLevelType w:val="hybridMultilevel"/>
    <w:lvl w:ilvl="0">
      <w:lvlJc w:val="left"/>
      <w:lvlText w:val="*"/>
      <w:numFmt w:val="bullet"/>
      <w:start w:val="1"/>
    </w:lvl>
  </w:abstractNum>
  <w:abstractNum w:abstractNumId="32">
    <w:nsid w:val="2E8A6394"/>
    <w:multiLevelType w:val="hybridMultilevel"/>
    <w:lvl w:ilvl="0">
      <w:lvlJc w:val="left"/>
      <w:lvlText w:val="•"/>
      <w:numFmt w:val="bullet"/>
      <w:start w:val="1"/>
    </w:lvl>
  </w:abstractNum>
  <w:abstractNum w:abstractNumId="33">
    <w:nsid w:val="24E60401"/>
    <w:multiLevelType w:val="hybridMultilevel"/>
    <w:lvl w:ilvl="0">
      <w:lvlJc w:val="left"/>
      <w:lvlText w:val="•"/>
      <w:numFmt w:val="bullet"/>
      <w:start w:val="1"/>
    </w:lvl>
  </w:abstractNum>
  <w:abstractNum w:abstractNumId="34">
    <w:nsid w:val="2A6AD9BE"/>
    <w:multiLevelType w:val="hybridMultilevel"/>
    <w:lvl w:ilvl="0">
      <w:lvlJc w:val="left"/>
      <w:lvlText w:val="•"/>
      <w:numFmt w:val="bullet"/>
      <w:start w:val="1"/>
    </w:lvl>
  </w:abstractNum>
  <w:abstractNum w:abstractNumId="35">
    <w:nsid w:val="BAAC1B4"/>
    <w:multiLevelType w:val="hybridMultilevel"/>
    <w:lvl w:ilvl="0">
      <w:lvlJc w:val="left"/>
      <w:lvlText w:val="•"/>
      <w:numFmt w:val="bullet"/>
      <w:start w:val="1"/>
    </w:lvl>
  </w:abstractNum>
  <w:abstractNum w:abstractNumId="36">
    <w:nsid w:val="36B2ACBC"/>
    <w:multiLevelType w:val="hybridMultilevel"/>
    <w:lvl w:ilvl="0">
      <w:lvlJc w:val="left"/>
      <w:lvlText w:val="(%1)"/>
      <w:numFmt w:val="decimal"/>
      <w:start w:val="1"/>
    </w:lvl>
  </w:abstractNum>
  <w:abstractNum w:abstractNumId="37">
    <w:nsid w:val="779D8544"/>
    <w:multiLevelType w:val="hybridMultilevel"/>
    <w:lvl w:ilvl="0">
      <w:lvlJc w:val="left"/>
      <w:lvlText w:val="(%1)"/>
      <w:numFmt w:val="decimal"/>
      <w:start w:val="1"/>
    </w:lvl>
  </w:abstractNum>
  <w:abstractNum w:abstractNumId="38">
    <w:nsid w:val="4AB26E78"/>
    <w:multiLevelType w:val="hybridMultilevel"/>
    <w:lvl w:ilvl="0">
      <w:lvlJc w:val="left"/>
      <w:lvlText w:val="•"/>
      <w:numFmt w:val="bullet"/>
      <w:start w:val="1"/>
    </w:lvl>
  </w:abstractNum>
  <w:abstractNum w:abstractNumId="39">
    <w:nsid w:val="21FAA2FA"/>
    <w:multiLevelType w:val="hybridMultilevel"/>
    <w:lvl w:ilvl="0">
      <w:lvlJc w:val="left"/>
      <w:lvlText w:val="•"/>
      <w:numFmt w:val="bullet"/>
      <w:start w:val="1"/>
    </w:lvl>
  </w:abstractNum>
  <w:abstractNum w:abstractNumId="40">
    <w:nsid w:val="5451CF49"/>
    <w:multiLevelType w:val="hybridMultilevel"/>
    <w:lvl w:ilvl="0">
      <w:lvlJc w:val="left"/>
      <w:lvlText w:val="•"/>
      <w:numFmt w:val="bullet"/>
      <w:start w:val="1"/>
    </w:lvl>
  </w:abstractNum>
  <w:abstractNum w:abstractNumId="41">
    <w:nsid w:val="6181EF69"/>
    <w:multiLevelType w:val="hybridMultilevel"/>
    <w:lvl w:ilvl="0">
      <w:lvlJc w:val="left"/>
      <w:lvlText w:val="•"/>
      <w:numFmt w:val="bullet"/>
      <w:start w:val="1"/>
    </w:lvl>
  </w:abstractNum>
  <w:abstractNum w:abstractNumId="42">
    <w:nsid w:val="3E6400E6"/>
    <w:multiLevelType w:val="hybridMultilevel"/>
    <w:lvl w:ilvl="0">
      <w:lvlJc w:val="left"/>
      <w:lvlText w:val="(%1)"/>
      <w:numFmt w:val="decimal"/>
      <w:start w:val="1"/>
    </w:lvl>
  </w:abstractNum>
  <w:abstractNum w:abstractNumId="43">
    <w:nsid w:val="14217E23"/>
    <w:multiLevelType w:val="hybridMultilevel"/>
    <w:lvl w:ilvl="0">
      <w:lvlJc w:val="left"/>
      <w:lvlText w:val="•"/>
      <w:numFmt w:val="bullet"/>
      <w:start w:val="1"/>
    </w:lvl>
    <w:lvl w:ilvl="1">
      <w:lvlJc w:val="left"/>
      <w:lvlText w:val="•"/>
      <w:numFmt w:val="bullet"/>
      <w:start w:val="1"/>
    </w:lvl>
  </w:abstractNum>
  <w:abstractNum w:abstractNumId="44">
    <w:nsid w:val="710757D0"/>
    <w:multiLevelType w:val="hybridMultilevel"/>
    <w:lvl w:ilvl="0">
      <w:lvlJc w:val="left"/>
      <w:lvlText w:val="•"/>
      <w:numFmt w:val="bullet"/>
      <w:start w:val="1"/>
    </w:lvl>
  </w:abstractNum>
  <w:abstractNum w:abstractNumId="45">
    <w:nsid w:val="5015CD1A"/>
    <w:multiLevelType w:val="hybridMultilevel"/>
    <w:lvl w:ilvl="0">
      <w:lvlJc w:val="left"/>
      <w:lvlText w:val="•"/>
      <w:numFmt w:val="bullet"/>
      <w:start w:val="1"/>
    </w:lvl>
  </w:abstractNum>
  <w:abstractNum w:abstractNumId="46">
    <w:nsid w:val="424479DA"/>
    <w:multiLevelType w:val="hybridMultilevel"/>
    <w:lvl w:ilvl="0">
      <w:lvlJc w:val="left"/>
      <w:lvlText w:val="•"/>
      <w:numFmt w:val="bullet"/>
      <w:start w:val="1"/>
    </w:lvl>
  </w:abstractNum>
  <w:abstractNum w:abstractNumId="47">
    <w:nsid w:val="1A9A9E69"/>
    <w:multiLevelType w:val="hybridMultilevel"/>
    <w:lvl w:ilvl="0">
      <w:lvlJc w:val="left"/>
      <w:lvlText w:val="(%1)"/>
      <w:numFmt w:val="decimal"/>
      <w:start w:val="1"/>
    </w:lvl>
  </w:abstractNum>
  <w:abstractNum w:abstractNumId="48">
    <w:nsid w:val="475E256A"/>
    <w:multiLevelType w:val="hybridMultilevel"/>
    <w:lvl w:ilvl="0">
      <w:lvlJc w:val="left"/>
      <w:lvlText w:val="•"/>
      <w:numFmt w:val="bullet"/>
      <w:start w:val="1"/>
    </w:lvl>
  </w:abstractNum>
  <w:abstractNum w:abstractNumId="49">
    <w:nsid w:val="368DB37E"/>
    <w:multiLevelType w:val="hybridMultilevel"/>
    <w:lvl w:ilvl="0">
      <w:lvlJc w:val="left"/>
      <w:lvlText w:val="•"/>
      <w:numFmt w:val="bullet"/>
      <w:start w:val="1"/>
    </w:lvl>
  </w:abstractNum>
  <w:abstractNum w:abstractNumId="50">
    <w:nsid w:val="6A3B714C"/>
    <w:multiLevelType w:val="hybridMultilevel"/>
    <w:lvl w:ilvl="0">
      <w:lvlJc w:val="left"/>
      <w:lvlText w:val="•"/>
      <w:numFmt w:val="bullet"/>
      <w:start w:val="1"/>
    </w:lvl>
  </w:abstractNum>
  <w:abstractNum w:abstractNumId="51">
    <w:nsid w:val="327B517E"/>
    <w:multiLevelType w:val="hybridMultilevel"/>
    <w:lvl w:ilvl="0">
      <w:lvlJc w:val="left"/>
      <w:lvlText w:val="•"/>
      <w:numFmt w:val="bullet"/>
      <w:start w:val="1"/>
    </w:lvl>
  </w:abstractNum>
  <w:abstractNum w:abstractNumId="52">
    <w:nsid w:val="1F461B51"/>
    <w:multiLevelType w:val="hybridMultilevel"/>
    <w:lvl w:ilvl="0">
      <w:lvlJc w:val="left"/>
      <w:lvlText w:val="•"/>
      <w:numFmt w:val="bullet"/>
      <w:start w:val="1"/>
    </w:lvl>
  </w:abstractNum>
  <w:abstractNum w:abstractNumId="53">
    <w:nsid w:val="29BACF25"/>
    <w:multiLevelType w:val="hybridMultilevel"/>
    <w:lvl w:ilvl="0">
      <w:lvlJc w:val="left"/>
      <w:lvlText w:val="•"/>
      <w:numFmt w:val="bullet"/>
      <w:start w:val="1"/>
    </w:lvl>
  </w:abstractNum>
  <w:abstractNum w:abstractNumId="54">
    <w:nsid w:val="5D5BABB3"/>
    <w:multiLevelType w:val="hybridMultilevel"/>
    <w:lvl w:ilvl="0">
      <w:lvlJc w:val="left"/>
      <w:lvlText w:val="(%1)"/>
      <w:numFmt w:val="decimal"/>
      <w:start w:val="1"/>
    </w:lvl>
  </w:abstractNum>
  <w:abstractNum w:abstractNumId="55">
    <w:nsid w:val="51BF6B48"/>
    <w:multiLevelType w:val="hybridMultilevel"/>
    <w:lvl w:ilvl="0">
      <w:lvlJc w:val="left"/>
      <w:lvlText w:val="•"/>
      <w:numFmt w:val="bullet"/>
      <w:start w:val="1"/>
    </w:lvl>
    <w:lvl w:ilvl="1">
      <w:lvlJc w:val="left"/>
      <w:lvlText w:val="•"/>
      <w:numFmt w:val="bullet"/>
      <w:start w:val="1"/>
    </w:lvl>
  </w:abstractNum>
  <w:abstractNum w:abstractNumId="56">
    <w:nsid w:val="7E0F6384"/>
    <w:multiLevelType w:val="hybridMultilevel"/>
    <w:lvl w:ilvl="0">
      <w:lvlJc w:val="left"/>
      <w:lvlText w:val="•"/>
      <w:numFmt w:val="bullet"/>
      <w:start w:val="1"/>
    </w:lvl>
    <w:lvl w:ilvl="1">
      <w:lvlJc w:val="left"/>
      <w:lvlText w:val="•"/>
      <w:numFmt w:val="bullet"/>
      <w:start w:val="1"/>
    </w:lvl>
  </w:abstractNum>
  <w:abstractNum w:abstractNumId="57">
    <w:nsid w:val="2B4B8B53"/>
    <w:multiLevelType w:val="hybridMultilevel"/>
    <w:lvl w:ilvl="0">
      <w:lvlJc w:val="left"/>
      <w:lvlText w:val="•"/>
      <w:numFmt w:val="bullet"/>
      <w:start w:val="1"/>
    </w:lvl>
  </w:abstractNum>
  <w:abstractNum w:abstractNumId="58">
    <w:nsid w:val="72E3413A"/>
    <w:multiLevelType w:val="hybridMultilevel"/>
    <w:lvl w:ilvl="0">
      <w:lvlJc w:val="left"/>
      <w:lvlText w:val="•"/>
      <w:numFmt w:val="bullet"/>
      <w:start w:val="1"/>
    </w:lvl>
  </w:abstractNum>
  <w:abstractNum w:abstractNumId="59">
    <w:nsid w:val="116AE494"/>
    <w:multiLevelType w:val="hybridMultilevel"/>
    <w:lvl w:ilvl="0">
      <w:lvlJc w:val="left"/>
      <w:lvlText w:val="•"/>
      <w:numFmt w:val="bullet"/>
      <w:start w:val="1"/>
    </w:lvl>
  </w:abstractNum>
  <w:abstractNum w:abstractNumId="60">
    <w:nsid w:val="3494B2FB"/>
    <w:multiLevelType w:val="hybridMultilevel"/>
    <w:lvl w:ilvl="0">
      <w:lvlJc w:val="left"/>
      <w:lvlText w:val="•"/>
      <w:numFmt w:val="bullet"/>
      <w:start w:val="1"/>
    </w:lvl>
  </w:abstractNum>
  <w:abstractNum w:abstractNumId="61">
    <w:nsid w:val="B13A31"/>
    <w:multiLevelType w:val="hybridMultilevel"/>
    <w:lvl w:ilvl="0">
      <w:lvlJc w:val="left"/>
      <w:lvlText w:val="•"/>
      <w:numFmt w:val="bullet"/>
      <w:start w:val="1"/>
    </w:lvl>
  </w:abstractNum>
  <w:abstractNum w:abstractNumId="62">
    <w:nsid w:val="64429599"/>
    <w:multiLevelType w:val="hybridMultilevel"/>
    <w:lvl w:ilvl="0">
      <w:lvlJc w:val="left"/>
      <w:lvlText w:val="•"/>
      <w:numFmt w:val="bullet"/>
      <w:start w:val="1"/>
    </w:lvl>
  </w:abstractNum>
  <w:abstractNum w:abstractNumId="63">
    <w:nsid w:val="631F1690"/>
    <w:multiLevelType w:val="hybridMultilevel"/>
    <w:lvl w:ilvl="0">
      <w:lvlJc w:val="left"/>
      <w:lvlText w:val="•"/>
      <w:numFmt w:val="bullet"/>
      <w:start w:val="1"/>
    </w:lvl>
  </w:abstractNum>
  <w:abstractNum w:abstractNumId="64">
    <w:nsid w:val="25973E32"/>
    <w:multiLevelType w:val="hybridMultilevel"/>
    <w:lvl w:ilvl="0">
      <w:lvlJc w:val="left"/>
      <w:lvlText w:val="•"/>
      <w:numFmt w:val="bullet"/>
      <w:start w:val="1"/>
    </w:lvl>
  </w:abstractNum>
  <w:abstractNum w:abstractNumId="65">
    <w:nsid w:val="EAD6F57"/>
    <w:multiLevelType w:val="hybridMultilevel"/>
    <w:lvl w:ilvl="0">
      <w:lvlJc w:val="left"/>
      <w:lvlText w:val="•"/>
      <w:numFmt w:val="bullet"/>
      <w:start w:val="1"/>
    </w:lvl>
  </w:abstractNum>
  <w:abstractNum w:abstractNumId="66">
    <w:nsid w:val="6EC9D844"/>
    <w:multiLevelType w:val="hybridMultilevel"/>
    <w:lvl w:ilvl="0">
      <w:lvlJc w:val="left"/>
      <w:lvlText w:val="•"/>
      <w:numFmt w:val="bullet"/>
      <w:start w:val="1"/>
    </w:lvl>
    <w:lvl w:ilvl="1">
      <w:lvlJc w:val="left"/>
      <w:lvlText w:val="•"/>
      <w:numFmt w:val="bullet"/>
      <w:start w:val="1"/>
    </w:lvl>
  </w:abstractNum>
  <w:abstractNum w:abstractNumId="67">
    <w:nsid w:val="5C49EAEE"/>
    <w:multiLevelType w:val="hybridMultilevel"/>
    <w:lvl w:ilvl="0">
      <w:lvlJc w:val="left"/>
      <w:lvlText w:val="•"/>
      <w:numFmt w:val="bullet"/>
      <w:start w:val="1"/>
    </w:lvl>
  </w:abstractNum>
  <w:abstractNum w:abstractNumId="68">
    <w:nsid w:val="64AF49B"/>
    <w:multiLevelType w:val="hybridMultilevel"/>
    <w:lvl w:ilvl="0">
      <w:lvlJc w:val="left"/>
      <w:lvlText w:val="(%1)"/>
      <w:numFmt w:val="decimal"/>
      <w:start w:val="1"/>
    </w:lvl>
  </w:abstractNum>
  <w:abstractNum w:abstractNumId="69">
    <w:nsid w:val="397C46BC"/>
    <w:multiLevelType w:val="hybridMultilevel"/>
    <w:lvl w:ilvl="0">
      <w:lvlJc w:val="left"/>
      <w:lvlText w:val="(%1)"/>
      <w:numFmt w:val="decimal"/>
      <w:start w:val="1"/>
    </w:lvl>
  </w:abstractNum>
  <w:abstractNum w:abstractNumId="70">
    <w:nsid w:val="7E448DE9"/>
    <w:multiLevelType w:val="hybridMultilevel"/>
    <w:lvl w:ilvl="0">
      <w:lvlJc w:val="left"/>
      <w:lvlText w:val="(%1)"/>
      <w:numFmt w:val="lowerLetter"/>
      <w:start w:val="1"/>
    </w:lvl>
  </w:abstractNum>
  <w:abstractNum w:abstractNumId="71">
    <w:nsid w:val="5A9CC3E5"/>
    <w:multiLevelType w:val="hybridMultilevel"/>
    <w:lvl w:ilvl="0">
      <w:lvlJc w:val="left"/>
      <w:lvlText w:val="%1"/>
      <w:numFmt w:val="decimal"/>
      <w:start w:val="1"/>
    </w:lvl>
    <w:lvl w:ilvl="1">
      <w:lvlJc w:val="left"/>
      <w:lvlText w:val="(%2)"/>
      <w:numFmt w:val="lowerLetter"/>
      <w:start w:val="2"/>
    </w:lvl>
  </w:abstractNum>
  <w:abstractNum w:abstractNumId="72">
    <w:nsid w:val="1AFE3625"/>
    <w:multiLevelType w:val="hybridMultilevel"/>
    <w:lvl w:ilvl="0">
      <w:lvlJc w:val="left"/>
      <w:lvlText w:val="(%1)"/>
      <w:numFmt w:val="decimal"/>
      <w:start w:val="8"/>
    </w:lvl>
    <w:lvl w:ilvl="1">
      <w:lvlJc w:val="left"/>
      <w:lvlText w:val="%2"/>
      <w:numFmt w:val="lowerLetter"/>
      <w:start w:val="1"/>
    </w:lvl>
  </w:abstractNum>
  <w:abstractNum w:abstractNumId="73">
    <w:nsid w:val="3CA88ECF"/>
    <w:multiLevelType w:val="hybridMultilevel"/>
    <w:lvl w:ilvl="0">
      <w:lvlJc w:val="left"/>
      <w:lvlText w:val="•"/>
      <w:numFmt w:val="bullet"/>
      <w:start w:val="1"/>
    </w:lvl>
  </w:abstractNum>
  <w:abstractNum w:abstractNumId="74">
    <w:nsid w:val="6EBE4208"/>
    <w:multiLevelType w:val="hybridMultilevel"/>
    <w:lvl w:ilvl="0">
      <w:lvlJc w:val="left"/>
      <w:lvlText w:val="•"/>
      <w:numFmt w:val="bullet"/>
      <w:start w:val="1"/>
    </w:lvl>
  </w:abstractNum>
  <w:abstractNum w:abstractNumId="75">
    <w:nsid w:val="C058DF5"/>
    <w:multiLevelType w:val="hybridMultilevel"/>
    <w:lvl w:ilvl="0">
      <w:lvlJc w:val="left"/>
      <w:lvlText w:val="•"/>
      <w:numFmt w:val="bullet"/>
      <w:start w:val="1"/>
    </w:lvl>
  </w:abstractNum>
  <w:abstractNum w:abstractNumId="76">
    <w:nsid w:val="CBE5BE9"/>
    <w:multiLevelType w:val="hybridMultilevel"/>
    <w:lvl w:ilvl="0">
      <w:lvlJc w:val="left"/>
      <w:lvlText w:val="•"/>
      <w:numFmt w:val="bullet"/>
      <w:start w:val="1"/>
    </w:lvl>
  </w:abstractNum>
  <w:abstractNum w:abstractNumId="77">
    <w:nsid w:val="3102BBE2"/>
    <w:multiLevelType w:val="hybridMultilevel"/>
    <w:lvl w:ilvl="0">
      <w:lvlJc w:val="left"/>
      <w:lvlText w:val="•"/>
      <w:numFmt w:val="bullet"/>
      <w:start w:val="1"/>
    </w:lvl>
  </w:abstractNum>
  <w:abstractNum w:abstractNumId="78">
    <w:nsid w:val="26A02C5E"/>
    <w:multiLevelType w:val="hybridMultilevel"/>
    <w:lvl w:ilvl="0">
      <w:lvlJc w:val="left"/>
      <w:lvlText w:val="•"/>
      <w:numFmt w:val="bullet"/>
      <w:start w:val="1"/>
    </w:lvl>
  </w:abstractNum>
  <w:abstractNum w:abstractNumId="79">
    <w:nsid w:val="541C8153"/>
    <w:multiLevelType w:val="hybridMultilevel"/>
    <w:lvl w:ilvl="0">
      <w:lvlJc w:val="left"/>
      <w:lvlText w:val="•"/>
      <w:numFmt w:val="bullet"/>
      <w:start w:val="1"/>
    </w:lvl>
  </w:abstractNum>
  <w:abstractNum w:abstractNumId="80">
    <w:nsid w:val="67906F60"/>
    <w:multiLevelType w:val="hybridMultilevel"/>
    <w:lvl w:ilvl="0">
      <w:lvlJc w:val="left"/>
      <w:lvlText w:val="•"/>
      <w:numFmt w:val="bullet"/>
      <w:start w:val="1"/>
    </w:lvl>
  </w:abstractNum>
  <w:abstractNum w:abstractNumId="81">
    <w:nsid w:val="10DB9DAA"/>
    <w:multiLevelType w:val="hybridMultilevel"/>
    <w:lvl w:ilvl="0">
      <w:lvlJc w:val="left"/>
      <w:lvlText w:val="•"/>
      <w:numFmt w:val="bullet"/>
      <w:start w:val="1"/>
    </w:lvl>
  </w:abstractNum>
  <w:abstractNum w:abstractNumId="82">
    <w:nsid w:val="697D2D2"/>
    <w:multiLevelType w:val="hybridMultilevel"/>
    <w:lvl w:ilvl="0">
      <w:lvlJc w:val="left"/>
      <w:lvlText w:val="•"/>
      <w:numFmt w:val="bullet"/>
      <w:start w:val="1"/>
    </w:lvl>
  </w:abstractNum>
  <w:abstractNum w:abstractNumId="83">
    <w:nsid w:val="6D68AB2"/>
    <w:multiLevelType w:val="hybridMultilevel"/>
    <w:lvl w:ilvl="0">
      <w:lvlJc w:val="left"/>
      <w:lvlText w:val="(%1)"/>
      <w:numFmt w:val="lowerRoman"/>
      <w:start w:val="1"/>
    </w:lvl>
  </w:abstractNum>
  <w:abstractNum w:abstractNumId="84">
    <w:nsid w:val="3A966CD0"/>
    <w:multiLevelType w:val="hybridMultilevel"/>
    <w:lvl w:ilvl="0">
      <w:lvlJc w:val="left"/>
      <w:lvlText w:val="(%1)"/>
      <w:numFmt w:val="lowerRoman"/>
      <w:start w:val="2"/>
    </w:lvl>
  </w:abstractNum>
  <w:abstractNum w:abstractNumId="85">
    <w:nsid w:val="63F37E85"/>
    <w:multiLevelType w:val="hybridMultilevel"/>
    <w:lvl w:ilvl="0">
      <w:lvlJc w:val="left"/>
      <w:lvlText w:val="="/>
      <w:numFmt w:val="bullet"/>
      <w:start w:val="1"/>
    </w:lvl>
  </w:abstractNum>
  <w:abstractNum w:abstractNumId="86">
    <w:nsid w:val="5895F5FA"/>
    <w:multiLevelType w:val="hybridMultilevel"/>
    <w:lvl w:ilvl="0">
      <w:lvlJc w:val="left"/>
      <w:lvlText w:val="(%1)"/>
      <w:numFmt w:val="decimal"/>
    </w:lvl>
    <w:lvl w:ilvl="1">
      <w:lvlJc w:val="left"/>
      <w:lvlText w:val="="/>
      <w:numFmt w:val="bullet"/>
      <w:start w:val="1"/>
    </w:lvl>
  </w:abstractNum>
  <w:abstractNum w:abstractNumId="87">
    <w:nsid w:val="38A5D054"/>
    <w:multiLevelType w:val="hybridMultilevel"/>
    <w:lvl w:ilvl="0">
      <w:lvlJc w:val="left"/>
      <w:lvlText w:val="(%1)"/>
      <w:numFmt w:val="decimal"/>
      <w:start w:val="4"/>
    </w:lvl>
  </w:abstractNum>
  <w:abstractNum w:abstractNumId="88">
    <w:nsid w:val="F3F09D8"/>
    <w:multiLevelType w:val="hybridMultilevel"/>
    <w:lvl w:ilvl="0">
      <w:lvlJc w:val="left"/>
      <w:lvlText w:val="(*)"/>
      <w:numFmt w:val="bullet"/>
      <w:start w:val="1"/>
    </w:lvl>
  </w:abstractNum>
  <w:abstractNum w:abstractNumId="89">
    <w:nsid w:val="4B793735"/>
    <w:multiLevelType w:val="hybridMultilevel"/>
    <w:lvl w:ilvl="0">
      <w:lvlJc w:val="left"/>
      <w:lvlText w:val="•"/>
      <w:numFmt w:val="bullet"/>
      <w:start w:val="1"/>
    </w:lvl>
  </w:abstractNum>
  <w:abstractNum w:abstractNumId="90">
    <w:nsid w:val="4A10B4E8"/>
    <w:multiLevelType w:val="hybridMultilevel"/>
    <w:lvl w:ilvl="0">
      <w:lvlJc w:val="left"/>
      <w:lvlText w:val="•"/>
      <w:numFmt w:val="bullet"/>
      <w:start w:val="1"/>
    </w:lvl>
  </w:abstractNum>
  <w:abstractNum w:abstractNumId="91">
    <w:nsid w:val="43D3BCD4"/>
    <w:multiLevelType w:val="hybridMultilevel"/>
    <w:lvl w:ilvl="0">
      <w:lvlJc w:val="left"/>
      <w:lvlText w:val="•"/>
      <w:numFmt w:val="bullet"/>
      <w:start w:val="1"/>
    </w:lvl>
  </w:abstractNum>
  <w:abstractNum w:abstractNumId="92">
    <w:nsid w:val="4C2A7166"/>
    <w:multiLevelType w:val="hybridMultilevel"/>
    <w:lvl w:ilvl="0">
      <w:lvlJc w:val="left"/>
      <w:lvlText w:val="•"/>
      <w:numFmt w:val="bullet"/>
      <w:start w:val="1"/>
    </w:lvl>
  </w:abstractNum>
  <w:abstractNum w:abstractNumId="93">
    <w:nsid w:val="2E534A82"/>
    <w:multiLevelType w:val="hybridMultilevel"/>
    <w:lvl w:ilvl="0">
      <w:lvlJc w:val="left"/>
      <w:lvlText w:val="•"/>
      <w:numFmt w:val="bullet"/>
      <w:start w:val="1"/>
    </w:lvl>
  </w:abstractNum>
  <w:abstractNum w:abstractNumId="94">
    <w:nsid w:val="26F2D364"/>
    <w:multiLevelType w:val="hybridMultilevel"/>
    <w:lvl w:ilvl="0">
      <w:lvlJc w:val="left"/>
      <w:lvlText w:val="•"/>
      <w:numFmt w:val="bullet"/>
      <w:start w:val="1"/>
    </w:lvl>
  </w:abstractNum>
  <w:abstractNum w:abstractNumId="95">
    <w:nsid w:val="71C1AF98"/>
    <w:multiLevelType w:val="hybridMultilevel"/>
    <w:lvl w:ilvl="0">
      <w:lvlJc w:val="left"/>
      <w:lvlText w:val="•"/>
      <w:numFmt w:val="bullet"/>
      <w:start w:val="1"/>
    </w:lvl>
  </w:abstractNum>
  <w:abstractNum w:abstractNumId="96">
    <w:nsid w:val="3D00B9D9"/>
    <w:multiLevelType w:val="hybridMultilevel"/>
    <w:lvl w:ilvl="0">
      <w:lvlJc w:val="left"/>
      <w:lvlText w:val="•"/>
      <w:numFmt w:val="bullet"/>
      <w:start w:val="1"/>
    </w:lvl>
  </w:abstractNum>
  <w:abstractNum w:abstractNumId="97">
    <w:nsid w:val="15BCABA8"/>
    <w:multiLevelType w:val="hybridMultilevel"/>
    <w:lvl w:ilvl="0">
      <w:lvlJc w:val="left"/>
      <w:lvlText w:val="•"/>
      <w:numFmt w:val="bullet"/>
      <w:start w:val="1"/>
    </w:lvl>
  </w:abstractNum>
  <w:abstractNum w:abstractNumId="98">
    <w:nsid w:val="4E0B9A87"/>
    <w:multiLevelType w:val="hybridMultilevel"/>
    <w:lvl w:ilvl="0">
      <w:lvlJc w:val="left"/>
      <w:lvlText w:val="•"/>
      <w:numFmt w:val="bullet"/>
      <w:start w:val="1"/>
    </w:lvl>
  </w:abstractNum>
  <w:abstractNum w:abstractNumId="99">
    <w:nsid w:val="434BAE75"/>
    <w:multiLevelType w:val="hybridMultilevel"/>
    <w:lvl w:ilvl="0">
      <w:lvlJc w:val="left"/>
      <w:lvlText w:val="•"/>
      <w:numFmt w:val="bullet"/>
      <w:start w:val="1"/>
    </w:lvl>
  </w:abstractNum>
  <w:abstractNum w:abstractNumId="100">
    <w:nsid w:val="4F38F265"/>
    <w:multiLevelType w:val="hybridMultilevel"/>
    <w:lvl w:ilvl="0">
      <w:lvlJc w:val="left"/>
      <w:lvlText w:val="•"/>
      <w:numFmt w:val="bullet"/>
      <w:start w:val="1"/>
    </w:lvl>
  </w:abstractNum>
  <w:abstractNum w:abstractNumId="101">
    <w:nsid w:val="4C502870"/>
    <w:multiLevelType w:val="hybridMultilevel"/>
    <w:lvl w:ilvl="0">
      <w:lvlJc w:val="left"/>
      <w:lvlText w:val="*"/>
      <w:numFmt w:val="bullet"/>
      <w:start w:val="1"/>
    </w:lvl>
  </w:abstractNum>
  <w:abstractNum w:abstractNumId="102">
    <w:nsid w:val="1DE8725A"/>
    <w:multiLevelType w:val="hybridMultilevel"/>
    <w:lvl w:ilvl="0">
      <w:lvlJc w:val="left"/>
      <w:lvlText w:val="(%1)"/>
      <w:numFmt w:val="decimal"/>
      <w:start w:val="1"/>
    </w:lvl>
  </w:abstractNum>
  <w:abstractNum w:abstractNumId="103">
    <w:nsid w:val="6A37288A"/>
    <w:multiLevelType w:val="hybridMultilevel"/>
    <w:lvl w:ilvl="0">
      <w:lvlJc w:val="left"/>
      <w:lvlText w:val="(%1)"/>
      <w:numFmt w:val="decimal"/>
      <w:start w:val="2"/>
    </w:lvl>
  </w:abstractNum>
  <w:abstractNum w:abstractNumId="104">
    <w:nsid w:val="8F8B73F"/>
    <w:multiLevelType w:val="hybridMultilevel"/>
    <w:lvl w:ilvl="0">
      <w:lvlJc w:val="left"/>
      <w:lvlText w:val="(%1)"/>
      <w:numFmt w:val="decimal"/>
      <w:start w:val="1"/>
    </w:lvl>
  </w:abstractNum>
  <w:abstractNum w:abstractNumId="105">
    <w:nsid w:val="CA6B462"/>
    <w:multiLevelType w:val="hybridMultilevel"/>
    <w:lvl w:ilvl="0">
      <w:lvlJc w:val="left"/>
      <w:lvlText w:val="•"/>
      <w:numFmt w:val="bullet"/>
      <w:start w:val="1"/>
    </w:lvl>
  </w:abstractNum>
  <w:abstractNum w:abstractNumId="106">
    <w:nsid w:val="763CB680"/>
    <w:multiLevelType w:val="hybridMultilevel"/>
    <w:lvl w:ilvl="0">
      <w:lvlJc w:val="left"/>
      <w:lvlText w:val="•"/>
      <w:numFmt w:val="bullet"/>
      <w:start w:val="1"/>
    </w:lvl>
  </w:abstractNum>
  <w:abstractNum w:abstractNumId="107">
    <w:nsid w:val="15B71329"/>
    <w:multiLevelType w:val="hybridMultilevel"/>
    <w:lvl w:ilvl="0">
      <w:lvlJc w:val="left"/>
      <w:lvlText w:val="•"/>
      <w:numFmt w:val="bullet"/>
      <w:start w:val="1"/>
    </w:lvl>
    <w:lvl w:ilvl="1">
      <w:lvlJc w:val="left"/>
      <w:lvlText w:val="•"/>
      <w:numFmt w:val="bullet"/>
      <w:start w:val="1"/>
    </w:lvl>
  </w:abstractNum>
  <w:abstractNum w:abstractNumId="108">
    <w:nsid w:val="3DA97044"/>
    <w:multiLevelType w:val="hybridMultilevel"/>
    <w:lvl w:ilvl="0">
      <w:lvlJc w:val="left"/>
      <w:lvlText w:val="•"/>
      <w:numFmt w:val="bullet"/>
      <w:start w:val="1"/>
    </w:lvl>
  </w:abstractNum>
  <w:abstractNum w:abstractNumId="109">
    <w:nsid w:val="1CDCE2DE"/>
    <w:multiLevelType w:val="hybridMultilevel"/>
    <w:lvl w:ilvl="0">
      <w:lvlJc w:val="left"/>
      <w:lvlText w:val="•"/>
      <w:numFmt w:val="bullet"/>
      <w:start w:val="1"/>
    </w:lvl>
  </w:abstractNum>
  <w:abstractNum w:abstractNumId="110">
    <w:nsid w:val="69D3947C"/>
    <w:multiLevelType w:val="hybridMultilevel"/>
    <w:lvl w:ilvl="0">
      <w:lvlJc w:val="left"/>
      <w:lvlText w:val="•"/>
      <w:numFmt w:val="bullet"/>
      <w:start w:val="1"/>
    </w:lvl>
  </w:abstractNum>
  <w:abstractNum w:abstractNumId="111">
    <w:nsid w:val="2539DFA5"/>
    <w:multiLevelType w:val="hybridMultilevel"/>
    <w:lvl w:ilvl="0">
      <w:lvlJc w:val="left"/>
      <w:lvlText w:val="(%1)"/>
      <w:numFmt w:val="lowerRoman"/>
      <w:start w:val="1"/>
    </w:lvl>
  </w:abstractNum>
  <w:abstractNum w:abstractNumId="112">
    <w:nsid w:val="2DB88089"/>
    <w:multiLevelType w:val="hybridMultilevel"/>
    <w:lvl w:ilvl="0">
      <w:lvlJc w:val="left"/>
      <w:lvlText w:val="(%1)"/>
      <w:numFmt w:val="lowerRoman"/>
      <w:start w:val="3"/>
    </w:lvl>
  </w:abstractNum>
  <w:abstractNum w:abstractNumId="113">
    <w:nsid w:val="706B674E"/>
    <w:multiLevelType w:val="hybridMultilevel"/>
    <w:lvl w:ilvl="0">
      <w:lvlJc w:val="left"/>
      <w:lvlText w:val="(%1)"/>
      <w:numFmt w:val="lowerRoman"/>
      <w:start w:val="1"/>
    </w:lvl>
  </w:abstractNum>
  <w:abstractNum w:abstractNumId="114">
    <w:nsid w:val="2C106A57"/>
    <w:multiLevelType w:val="hybridMultilevel"/>
    <w:lvl w:ilvl="0">
      <w:lvlJc w:val="left"/>
      <w:lvlText w:val="•"/>
      <w:numFmt w:val="bullet"/>
      <w:start w:val="1"/>
    </w:lvl>
  </w:abstractNum>
  <w:abstractNum w:abstractNumId="115">
    <w:nsid w:val="684EED59"/>
    <w:multiLevelType w:val="hybridMultilevel"/>
    <w:lvl w:ilvl="0">
      <w:lvlJc w:val="left"/>
      <w:lvlText w:val="•"/>
      <w:numFmt w:val="bullet"/>
      <w:start w:val="1"/>
    </w:lvl>
  </w:abstractNum>
  <w:abstractNum w:abstractNumId="116">
    <w:nsid w:val="545EE5D3"/>
    <w:multiLevelType w:val="hybridMultilevel"/>
    <w:lvl w:ilvl="0">
      <w:lvlJc w:val="left"/>
      <w:lvlText w:val="•"/>
      <w:numFmt w:val="bullet"/>
      <w:start w:val="1"/>
    </w:lvl>
  </w:abstractNum>
  <w:abstractNum w:abstractNumId="117">
    <w:nsid w:val="4A66051"/>
    <w:multiLevelType w:val="hybridMultilevel"/>
    <w:lvl w:ilvl="0">
      <w:lvlJc w:val="left"/>
      <w:lvlText w:val="•"/>
      <w:numFmt w:val="bullet"/>
      <w:start w:val="1"/>
    </w:lvl>
  </w:abstractNum>
  <w:abstractNum w:abstractNumId="118">
    <w:nsid w:val="20F4BDAD"/>
    <w:multiLevelType w:val="hybridMultilevel"/>
    <w:lvl w:ilvl="0">
      <w:lvlJc w:val="left"/>
      <w:lvlText w:val="•"/>
      <w:numFmt w:val="bullet"/>
      <w:start w:val="1"/>
    </w:lvl>
  </w:abstractNum>
  <w:abstractNum w:abstractNumId="119">
    <w:nsid w:val="639DEFAC"/>
    <w:multiLevelType w:val="hybridMultilevel"/>
    <w:lvl w:ilvl="0">
      <w:lvlJc w:val="left"/>
      <w:lvlText w:val="•"/>
      <w:numFmt w:val="bullet"/>
      <w:start w:val="1"/>
    </w:lvl>
  </w:abstractNum>
  <w:abstractNum w:abstractNumId="120">
    <w:nsid w:val="501F9786"/>
    <w:multiLevelType w:val="hybridMultilevel"/>
    <w:lvl w:ilvl="0">
      <w:lvlJc w:val="left"/>
      <w:lvlText w:val="•"/>
      <w:numFmt w:val="bullet"/>
      <w:start w:val="1"/>
    </w:lvl>
  </w:abstractNum>
  <w:abstractNum w:abstractNumId="121">
    <w:nsid w:val="6B057295"/>
    <w:multiLevelType w:val="hybridMultilevel"/>
    <w:lvl w:ilvl="0">
      <w:lvlJc w:val="left"/>
      <w:lvlText w:val="•"/>
      <w:numFmt w:val="bullet"/>
      <w:start w:val="1"/>
    </w:lvl>
  </w:abstractNum>
  <w:abstractNum w:abstractNumId="122">
    <w:nsid w:val="2771AC80"/>
    <w:multiLevelType w:val="hybridMultilevel"/>
    <w:lvl w:ilvl="0">
      <w:lvlJc w:val="left"/>
      <w:lvlText w:val="•"/>
      <w:numFmt w:val="bullet"/>
      <w:start w:val="1"/>
    </w:lvl>
  </w:abstractNum>
  <w:abstractNum w:abstractNumId="123">
    <w:nsid w:val="1C4A08EC"/>
    <w:multiLevelType w:val="hybridMultilevel"/>
    <w:lvl w:ilvl="0">
      <w:lvlJc w:val="left"/>
      <w:lvlText w:val="•"/>
      <w:numFmt w:val="bullet"/>
      <w:start w:val="1"/>
    </w:lvl>
  </w:abstractNum>
  <w:abstractNum w:abstractNumId="124">
    <w:nsid w:val="1958BD17"/>
    <w:multiLevelType w:val="hybridMultilevel"/>
    <w:lvl w:ilvl="0">
      <w:lvlJc w:val="left"/>
      <w:lvlText w:val="•"/>
      <w:numFmt w:val="bullet"/>
      <w:start w:val="1"/>
    </w:lvl>
  </w:abstractNum>
  <w:abstractNum w:abstractNumId="125">
    <w:nsid w:val="4E647FE4"/>
    <w:multiLevelType w:val="hybridMultilevel"/>
    <w:lvl w:ilvl="0">
      <w:lvlJc w:val="left"/>
      <w:lvlText w:val="•"/>
      <w:numFmt w:val="bullet"/>
      <w:start w:val="1"/>
    </w:lvl>
  </w:abstractNum>
  <w:abstractNum w:abstractNumId="126">
    <w:nsid w:val="E0BB885"/>
    <w:multiLevelType w:val="hybridMultilevel"/>
    <w:lvl w:ilvl="0">
      <w:lvlJc w:val="left"/>
      <w:lvlText w:val="•"/>
      <w:numFmt w:val="bullet"/>
      <w:start w:val="1"/>
    </w:lvl>
  </w:abstractNum>
  <w:abstractNum w:abstractNumId="127">
    <w:nsid w:val="565976F1"/>
    <w:multiLevelType w:val="hybridMultilevel"/>
    <w:lvl w:ilvl="0">
      <w:lvlJc w:val="left"/>
      <w:lvlText w:val="•"/>
      <w:numFmt w:val="bullet"/>
      <w:start w:val="1"/>
    </w:lvl>
  </w:abstractNum>
  <w:abstractNum w:abstractNumId="128">
    <w:nsid w:val="64212B8C"/>
    <w:multiLevelType w:val="hybridMultilevel"/>
    <w:lvl w:ilvl="0">
      <w:lvlJc w:val="left"/>
      <w:lvlText w:val="•"/>
      <w:numFmt w:val="bullet"/>
      <w:start w:val="1"/>
    </w:lvl>
  </w:abstractNum>
  <w:abstractNum w:abstractNumId="129">
    <w:nsid w:val="5C17530C"/>
    <w:multiLevelType w:val="hybridMultilevel"/>
    <w:lvl w:ilvl="0">
      <w:lvlJc w:val="left"/>
      <w:lvlText w:val="•"/>
      <w:numFmt w:val="bullet"/>
      <w:start w:val="1"/>
    </w:lvl>
  </w:abstractNum>
  <w:abstractNum w:abstractNumId="130">
    <w:nsid w:val="19A52566"/>
    <w:multiLevelType w:val="hybridMultilevel"/>
    <w:lvl w:ilvl="0">
      <w:lvlJc w:val="left"/>
      <w:lvlText w:val="•"/>
      <w:numFmt w:val="bullet"/>
      <w:start w:val="1"/>
    </w:lvl>
  </w:abstractNum>
  <w:abstractNum w:abstractNumId="131">
    <w:nsid w:val="335A1DF1"/>
    <w:multiLevelType w:val="hybridMultilevel"/>
    <w:lvl w:ilvl="0">
      <w:lvlJc w:val="left"/>
      <w:lvlText w:val="•"/>
      <w:numFmt w:val="bullet"/>
      <w:start w:val="1"/>
    </w:lvl>
  </w:abstractNum>
  <w:abstractNum w:abstractNumId="132">
    <w:nsid w:val="28677B7C"/>
    <w:multiLevelType w:val="hybridMultilevel"/>
    <w:lvl w:ilvl="0">
      <w:lvlJc w:val="left"/>
      <w:lvlText w:val="•"/>
      <w:numFmt w:val="bullet"/>
      <w:start w:val="1"/>
    </w:lvl>
  </w:abstractNum>
  <w:abstractNum w:abstractNumId="133">
    <w:nsid w:val="378D97C0"/>
    <w:multiLevelType w:val="hybridMultilevel"/>
    <w:lvl w:ilvl="0">
      <w:lvlJc w:val="left"/>
      <w:lvlText w:val="•"/>
      <w:numFmt w:val="bullet"/>
      <w:start w:val="1"/>
    </w:lvl>
  </w:abstractNum>
  <w:abstractNum w:abstractNumId="134">
    <w:nsid w:val="1D91467C"/>
    <w:multiLevelType w:val="hybridMultilevel"/>
    <w:lvl w:ilvl="0">
      <w:lvlJc w:val="left"/>
      <w:lvlText w:val="•"/>
      <w:numFmt w:val="bullet"/>
      <w:start w:val="1"/>
    </w:lvl>
  </w:abstractNum>
  <w:abstractNum w:abstractNumId="135">
    <w:nsid w:val="316032BB"/>
    <w:multiLevelType w:val="hybridMultilevel"/>
    <w:lvl w:ilvl="0">
      <w:lvlJc w:val="left"/>
      <w:lvlText w:val="•"/>
      <w:numFmt w:val="bullet"/>
      <w:start w:val="1"/>
    </w:lvl>
  </w:abstractNum>
  <w:abstractNum w:abstractNumId="136">
    <w:nsid w:val="44344C22"/>
    <w:multiLevelType w:val="hybridMultilevel"/>
    <w:lvl w:ilvl="0">
      <w:lvlJc w:val="left"/>
      <w:lvlText w:val="•"/>
      <w:numFmt w:val="bullet"/>
      <w:start w:val="1"/>
    </w:lvl>
  </w:abstractNum>
  <w:abstractNum w:abstractNumId="137">
    <w:nsid w:val="13CDFCFC"/>
    <w:multiLevelType w:val="hybridMultilevel"/>
    <w:lvl w:ilvl="0">
      <w:lvlJc w:val="left"/>
      <w:lvlText w:val="•"/>
      <w:numFmt w:val="bullet"/>
      <w:start w:val="1"/>
    </w:lvl>
    <w:lvl w:ilvl="1">
      <w:lvlJc w:val="left"/>
      <w:lvlText w:val="•"/>
      <w:numFmt w:val="bullet"/>
      <w:start w:val="1"/>
    </w:lvl>
  </w:abstractNum>
  <w:abstractNum w:abstractNumId="138">
    <w:nsid w:val="471745E4"/>
    <w:multiLevelType w:val="hybridMultilevel"/>
    <w:lvl w:ilvl="0">
      <w:lvlJc w:val="left"/>
      <w:lvlText w:val="•"/>
      <w:numFmt w:val="bullet"/>
      <w:start w:val="1"/>
    </w:lvl>
    <w:lvl w:ilvl="1">
      <w:lvlJc w:val="left"/>
      <w:lvlText w:val="•"/>
      <w:numFmt w:val="bullet"/>
      <w:start w:val="1"/>
    </w:lvl>
  </w:abstractNum>
  <w:abstractNum w:abstractNumId="139">
    <w:nsid w:val="1DDBC66"/>
    <w:multiLevelType w:val="hybridMultilevel"/>
    <w:lvl w:ilvl="0">
      <w:lvlJc w:val="left"/>
      <w:lvlText w:val="•"/>
      <w:numFmt w:val="bullet"/>
      <w:start w:val="1"/>
    </w:lvl>
  </w:abstractNum>
  <w:abstractNum w:abstractNumId="140">
    <w:nsid w:val="30AADFDA"/>
    <w:multiLevelType w:val="hybridMultilevel"/>
    <w:lvl w:ilvl="0">
      <w:lvlJc w:val="left"/>
      <w:lvlText w:val="(%1)"/>
      <w:numFmt w:val="decimal"/>
      <w:start w:val="1"/>
    </w:lvl>
  </w:abstractNum>
  <w:abstractNum w:abstractNumId="141">
    <w:nsid w:val="30EADA61"/>
    <w:multiLevelType w:val="hybridMultilevel"/>
    <w:lvl w:ilvl="0">
      <w:lvlJc w:val="left"/>
      <w:lvlText w:val="%1"/>
      <w:numFmt w:val="decimal"/>
      <w:start w:val="1"/>
    </w:lvl>
    <w:lvl w:ilvl="1">
      <w:lvlJc w:val="left"/>
      <w:lvlText w:val="(%2)"/>
      <w:numFmt w:val="lowerLetter"/>
      <w:start w:val="1"/>
    </w:lvl>
  </w:abstractNum>
  <w:abstractNum w:abstractNumId="142">
    <w:nsid w:val="27179C0B"/>
    <w:multiLevelType w:val="hybridMultilevel"/>
    <w:lvl w:ilvl="0">
      <w:lvlJc w:val="left"/>
      <w:lvlText w:val="(%1)"/>
      <w:numFmt w:val="decimal"/>
      <w:start w:val="8"/>
    </w:lvl>
    <w:lvl w:ilvl="1">
      <w:lvlJc w:val="left"/>
      <w:lvlText w:val="%2"/>
      <w:numFmt w:val="lowerLetter"/>
      <w:start w:val="1"/>
    </w:lvl>
  </w:abstractNum>
  <w:abstractNum w:abstractNumId="143">
    <w:nsid w:val="5E636063"/>
    <w:multiLevelType w:val="hybridMultilevel"/>
    <w:lvl w:ilvl="0">
      <w:lvlJc w:val="left"/>
      <w:lvlText w:val="(%1)"/>
      <w:numFmt w:val="decimal"/>
      <w:start w:val="1"/>
    </w:lvl>
  </w:abstractNum>
  <w:abstractNum w:abstractNumId="144">
    <w:nsid w:val="215641AF"/>
    <w:multiLevelType w:val="hybridMultilevel"/>
    <w:lvl w:ilvl="0">
      <w:lvlJc w:val="left"/>
      <w:lvlText w:val="(%1)"/>
      <w:numFmt w:val="decimal"/>
      <w:start w:val="8"/>
    </w:lvl>
  </w:abstractNum>
  <w:abstractNum w:abstractNumId="145">
    <w:nsid w:val="53280662"/>
    <w:multiLevelType w:val="hybridMultilevel"/>
    <w:lvl w:ilvl="0">
      <w:lvlJc w:val="left"/>
      <w:lvlText w:val="%1"/>
      <w:numFmt w:val="decimal"/>
      <w:start w:val="1"/>
    </w:lvl>
    <w:lvl w:ilvl="1">
      <w:lvlJc w:val="left"/>
      <w:lvlText w:val="(%2)"/>
      <w:numFmt w:val="lowerLetter"/>
      <w:start w:val="1"/>
    </w:lvl>
  </w:abstractNum>
  <w:abstractNum w:abstractNumId="146">
    <w:nsid w:val="46B24DBC"/>
    <w:multiLevelType w:val="hybridMultilevel"/>
    <w:lvl w:ilvl="0">
      <w:lvlJc w:val="left"/>
      <w:lvlText w:val="(%1)"/>
      <w:numFmt w:val="decimal"/>
      <w:start w:val="9"/>
    </w:lvl>
    <w:lvl w:ilvl="1">
      <w:lvlJc w:val="left"/>
      <w:lvlText w:val="%2"/>
      <w:numFmt w:val="lowerLetter"/>
      <w:start w:val="1"/>
    </w:lvl>
  </w:abstractNum>
  <w:abstractNum w:abstractNumId="147">
    <w:nsid w:val="75B52783"/>
    <w:multiLevelType w:val="hybridMultilevel"/>
    <w:lvl w:ilvl="0">
      <w:lvlJc w:val="left"/>
      <w:lvlText w:val="•"/>
      <w:numFmt w:val="bullet"/>
      <w:start w:val="1"/>
    </w:lvl>
  </w:abstractNum>
  <w:abstractNum w:abstractNumId="148">
    <w:nsid w:val="57CE66B4"/>
    <w:multiLevelType w:val="hybridMultilevel"/>
    <w:lvl w:ilvl="0">
      <w:lvlJc w:val="left"/>
      <w:lvlText w:val="•"/>
      <w:numFmt w:val="bullet"/>
      <w:start w:val="1"/>
    </w:lvl>
  </w:abstractNum>
  <w:abstractNum w:abstractNumId="149">
    <w:nsid w:val="67A70B69"/>
    <w:multiLevelType w:val="hybridMultilevel"/>
    <w:lvl w:ilvl="0">
      <w:lvlJc w:val="left"/>
      <w:lvlText w:val="•"/>
      <w:numFmt w:val="bullet"/>
      <w:start w:val="1"/>
    </w:lvl>
  </w:abstractNum>
  <w:abstractNum w:abstractNumId="150">
    <w:nsid w:val="5953172F"/>
    <w:multiLevelType w:val="hybridMultilevel"/>
    <w:lvl w:ilvl="0">
      <w:lvlJc w:val="left"/>
      <w:lvlText w:val="(%1)"/>
      <w:numFmt w:val="lowerRoman"/>
      <w:start w:val="1"/>
    </w:lvl>
  </w:abstractNum>
  <w:abstractNum w:abstractNumId="151">
    <w:nsid w:val="27EDFE3A"/>
    <w:multiLevelType w:val="hybridMultilevel"/>
    <w:lvl w:ilvl="0">
      <w:lvlJc w:val="left"/>
      <w:lvlText w:val="(%1)"/>
      <w:numFmt w:val="lowerRoman"/>
      <w:start w:val="1"/>
    </w:lvl>
  </w:abstractNum>
  <w:abstractNum w:abstractNumId="152">
    <w:nsid w:val="52AC7DFF"/>
    <w:multiLevelType w:val="hybridMultilevel"/>
    <w:lvl w:ilvl="0">
      <w:lvlJc w:val="left"/>
      <w:lvlText w:val="(%1)"/>
      <w:numFmt w:val="lowerRoman"/>
      <w:start w:val="2"/>
    </w:lvl>
  </w:abstractNum>
  <w:abstractNum w:abstractNumId="153">
    <w:nsid w:val="C4C3AF"/>
    <w:multiLevelType w:val="hybridMultilevel"/>
    <w:lvl w:ilvl="0">
      <w:lvlJc w:val="left"/>
      <w:lvlText w:val="•"/>
      <w:numFmt w:val="bullet"/>
      <w:start w:val="1"/>
    </w:lvl>
  </w:abstractNum>
  <w:abstractNum w:abstractNumId="154">
    <w:nsid w:val="44380727"/>
    <w:multiLevelType w:val="hybridMultilevel"/>
    <w:lvl w:ilvl="0">
      <w:lvlJc w:val="left"/>
      <w:lvlText w:val="(%1)"/>
      <w:numFmt w:val="decimal"/>
      <w:start w:val="1"/>
    </w:lvl>
  </w:abstractNum>
  <w:abstractNum w:abstractNumId="155">
    <w:nsid w:val="6C053B16"/>
    <w:multiLevelType w:val="hybridMultilevel"/>
    <w:lvl w:ilvl="0">
      <w:lvlJc w:val="left"/>
      <w:lvlText w:val="(%1)"/>
      <w:numFmt w:val="decimal"/>
      <w:start w:val="1"/>
    </w:lvl>
  </w:abstractNum>
  <w:abstractNum w:abstractNumId="156">
    <w:nsid w:val="4F294393"/>
    <w:multiLevelType w:val="hybridMultilevel"/>
    <w:lvl w:ilvl="0">
      <w:lvlJc w:val="left"/>
      <w:lvlText w:val="(%1)"/>
      <w:numFmt w:val="decimal"/>
      <w:start w:val="1"/>
    </w:lvl>
  </w:abstractNum>
  <w:abstractNum w:abstractNumId="157">
    <w:nsid w:val="5243BFAC"/>
    <w:multiLevelType w:val="hybridMultilevel"/>
    <w:lvl w:ilvl="0">
      <w:lvlJc w:val="left"/>
      <w:lvlText w:val="(%1)"/>
      <w:numFmt w:val="decimal"/>
      <w:start w:val="1"/>
    </w:lvl>
  </w:abstractNum>
  <w:abstractNum w:abstractNumId="158">
    <w:nsid w:val="425EB207"/>
    <w:multiLevelType w:val="hybridMultilevel"/>
    <w:lvl w:ilvl="0">
      <w:lvlJc w:val="left"/>
      <w:lvlText w:val="(%1)"/>
      <w:numFmt w:val="decimal"/>
      <w:start w:val="1"/>
    </w:lvl>
  </w:abstractNum>
  <w:abstractNum w:abstractNumId="159">
    <w:nsid w:val="334A6F1F"/>
    <w:multiLevelType w:val="hybridMultilevel"/>
    <w:lvl w:ilvl="0">
      <w:lvlJc w:val="left"/>
      <w:lvlText w:val="•"/>
      <w:numFmt w:val="bullet"/>
      <w:start w:val="1"/>
    </w:lvl>
    <w:lvl w:ilvl="1">
      <w:lvlJc w:val="left"/>
      <w:lvlText w:val="•"/>
      <w:numFmt w:val="bullet"/>
      <w:start w:val="1"/>
    </w:lvl>
  </w:abstractNum>
  <w:abstractNum w:abstractNumId="160">
    <w:nsid w:val="2E5B12B8"/>
    <w:multiLevelType w:val="hybridMultilevel"/>
    <w:lvl w:ilvl="0">
      <w:lvlJc w:val="left"/>
      <w:lvlText w:val="•"/>
      <w:numFmt w:val="bullet"/>
      <w:start w:val="1"/>
    </w:lvl>
  </w:abstractNum>
  <w:abstractNum w:abstractNumId="161">
    <w:nsid w:val="5C03D76D"/>
    <w:multiLevelType w:val="hybridMultilevel"/>
    <w:lvl w:ilvl="0">
      <w:lvlJc w:val="left"/>
      <w:lvlText w:val="•"/>
      <w:numFmt w:val="bullet"/>
      <w:start w:val="1"/>
    </w:lvl>
  </w:abstractNum>
  <w:abstractNum w:abstractNumId="162">
    <w:nsid w:val="66A48D11"/>
    <w:multiLevelType w:val="hybridMultilevel"/>
    <w:lvl w:ilvl="0">
      <w:lvlJc w:val="left"/>
      <w:lvlText w:val="•"/>
      <w:numFmt w:val="bullet"/>
      <w:start w:val="1"/>
    </w:lvl>
  </w:abstractNum>
  <w:abstractNum w:abstractNumId="163">
    <w:nsid w:val="56C28E34"/>
    <w:multiLevelType w:val="hybridMultilevel"/>
    <w:lvl w:ilvl="0">
      <w:lvlJc w:val="left"/>
      <w:lvlText w:val="(%1)"/>
      <w:numFmt w:val="decimal"/>
      <w:start w:val="1"/>
    </w:lvl>
  </w:abstractNum>
  <w:abstractNum w:abstractNumId="164">
    <w:nsid w:val="13916F2D"/>
    <w:multiLevelType w:val="hybridMultilevel"/>
    <w:lvl w:ilvl="0">
      <w:lvlJc w:val="left"/>
      <w:lvlText w:val="(%1)"/>
      <w:numFmt w:val="decimal"/>
      <w:start w:val="1"/>
    </w:lvl>
  </w:abstractNum>
  <w:abstractNum w:abstractNumId="165">
    <w:nsid w:val="435D38D"/>
    <w:multiLevelType w:val="hybridMultilevel"/>
    <w:lvl w:ilvl="0">
      <w:lvlJc w:val="left"/>
      <w:lvlText w:val="(%1)"/>
      <w:numFmt w:val="decimal"/>
      <w:start w:val="1"/>
    </w:lvl>
  </w:abstractNum>
  <w:abstractNum w:abstractNumId="166">
    <w:nsid w:val="822C0EF"/>
    <w:multiLevelType w:val="hybridMultilevel"/>
    <w:lvl w:ilvl="0">
      <w:lvlJc w:val="left"/>
      <w:lvlText w:val="(%1)"/>
      <w:numFmt w:val="decimal"/>
      <w:start w:val="1"/>
    </w:lvl>
  </w:abstractNum>
  <w:abstractNum w:abstractNumId="167">
    <w:nsid w:val="57C5BB4F"/>
    <w:multiLevelType w:val="hybridMultilevel"/>
    <w:lvl w:ilvl="0">
      <w:lvlJc w:val="left"/>
      <w:lvlText w:val="(%1)"/>
      <w:numFmt w:val="decimal"/>
      <w:start w:val="5"/>
    </w:lvl>
  </w:abstractNum>
  <w:abstractNum w:abstractNumId="168">
    <w:nsid w:val="1803D089"/>
    <w:multiLevelType w:val="hybridMultilevel"/>
    <w:lvl w:ilvl="0">
      <w:lvlJc w:val="left"/>
      <w:lvlText w:val="(%1)"/>
      <w:numFmt w:val="decimal"/>
      <w:start w:val="1"/>
    </w:lvl>
  </w:abstractNum>
  <w:abstractNum w:abstractNumId="169">
    <w:nsid w:val="4F3A06D4"/>
    <w:multiLevelType w:val="hybridMultilevel"/>
    <w:lvl w:ilvl="0">
      <w:lvlJc w:val="left"/>
      <w:lvlText w:val="(%1)"/>
      <w:numFmt w:val="lowerLetter"/>
      <w:start w:val="2"/>
    </w:lvl>
  </w:abstractNum>
  <w:abstractNum w:abstractNumId="170">
    <w:nsid w:val="59A377B6"/>
    <w:multiLevelType w:val="hybridMultilevel"/>
    <w:lvl w:ilvl="0">
      <w:lvlJc w:val="left"/>
      <w:lvlText w:val="(%1)"/>
      <w:numFmt w:val="lowerLetter"/>
      <w:start w:val="5"/>
    </w:lvl>
  </w:abstractNum>
  <w:abstractNum w:abstractNumId="171">
    <w:nsid w:val="48AEB063"/>
    <w:multiLevelType w:val="hybridMultilevel"/>
    <w:lvl w:ilvl="0">
      <w:lvlJc w:val="left"/>
      <w:lvlText w:val="(%1)"/>
      <w:numFmt w:val="lowerLetter"/>
      <w:start w:val="6"/>
    </w:lvl>
  </w:abstractNum>
  <w:abstractNum w:abstractNumId="172">
    <w:nsid w:val="24E135"/>
    <w:multiLevelType w:val="hybridMultilevel"/>
    <w:lvl w:ilvl="0">
      <w:lvlJc w:val="left"/>
      <w:lvlText w:val="(%1)"/>
      <w:numFmt w:val="lowerLetter"/>
      <w:start w:val="9"/>
    </w:lvl>
  </w:abstractNum>
  <w:abstractNum w:abstractNumId="173">
    <w:nsid w:val="BB13C1"/>
    <w:multiLevelType w:val="hybridMultilevel"/>
    <w:lvl w:ilvl="0">
      <w:lvlJc w:val="left"/>
      <w:lvlText w:val="(%1)"/>
      <w:numFmt w:val="lowerLetter"/>
      <w:start w:val="12"/>
    </w:lvl>
  </w:abstractNum>
  <w:abstractNum w:abstractNumId="174">
    <w:nsid w:val="271210C7"/>
    <w:multiLevelType w:val="hybridMultilevel"/>
    <w:lvl w:ilvl="0">
      <w:lvlJc w:val="left"/>
      <w:lvlText w:val="(%1)"/>
      <w:numFmt w:val="lowerLetter"/>
      <w:start w:val="15"/>
    </w:lvl>
  </w:abstractNum>
  <w:abstractNum w:abstractNumId="175">
    <w:nsid w:val="217B22E4"/>
    <w:multiLevelType w:val="hybridMultilevel"/>
    <w:lvl w:ilvl="0">
      <w:lvlJc w:val="left"/>
      <w:lvlText w:val="(%1)"/>
      <w:numFmt w:val="decimal"/>
      <w:start w:val="1"/>
    </w:lvl>
  </w:abstractNum>
  <w:abstractNum w:abstractNumId="176">
    <w:nsid w:val="53E31A24"/>
    <w:multiLevelType w:val="hybridMultilevel"/>
    <w:lvl w:ilvl="0">
      <w:lvlJc w:val="left"/>
      <w:lvlText w:val="*"/>
      <w:numFmt w:val="bullet"/>
      <w:start w:val="1"/>
    </w:lvl>
  </w:abstractNum>
  <w:abstractNum w:abstractNumId="177">
    <w:nsid w:val="6DC45E83"/>
    <w:multiLevelType w:val="hybridMultilevel"/>
    <w:lvl w:ilvl="0">
      <w:lvlJc w:val="left"/>
      <w:lvlText w:val="(%1)"/>
      <w:numFmt w:val="decimal"/>
      <w:start w:val="1"/>
    </w:lvl>
  </w:abstractNum>
  <w:abstractNum w:abstractNumId="178">
    <w:nsid w:val="17304A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9">
    <w:nsid w:val="2BB180D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0">
    <w:nsid w:val="556B69ED"/>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1">
    <w:nsid w:val="70836196"/>
    <w:multiLevelType w:val="hybridMultilevel"/>
    <w:lvl w:ilvl="0">
      <w:lvlJc w:val="left"/>
      <w:lvlText w:val="☐"/>
      <w:numFmt w:val="bullet"/>
      <w:start w:val="1"/>
    </w:lvl>
  </w:abstractNum>
  <w:abstractNum w:abstractNumId="182">
    <w:nsid w:val="539F7F12"/>
    <w:multiLevelType w:val="hybridMultilevel"/>
    <w:lvl w:ilvl="0">
      <w:lvlJc w:val="left"/>
      <w:lvlText w:val="(%1)"/>
      <w:numFmt w:val="lowerLetter"/>
      <w:start w:val="1"/>
    </w:lvl>
  </w:abstractNum>
  <w:abstractNum w:abstractNumId="183">
    <w:nsid w:val="2817E7EC"/>
    <w:multiLevelType w:val="hybridMultilevel"/>
    <w:lvl w:ilvl="0">
      <w:lvlJc w:val="left"/>
      <w:lvlText w:val="*"/>
      <w:numFmt w:val="bullet"/>
      <w:start w:val="1"/>
    </w:lvl>
  </w:abstractNum>
  <w:abstractNum w:abstractNumId="184">
    <w:nsid w:val="71482545"/>
    <w:multiLevelType w:val="hybridMultilevel"/>
    <w:lvl w:ilvl="0">
      <w:lvlJc w:val="left"/>
      <w:lvlText w:val="**"/>
      <w:numFmt w:val="bullet"/>
      <w:start w:val="1"/>
    </w:lvl>
  </w:abstractNum>
  <w:abstractNum w:abstractNumId="185">
    <w:nsid w:val="17D78639"/>
    <w:multiLevelType w:val="hybridMultilevel"/>
    <w:lvl w:ilvl="0">
      <w:lvlJc w:val="left"/>
      <w:lvlText w:val="***"/>
      <w:numFmt w:val="bullet"/>
      <w:start w:val="1"/>
    </w:lvl>
  </w:abstractNum>
  <w:abstractNum w:abstractNumId="186">
    <w:nsid w:val="141D230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7">
    <w:nsid w:val="407168D8"/>
    <w:multiLevelType w:val="hybridMultilevel"/>
    <w:lvl w:ilvl="0">
      <w:lvlJc w:val="left"/>
      <w:lvlText w:val="%1."/>
      <w:numFmt w:val="decimal"/>
      <w:start w:val="1"/>
    </w:lvl>
  </w:abstractNum>
  <w:abstractNum w:abstractNumId="188">
    <w:nsid w:val="6A1B45E5"/>
    <w:multiLevelType w:val="hybridMultilevel"/>
    <w:lvl w:ilvl="0">
      <w:lvlJc w:val="left"/>
      <w:lvlText w:val="%1."/>
      <w:numFmt w:val="decimal"/>
      <w:start w:val="2"/>
    </w:lvl>
  </w:abstractNum>
  <w:abstractNum w:abstractNumId="189">
    <w:nsid w:val="567BD50A"/>
    <w:multiLevelType w:val="hybridMultilevel"/>
    <w:lvl w:ilvl="0">
      <w:lvlJc w:val="left"/>
      <w:lvlText w:val="(%1)"/>
      <w:numFmt w:val="lowerLetter"/>
      <w:start w:val="1"/>
    </w:lvl>
  </w:abstractNum>
  <w:abstractNum w:abstractNumId="190">
    <w:nsid w:val="73BBD7F8"/>
    <w:multiLevelType w:val="hybridMultilevel"/>
    <w:lvl w:ilvl="0">
      <w:lvlJc w:val="left"/>
      <w:lvlText w:val="(%1)"/>
      <w:numFmt w:val="lowerLetter"/>
      <w:start w:val="2"/>
    </w:lvl>
  </w:abstractNum>
  <w:abstractNum w:abstractNumId="191">
    <w:nsid w:val="1876589D"/>
    <w:multiLevelType w:val="hybridMultilevel"/>
    <w:lvl w:ilvl="0">
      <w:lvlJc w:val="left"/>
      <w:lvlText w:val="(%1)"/>
      <w:numFmt w:val="lowerLetter"/>
      <w:start w:val="4"/>
    </w:lvl>
  </w:abstractNum>
  <w:abstractNum w:abstractNumId="192">
    <w:nsid w:val="327FAC77"/>
    <w:multiLevelType w:val="hybridMultilevel"/>
    <w:lvl w:ilvl="0">
      <w:lvlJc w:val="left"/>
      <w:lvlText w:val="%1."/>
      <w:numFmt w:val="decimal"/>
      <w:start w:val="3"/>
    </w:lvl>
    <w:lvl w:ilvl="1">
      <w:lvlJc w:val="left"/>
      <w:lvlText w:val="(%2)"/>
      <w:numFmt w:val="lowerLetter"/>
      <w:start w:val="1"/>
    </w:lvl>
  </w:abstractNum>
  <w:abstractNum w:abstractNumId="193">
    <w:nsid w:val="5A606509"/>
    <w:multiLevelType w:val="hybridMultilevel"/>
    <w:lvl w:ilvl="0">
      <w:lvlJc w:val="left"/>
      <w:lvlText w:val="%1"/>
      <w:numFmt w:val="lowerLetter"/>
      <w:start w:val="1"/>
    </w:lvl>
    <w:lvl w:ilvl="1">
      <w:lvlJc w:val="left"/>
      <w:lvlText w:val="(%2)"/>
      <w:numFmt w:val="lowerLetter"/>
      <w:start w:val="4"/>
    </w:lvl>
  </w:abstractNum>
  <w:abstractNum w:abstractNumId="194">
    <w:nsid w:val="6F38E6D1"/>
    <w:multiLevelType w:val="hybridMultilevel"/>
    <w:lvl w:ilvl="0">
      <w:lvlJc w:val="left"/>
      <w:lvlText w:val="(%1)"/>
      <w:numFmt w:val="lowerLetter"/>
      <w:start w:val="9"/>
    </w:lvl>
    <w:lvl w:ilvl="1">
      <w:lvlJc w:val="left"/>
      <w:lvlText w:val="%2"/>
      <w:numFmt w:val="lowerLetter"/>
      <w:start w:val="1"/>
    </w:lvl>
  </w:abstractNum>
  <w:abstractNum w:abstractNumId="195">
    <w:nsid w:val="46111BA5"/>
    <w:multiLevelType w:val="hybridMultilevel"/>
    <w:lvl w:ilvl="0">
      <w:lvlJc w:val="left"/>
      <w:lvlText w:val="(%1)"/>
      <w:numFmt w:val="lowerLetter"/>
      <w:start w:val="6"/>
    </w:lvl>
  </w:abstractNum>
  <w:abstractNum w:abstractNumId="196">
    <w:nsid w:val="5E963896"/>
    <w:multiLevelType w:val="hybridMultilevel"/>
    <w:lvl w:ilvl="0">
      <w:lvlJc w:val="left"/>
      <w:lvlText w:val="(%1)"/>
      <w:numFmt w:val="lowerLetter"/>
      <w:start w:val="8"/>
    </w:lvl>
  </w:abstractNum>
  <w:abstractNum w:abstractNumId="197">
    <w:nsid w:val="775BA7C1"/>
    <w:multiLevelType w:val="hybridMultilevel"/>
    <w:lvl w:ilvl="0">
      <w:lvlJc w:val="left"/>
      <w:lvlText w:val="(%1)"/>
      <w:numFmt w:val="lowerLetter"/>
      <w:start w:val="10"/>
    </w:lvl>
  </w:abstractNum>
  <w:abstractNum w:abstractNumId="198">
    <w:nsid w:val="1DD6D6F4"/>
    <w:multiLevelType w:val="hybridMultilevel"/>
    <w:lvl w:ilvl="0">
      <w:lvlJc w:val="left"/>
      <w:lvlText w:val="(%1)"/>
      <w:numFmt w:val="lowerLetter"/>
      <w:start w:val="15"/>
    </w:lvl>
  </w:abstractNum>
  <w:abstractNum w:abstractNumId="199">
    <w:nsid w:val="769A091F"/>
    <w:multiLevelType w:val="hybridMultilevel"/>
    <w:lvl w:ilvl="0">
      <w:lvlJc w:val="left"/>
      <w:lvlText w:val="%1"/>
      <w:numFmt w:val="lowerLetter"/>
      <w:start w:val="1"/>
    </w:lvl>
    <w:lvl w:ilvl="1">
      <w:lvlJc w:val="left"/>
      <w:lvlText w:val="(%2)"/>
      <w:numFmt w:val="lowerLetter"/>
      <w:start w:val="18"/>
    </w:lvl>
  </w:abstractNum>
  <w:abstractNum w:abstractNumId="200">
    <w:nsid w:val="4695AE95"/>
    <w:multiLevelType w:val="hybridMultilevel"/>
    <w:lvl w:ilvl="0">
      <w:lvlJc w:val="left"/>
      <w:lvlText w:val="(%1)"/>
      <w:numFmt w:val="lowerLetter"/>
      <w:start w:val="9"/>
    </w:lvl>
    <w:lvl w:ilvl="1">
      <w:lvlJc w:val="left"/>
      <w:lvlText w:val="%2"/>
      <w:numFmt w:val="lowerLetter"/>
      <w:start w:val="1"/>
    </w:lvl>
  </w:abstractNum>
  <w:abstractNum w:abstractNumId="201">
    <w:nsid w:val="777A4EAA"/>
    <w:multiLevelType w:val="hybridMultilevel"/>
    <w:lvl w:ilvl="0">
      <w:lvlJc w:val="left"/>
      <w:lvlText w:val="(%1)"/>
      <w:numFmt w:val="lowerLetter"/>
      <w:start w:val="23"/>
    </w:lvl>
  </w:abstractNum>
  <w:abstractNum w:abstractNumId="202">
    <w:nsid w:val="3F48B982"/>
    <w:multiLevelType w:val="hybridMultilevel"/>
    <w:lvl w:ilvl="0">
      <w:lvlJc w:val="left"/>
      <w:lvlText w:val="(%1)"/>
      <w:numFmt w:val="lowerLetter"/>
      <w:start w:val="27"/>
    </w:lvl>
  </w:abstractNum>
  <w:abstractNum w:abstractNumId="203">
    <w:nsid w:val="46BA8FCA"/>
    <w:multiLevelType w:val="hybridMultilevel"/>
    <w:lvl w:ilvl="0">
      <w:lvlJc w:val="left"/>
      <w:lvlText w:val="%1"/>
      <w:numFmt w:val="lowerLetter"/>
      <w:start w:val="1"/>
    </w:lvl>
    <w:lvl w:ilvl="1">
      <w:lvlJc w:val="left"/>
      <w:lvlText w:val="(%2)"/>
      <w:numFmt w:val="lowerLetter"/>
      <w:start w:val="28"/>
    </w:lvl>
  </w:abstractNum>
  <w:abstractNum w:abstractNumId="204">
    <w:nsid w:val="7835626C"/>
    <w:multiLevelType w:val="hybridMultilevel"/>
    <w:lvl w:ilvl="0">
      <w:lvlJc w:val="left"/>
      <w:lvlText w:val="(%1)"/>
      <w:numFmt w:val="lowerLetter"/>
      <w:start w:val="61"/>
    </w:lvl>
    <w:lvl w:ilvl="1">
      <w:lvlJc w:val="left"/>
      <w:lvlText w:val="%2"/>
      <w:numFmt w:val="lowerLetter"/>
      <w:start w:val="1"/>
    </w:lvl>
  </w:abstractNum>
  <w:abstractNum w:abstractNumId="205">
    <w:nsid w:val="665ACA49"/>
    <w:multiLevelType w:val="hybridMultilevel"/>
    <w:lvl w:ilvl="0">
      <w:lvlJc w:val="left"/>
      <w:lvlText w:val="(%1)"/>
      <w:numFmt w:val="lowerLetter"/>
      <w:start w:val="9"/>
    </w:lvl>
    <w:lvl w:ilvl="1">
      <w:lvlJc w:val="left"/>
      <w:lvlText w:val="(%2)"/>
      <w:numFmt w:val="lowerLetter"/>
      <w:start w:val="29"/>
    </w:lvl>
  </w:abstractNum>
  <w:abstractNum w:abstractNumId="206">
    <w:nsid w:val="6835B2AE"/>
    <w:multiLevelType w:val="hybridMultilevel"/>
    <w:lvl w:ilvl="0">
      <w:lvlJc w:val="left"/>
      <w:lvlText w:val="(%1)"/>
      <w:numFmt w:val="lowerLetter"/>
      <w:start w:val="9"/>
    </w:lvl>
    <w:lvl w:ilvl="1">
      <w:lvlJc w:val="left"/>
      <w:lvlText w:val="(%2)"/>
      <w:numFmt w:val="lowerLetter"/>
      <w:start w:val="30"/>
    </w:lvl>
  </w:abstractNum>
  <w:abstractNum w:abstractNumId="207">
    <w:nsid w:val="4C187C90"/>
    <w:multiLevelType w:val="hybridMultilevel"/>
    <w:lvl w:ilvl="0">
      <w:lvlJc w:val="left"/>
      <w:lvlText w:val="(%1)"/>
      <w:numFmt w:val="lowerLetter"/>
      <w:start w:val="61"/>
    </w:lvl>
    <w:lvl w:ilvl="1">
      <w:lvlJc w:val="left"/>
      <w:lvlText w:val="(%2)"/>
      <w:numFmt w:val="lowerLetter"/>
      <w:start w:val="31"/>
    </w:lvl>
  </w:abstractNum>
  <w:abstractNum w:abstractNumId="208">
    <w:nsid w:val="541F28CD"/>
    <w:multiLevelType w:val="hybridMultilevel"/>
    <w:lvl w:ilvl="0">
      <w:lvlJc w:val="left"/>
      <w:lvlText w:val="(%1)"/>
      <w:numFmt w:val="lowerLetter"/>
      <w:start w:val="33"/>
    </w:lvl>
  </w:abstractNum>
  <w:abstractNum w:abstractNumId="209">
    <w:nsid w:val="7F65FD16"/>
    <w:multiLevelType w:val="hybridMultilevel"/>
    <w:lvl w:ilvl="0">
      <w:lvlJc w:val="left"/>
      <w:lvlText w:val="(%1)"/>
      <w:numFmt w:val="lowerLetter"/>
      <w:start w:val="37"/>
    </w:lvl>
  </w:abstractNum>
  <w:abstractNum w:abstractNumId="210">
    <w:nsid w:val="77C9FD68"/>
    <w:multiLevelType w:val="hybridMultilevel"/>
    <w:lvl w:ilvl="0">
      <w:lvlJc w:val="left"/>
      <w:lvlText w:val="%1."/>
      <w:numFmt w:val="decimal"/>
      <w:start w:val="4"/>
    </w:lvl>
    <w:lvl w:ilvl="1">
      <w:lvlJc w:val="left"/>
      <w:lvlText w:val="(%2)"/>
      <w:numFmt w:val="lowerLetter"/>
      <w:start w:val="1"/>
    </w:lvl>
  </w:abstractNum>
  <w:abstractNum w:abstractNumId="211">
    <w:nsid w:val="298A92BA"/>
    <w:multiLevelType w:val="hybridMultilevel"/>
    <w:lvl w:ilvl="0">
      <w:lvlJc w:val="left"/>
      <w:lvlText w:val="(%1)"/>
      <w:numFmt w:val="lowerLetter"/>
      <w:start w:val="6"/>
    </w:lvl>
  </w:abstractNum>
  <w:abstractNum w:abstractNumId="212">
    <w:nsid w:val="6FE95EAC"/>
    <w:multiLevelType w:val="hybridMultilevel"/>
    <w:lvl w:ilvl="0">
      <w:lvlJc w:val="left"/>
      <w:lvlText w:val="%1"/>
      <w:numFmt w:val="lowerRoman"/>
      <w:start w:val="1"/>
    </w:lvl>
    <w:lvl w:ilvl="1">
      <w:lvlJc w:val="left"/>
      <w:lvlText w:val="(%2)"/>
      <w:numFmt w:val="lowerLetter"/>
      <w:start w:val="10"/>
    </w:lvl>
  </w:abstractNum>
  <w:abstractNum w:abstractNumId="213">
    <w:nsid w:val="4B697C7A"/>
    <w:multiLevelType w:val="hybridMultilevel"/>
    <w:lvl w:ilvl="0">
      <w:lvlJc w:val="left"/>
      <w:lvlText w:val="(%1)"/>
      <w:numFmt w:val="lowerRoman"/>
      <w:start w:val="1"/>
    </w:lvl>
    <w:lvl w:ilvl="1">
      <w:lvlJc w:val="left"/>
      <w:lvlText w:val="%2"/>
      <w:numFmt w:val="lowerLetter"/>
      <w:start w:val="1"/>
    </w:lvl>
  </w:abstractNum>
  <w:abstractNum w:abstractNumId="214">
    <w:nsid w:val="51A27AA6"/>
    <w:multiLevelType w:val="hybridMultilevel"/>
    <w:lvl w:ilvl="0">
      <w:lvlJc w:val="left"/>
      <w:lvlText w:val="(%1)"/>
      <w:numFmt w:val="lowerRoman"/>
      <w:start w:val="3"/>
    </w:lvl>
    <w:lvl w:ilvl="1">
      <w:lvlJc w:val="left"/>
      <w:lvlText w:val="(%2)"/>
      <w:numFmt w:val="lowerLetter"/>
      <w:start w:val="14"/>
    </w:lvl>
  </w:abstractNum>
  <w:abstractNum w:abstractNumId="215">
    <w:nsid w:val="613183F2"/>
    <w:multiLevelType w:val="hybridMultilevel"/>
    <w:lvl w:ilvl="0">
      <w:lvlJc w:val="left"/>
      <w:lvlText w:val="(%1)"/>
      <w:numFmt w:val="lowerRoman"/>
      <w:start w:val="4"/>
    </w:lvl>
    <w:lvl w:ilvl="1">
      <w:lvlJc w:val="left"/>
      <w:lvlText w:val="(%2)"/>
      <w:numFmt w:val="lowerLetter"/>
      <w:start w:val="15"/>
    </w:lvl>
  </w:abstractNum>
  <w:abstractNum w:abstractNumId="216">
    <w:nsid w:val="634102B4"/>
    <w:multiLevelType w:val="hybridMultilevel"/>
    <w:lvl w:ilvl="0">
      <w:lvlJc w:val="left"/>
      <w:lvlText w:val="%1."/>
      <w:numFmt w:val="decimal"/>
      <w:start w:val="5"/>
    </w:lvl>
    <w:lvl w:ilvl="1">
      <w:lvlJc w:val="left"/>
      <w:lvlText w:val="(%2)"/>
      <w:numFmt w:val="lowerLetter"/>
      <w:start w:val="1"/>
    </w:lvl>
  </w:abstractNum>
  <w:abstractNum w:abstractNumId="217">
    <w:nsid w:val="65BF9DA8"/>
    <w:multiLevelType w:val="hybridMultilevel"/>
    <w:lvl w:ilvl="0">
      <w:lvlJc w:val="left"/>
      <w:lvlText w:val="(%1)"/>
      <w:numFmt w:val="lowerLetter"/>
      <w:start w:val="5"/>
    </w:lvl>
  </w:abstractNum>
  <w:abstractNum w:abstractNumId="218">
    <w:nsid w:val="21A2ECCA"/>
    <w:multiLevelType w:val="hybridMultilevel"/>
    <w:lvl w:ilvl="0">
      <w:lvlJc w:val="left"/>
      <w:lvlText w:val="(%1)"/>
      <w:numFmt w:val="lowerLetter"/>
      <w:start w:val="7"/>
    </w:lvl>
  </w:abstractNum>
  <w:abstractNum w:abstractNumId="219">
    <w:nsid w:val="4D5C4899"/>
    <w:multiLevelType w:val="hybridMultilevel"/>
    <w:lvl w:ilvl="0">
      <w:lvlJc w:val="left"/>
      <w:lvlText w:val="(%1)"/>
      <w:numFmt w:val="lowerLetter"/>
      <w:start w:val="35"/>
    </w:lvl>
    <w:lvl w:ilvl="1">
      <w:lvlJc w:val="left"/>
      <w:lvlText w:val="(%2)"/>
      <w:numFmt w:val="lowerLetter"/>
      <w:start w:val="9"/>
    </w:lvl>
  </w:abstractNum>
  <w:abstractNum w:abstractNumId="220">
    <w:nsid w:val="3C3B72B2"/>
    <w:multiLevelType w:val="hybridMultilevel"/>
    <w:lvl w:ilvl="0">
      <w:lvlJc w:val="left"/>
      <w:lvlText w:val="["/>
      <w:numFmt w:val="bullet"/>
      <w:start w:val="1"/>
    </w:lvl>
    <w:lvl w:ilvl="1">
      <w:lvlJc w:val="left"/>
      <w:lvlText w:val="(%2)"/>
      <w:numFmt w:val="lowerLetter"/>
      <w:start w:val="12"/>
    </w:lvl>
  </w:abstractNum>
  <w:abstractNum w:abstractNumId="221">
    <w:nsid w:val="155EC4C2"/>
    <w:multiLevelType w:val="hybridMultilevel"/>
    <w:lvl w:ilvl="0">
      <w:lvlJc w:val="left"/>
      <w:lvlText w:val="%1"/>
      <w:numFmt w:val="decimal"/>
      <w:start w:val="1"/>
    </w:lvl>
    <w:lvl w:ilvl="1">
      <w:lvlJc w:val="left"/>
      <w:lvlText w:val="(%2)"/>
      <w:numFmt w:val="lowerLetter"/>
      <w:start w:val="16"/>
    </w:lvl>
  </w:abstractNum>
  <w:abstractNum w:abstractNumId="222">
    <w:nsid w:val="65D2A137"/>
    <w:multiLevelType w:val="hybridMultilevel"/>
    <w:lvl w:ilvl="0">
      <w:lvlJc w:val="left"/>
      <w:lvlText w:val="%1."/>
      <w:numFmt w:val="decimal"/>
      <w:start w:val="6"/>
    </w:lvl>
    <w:lvl w:ilvl="1">
      <w:lvlJc w:val="left"/>
      <w:lvlText w:val="(%2)"/>
      <w:numFmt w:val="lowerLetter"/>
      <w:start w:val="1"/>
    </w:lvl>
  </w:abstractNum>
  <w:abstractNum w:abstractNumId="223">
    <w:nsid w:val="6EBB1F2A"/>
    <w:multiLevelType w:val="hybridMultilevel"/>
    <w:lvl w:ilvl="0">
      <w:lvlJc w:val="left"/>
      <w:lvlText w:val="(%1)"/>
      <w:numFmt w:val="lowerLetter"/>
      <w:start w:val="4"/>
    </w:lvl>
  </w:abstractNum>
  <w:abstractNum w:abstractNumId="224">
    <w:nsid w:val="6FBF29CB"/>
    <w:multiLevelType w:val="hybridMultilevel"/>
    <w:lvl w:ilvl="0">
      <w:lvlJc w:val="left"/>
      <w:lvlText w:val="(%1)"/>
      <w:numFmt w:val="lowerLetter"/>
      <w:start w:val="7"/>
    </w:lvl>
  </w:abstractNum>
  <w:abstractNum w:abstractNumId="225">
    <w:nsid w:val="550B8808"/>
    <w:multiLevelType w:val="hybridMultilevel"/>
    <w:lvl w:ilvl="0">
      <w:lvlJc w:val="left"/>
      <w:lvlText w:val="(%1)"/>
      <w:numFmt w:val="lowerLetter"/>
      <w:start w:val="9"/>
    </w:lvl>
  </w:abstractNum>
  <w:abstractNum w:abstractNumId="226">
    <w:nsid w:val="34CC3ACF"/>
    <w:multiLevelType w:val="hybridMultilevel"/>
    <w:lvl w:ilvl="0">
      <w:lvlJc w:val="left"/>
      <w:lvlText w:val="(%1)"/>
      <w:numFmt w:val="lowerLetter"/>
      <w:start w:val="12"/>
    </w:lvl>
  </w:abstractNum>
  <w:abstractNum w:abstractNumId="227">
    <w:nsid w:val="4E556261"/>
    <w:multiLevelType w:val="hybridMultilevel"/>
    <w:lvl w:ilvl="0">
      <w:lvlJc w:val="left"/>
      <w:lvlText w:val="%1."/>
      <w:numFmt w:val="decimal"/>
      <w:start w:val="8"/>
    </w:lvl>
  </w:abstractNum>
  <w:abstractNum w:abstractNumId="228">
    <w:nsid w:val="4C672FC9"/>
    <w:multiLevelType w:val="hybridMultilevel"/>
    <w:lvl w:ilvl="0">
      <w:lvlJc w:val="left"/>
      <w:lvlText w:val="(%1)"/>
      <w:numFmt w:val="lowerLetter"/>
      <w:start w:val="1"/>
    </w:lvl>
  </w:abstractNum>
  <w:abstractNum w:abstractNumId="229">
    <w:nsid w:val="52A311C3"/>
    <w:multiLevelType w:val="hybridMultilevel"/>
    <w:lvl w:ilvl="0">
      <w:lvlJc w:val="left"/>
      <w:lvlText w:val="(%1)"/>
      <w:numFmt w:val="lowerLetter"/>
      <w:start w:val="3"/>
    </w:lvl>
  </w:abstractNum>
  <w:abstractNum w:abstractNumId="230">
    <w:nsid w:val="44EF6B80"/>
    <w:multiLevelType w:val="hybridMultilevel"/>
    <w:lvl w:ilvl="0">
      <w:lvlJc w:val="left"/>
      <w:lvlText w:val="(%1)"/>
      <w:numFmt w:val="lowerRoman"/>
      <w:start w:val="4"/>
    </w:lvl>
  </w:abstractNum>
  <w:abstractNum w:abstractNumId="231">
    <w:nsid w:val="12FCDE5E"/>
    <w:multiLevelType w:val="hybridMultilevel"/>
    <w:lvl w:ilvl="0">
      <w:lvlJc w:val="left"/>
      <w:lvlText w:val="(%1)"/>
      <w:numFmt w:val="lowerLetter"/>
      <w:start w:val="4"/>
    </w:lvl>
  </w:abstractNum>
  <w:abstractNum w:abstractNumId="232">
    <w:nsid w:val="4A1D606E"/>
    <w:multiLevelType w:val="hybridMultilevel"/>
    <w:lvl w:ilvl="0">
      <w:lvlJc w:val="left"/>
      <w:lvlText w:val="%1"/>
      <w:numFmt w:val="lowerLetter"/>
      <w:start w:val="1"/>
    </w:lvl>
    <w:lvl w:ilvl="1">
      <w:lvlJc w:val="left"/>
      <w:lvlText w:val="(%2)"/>
      <w:numFmt w:val="lowerLetter"/>
      <w:start w:val="5"/>
    </w:lvl>
  </w:abstractNum>
  <w:abstractNum w:abstractNumId="233">
    <w:nsid w:val="4382503"/>
    <w:multiLevelType w:val="hybridMultilevel"/>
    <w:lvl w:ilvl="0">
      <w:lvlJc w:val="left"/>
      <w:lvlText w:val="(%1)"/>
      <w:numFmt w:val="lowerLetter"/>
      <w:start w:val="4"/>
    </w:lvl>
    <w:lvl w:ilvl="1">
      <w:lvlJc w:val="left"/>
      <w:lvlText w:val="(%2)"/>
      <w:numFmt w:val="lowerLetter"/>
      <w:start w:val="6"/>
    </w:lvl>
  </w:abstractNum>
  <w:abstractNum w:abstractNumId="234">
    <w:nsid w:val="59B76E28"/>
    <w:multiLevelType w:val="hybridMultilevel"/>
    <w:lvl w:ilvl="0">
      <w:lvlJc w:val="left"/>
      <w:lvlText w:val="%1."/>
      <w:numFmt w:val="decimal"/>
      <w:start w:val="9"/>
    </w:lvl>
  </w:abstractNum>
  <w:abstractNum w:abstractNumId="235">
    <w:nsid w:val="4252C2DA"/>
    <w:multiLevelType w:val="hybridMultilevel"/>
    <w:lvl w:ilvl="0">
      <w:lvlJc w:val="left"/>
      <w:lvlText w:val="(%1)"/>
      <w:numFmt w:val="lowerLetter"/>
      <w:start w:val="1"/>
    </w:lvl>
  </w:abstractNum>
  <w:abstractNum w:abstractNumId="236">
    <w:nsid w:val="6A92EF4C"/>
    <w:multiLevelType w:val="hybridMultilevel"/>
    <w:lvl w:ilvl="0">
      <w:lvlJc w:val="left"/>
      <w:lvlText w:val="(%1)"/>
      <w:numFmt w:val="lowerLetter"/>
      <w:start w:val="2"/>
    </w:lvl>
  </w:abstractNum>
  <w:abstractNum w:abstractNumId="237">
    <w:nsid w:val="41ED20D7"/>
    <w:multiLevelType w:val="hybridMultilevel"/>
    <w:lvl w:ilvl="0">
      <w:lvlJc w:val="left"/>
      <w:lvlText w:val="%1."/>
      <w:numFmt w:val="decimal"/>
      <w:start w:val="12"/>
    </w:lvl>
  </w:abstractNum>
  <w:abstractNum w:abstractNumId="238">
    <w:nsid w:val="E6B3F6A"/>
    <w:multiLevelType w:val="hybridMultilevel"/>
    <w:lvl w:ilvl="0">
      <w:lvlJc w:val="left"/>
      <w:lvlText w:val="(%1)"/>
      <w:numFmt w:val="lowerLetter"/>
      <w:start w:val="1"/>
    </w:lvl>
  </w:abstractNum>
  <w:abstractNum w:abstractNumId="239">
    <w:nsid w:val="3EB21819"/>
    <w:multiLevelType w:val="hybridMultilevel"/>
    <w:lvl w:ilvl="0">
      <w:lvlJc w:val="left"/>
      <w:lvlText w:val="%1"/>
      <w:numFmt w:val="lowerLetter"/>
      <w:start w:val="1"/>
    </w:lvl>
    <w:lvl w:ilvl="1">
      <w:lvlJc w:val="left"/>
      <w:lvlText w:val="(%2)"/>
      <w:numFmt w:val="lowerLetter"/>
      <w:start w:val="2"/>
    </w:lvl>
  </w:abstractNum>
  <w:abstractNum w:abstractNumId="240">
    <w:nsid w:val="41531DED"/>
    <w:multiLevelType w:val="hybridMultilevel"/>
    <w:lvl w:ilvl="0">
      <w:lvlJc w:val="left"/>
      <w:lvlText w:val="(%1)"/>
      <w:numFmt w:val="lowerLetter"/>
      <w:start w:val="35"/>
    </w:lvl>
    <w:lvl w:ilvl="1">
      <w:lvlJc w:val="left"/>
      <w:lvlText w:val="%2"/>
      <w:numFmt w:val="lowerLetter"/>
      <w:start w:val="1"/>
    </w:lvl>
  </w:abstractNum>
  <w:abstractNum w:abstractNumId="241">
    <w:nsid w:val="6353CD2"/>
    <w:multiLevelType w:val="hybridMultilevel"/>
    <w:lvl w:ilvl="0">
      <w:lvlJc w:val="left"/>
      <w:lvlText w:val="%1."/>
      <w:numFmt w:val="decimal"/>
      <w:start w:val="13"/>
    </w:lvl>
  </w:abstractNum>
  <w:abstractNum w:abstractNumId="242">
    <w:nsid w:val="683CAAD3"/>
    <w:multiLevelType w:val="hybridMultilevel"/>
    <w:lvl w:ilvl="0">
      <w:lvlJc w:val="left"/>
      <w:lvlText w:val="%1."/>
      <w:numFmt w:val="decimal"/>
      <w:start w:val="16"/>
    </w:lvl>
  </w:abstractNum>
  <w:abstractNum w:abstractNumId="243">
    <w:nsid w:val="313C7C99"/>
    <w:multiLevelType w:val="hybridMultilevel"/>
    <w:lvl w:ilvl="0">
      <w:lvlJc w:val="left"/>
      <w:lvlText w:val="(%1)"/>
      <w:numFmt w:val="lowerLetter"/>
      <w:start w:val="1"/>
    </w:lvl>
  </w:abstractNum>
  <w:abstractNum w:abstractNumId="244">
    <w:nsid w:val="519EB94C"/>
    <w:multiLevelType w:val="hybridMultilevel"/>
    <w:lvl w:ilvl="0">
      <w:lvlJc w:val="left"/>
      <w:lvlText w:val="%1."/>
      <w:numFmt w:val="decimal"/>
      <w:start w:val="1"/>
    </w:lvl>
  </w:abstractNum>
  <w:abstractNum w:abstractNumId="245">
    <w:nsid w:val="39DF2579"/>
    <w:multiLevelType w:val="hybridMultilevel"/>
    <w:lvl w:ilvl="0">
      <w:lvlJc w:val="left"/>
      <w:lvlText w:val="$"/>
      <w:numFmt w:val="bullet"/>
      <w:start w:val="1"/>
    </w:lvl>
  </w:abstractNum>
  <w:abstractNum w:abstractNumId="246">
    <w:nsid w:val="126E008B"/>
    <w:multiLevelType w:val="hybridMultilevel"/>
    <w:lvl w:ilvl="0">
      <w:lvlJc w:val="left"/>
      <w:lvlText w:val="$"/>
      <w:numFmt w:val="bullet"/>
      <w:start w:val="1"/>
    </w:lvl>
  </w:abstractNum>
  <w:abstractNum w:abstractNumId="247">
    <w:nsid w:val="34DFBC00"/>
    <w:multiLevelType w:val="hybridMultilevel"/>
    <w:lvl w:ilvl="0">
      <w:lvlJc w:val="left"/>
      <w:lvlText w:val="%1."/>
      <w:numFmt w:val="decimal"/>
      <w:start w:val="1"/>
    </w:lvl>
  </w:abstractNum>
  <w:abstractNum w:abstractNumId="248">
    <w:nsid w:val="1F9EC322"/>
    <w:multiLevelType w:val="hybridMultilevel"/>
    <w:lvl w:ilvl="0">
      <w:lvlJc w:val="left"/>
      <w:lvlText w:val="%1."/>
      <w:numFmt w:val="decimal"/>
      <w:start w:val="2"/>
    </w:lvl>
  </w:abstractNum>
  <w:abstractNum w:abstractNumId="249">
    <w:nsid w:val="3410ED56"/>
    <w:multiLevelType w:val="hybridMultilevel"/>
    <w:lvl w:ilvl="0">
      <w:lvlJc w:val="left"/>
      <w:lvlText w:val="(%1)"/>
      <w:numFmt w:val="lowerLetter"/>
      <w:start w:val="1"/>
    </w:lvl>
  </w:abstractNum>
  <w:abstractNum w:abstractNumId="250">
    <w:nsid w:val="23C049A"/>
    <w:multiLevelType w:val="hybridMultilevel"/>
    <w:lvl w:ilvl="0">
      <w:lvlJc w:val="left"/>
      <w:lvlText w:val="(%1)"/>
      <w:numFmt w:val="lowerLetter"/>
      <w:start w:val="2"/>
    </w:lvl>
  </w:abstractNum>
  <w:abstractNum w:abstractNumId="251">
    <w:nsid w:val="5BDA35D4"/>
    <w:multiLevelType w:val="hybridMultilevel"/>
    <w:lvl w:ilvl="0">
      <w:lvlJc w:val="left"/>
      <w:lvlText w:val="(%1)"/>
      <w:numFmt w:val="lowerLetter"/>
      <w:start w:val="4"/>
    </w:lvl>
  </w:abstractNum>
  <w:abstractNum w:abstractNumId="252">
    <w:nsid w:val="496FB218"/>
    <w:multiLevelType w:val="hybridMultilevel"/>
    <w:lvl w:ilvl="0">
      <w:lvlJc w:val="left"/>
      <w:lvlText w:val="%1."/>
      <w:numFmt w:val="decimal"/>
      <w:start w:val="3"/>
    </w:lvl>
    <w:lvl w:ilvl="1">
      <w:lvlJc w:val="left"/>
      <w:lvlText w:val="(%2)"/>
      <w:numFmt w:val="lowerLetter"/>
      <w:start w:val="1"/>
    </w:lvl>
  </w:abstractNum>
  <w:abstractNum w:abstractNumId="253">
    <w:nsid w:val="680EA5D1"/>
    <w:multiLevelType w:val="hybridMultilevel"/>
    <w:lvl w:ilvl="0">
      <w:lvlJc w:val="left"/>
      <w:lvlText w:val="%1"/>
      <w:numFmt w:val="lowerLetter"/>
      <w:start w:val="1"/>
    </w:lvl>
    <w:lvl w:ilvl="1">
      <w:lvlJc w:val="left"/>
      <w:lvlText w:val="(%2)"/>
      <w:numFmt w:val="lowerLetter"/>
      <w:start w:val="4"/>
    </w:lvl>
  </w:abstractNum>
  <w:abstractNum w:abstractNumId="254">
    <w:nsid w:val="4A9554FE"/>
    <w:multiLevelType w:val="hybridMultilevel"/>
    <w:lvl w:ilvl="0">
      <w:lvlJc w:val="left"/>
      <w:lvlText w:val="(%1)"/>
      <w:numFmt w:val="lowerLetter"/>
      <w:start w:val="9"/>
    </w:lvl>
    <w:lvl w:ilvl="1">
      <w:lvlJc w:val="left"/>
      <w:lvlText w:val="%2"/>
      <w:numFmt w:val="lowerLetter"/>
      <w:start w:val="1"/>
    </w:lvl>
  </w:abstractNum>
  <w:abstractNum w:abstractNumId="255">
    <w:nsid w:val="392EDBE4"/>
    <w:multiLevelType w:val="hybridMultilevel"/>
    <w:lvl w:ilvl="0">
      <w:lvlJc w:val="left"/>
      <w:lvlText w:val="(%1)"/>
      <w:numFmt w:val="lowerLetter"/>
      <w:start w:val="6"/>
    </w:lvl>
  </w:abstractNum>
  <w:abstractNum w:abstractNumId="256">
    <w:nsid w:val="3D1A2DD9"/>
    <w:multiLevelType w:val="hybridMultilevel"/>
    <w:lvl w:ilvl="0">
      <w:lvlJc w:val="left"/>
      <w:lvlText w:val="(%1)"/>
      <w:numFmt w:val="lowerLetter"/>
      <w:start w:val="8"/>
    </w:lvl>
  </w:abstractNum>
  <w:abstractNum w:abstractNumId="257">
    <w:nsid w:val="7F618FCD"/>
    <w:multiLevelType w:val="hybridMultilevel"/>
    <w:lvl w:ilvl="0">
      <w:lvlJc w:val="left"/>
      <w:lvlText w:val="(%1)"/>
      <w:numFmt w:val="lowerLetter"/>
      <w:start w:val="10"/>
    </w:lvl>
    <w:lvl w:ilvl="1">
      <w:lvlJc w:val="left"/>
      <w:lvlText w:val="(%2)"/>
      <w:numFmt w:val="lowerLetter"/>
      <w:start w:val="35"/>
    </w:lvl>
  </w:abstractNum>
  <w:abstractNum w:abstractNumId="258">
    <w:nsid w:val="7843E45"/>
    <w:multiLevelType w:val="hybridMultilevel"/>
    <w:lvl w:ilvl="0">
      <w:lvlJc w:val="left"/>
      <w:lvlText w:val="(%1)"/>
      <w:numFmt w:val="lowerLetter"/>
      <w:start w:val="13"/>
    </w:lvl>
  </w:abstractNum>
  <w:abstractNum w:abstractNumId="259">
    <w:nsid w:val="9815DA3"/>
    <w:multiLevelType w:val="hybridMultilevel"/>
    <w:lvl w:ilvl="0">
      <w:lvlJc w:val="left"/>
      <w:lvlText w:val="(%1)"/>
      <w:numFmt w:val="lowerLetter"/>
      <w:start w:val="17"/>
    </w:lvl>
  </w:abstractNum>
  <w:abstractNum w:abstractNumId="260">
    <w:nsid w:val="5204A191"/>
    <w:multiLevelType w:val="hybridMultilevel"/>
    <w:lvl w:ilvl="0">
      <w:lvlJc w:val="left"/>
      <w:lvlText w:val="%1"/>
      <w:numFmt w:val="lowerLetter"/>
      <w:start w:val="1"/>
    </w:lvl>
    <w:lvl w:ilvl="1">
      <w:lvlJc w:val="left"/>
      <w:lvlText w:val="(%2)"/>
      <w:numFmt w:val="lowerLetter"/>
      <w:start w:val="21"/>
    </w:lvl>
  </w:abstractNum>
  <w:abstractNum w:abstractNumId="261">
    <w:nsid w:val="4C73A9C6"/>
    <w:multiLevelType w:val="hybridMultilevel"/>
    <w:lvl w:ilvl="0">
      <w:lvlJc w:val="left"/>
      <w:lvlText w:val="(%1)"/>
      <w:numFmt w:val="lowerLetter"/>
      <w:start w:val="9"/>
    </w:lvl>
    <w:lvl w:ilvl="1">
      <w:lvlJc w:val="left"/>
      <w:lvlText w:val="(%2)"/>
      <w:numFmt w:val="lowerLetter"/>
      <w:start w:val="23"/>
    </w:lvl>
  </w:abstractNum>
  <w:abstractNum w:abstractNumId="262">
    <w:nsid w:val="1C7E3C01"/>
    <w:multiLevelType w:val="hybridMultilevel"/>
    <w:lvl w:ilvl="0">
      <w:lvlJc w:val="left"/>
      <w:lvlText w:val="(%1)"/>
      <w:numFmt w:val="lowerLetter"/>
      <w:start w:val="26"/>
    </w:lvl>
  </w:abstractNum>
  <w:abstractNum w:abstractNumId="263">
    <w:nsid w:val="1C2201FF"/>
    <w:multiLevelType w:val="hybridMultilevel"/>
    <w:lvl w:ilvl="0">
      <w:lvlJc w:val="left"/>
      <w:lvlText w:val="%1"/>
      <w:numFmt w:val="lowerLetter"/>
      <w:start w:val="1"/>
    </w:lvl>
    <w:lvl w:ilvl="1">
      <w:lvlJc w:val="left"/>
      <w:lvlText w:val="(%2)"/>
      <w:numFmt w:val="lowerLetter"/>
      <w:start w:val="27"/>
    </w:lvl>
  </w:abstractNum>
  <w:abstractNum w:abstractNumId="264">
    <w:nsid w:val="50ABCEC9"/>
    <w:multiLevelType w:val="hybridMultilevel"/>
    <w:lvl w:ilvl="0">
      <w:lvlJc w:val="left"/>
      <w:lvlText w:val="(%1)"/>
      <w:numFmt w:val="lowerLetter"/>
      <w:start w:val="61"/>
    </w:lvl>
    <w:lvl w:ilvl="1">
      <w:lvlJc w:val="left"/>
      <w:lvlText w:val="%2"/>
      <w:numFmt w:val="lowerLetter"/>
      <w:start w:val="1"/>
    </w:lvl>
  </w:abstractNum>
  <w:abstractNum w:abstractNumId="265">
    <w:nsid w:val="7635AA2A"/>
    <w:multiLevelType w:val="hybridMultilevel"/>
    <w:lvl w:ilvl="0">
      <w:lvlJc w:val="left"/>
      <w:lvlText w:val="(%1)"/>
      <w:numFmt w:val="lowerLetter"/>
      <w:start w:val="9"/>
    </w:lvl>
    <w:lvl w:ilvl="1">
      <w:lvlJc w:val="left"/>
      <w:lvlText w:val="%2"/>
      <w:numFmt w:val="lowerLetter"/>
      <w:start w:val="1"/>
    </w:lvl>
  </w:abstractNum>
  <w:abstractNum w:abstractNumId="266">
    <w:nsid w:val="5E74C4D9"/>
    <w:multiLevelType w:val="hybridMultilevel"/>
    <w:lvl w:ilvl="0">
      <w:lvlJc w:val="left"/>
      <w:lvlText w:val="%1"/>
      <w:numFmt w:val="lowerLetter"/>
      <w:start w:val="1"/>
    </w:lvl>
    <w:lvl w:ilvl="1">
      <w:lvlJc w:val="left"/>
      <w:lvlText w:val="(%2)"/>
      <w:numFmt w:val="lowerLetter"/>
      <w:start w:val="29"/>
    </w:lvl>
  </w:abstractNum>
  <w:abstractNum w:abstractNumId="267">
    <w:nsid w:val="3B3EBE15"/>
    <w:multiLevelType w:val="hybridMultilevel"/>
    <w:lvl w:ilvl="0">
      <w:lvlJc w:val="left"/>
      <w:lvlText w:val="(%1)"/>
      <w:numFmt w:val="lowerLetter"/>
      <w:start w:val="9"/>
    </w:lvl>
    <w:lvl w:ilvl="1">
      <w:lvlJc w:val="left"/>
      <w:lvlText w:val="(%2)"/>
      <w:numFmt w:val="lowerLetter"/>
      <w:start w:val="30"/>
    </w:lvl>
  </w:abstractNum>
  <w:abstractNum w:abstractNumId="268">
    <w:nsid w:val="3822CB01"/>
    <w:multiLevelType w:val="hybridMultilevel"/>
    <w:lvl w:ilvl="0">
      <w:lvlJc w:val="left"/>
      <w:lvlText w:val="(%1)"/>
      <w:numFmt w:val="lowerLetter"/>
      <w:start w:val="61"/>
    </w:lvl>
    <w:lvl w:ilvl="1">
      <w:lvlJc w:val="left"/>
      <w:lvlText w:val="(%2)"/>
      <w:numFmt w:val="lowerLetter"/>
      <w:start w:val="31"/>
    </w:lvl>
  </w:abstractNum>
  <w:abstractNum w:abstractNumId="269">
    <w:nsid w:val="6CE00443"/>
    <w:multiLevelType w:val="hybridMultilevel"/>
    <w:lvl w:ilvl="0">
      <w:lvlJc w:val="left"/>
      <w:lvlText w:val="(%1)"/>
      <w:numFmt w:val="lowerLetter"/>
      <w:start w:val="33"/>
    </w:lvl>
  </w:abstractNum>
  <w:abstractNum w:abstractNumId="270">
    <w:nsid w:val="79F0D62F"/>
    <w:multiLevelType w:val="hybridMultilevel"/>
    <w:lvl w:ilvl="0">
      <w:lvlJc w:val="left"/>
      <w:lvlText w:val="(%1)"/>
      <w:numFmt w:val="lowerLetter"/>
      <w:start w:val="37"/>
    </w:lvl>
  </w:abstractNum>
  <w:abstractNum w:abstractNumId="271">
    <w:nsid w:val="7975E8EE"/>
    <w:multiLevelType w:val="hybridMultilevel"/>
    <w:lvl w:ilvl="0">
      <w:lvlJc w:val="left"/>
      <w:lvlText w:val="%1"/>
      <w:numFmt w:val="decimal"/>
      <w:start w:val="1"/>
    </w:lvl>
    <w:lvl w:ilvl="1">
      <w:lvlJc w:val="left"/>
      <w:lvlText w:val="(%2)"/>
      <w:numFmt w:val="lowerLetter"/>
      <w:start w:val="38"/>
    </w:lvl>
  </w:abstractNum>
  <w:abstractNum w:abstractNumId="272">
    <w:nsid w:val="73154115"/>
    <w:multiLevelType w:val="hybridMultilevel"/>
    <w:lvl w:ilvl="0">
      <w:lvlJc w:val="left"/>
      <w:lvlText w:val="%1."/>
      <w:numFmt w:val="decimal"/>
      <w:start w:val="4"/>
    </w:lvl>
    <w:lvl w:ilvl="1">
      <w:lvlJc w:val="left"/>
      <w:lvlText w:val="(%2)"/>
      <w:numFmt w:val="lowerLetter"/>
      <w:start w:val="1"/>
    </w:lvl>
  </w:abstractNum>
  <w:abstractNum w:abstractNumId="273">
    <w:nsid w:val="622D8102"/>
    <w:multiLevelType w:val="hybridMultilevel"/>
    <w:lvl w:ilvl="0">
      <w:lvlJc w:val="left"/>
      <w:lvlText w:val="(%1)"/>
      <w:numFmt w:val="lowerLetter"/>
      <w:start w:val="3"/>
    </w:lvl>
  </w:abstractNum>
  <w:abstractNum w:abstractNumId="274">
    <w:nsid w:val="2AB26587"/>
    <w:multiLevelType w:val="hybridMultilevel"/>
    <w:lvl w:ilvl="0">
      <w:lvlJc w:val="left"/>
      <w:lvlText w:val="(%1)"/>
      <w:numFmt w:val="lowerLetter"/>
      <w:start w:val="8"/>
    </w:lvl>
  </w:abstractNum>
  <w:abstractNum w:abstractNumId="275">
    <w:nsid w:val="44B3FA61"/>
    <w:multiLevelType w:val="hybridMultilevel"/>
    <w:lvl w:ilvl="0">
      <w:lvlJc w:val="left"/>
      <w:lvlText w:val="%1"/>
      <w:numFmt w:val="lowerRoman"/>
      <w:start w:val="1"/>
    </w:lvl>
    <w:lvl w:ilvl="1">
      <w:lvlJc w:val="left"/>
      <w:lvlText w:val="(%2)"/>
      <w:numFmt w:val="lowerLetter"/>
      <w:start w:val="13"/>
    </w:lvl>
  </w:abstractNum>
  <w:abstractNum w:abstractNumId="276">
    <w:nsid w:val="1C0CA67C"/>
    <w:multiLevelType w:val="hybridMultilevel"/>
    <w:lvl w:ilvl="0">
      <w:lvlJc w:val="left"/>
      <w:lvlText w:val="(%1)"/>
      <w:numFmt w:val="lowerRoman"/>
      <w:start w:val="1"/>
    </w:lvl>
    <w:lvl w:ilvl="1">
      <w:lvlJc w:val="left"/>
      <w:lvlText w:val="%2"/>
      <w:numFmt w:val="lowerLetter"/>
      <w:start w:val="1"/>
    </w:lvl>
  </w:abstractNum>
  <w:abstractNum w:abstractNumId="277">
    <w:nsid w:val="3D206613"/>
    <w:multiLevelType w:val="hybridMultilevel"/>
    <w:lvl w:ilvl="0">
      <w:lvlJc w:val="left"/>
      <w:lvlText w:val="(%1)"/>
      <w:numFmt w:val="lowerRoman"/>
      <w:start w:val="3"/>
    </w:lvl>
    <w:lvl w:ilvl="1">
      <w:lvlJc w:val="left"/>
      <w:lvlText w:val="(%2)"/>
      <w:numFmt w:val="lowerLetter"/>
      <w:start w:val="14"/>
    </w:lvl>
  </w:abstractNum>
  <w:abstractNum w:abstractNumId="278">
    <w:nsid w:val="7993B662"/>
    <w:multiLevelType w:val="hybridMultilevel"/>
    <w:lvl w:ilvl="0">
      <w:lvlJc w:val="left"/>
      <w:lvlText w:val="(%1)"/>
      <w:numFmt w:val="lowerRoman"/>
      <w:start w:val="3"/>
    </w:lvl>
    <w:lvl w:ilvl="1">
      <w:lvlJc w:val="left"/>
      <w:lvlText w:val="(%2)"/>
      <w:numFmt w:val="lowerLetter"/>
      <w:start w:val="15"/>
    </w:lvl>
  </w:abstractNum>
  <w:abstractNum w:abstractNumId="279">
    <w:nsid w:val="3BAB699E"/>
    <w:multiLevelType w:val="hybridMultilevel"/>
    <w:lvl w:ilvl="0">
      <w:lvlJc w:val="left"/>
      <w:lvlText w:val="%1"/>
      <w:numFmt w:val="decimal"/>
      <w:start w:val="1"/>
    </w:lvl>
    <w:lvl w:ilvl="1">
      <w:lvlJc w:val="left"/>
      <w:lvlText w:val="(%2)"/>
      <w:numFmt w:val="lowerLetter"/>
      <w:start w:val="18"/>
    </w:lvl>
  </w:abstractNum>
  <w:abstractNum w:abstractNumId="280">
    <w:nsid w:val="71315369"/>
    <w:multiLevelType w:val="hybridMultilevel"/>
    <w:lvl w:ilvl="0">
      <w:lvlJc w:val="left"/>
      <w:lvlText w:val="%1."/>
      <w:numFmt w:val="decimal"/>
      <w:start w:val="5"/>
    </w:lvl>
    <w:lvl w:ilvl="1">
      <w:lvlJc w:val="left"/>
      <w:lvlText w:val="(%2)"/>
      <w:numFmt w:val="lowerLetter"/>
      <w:start w:val="1"/>
    </w:lvl>
  </w:abstractNum>
  <w:abstractNum w:abstractNumId="281">
    <w:nsid w:val="7BCFBAFC"/>
    <w:multiLevelType w:val="hybridMultilevel"/>
    <w:lvl w:ilvl="0">
      <w:lvlJc w:val="left"/>
      <w:lvlText w:val="(%1)"/>
      <w:numFmt w:val="lowerLetter"/>
      <w:start w:val="4"/>
    </w:lvl>
  </w:abstractNum>
  <w:abstractNum w:abstractNumId="282">
    <w:nsid w:val="17859F72"/>
    <w:multiLevelType w:val="hybridMultilevel"/>
    <w:lvl w:ilvl="0">
      <w:lvlJc w:val="left"/>
      <w:lvlText w:val="(%1)"/>
      <w:numFmt w:val="lowerLetter"/>
      <w:start w:val="6"/>
    </w:lvl>
  </w:abstractNum>
  <w:abstractNum w:abstractNumId="283">
    <w:nsid w:val="3AA10581"/>
    <w:multiLevelType w:val="hybridMultilevel"/>
    <w:lvl w:ilvl="0">
      <w:lvlJc w:val="left"/>
      <w:lvlText w:val="["/>
      <w:numFmt w:val="bullet"/>
      <w:start w:val="1"/>
    </w:lvl>
  </w:abstractNum>
  <w:abstractNum w:abstractNumId="284">
    <w:nsid w:val="63DE60CD"/>
    <w:multiLevelType w:val="hybridMultilevel"/>
    <w:lvl w:ilvl="0">
      <w:lvlJc w:val="left"/>
      <w:lvlText w:val="%1"/>
      <w:numFmt w:val="decimal"/>
      <w:start w:val="1"/>
    </w:lvl>
    <w:lvl w:ilvl="1">
      <w:lvlJc w:val="left"/>
      <w:lvlText w:val="(%2)"/>
      <w:numFmt w:val="lowerLetter"/>
      <w:start w:val="13"/>
    </w:lvl>
  </w:abstractNum>
  <w:abstractNum w:abstractNumId="285">
    <w:nsid w:val="621AF471"/>
    <w:multiLevelType w:val="hybridMultilevel"/>
    <w:lvl w:ilvl="0">
      <w:lvlJc w:val="left"/>
      <w:lvlText w:val="%1."/>
      <w:numFmt w:val="decimal"/>
      <w:start w:val="6"/>
    </w:lvl>
    <w:lvl w:ilvl="1">
      <w:lvlJc w:val="left"/>
      <w:lvlText w:val="(%2)"/>
      <w:numFmt w:val="lowerLetter"/>
      <w:start w:val="1"/>
    </w:lvl>
  </w:abstractNum>
  <w:abstractNum w:abstractNumId="286">
    <w:nsid w:val="73CFE165"/>
    <w:multiLevelType w:val="hybridMultilevel"/>
    <w:lvl w:ilvl="0">
      <w:lvlJc w:val="left"/>
      <w:lvlText w:val="%1."/>
      <w:numFmt w:val="decimal"/>
      <w:start w:val="7"/>
    </w:lvl>
    <w:lvl w:ilvl="1">
      <w:lvlJc w:val="left"/>
      <w:lvlText w:val="(%2)"/>
      <w:numFmt w:val="lowerLetter"/>
      <w:start w:val="1"/>
    </w:lvl>
  </w:abstractNum>
  <w:abstractNum w:abstractNumId="287">
    <w:nsid w:val="20F88EA6"/>
    <w:multiLevelType w:val="hybridMultilevel"/>
    <w:lvl w:ilvl="0">
      <w:lvlJc w:val="left"/>
      <w:lvlText w:val="(%1)"/>
      <w:numFmt w:val="lowerLetter"/>
      <w:start w:val="6"/>
    </w:lvl>
  </w:abstractNum>
  <w:abstractNum w:abstractNumId="288">
    <w:nsid w:val="617C843E"/>
    <w:multiLevelType w:val="hybridMultilevel"/>
    <w:lvl w:ilvl="0">
      <w:lvlJc w:val="left"/>
      <w:lvlText w:val="(%1)"/>
      <w:numFmt w:val="lowerLetter"/>
      <w:start w:val="7"/>
    </w:lvl>
  </w:abstractNum>
  <w:abstractNum w:abstractNumId="289">
    <w:nsid w:val="7B541FAB"/>
    <w:multiLevelType w:val="hybridMultilevel"/>
    <w:lvl w:ilvl="0">
      <w:lvlJc w:val="left"/>
      <w:lvlText w:val="(%1)"/>
      <w:numFmt w:val="lowerLetter"/>
      <w:start w:val="9"/>
    </w:lvl>
  </w:abstractNum>
  <w:abstractNum w:abstractNumId="290">
    <w:nsid w:val="2A79EC49"/>
    <w:multiLevelType w:val="hybridMultilevel"/>
    <w:lvl w:ilvl="0">
      <w:lvlJc w:val="left"/>
      <w:lvlText w:val="(%1)"/>
      <w:numFmt w:val="lowerLetter"/>
      <w:start w:val="13"/>
    </w:lvl>
  </w:abstractNum>
  <w:abstractNum w:abstractNumId="291">
    <w:nsid w:val="338125CF"/>
    <w:multiLevelType w:val="hybridMultilevel"/>
    <w:lvl w:ilvl="0">
      <w:lvlJc w:val="left"/>
      <w:lvlText w:val="%1."/>
      <w:numFmt w:val="decimal"/>
      <w:start w:val="8"/>
    </w:lvl>
  </w:abstractNum>
  <w:abstractNum w:abstractNumId="292">
    <w:nsid w:val="47C7C971"/>
    <w:multiLevelType w:val="hybridMultilevel"/>
    <w:lvl w:ilvl="0">
      <w:lvlJc w:val="left"/>
      <w:lvlText w:val="(%1)"/>
      <w:numFmt w:val="lowerLetter"/>
      <w:start w:val="1"/>
    </w:lvl>
  </w:abstractNum>
  <w:abstractNum w:abstractNumId="293">
    <w:nsid w:val="46F8284B"/>
    <w:multiLevelType w:val="hybridMultilevel"/>
    <w:lvl w:ilvl="0">
      <w:lvlJc w:val="left"/>
      <w:lvlText w:val="(%1)"/>
      <w:numFmt w:val="lowerLetter"/>
      <w:start w:val="2"/>
    </w:lvl>
  </w:abstractNum>
  <w:abstractNum w:abstractNumId="294">
    <w:nsid w:val="4FA327CE"/>
    <w:multiLevelType w:val="hybridMultilevel"/>
    <w:lvl w:ilvl="0">
      <w:lvlJc w:val="left"/>
      <w:lvlText w:val="(%1)"/>
      <w:numFmt w:val="lowerLetter"/>
      <w:start w:val="3"/>
    </w:lvl>
  </w:abstractNum>
  <w:abstractNum w:abstractNumId="295">
    <w:nsid w:val="1873983A"/>
    <w:multiLevelType w:val="hybridMultilevel"/>
    <w:lvl w:ilvl="0">
      <w:lvlJc w:val="left"/>
      <w:lvlText w:val="%1"/>
      <w:numFmt w:val="lowerLetter"/>
      <w:start w:val="1"/>
    </w:lvl>
    <w:lvl w:ilvl="1">
      <w:lvlJc w:val="left"/>
      <w:lvlText w:val="(%2)"/>
      <w:numFmt w:val="lowerLetter"/>
      <w:start w:val="4"/>
    </w:lvl>
  </w:abstractNum>
  <w:abstractNum w:abstractNumId="296">
    <w:nsid w:val="3D2DD275"/>
    <w:multiLevelType w:val="hybridMultilevel"/>
    <w:lvl w:ilvl="0">
      <w:lvlJc w:val="left"/>
      <w:lvlText w:val="(%1)"/>
      <w:numFmt w:val="lowerLetter"/>
      <w:start w:val="4"/>
    </w:lvl>
    <w:lvl w:ilvl="1">
      <w:lvlJc w:val="left"/>
      <w:lvlText w:val="(%2)"/>
      <w:numFmt w:val="lowerLetter"/>
      <w:start w:val="6"/>
    </w:lvl>
  </w:abstractNum>
  <w:abstractNum w:abstractNumId="297">
    <w:nsid w:val="2E17ECA7"/>
    <w:multiLevelType w:val="hybridMultilevel"/>
    <w:lvl w:ilvl="0">
      <w:lvlJc w:val="left"/>
      <w:lvlText w:val="%1."/>
      <w:numFmt w:val="decimal"/>
      <w:start w:val="9"/>
    </w:lvl>
  </w:abstractNum>
  <w:abstractNum w:abstractNumId="298">
    <w:nsid w:val="53B2564F"/>
    <w:multiLevelType w:val="hybridMultilevel"/>
    <w:lvl w:ilvl="0">
      <w:lvlJc w:val="left"/>
      <w:lvlText w:val="(%1)"/>
      <w:numFmt w:val="lowerLetter"/>
      <w:start w:val="1"/>
    </w:lvl>
  </w:abstractNum>
  <w:abstractNum w:abstractNumId="299">
    <w:nsid w:val="75509D76"/>
    <w:multiLevelType w:val="hybridMultilevel"/>
    <w:lvl w:ilvl="0">
      <w:lvlJc w:val="left"/>
      <w:lvlText w:val="(%1)"/>
      <w:numFmt w:val="lowerLetter"/>
      <w:start w:val="3"/>
    </w:lvl>
  </w:abstractNum>
  <w:abstractNum w:abstractNumId="300">
    <w:nsid w:val="1AF7F0EA"/>
    <w:multiLevelType w:val="hybridMultilevel"/>
    <w:lvl w:ilvl="0">
      <w:lvlJc w:val="left"/>
      <w:lvlText w:val="%1."/>
      <w:numFmt w:val="decimal"/>
      <w:start w:val="12"/>
    </w:lvl>
  </w:abstractNum>
  <w:abstractNum w:abstractNumId="301">
    <w:nsid w:val="4DA32C7E"/>
    <w:multiLevelType w:val="hybridMultilevel"/>
    <w:lvl w:ilvl="0">
      <w:lvlJc w:val="left"/>
      <w:lvlText w:val="%1"/>
      <w:numFmt w:val="lowerRoman"/>
      <w:start w:val="1"/>
    </w:lvl>
    <w:lvl w:ilvl="1">
      <w:lvlJc w:val="left"/>
      <w:lvlText w:val="(%2)"/>
      <w:numFmt w:val="lowerLetter"/>
      <w:start w:val="1"/>
    </w:lvl>
  </w:abstractNum>
  <w:abstractNum w:abstractNumId="302">
    <w:nsid w:val="6EC68664"/>
    <w:multiLevelType w:val="hybridMultilevel"/>
    <w:lvl w:ilvl="0">
      <w:lvlJc w:val="left"/>
      <w:lvlText w:val="(%1)"/>
      <w:numFmt w:val="lowerRoman"/>
      <w:start w:val="6"/>
    </w:lvl>
    <w:lvl w:ilvl="1">
      <w:lvlJc w:val="left"/>
      <w:lvlText w:val="(%2)"/>
      <w:numFmt w:val="lowerLetter"/>
      <w:start w:val="2"/>
    </w:lvl>
  </w:abstractNum>
  <w:abstractNum w:abstractNumId="303">
    <w:nsid w:val="E0D31FF"/>
    <w:multiLevelType w:val="hybridMultilevel"/>
    <w:lvl w:ilvl="0">
      <w:lvlJc w:val="left"/>
      <w:lvlText w:val="(%1)"/>
      <w:numFmt w:val="lowerRoman"/>
      <w:start w:val="2"/>
    </w:lvl>
    <w:lvl w:ilvl="1">
      <w:lvlJc w:val="left"/>
      <w:lvlText w:val="%2"/>
      <w:numFmt w:val="lowerLetter"/>
      <w:start w:val="1"/>
    </w:lvl>
  </w:abstractNum>
  <w:abstractNum w:abstractNumId="304">
    <w:nsid w:val="2FD0AD81"/>
    <w:multiLevelType w:val="hybridMultilevel"/>
    <w:lvl w:ilvl="0">
      <w:lvlJc w:val="left"/>
      <w:lvlText w:val="%1."/>
      <w:numFmt w:val="decimal"/>
      <w:start w:val="13"/>
    </w:lvl>
  </w:abstractNum>
  <w:abstractNum w:abstractNumId="305">
    <w:nsid w:val="1978EBEB"/>
    <w:multiLevelType w:val="hybridMultilevel"/>
    <w:lvl w:ilvl="0">
      <w:lvlJc w:val="left"/>
      <w:lvlText w:val="(%1)"/>
      <w:numFmt w:val="lowerLetter"/>
      <w:start w:val="1"/>
    </w:lvl>
  </w:abstractNum>
  <w:abstractNum w:abstractNumId="306">
    <w:nsid w:val="52C12C61"/>
    <w:multiLevelType w:val="hybridMultilevel"/>
    <w:lvl w:ilvl="0">
      <w:lvlJc w:val="left"/>
      <w:lvlText w:val="(%1)"/>
      <w:numFmt w:val="lowerLetter"/>
      <w:start w:val="5"/>
    </w:lvl>
  </w:abstractNum>
  <w:abstractNum w:abstractNumId="307">
    <w:nsid w:val="4BDD53FD"/>
    <w:multiLevelType w:val="hybridMultilevel"/>
    <w:lvl w:ilvl="0">
      <w:lvlJc w:val="left"/>
      <w:lvlText w:val="%1."/>
      <w:numFmt w:val="decimal"/>
      <w:start w:val="2"/>
    </w:lvl>
  </w:abstractNum>
  <w:abstractNum w:abstractNumId="308">
    <w:nsid w:val="569951FE"/>
    <w:multiLevelType w:val="hybridMultilevel"/>
    <w:lvl w:ilvl="0">
      <w:lvlJc w:val="left"/>
      <w:lvlText w:val="%1."/>
      <w:numFmt w:val="decimal"/>
      <w:start w:val="7"/>
    </w:lvl>
  </w:abstractNum>
  <w:abstractNum w:abstractNumId="309">
    <w:nsid w:val="4C54E2C3"/>
    <w:multiLevelType w:val="hybridMultilevel"/>
    <w:lvl w:ilvl="0">
      <w:lvlJc w:val="left"/>
      <w:lvlText w:val="•"/>
      <w:numFmt w:val="bullet"/>
      <w:start w:val="1"/>
    </w:lvl>
  </w:abstractNum>
  <w:abstractNum w:abstractNumId="310">
    <w:nsid w:val="788BD9B"/>
    <w:multiLevelType w:val="hybridMultilevel"/>
    <w:lvl w:ilvl="0">
      <w:lvlJc w:val="left"/>
      <w:lvlText w:val="•"/>
      <w:numFmt w:val="bullet"/>
      <w:start w:val="1"/>
    </w:lvl>
  </w:abstractNum>
  <w:abstractNum w:abstractNumId="311">
    <w:nsid w:val="47CAA56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jpeg"/><Relationship Id="rId377" Type="http://schemas.openxmlformats.org/officeDocument/2006/relationships/image" Target="media/image3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2019-12-08T20:43:53Z</dcterms:created>
  <dcterms:modified xsi:type="dcterms:W3CDTF">2019-12-08T20:43:53Z</dcterms:modified>
</cp:coreProperties>
</file>