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Easterly Joshua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4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06/18/2012</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6.6</w:t>
            </w:r>
          </w:p>
        </w:tc>
        <w:tc>
          <w:tcPr>
            <w:tcW w:w="50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1,006.2</w:t>
            </w:r>
          </w:p>
        </w:tc>
        <w:tc>
          <w:tcPr>
            <w:tcW w:w="1320" w:type="dxa"/>
            <w:vAlign w:val="bottom"/>
            <w:gridSpan w:val="3"/>
            <w:vMerge w:val="restart"/>
          </w:tcPr>
          <w:p>
            <w:pPr>
              <w:ind w:left="500"/>
              <w:spacing w:after="0"/>
              <w:rPr>
                <w:sz w:val="20"/>
                <w:szCs w:val="20"/>
                <w:color w:val="auto"/>
              </w:rPr>
            </w:pPr>
            <w:r>
              <w:rPr>
                <w:rFonts w:ascii="Arial" w:cs="Arial" w:eastAsia="Arial" w:hAnsi="Arial"/>
                <w:sz w:val="18"/>
                <w:szCs w:val="18"/>
                <w:color w:val="0000FF"/>
              </w:rPr>
              <w:t>65.5</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21,571 shares of Common Stock of the Issuer, including 65.5 shares of Common Stock of the Issuer indirectly beneficially owned by Mr. Easterly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Easterly pursuant to the authorization and designation letter dated March 10, 2011, which was previously filed with the Securities and Exchange Commission as an exhibit to a Form 3 filed by Mr. Easterly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13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6"/>
              </w:rPr>
              <w:t>Joshua Easterly (2)</w:t>
            </w:r>
          </w:p>
        </w:tc>
        <w:tc>
          <w:tcPr>
            <w:tcW w:w="7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67"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2019-12-17T05:27:58Z</dcterms:created>
  <dcterms:modified xsi:type="dcterms:W3CDTF">2019-12-17T05:27:58Z</dcterms:modified>
</cp:coreProperties>
</file>