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8, 2015, TPG Specialty Lending, Inc. issued the following press release: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Corrects Misleading Statements from TICC Capital Corp.</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YORK—(</w:t>
      </w:r>
      <w:r>
        <w:rPr>
          <w:rFonts w:ascii="Arial" w:cs="Arial" w:eastAsia="Arial" w:hAnsi="Arial"/>
          <w:sz w:val="18"/>
          <w:szCs w:val="18"/>
          <w:u w:val="single" w:color="auto"/>
          <w:color w:val="auto"/>
        </w:rPr>
        <w:t>BUSINESS WIRE</w:t>
      </w:r>
      <w:r>
        <w:rPr>
          <w:rFonts w:ascii="Arial" w:cs="Arial" w:eastAsia="Arial" w:hAnsi="Arial"/>
          <w:sz w:val="18"/>
          <w:szCs w:val="18"/>
          <w:color w:val="auto"/>
        </w:rPr>
        <w:t>)—TPG Specialty Lending, Inc. (“TSLX”; NYSE:TSLX), a specialty finance company focused on lending to middle-market companies, corrected statements made by TICC Capital Corp. (“TICC”; Nasdaq:TICC) in its October 7 letter to stockholders regarding TSLX’s offer to acquire TICC in a stock-for-stock transaction valuing TICC at $7.50 per share. TSLX urges stockholders to vote the GOLD proxy card AGAINST management proposals at the upcoming special meeting of TICC stockholders on October 27, 2015.</w:t>
      </w:r>
    </w:p>
    <w:p>
      <w:pPr>
        <w:spacing w:after="0" w:line="18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Josh Easterly, Chairman and Co-Chief Executive Officer of TSLX stated: “We believe that TICC continues to hide the clear facts of our proposal through misleading statements to stockholders. TICC is trying to hide the value to stockholders behind metrics that don’t matter. Despite the unusual math and distracting claims put forth by TICC and BSP, they have provided zero clarity on the important points for stockholders to sufficiently evaluate their investment. We are confident TICC stockholders will see that our proposal offers immediate and upfront value to stockholders.”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TSLX urges stockholders to remember the following in reviewing TICC materials: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TSLX Proposal Was the First to Commit to Returning Capital to Stockholders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remind TICC stockholders that TSLX committed to returning capital to stockholders when we first made our proposal public on September 16. TICC and BSP announced their agreement on August 4, and yet neither company mentioned share repurchases as part of the transaction until well after our proposal was made public. Further, TICC</w:t>
      </w:r>
    </w:p>
    <w:p>
      <w:pPr>
        <w:sectPr>
          <w:pgSz w:w="11900" w:h="16838" w:orient="portrait"/>
          <w:cols w:equalWidth="0" w:num="1">
            <w:col w:w="11360"/>
          </w:cols>
          <w:pgMar w:left="240" w:top="274" w:right="299" w:bottom="1440" w:gutter="0" w:footer="0" w:header="0"/>
        </w:sectPr>
      </w:pPr>
    </w:p>
    <w:bookmarkStart w:id="3" w:name="page4"/>
    <w:bookmarkEnd w:id="3"/>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has never before utilized meaningful value-creating strategies such as stockholder buybacks, even when the stock was trading at a significant discount to reported net asset value. We believe TICC’s consistent failure to act for stockholders speaks for itself.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TICC Is Trying to Mischaracterize Our Intentions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 major TICC stockholder (owning 3% of all shares outstanding), our goal is to maximize the value to our fellow TICC stockholders – our incentives are fully aligned. TICC has claimed that we are motivated by increasing assets under management and management fees. This is simply not true. Since TSLX has been publicly traded, our stock price has never closed below net asset value, given our shareholder focus. If we were focused on increasing assets under management and fees to the external manager, we could have raised additional capital on any day since going public. We have not done so.</w:t>
      </w:r>
    </w:p>
    <w:p>
      <w:pPr>
        <w:spacing w:after="0" w:line="15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fact, when we publicized our proposal on September 16, we maintained that in the event we are not successful in deploying capital into high-quality assets with superior risk-adjusted returns, we will return excess capital to shareholders in the form of share repurchases, thereby forfeiting management fees for the benefit of our stockholders, which is consistent with our “shareholder first” philosophy.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TICC Is Sending Conflicting Messages about the Value of Your Shares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BSP supports a $50 to $100 million tender offer at 0.9x NAV.</w:t>
      </w:r>
      <w:r>
        <w:rPr>
          <w:rFonts w:ascii="Arial" w:cs="Arial" w:eastAsia="Arial" w:hAnsi="Arial"/>
          <w:sz w:val="14"/>
          <w:szCs w:val="14"/>
          <w:color w:val="auto"/>
        </w:rPr>
        <w:t>1</w:t>
      </w:r>
      <w:r>
        <w:rPr>
          <w:rFonts w:ascii="Arial" w:cs="Arial" w:eastAsia="Arial" w:hAnsi="Arial"/>
          <w:sz w:val="17"/>
          <w:szCs w:val="17"/>
          <w:color w:val="auto"/>
        </w:rPr>
        <w:t xml:space="preserve"> While TICC has continued to tell shareholders not to sell their shares for a price below NAV, they have proposed an offer to repurchase shares for less than NAV! Moreover, this offer from BSP is insignificant compared to TSLX’s offer to acquire ALL of TICC’s shares while giving TICC stockholders the opportunity to realize future value in our proven, market-leading platform.</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TICC Continues to NOT Answer Our Four Simple Questions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Finally, on multiple occasions we asked TICC four simple questions and received answers to none. Once again we ask those four simple questions:</w:t>
      </w:r>
    </w:p>
    <w:p>
      <w:pPr>
        <w:spacing w:after="0" w:line="237" w:lineRule="exact"/>
        <w:rPr>
          <w:sz w:val="20"/>
          <w:szCs w:val="20"/>
          <w:color w:val="auto"/>
        </w:rPr>
      </w:pPr>
    </w:p>
    <w:p>
      <w:pPr>
        <w:ind w:right="4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management or interested board members of TICC receiving compensation, remuneration, or other payments related to the proposed change of control of the TICC external manager?</w:t>
      </w:r>
    </w:p>
    <w:p>
      <w:pPr>
        <w:spacing w:after="0" w:line="170" w:lineRule="exact"/>
        <w:rPr>
          <w:rFonts w:ascii="Arial" w:cs="Arial" w:eastAsia="Arial" w:hAnsi="Arial"/>
          <w:sz w:val="18"/>
          <w:szCs w:val="18"/>
          <w:color w:val="auto"/>
        </w:rPr>
      </w:pPr>
    </w:p>
    <w:p>
      <w:pPr>
        <w:ind w:right="20" w:firstLine="8"/>
        <w:spacing w:after="0" w:line="277"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compared to other business development companies and asset classes, what results has management’s leadership produced for TICC stockholders in the past three years? What about since TICC’s initial public offering under this management team and board supervision?</w:t>
      </w:r>
    </w:p>
    <w:p>
      <w:pPr>
        <w:sectPr>
          <w:pgSz w:w="11900" w:h="16838" w:orient="portrait"/>
          <w:cols w:equalWidth="0" w:num="1">
            <w:col w:w="11400"/>
          </w:cols>
          <w:pgMar w:left="240" w:top="274" w:right="259" w:bottom="1440" w:gutter="0" w:footer="0" w:header="0"/>
        </w:sectPr>
      </w:pPr>
    </w:p>
    <w:bookmarkStart w:id="4" w:name="page5"/>
    <w:bookmarkEnd w:id="4"/>
    <w:p>
      <w:pPr>
        <w:ind w:right="6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Why should the TICC external manager that oversaw massive underperformance now be paid a premium to leave? Why can’t the board simply replace the manager in a way that pays TICC stockholders instead? Who is the TICC board looking out for here?</w:t>
      </w:r>
    </w:p>
    <w:p>
      <w:pPr>
        <w:spacing w:after="0" w:line="170" w:lineRule="exact"/>
        <w:rPr>
          <w:rFonts w:ascii="Arial" w:cs="Arial" w:eastAsia="Arial" w:hAnsi="Arial"/>
          <w:sz w:val="18"/>
          <w:szCs w:val="18"/>
          <w:color w:val="auto"/>
        </w:rPr>
      </w:pPr>
    </w:p>
    <w:p>
      <w:pPr>
        <w:ind w:right="24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Is TICC’s dividend sustainable? Is TICC currently earning enough to deliver its dividend? Does TICC disagree with five respected independent analysts who believe the TICC dividend will be cut?</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TSLX Proposal is the Only Proposal that Delivers Immediate and Upfront Value to TICC Stockholders. Vote Against TICC’s Proposals.</w:t>
      </w:r>
    </w:p>
    <w:p>
      <w:pPr>
        <w:spacing w:after="0" w:line="133"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 xml:space="preserve">TSLX urges stockholders to vote the GOLD proxy card AGAINST management proposals at the upcoming special meeting of TICC stockholders on October 27, 2015. 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xml:space="preserve"> for more information about TSLX’s highly compelling offer and the deficiencies of management’s proposals. Hold TICC management accountable for their performance.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pacing w:after="0" w:line="206" w:lineRule="exact"/>
        <w:rPr>
          <w:sz w:val="20"/>
          <w:szCs w:val="20"/>
          <w:color w:val="auto"/>
        </w:rPr>
      </w:pPr>
    </w:p>
    <w:p>
      <w:pPr>
        <w:ind w:left="460" w:right="300" w:hanging="452"/>
        <w:spacing w:after="0" w:line="277" w:lineRule="auto"/>
        <w:tabs>
          <w:tab w:leader="none" w:pos="460" w:val="left"/>
        </w:tabs>
        <w:numPr>
          <w:ilvl w:val="0"/>
          <w:numId w:val="9"/>
        </w:numPr>
        <w:rPr>
          <w:rFonts w:ascii="Arial" w:cs="Arial" w:eastAsia="Arial" w:hAnsi="Arial"/>
          <w:sz w:val="15"/>
          <w:szCs w:val="15"/>
          <w:color w:val="auto"/>
        </w:rPr>
      </w:pPr>
      <w:r>
        <w:rPr>
          <w:rFonts w:ascii="Arial" w:cs="Arial" w:eastAsia="Arial" w:hAnsi="Arial"/>
          <w:sz w:val="18"/>
          <w:szCs w:val="18"/>
          <w:color w:val="auto"/>
        </w:rPr>
        <w:t>Minimum tender offer price of approximately 0.9x NAV based on the current average price to NAV ratio for large-cap BDCs as indicated in TICC’s presentation publicized on October 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set forth herein includes forward-looking statements. These forward-looking statements include, but are not limited to, statements regarding TSLX proposed business combination transaction with TICC Capital Corp.</w:t>
      </w:r>
    </w:p>
    <w:p>
      <w:pPr>
        <w:sectPr>
          <w:pgSz w:w="11900" w:h="16838" w:orient="portrait"/>
          <w:cols w:equalWidth="0" w:num="1">
            <w:col w:w="11400"/>
          </w:cols>
          <w:pgMar w:left="240" w:top="274" w:right="259" w:bottom="1440" w:gutter="0" w:footer="0" w:header="0"/>
        </w:sectPr>
      </w:pPr>
    </w:p>
    <w:bookmarkStart w:id="5" w:name="page6"/>
    <w:bookmarkEnd w:id="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ectPr>
          <w:pgSz w:w="11900" w:h="16838" w:orient="portrait"/>
          <w:cols w:equalWidth="0" w:num="1">
            <w:col w:w="11360"/>
          </w:cols>
          <w:pgMar w:left="240" w:top="274" w:right="299" w:bottom="1440" w:gutter="0" w:footer="0" w:header="0"/>
        </w:sectPr>
      </w:pPr>
    </w:p>
    <w:bookmarkStart w:id="6" w:name="page7"/>
    <w:bookmarkEnd w:id="6"/>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information set forth herein is provided for informational purposes only and does not constitute an offer to purchase or the solicitation of an offer to sell any securities. TSLX has filed with the SEC and commenced mailing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 (b) the election of six directors nominated by TICC’s board of directors, and (c) the proposal to adjourn the meeting if necessary or appropriate to solicit additional votes.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 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 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3"/>
    </w:lvl>
  </w:abstractNum>
  <w:abstractNum w:abstractNumId="8">
    <w:nsid w:val="5BD062C2"/>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2019-12-20T21:58:09Z</dcterms:created>
  <dcterms:modified xsi:type="dcterms:W3CDTF">2019-12-20T21:58:09Z</dcterms:modified>
</cp:coreProperties>
</file>