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02/06/2013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65.9</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1,021.79</w:t>
            </w:r>
          </w:p>
        </w:tc>
        <w:tc>
          <w:tcPr>
            <w:tcW w:w="1300" w:type="dxa"/>
            <w:vAlign w:val="bottom"/>
            <w:gridSpan w:val="3"/>
            <w:vMerge w:val="restart"/>
          </w:tcPr>
          <w:p>
            <w:pPr>
              <w:ind w:left="520"/>
              <w:spacing w:after="0"/>
              <w:rPr>
                <w:sz w:val="20"/>
                <w:szCs w:val="20"/>
                <w:color w:val="auto"/>
              </w:rPr>
            </w:pPr>
            <w:r>
              <w:rPr>
                <w:rFonts w:ascii="Arial" w:cs="Arial" w:eastAsia="Arial" w:hAnsi="Arial"/>
                <w:sz w:val="18"/>
                <w:szCs w:val="18"/>
                <w:color w:val="0000FF"/>
              </w:rPr>
              <w:t>398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33,177 shares of Common Stock of the Issuer, including 398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02/08/2013</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2019-12-17T05:44:16Z</dcterms:created>
  <dcterms:modified xsi:type="dcterms:W3CDTF">2019-12-17T05:44:16Z</dcterms:modified>
</cp:coreProperties>
</file>