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4,534</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960.56</w:t>
            </w:r>
          </w:p>
        </w:tc>
        <w:tc>
          <w:tcPr>
            <w:tcW w:w="1300" w:type="dxa"/>
            <w:vAlign w:val="bottom"/>
            <w:gridSpan w:val="3"/>
            <w:vMerge w:val="restart"/>
          </w:tcPr>
          <w:p>
            <w:pPr>
              <w:ind w:left="440"/>
              <w:spacing w:after="0"/>
              <w:rPr>
                <w:sz w:val="20"/>
                <w:szCs w:val="20"/>
                <w:color w:val="auto"/>
              </w:rPr>
            </w:pPr>
            <w:r>
              <w:rPr>
                <w:rFonts w:ascii="Arial" w:cs="Arial" w:eastAsia="Arial" w:hAnsi="Arial"/>
                <w:sz w:val="18"/>
                <w:szCs w:val="18"/>
                <w:color w:val="0000FF"/>
              </w:rPr>
              <w:t>7,402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7,402 shares of Common Stock of the Issuer (the "TSL Shares"), including 407.0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08/03/2011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2019-12-17T04:41:34Z</dcterms:created>
  <dcterms:modified xsi:type="dcterms:W3CDTF">2019-12-17T04:41:34Z</dcterms:modified>
</cp:coreProperties>
</file>