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250825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4180" w:type="dxa"/>
            <w:vAlign w:val="bottom"/>
          </w:tcPr>
          <w:p>
            <w:pPr>
              <w:jc w:val="center"/>
              <w:ind w:right="23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8"/>
        </w:trPr>
        <w:tc>
          <w:tcPr>
            <w:tcW w:w="4180" w:type="dxa"/>
            <w:vAlign w:val="bottom"/>
          </w:tcPr>
          <w:p>
            <w:pPr>
              <w:jc w:val="center"/>
              <w:ind w:right="23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80" w:type="dxa"/>
            <w:vAlign w:val="bottom"/>
          </w:tcPr>
          <w:p>
            <w:pPr>
              <w:jc w:val="center"/>
              <w:ind w:right="23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8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7"/>
        </w:trPr>
        <w:tc>
          <w:tcPr>
            <w:tcW w:w="418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280" w:type="dxa"/>
            <w:vAlign w:val="bottom"/>
          </w:tcPr>
          <w:p>
            <w:pPr>
              <w:spacing w:after="0"/>
              <w:rPr>
                <w:sz w:val="19"/>
                <w:szCs w:val="19"/>
                <w:color w:val="auto"/>
              </w:rPr>
            </w:pPr>
          </w:p>
        </w:tc>
        <w:tc>
          <w:tcPr>
            <w:tcW w:w="2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180" w:type="dxa"/>
            <w:vAlign w:val="bottom"/>
          </w:tcPr>
          <w:p>
            <w:pPr>
              <w:jc w:val="center"/>
              <w:ind w:left="1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251460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40" w:type="dxa"/>
            <w:vAlign w:val="bottom"/>
            <w:gridSpan w:val="2"/>
            <w:vMerge w:val="continue"/>
          </w:tcPr>
          <w:p>
            <w:pPr>
              <w:spacing w:after="0"/>
              <w:rPr>
                <w:sz w:val="16"/>
                <w:szCs w:val="16"/>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TSLX</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 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23, 2021, Sixth Street Specialty Lending, Inc. (the “Company”) issued 4,000,000 shares (the “Shares”) of the Company’s common stock, par value $0.01 per share (“Common Stock”), pursuant to an Underwriting Agreement, dated February 18, 2021 (the “Underwriting Agreement”), among the Company, Street Specialty Lending Advisers, LLC (the “Adviser”) and Morgan Stanley &amp; Co. LLC, as representative of the several underwriters named on Schedule 1 thereto (collectively, the “Underwriters”). In addition, under the terms of the Underwriting Agreement, the Company granted the Underwriters an option to purchase an additional 600,000 shares of Common Stock, exercisable for 30 days from the date of the Underwriting Agreement.</w:t>
      </w:r>
    </w:p>
    <w:p>
      <w:pPr>
        <w:spacing w:after="0" w:line="183"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Shares were purchased by the Underwriters from the Company at a price of $21.30 per share, resulting in net proceeds to the Company of approximately $84.8 million, after deducting estimated offering expenses.</w:t>
      </w:r>
    </w:p>
    <w:p>
      <w:pPr>
        <w:spacing w:after="0" w:line="16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Shares were offered and sold pursuant to the Registration Statement on Form N-2 (File No. 333-231271) and a prospectus supplement and accompanying prospectus, dated February 18, 2021, filed with the Securities and Exchange Commission.</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full text of the Underwriting Agreement, filed as Exhibit 1.1 hereto and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9580" w:type="dxa"/>
            <w:vAlign w:val="bottom"/>
            <w:gridSpan w:val="4"/>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95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4"/>
                <w:szCs w:val="24"/>
                <w:color w:val="auto"/>
              </w:rPr>
            </w:pPr>
          </w:p>
        </w:tc>
        <w:tc>
          <w:tcPr>
            <w:tcW w:w="95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Underwriting Agreement, dated February 18, 2021, by and among the Company, the Adviser and the Morgan Stanley &amp; Co. LLC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representative of the several underwriters named in Schedule 1 thereto.</w:t>
              </w:r>
            </w:hyperlink>
          </w:p>
        </w:tc>
        <w:tc>
          <w:tcPr>
            <w:tcW w:w="4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580" w:type="dxa"/>
            <w:vAlign w:val="bottom"/>
            <w:gridSpan w:val="4"/>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Opinion of Cleary Gottlieb Steen &amp; Hamilton LLP</w:t>
              </w:r>
            </w:hyperlink>
          </w:p>
        </w:tc>
        <w:tc>
          <w:tcPr>
            <w:tcW w:w="0" w:type="dxa"/>
            <w:vAlign w:val="bottom"/>
          </w:tcPr>
          <w:p>
            <w:pPr>
              <w:spacing w:after="0"/>
              <w:rPr>
                <w:sz w:val="1"/>
                <w:szCs w:val="1"/>
                <w:color w:val="auto"/>
              </w:rPr>
            </w:pPr>
          </w:p>
        </w:tc>
      </w:tr>
      <w:tr>
        <w:trPr>
          <w:trHeight w:val="324"/>
        </w:trPr>
        <w:tc>
          <w:tcPr>
            <w:tcW w:w="5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w w:val="95"/>
              </w:rPr>
              <w:t>23.1</w:t>
            </w:r>
          </w:p>
        </w:tc>
        <w:tc>
          <w:tcPr>
            <w:tcW w:w="540" w:type="dxa"/>
            <w:vAlign w:val="bottom"/>
          </w:tcPr>
          <w:p>
            <w:pPr>
              <w:spacing w:after="0"/>
              <w:rPr>
                <w:sz w:val="24"/>
                <w:szCs w:val="24"/>
                <w:color w:val="auto"/>
              </w:rPr>
            </w:pPr>
          </w:p>
        </w:tc>
        <w:tc>
          <w:tcPr>
            <w:tcW w:w="9580" w:type="dxa"/>
            <w:vAlign w:val="bottom"/>
            <w:gridSpan w:val="4"/>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Consent of Cleary Gottlieb Steen &amp; Hamilton LLP (included as part of Exhibit 5.1)</w:t>
              </w:r>
            </w:hyperlink>
          </w:p>
        </w:tc>
        <w:tc>
          <w:tcPr>
            <w:tcW w:w="0" w:type="dxa"/>
            <w:vAlign w:val="bottom"/>
          </w:tcPr>
          <w:p>
            <w:pPr>
              <w:spacing w:after="0"/>
              <w:rPr>
                <w:sz w:val="1"/>
                <w:szCs w:val="1"/>
                <w:color w:val="auto"/>
              </w:rPr>
            </w:pPr>
          </w:p>
        </w:tc>
      </w:tr>
    </w:tbl>
    <w:p>
      <w:pPr>
        <w:sectPr>
          <w:pgSz w:w="11900" w:h="16838" w:orient="portrait"/>
          <w:cols w:equalWidth="0" w:num="1">
            <w:col w:w="11220"/>
          </w:cols>
          <w:pgMar w:left="320" w:top="266" w:right="3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740" w:val="left"/>
          <w:tab w:leader="none" w:pos="6180" w:val="left"/>
        </w:tabs>
        <w:rPr>
          <w:sz w:val="20"/>
          <w:szCs w:val="20"/>
          <w:color w:val="auto"/>
        </w:rPr>
      </w:pPr>
      <w:r>
        <w:rPr>
          <w:rFonts w:ascii="Times New Roman" w:cs="Times New Roman" w:eastAsia="Times New Roman" w:hAnsi="Times New Roman"/>
          <w:sz w:val="18"/>
          <w:szCs w:val="18"/>
          <w:color w:val="auto"/>
        </w:rPr>
        <w:t>Date: February 23,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0"/>
          </w:cols>
          <w:pgMar w:left="320" w:top="270"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4,000,000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18,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Sixth Street Specialty Lending, Inc., a Delaware corporation (the “Company”), confirms its agreement with you and each of the other Underwriters named in Schedule 1 hereto (collectively, the “Underwriters”), for whom you are acting as representative (the “Representative”), with respect to the sale by the Company and the purchase by the Underwriters, acting severally and not jointly, of (i) 4,000,000 shares of common stock, par value $0.01 per share, of the Company (the “Common Stock”) and (ii) the option described in Section 2(b) hereof to purchase all or any part of 600,000 additional shares of Common Stock. The aforesaid 4,000,000 shares of the Common Stock (the “Initial Securities”) to be purchased by the Underwriters and all or any part of the 600,000 shares of Common Stock subject to the option described in Section 2(b) hereof (the “Option Securities”) are herein called, collectively, the “Securities.”</w:t>
      </w:r>
    </w:p>
    <w:p>
      <w:pPr>
        <w:spacing w:after="0" w:line="189"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Securities will be issued in book-entry form to Cede &amp; Co. as nominee of the Depository Trust Company (“DTC”) pursuant to a blanket letter of representations, dated as of March 24, 2014, between the Company and DTC.</w:t>
      </w:r>
    </w:p>
    <w:p>
      <w:pPr>
        <w:spacing w:after="0" w:line="162"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Securities as soon as the Representative deems advisable after this Agreement has been executed and delivered.</w:t>
      </w:r>
    </w:p>
    <w:p>
      <w:pPr>
        <w:sectPr>
          <w:pgSz w:w="11900" w:h="16838" w:orient="portrait"/>
          <w:cols w:equalWidth="0" w:num="1">
            <w:col w:w="11240"/>
          </w:cols>
          <w:pgMar w:left="320" w:top="117" w:right="339"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hereby confirms its agreement with the several Underwriters concerning the purchase and sale of the Securities, as follows:</w:t>
      </w:r>
    </w:p>
    <w:p>
      <w:pPr>
        <w:spacing w:after="0" w:line="117" w:lineRule="exact"/>
        <w:rPr>
          <w:sz w:val="20"/>
          <w:szCs w:val="20"/>
          <w:color w:val="auto"/>
        </w:rPr>
      </w:pPr>
    </w:p>
    <w:p>
      <w:pPr>
        <w:ind w:firstLine="457"/>
        <w:spacing w:after="0" w:line="251" w:lineRule="auto"/>
        <w:tabs>
          <w:tab w:leader="none" w:pos="6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 Form N-2 (File No. 333-231271), relating to the Securities and certain of the Company’s other securities, which registration statement became effective upon filing with the Commission on May 7, 2019. The Company has also prepared and filed with the Commission a preliminary prospectus supplement, dated February 18, 2021, as such prospectus may be amended (the “Preliminary Prospectus Supplement”), which contains a base prospectus, dated May 7, 2019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or Rule 430C (“Rule 430C”) promulgated under the Securities Act and Rule 497 (“Rule 497”). The information included or incorporated by reference in such prospectus that was omitted from such registration statement at the time it became effective but that is deemed to be part of such registration statement pursuant to Rule 430C is referred to as “Rule 430C Information” and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or Rule 430C Information contained in a prospectus subsequently filed with the Commission pursuant to Rule 497 under the Securities Act and deemed to be part of the registration statement and also including any registration statement filed pursuant to Rule 462(b) promulgated under the Securities Act, is herein called the “Registration Statement.” The final prospectus to be filed with the Commission pursuant to Rule 497 after the Applicable Time (as defined below) and to be used to confirm sales of the Securities, which will include the Base Prospectus, together with a final prospectus supplement, is hereinafter referred to as the “Prospectus.” Any reference herein to the Registration Statement, the Preliminary Prospectus and the Prospectus shall be deemed to refer to and include all financial statements and other information incorporated or deemed to be incorporated therein by reference pursuant to the rules of the Commission promulgated under the Securities Act, as of any specified date. All references in this Agreement to amendments or supplements to the Registration Statement or the Prospectus, including those made pursuant to Rule 497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under the rules of the Commission promulgated thereunder or otherwise to be a part of or included in the Registration Statement or the Prospectus, as the case may be, as of any specified date.</w:t>
      </w:r>
    </w:p>
    <w:p>
      <w:pPr>
        <w:spacing w:after="0" w:line="205"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70" w:right="339" w:bottom="1440" w:gutter="0" w:footer="0" w:header="0"/>
        </w:sectPr>
      </w:pPr>
    </w:p>
    <w:bookmarkStart w:id="5" w:name="page6"/>
    <w:bookmarkEnd w:id="5"/>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entered into an Amended and Restated Investment Advisory and Management Agreement, dated as of December 12, 2011 (the “Investment Management Agreement”), with Sixth Street Specialty Lending Advisers, LLC, a Delaware limited liability company registered as an investment adviser (the “Adviser”) under the Investment Advisers Act of 1940, as amended, and the rules and regulations thereunder (the “Advisers Act”).</w:t>
      </w:r>
    </w:p>
    <w:p>
      <w:pPr>
        <w:spacing w:after="0" w:line="176"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an Amended and Restated Administration Agreement, dated as of February 22, 2017 (the “Administration Agreement”) with the Adviser.</w:t>
      </w:r>
    </w:p>
    <w:p>
      <w:pPr>
        <w:spacing w:after="0" w:line="162"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Preliminary Prospectus, which together with the pricing information set forth on Schedule 1 hereto, comprises the “Pricing Disclosure Package.”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“Applicable Time” means 7:30 P.M., New York City time, on February 18, 2021.</w:t>
      </w:r>
    </w:p>
    <w:p>
      <w:pPr>
        <w:spacing w:after="0" w:line="22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“Testing-the-Waters Communication” means any oral or written communication with potential investors undertaken in reliance on Section 5(d) of the Securities Act.</w:t>
      </w:r>
    </w:p>
    <w:p>
      <w:pPr>
        <w:spacing w:after="0" w:line="162"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“Written Testing-the-Waters Communication” means any Testing-the-Waters Communication that is a written communication within the meaning of Rule 405 under the Securities Act.</w:t>
      </w:r>
    </w:p>
    <w:p>
      <w:pPr>
        <w:spacing w:after="0" w:line="54" w:lineRule="exact"/>
        <w:rPr>
          <w:sz w:val="20"/>
          <w:szCs w:val="20"/>
          <w:color w:val="auto"/>
        </w:rPr>
      </w:pPr>
    </w:p>
    <w:p>
      <w:pPr>
        <w:ind w:left="640" w:hanging="18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Securities by the Underwriters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457"/>
        <w:spacing w:after="0" w:line="261" w:lineRule="auto"/>
        <w:tabs>
          <w:tab w:leader="none" w:pos="6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Initial Securities set forth opposite such Underwriter’s name in Schedule 1 hereto at the price per share (the “Purchase Price”) of $21.30.</w:t>
      </w:r>
    </w:p>
    <w:p>
      <w:pPr>
        <w:spacing w:after="0" w:line="71" w:lineRule="exact"/>
        <w:rPr>
          <w:rFonts w:ascii="Times New Roman" w:cs="Times New Roman" w:eastAsia="Times New Roman" w:hAnsi="Times New Roman"/>
          <w:sz w:val="18"/>
          <w:szCs w:val="18"/>
          <w:color w:val="auto"/>
        </w:rPr>
      </w:pPr>
    </w:p>
    <w:p>
      <w:pPr>
        <w:ind w:firstLine="457"/>
        <w:spacing w:after="0" w:line="254" w:lineRule="auto"/>
        <w:tabs>
          <w:tab w:leader="none" w:pos="7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on the basis of the representations and warranties herein contained and subject to the terms and conditions herein set forth, the Company hereby grants an option to the Underwriters, severally and not jointly, to purchase up to an additional 600,000 shares of Common Stock, at the price per share set forth in Section 2(a),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 and may be the same date as the Closing Time, but shall not be later than seven full business days after the exercise of said option, nor in any event prior to the Closing Time (unless such time and date are postponed in accordance 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70" w:right="339" w:bottom="1440" w:gutter="0" w:footer="0" w:header="0"/>
        </w:sectPr>
      </w:pPr>
    </w:p>
    <w:bookmarkStart w:id="6" w:name="page7"/>
    <w:bookmarkEnd w:id="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 hereof).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Morgan Stanley &amp; Co. LLC in its sole discretion shall make to eliminate any sales or purchases of fractional shares.</w:t>
      </w:r>
    </w:p>
    <w:p>
      <w:pPr>
        <w:spacing w:after="0" w:line="72" w:lineRule="exact"/>
        <w:rPr>
          <w:sz w:val="20"/>
          <w:szCs w:val="20"/>
          <w:color w:val="auto"/>
        </w:rPr>
      </w:pPr>
    </w:p>
    <w:p>
      <w:pPr>
        <w:ind w:left="700" w:hanging="243"/>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Securities as soon after the effectiveness of this</w:t>
      </w:r>
    </w:p>
    <w:p>
      <w:pPr>
        <w:spacing w:after="0" w:line="27"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as in the judgment of the Representative is advisable, and initially to offer the Securities on the terms set forth in the Prospectus. The Company acknowledges and agrees that the Underwriters may offer and sell Securities to or through any affiliate of an Underwriter.</w:t>
      </w:r>
    </w:p>
    <w:p>
      <w:pPr>
        <w:spacing w:after="0" w:line="73" w:lineRule="exact"/>
        <w:rPr>
          <w:rFonts w:ascii="Times New Roman" w:cs="Times New Roman" w:eastAsia="Times New Roman" w:hAnsi="Times New Roman"/>
          <w:sz w:val="18"/>
          <w:szCs w:val="18"/>
          <w:color w:val="auto"/>
        </w:rPr>
      </w:pPr>
    </w:p>
    <w:p>
      <w:pPr>
        <w:ind w:firstLine="457"/>
        <w:spacing w:after="0" w:line="255" w:lineRule="auto"/>
        <w:tabs>
          <w:tab w:leader="none" w:pos="7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 specified by the Company to the Representative, at the offices of Ropes &amp; Gray LLP, 1211 Avenue of the Americas, New York, NY 10036, at 10:00 A.M., New York City time, on February 23, 2021, or at such other time or place on the same or such other date, not later than the fifth business day thereafter, as the Representative and the Company may agree upon in writing; or, in the case of the Option Securities, on the date and at the time and place specified by the Representative in the written notice of the Underwriters’ election to purchase such Option Securities. The time and date of such payment for the Initial Securities is referred to herein as the “Closing Date”, and the time and date for such payment for the Option Securities, if other than the Closing Date, is herein referred to as the “Additional Closing Date.”</w:t>
      </w:r>
    </w:p>
    <w:p>
      <w:pPr>
        <w:spacing w:after="0" w:line="18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Payment for the Securities to be purchased on the Closing Date or the Additional Closing Date, as the case may be, shall be made against delivery to the Representative for the respective accounts of the several Underwriters of the Securities to be purchased on such date with any transfer taxes payable in connection with the sale of such Securities duly paid by the Company. Delivery of the Securities shall be made through the facilities of DTC unless the Representative shall otherwise instruct.</w:t>
      </w:r>
    </w:p>
    <w:p>
      <w:pPr>
        <w:spacing w:after="0" w:line="72" w:lineRule="exact"/>
        <w:rPr>
          <w:sz w:val="20"/>
          <w:szCs w:val="20"/>
          <w:color w:val="auto"/>
        </w:rPr>
      </w:pPr>
    </w:p>
    <w:p>
      <w:pPr>
        <w:ind w:right="20" w:firstLine="457"/>
        <w:spacing w:after="0" w:line="254" w:lineRule="auto"/>
        <w:tabs>
          <w:tab w:leader="none" w:pos="6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270" w:right="35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Underwriter that:</w:t>
      </w:r>
    </w:p>
    <w:p>
      <w:pPr>
        <w:spacing w:after="0" w:line="115" w:lineRule="exact"/>
        <w:rPr>
          <w:sz w:val="20"/>
          <w:szCs w:val="20"/>
          <w:color w:val="auto"/>
        </w:rPr>
      </w:pPr>
    </w:p>
    <w:p>
      <w:pPr>
        <w:ind w:left="-20" w:right="20" w:firstLine="457"/>
        <w:spacing w:after="0" w:line="256" w:lineRule="auto"/>
        <w:tabs>
          <w:tab w:leader="none" w:pos="6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the Preliminary Prospectus has been issued by the Commission,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74" w:lineRule="exact"/>
        <w:rPr>
          <w:rFonts w:ascii="Times New Roman" w:cs="Times New Roman" w:eastAsia="Times New Roman" w:hAnsi="Times New Roman"/>
          <w:sz w:val="18"/>
          <w:szCs w:val="18"/>
          <w:color w:val="auto"/>
        </w:rPr>
      </w:pPr>
    </w:p>
    <w:p>
      <w:pPr>
        <w:ind w:left="-20" w:firstLine="457"/>
        <w:spacing w:after="0" w:line="253" w:lineRule="auto"/>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 and Marketing Materials</w:t>
      </w:r>
      <w:r>
        <w:rPr>
          <w:rFonts w:ascii="Times New Roman" w:cs="Times New Roman" w:eastAsia="Times New Roman" w:hAnsi="Times New Roman"/>
          <w:sz w:val="18"/>
          <w:szCs w:val="18"/>
          <w:color w:val="auto"/>
        </w:rPr>
        <w:t>. The Pricing Disclosure Package and any Marketing Materials (as defined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considered together with the Pricing Disclosure Package, as of the Applicable Time did not, and the Pricing Disclosure Package and any Marketing Materials, considered together with the Pricing Disclosure Package, (together with any amendment or supplement thereto) as of the Closing Date and as of any Additional Closing Date, as the case may be,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Prospectus, the Pricing Disclosure Package or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or Marketing Materials, it being understood and agreed that the only such information furnished by any Underwriter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Securities.</w:t>
      </w:r>
    </w:p>
    <w:p>
      <w:pPr>
        <w:spacing w:after="0" w:line="81" w:lineRule="exact"/>
        <w:rPr>
          <w:rFonts w:ascii="Times New Roman" w:cs="Times New Roman" w:eastAsia="Times New Roman" w:hAnsi="Times New Roman"/>
          <w:sz w:val="18"/>
          <w:szCs w:val="18"/>
          <w:color w:val="auto"/>
        </w:rPr>
      </w:pPr>
    </w:p>
    <w:p>
      <w:pPr>
        <w:ind w:left="-20" w:firstLine="457"/>
        <w:spacing w:after="0" w:line="255" w:lineRule="auto"/>
        <w:tabs>
          <w:tab w:leader="none" w:pos="6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(including its agents and representatives, other than the Underwriters in their capacity as such)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made, used, prepared,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Securities Act or Rule 134 under the Securities Act, (ii) the Registration Statement, (iii) the Preliminary Prospectus, (iv) the Prospectus, (v) the documents listed on Schedule 2 hereto, including the pricing terms included in Schedule 1 hereto and (vi) any electronic road show or other written communications, in each case approved in writing in advance by the Representative, such approval not to be unreasonably withheld. Each such Issuer Free Writing Prospectus, if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40" w:top="270" w:right="33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Section 8(b) hereof.</w:t>
      </w:r>
    </w:p>
    <w:p>
      <w:pPr>
        <w:spacing w:after="0" w:line="82" w:lineRule="exact"/>
        <w:rPr>
          <w:sz w:val="20"/>
          <w:szCs w:val="20"/>
          <w:color w:val="auto"/>
        </w:rPr>
      </w:pPr>
    </w:p>
    <w:p>
      <w:pPr>
        <w:ind w:right="220" w:firstLine="457"/>
        <w:spacing w:after="0" w:line="267" w:lineRule="auto"/>
        <w:tabs>
          <w:tab w:leader="none" w:pos="7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The documents incorporated by reference in each of the Registration Statement, the Prospectus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Prospectus, when they became effective or were filed with the Commission, as the case may be, conformed or will conform in all material respects to the requirements of the Securities Exchange Act of 1934, as amended (the “Exchange Act”).</w:t>
      </w:r>
    </w:p>
    <w:p>
      <w:pPr>
        <w:spacing w:after="0" w:line="65" w:lineRule="exact"/>
        <w:rPr>
          <w:rFonts w:ascii="Times New Roman" w:cs="Times New Roman" w:eastAsia="Times New Roman" w:hAnsi="Times New Roman"/>
          <w:sz w:val="18"/>
          <w:szCs w:val="18"/>
          <w:color w:val="auto"/>
        </w:rPr>
      </w:pPr>
    </w:p>
    <w:p>
      <w:pPr>
        <w:ind w:firstLine="457"/>
        <w:spacing w:after="0" w:line="252" w:lineRule="auto"/>
        <w:tabs>
          <w:tab w:leader="none" w:pos="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Company is eligible to use Form N-2. The Registration Statement became effective upon filing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any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(i) 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270" w:right="379" w:bottom="1440" w:gutter="0" w:footer="0" w:header="0"/>
        </w:sectPr>
      </w:pPr>
    </w:p>
    <w:bookmarkStart w:id="9" w:name="page10"/>
    <w:bookmarkEnd w:id="9"/>
    <w:p>
      <w:pPr>
        <w:ind w:left="-20" w:right="340" w:firstLine="457"/>
        <w:spacing w:after="0" w:line="267"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Testing-the-Waters Materials. </w:t>
      </w:r>
      <w:r>
        <w:rPr>
          <w:rFonts w:ascii="Times New Roman" w:cs="Times New Roman" w:eastAsia="Times New Roman" w:hAnsi="Times New Roman"/>
          <w:sz w:val="18"/>
          <w:szCs w:val="18"/>
          <w:color w:val="auto"/>
        </w:rPr>
        <w:t>The Company (i) has not engaged in any Testing-the-Waters Communication and (ii) has not authorized anyone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the Representative to engage in Testing-the-Waters Communications. The Company has not distributed any Written Testing-the-Waters Communications.</w:t>
      </w:r>
    </w:p>
    <w:p>
      <w:pPr>
        <w:spacing w:after="0" w:line="65" w:lineRule="exact"/>
        <w:rPr>
          <w:rFonts w:ascii="Times New Roman" w:cs="Times New Roman" w:eastAsia="Times New Roman" w:hAnsi="Times New Roman"/>
          <w:sz w:val="18"/>
          <w:szCs w:val="18"/>
          <w:color w:val="auto"/>
        </w:rPr>
      </w:pPr>
    </w:p>
    <w:p>
      <w:pPr>
        <w:ind w:left="-20" w:firstLine="457"/>
        <w:spacing w:after="0" w:line="254" w:lineRule="auto"/>
        <w:tabs>
          <w:tab w:leader="none" w:pos="6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(including the related notes thereto) of the Company and its consolidated subsidiaries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(“U.S.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80" w:lineRule="exact"/>
        <w:rPr>
          <w:rFonts w:ascii="Times New Roman" w:cs="Times New Roman" w:eastAsia="Times New Roman" w:hAnsi="Times New Roman"/>
          <w:sz w:val="18"/>
          <w:szCs w:val="18"/>
          <w:color w:val="auto"/>
        </w:rPr>
      </w:pPr>
    </w:p>
    <w:p>
      <w:pPr>
        <w:ind w:left="-20" w:right="80" w:firstLine="457"/>
        <w:spacing w:after="0" w:line="253" w:lineRule="auto"/>
        <w:tabs>
          <w:tab w:leader="none" w:pos="6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Except as disclosed in the Registration Statement, the Pricing Disclosure Package and the Prospectus,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most recent financial statements of the Company included or incorporated by reference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56,069 shares of common stock of the Company issued on December 31, 2020 and 211,904 shares of common stock of the Company issued on January 15, 2021, all of which were issued pursuant to the Company’s dividend reinvestment plan),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40" w:top="268" w:right="339" w:bottom="1440" w:gutter="0" w:footer="0" w:header="0"/>
        </w:sectPr>
      </w:pPr>
    </w:p>
    <w:bookmarkStart w:id="10" w:name="page11"/>
    <w:bookmarkEnd w:id="10"/>
    <w:p>
      <w:pPr>
        <w:ind w:firstLine="457"/>
        <w:spacing w:after="0" w:line="254" w:lineRule="auto"/>
        <w:tabs>
          <w:tab w:leader="none" w:pos="6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Organization and Good Standing. </w:t>
      </w:r>
      <w:r>
        <w:rPr>
          <w:rFonts w:ascii="Times New Roman" w:cs="Times New Roman" w:eastAsia="Times New Roman" w:hAnsi="Times New Roman"/>
          <w:sz w:val="18"/>
          <w:szCs w:val="18"/>
          <w:color w:val="auto"/>
        </w:rPr>
        <w:t>The Company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Securities, the Investment Management Agreement and the Administration Agreement (a “Material Adverse Effect”). The subsidiaries listed in Schedule 3 to this Agreement are the only subsidiaries of the Company.</w:t>
      </w:r>
    </w:p>
    <w:p>
      <w:pPr>
        <w:spacing w:after="0" w:line="80" w:lineRule="exact"/>
        <w:rPr>
          <w:rFonts w:ascii="Times New Roman" w:cs="Times New Roman" w:eastAsia="Times New Roman" w:hAnsi="Times New Roman"/>
          <w:sz w:val="18"/>
          <w:szCs w:val="18"/>
          <w:color w:val="auto"/>
        </w:rPr>
      </w:pPr>
    </w:p>
    <w:p>
      <w:pPr>
        <w:ind w:firstLine="457"/>
        <w:spacing w:after="0" w:line="253" w:lineRule="auto"/>
        <w:tabs>
          <w:tab w:leader="none" w:pos="6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As of December 31, 2020, the Company had authorized and outstanding capital stock and material indebtedness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 in “Capitalization,”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79"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Company has not granted, and has no policy or expectation of granting stock options.</w:t>
      </w:r>
    </w:p>
    <w:p>
      <w:pPr>
        <w:spacing w:after="0" w:line="117" w:lineRule="exact"/>
        <w:rPr>
          <w:rFonts w:ascii="Times New Roman" w:cs="Times New Roman" w:eastAsia="Times New Roman" w:hAnsi="Times New Roman"/>
          <w:sz w:val="18"/>
          <w:szCs w:val="18"/>
          <w:color w:val="auto"/>
        </w:rPr>
      </w:pPr>
    </w:p>
    <w:p>
      <w:pPr>
        <w:ind w:right="620" w:firstLine="457"/>
        <w:spacing w:after="0" w:line="258" w:lineRule="auto"/>
        <w:tabs>
          <w:tab w:leader="none" w:pos="6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corporate power and authority to execute and deliver this Agreement and at the applicable time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and each of the Investment Management Agreement and the Administration Agreement and the consummation by it of the transactions contemplated hereby and thereby has been duly and validly taken.</w:t>
      </w:r>
    </w:p>
    <w:p>
      <w:pPr>
        <w:spacing w:after="0" w:line="75" w:lineRule="exact"/>
        <w:rPr>
          <w:rFonts w:ascii="Times New Roman" w:cs="Times New Roman" w:eastAsia="Times New Roman" w:hAnsi="Times New Roman"/>
          <w:sz w:val="18"/>
          <w:szCs w:val="18"/>
          <w:color w:val="auto"/>
        </w:rPr>
      </w:pPr>
    </w:p>
    <w:p>
      <w:pPr>
        <w:ind w:left="760" w:hanging="303"/>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68" w:right="339" w:bottom="1440" w:gutter="0" w:footer="0" w:header="0"/>
        </w:sectPr>
      </w:pPr>
    </w:p>
    <w:bookmarkStart w:id="11" w:name="page12"/>
    <w:bookmarkEnd w:id="11"/>
    <w:p>
      <w:pPr>
        <w:ind w:left="-60" w:right="60" w:firstLine="457"/>
        <w:spacing w:after="0" w:line="261"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Investment Management Agreement and Administration Agreement. </w:t>
      </w:r>
      <w:r>
        <w:rPr>
          <w:rFonts w:ascii="Times New Roman" w:cs="Times New Roman" w:eastAsia="Times New Roman" w:hAnsi="Times New Roman"/>
          <w:sz w:val="18"/>
          <w:szCs w:val="18"/>
          <w:color w:val="auto"/>
        </w:rPr>
        <w:t>The Investment Management Agreement and the Administration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71" w:lineRule="exact"/>
        <w:rPr>
          <w:rFonts w:ascii="Times New Roman" w:cs="Times New Roman" w:eastAsia="Times New Roman" w:hAnsi="Times New Roman"/>
          <w:sz w:val="18"/>
          <w:szCs w:val="18"/>
          <w:color w:val="auto"/>
        </w:rPr>
      </w:pPr>
    </w:p>
    <w:p>
      <w:pPr>
        <w:ind w:left="-60" w:right="240" w:firstLine="457"/>
        <w:spacing w:after="0" w:line="261"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Securities</w:t>
      </w:r>
      <w:r>
        <w:rPr>
          <w:rFonts w:ascii="Times New Roman" w:cs="Times New Roman" w:eastAsia="Times New Roman" w:hAnsi="Times New Roman"/>
          <w:sz w:val="18"/>
          <w:szCs w:val="18"/>
          <w:color w:val="auto"/>
        </w:rPr>
        <w:t>. The Securities to be issued and sold by the Company hereunder have been duly authorized and, when issued and delivered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for as provided herein, will be duly and validly issued, will be fully paid and nonassessable and will conform in all material respects to the descriptions thereof in the Registration Statement, the Pricing Disclosure Package and the Prospectus; and the issuance of the Securities is not subject to any preemptive or similar rights.</w:t>
      </w:r>
    </w:p>
    <w:p>
      <w:pPr>
        <w:spacing w:after="0" w:line="71" w:lineRule="exact"/>
        <w:rPr>
          <w:rFonts w:ascii="Times New Roman" w:cs="Times New Roman" w:eastAsia="Times New Roman" w:hAnsi="Times New Roman"/>
          <w:sz w:val="18"/>
          <w:szCs w:val="18"/>
          <w:color w:val="auto"/>
        </w:rPr>
      </w:pPr>
    </w:p>
    <w:p>
      <w:pPr>
        <w:ind w:left="-60" w:right="420" w:firstLine="457"/>
        <w:spacing w:after="0" w:line="284"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by reason of the filing of the Registration Statement with the Commission or the issuance and sale of the Securities.</w:t>
      </w:r>
    </w:p>
    <w:p>
      <w:pPr>
        <w:spacing w:after="0" w:line="50" w:lineRule="exact"/>
        <w:rPr>
          <w:rFonts w:ascii="Times New Roman" w:cs="Times New Roman" w:eastAsia="Times New Roman" w:hAnsi="Times New Roman"/>
          <w:sz w:val="18"/>
          <w:szCs w:val="18"/>
          <w:color w:val="auto"/>
        </w:rPr>
      </w:pPr>
    </w:p>
    <w:p>
      <w:pPr>
        <w:ind w:left="-60" w:right="440" w:firstLine="457"/>
        <w:spacing w:after="0" w:line="267"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Investment Management Agreement and Administration Agreement</w:t>
      </w:r>
      <w:r>
        <w:rPr>
          <w:rFonts w:ascii="Times New Roman" w:cs="Times New Roman" w:eastAsia="Times New Roman" w:hAnsi="Times New Roman"/>
          <w:sz w:val="18"/>
          <w:szCs w:val="18"/>
          <w:color w:val="auto"/>
        </w:rPr>
        <w:t>. Both the Investment Management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Agreement conform in all material respects to the descriptions thereof contained in the Registration Statement, the Pricing Disclosure Package and the Prospectus.</w:t>
      </w:r>
    </w:p>
    <w:p>
      <w:pPr>
        <w:spacing w:after="0" w:line="65" w:lineRule="exact"/>
        <w:rPr>
          <w:rFonts w:ascii="Times New Roman" w:cs="Times New Roman" w:eastAsia="Times New Roman" w:hAnsi="Times New Roman"/>
          <w:sz w:val="18"/>
          <w:szCs w:val="18"/>
          <w:color w:val="auto"/>
        </w:rPr>
      </w:pPr>
    </w:p>
    <w:p>
      <w:pPr>
        <w:ind w:left="-60" w:right="80" w:firstLine="457"/>
        <w:spacing w:after="0" w:line="255" w:lineRule="auto"/>
        <w:tabs>
          <w:tab w:leader="none" w:pos="6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each as amended or supplemented as of the date of this Agreement;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76" w:lineRule="exact"/>
        <w:rPr>
          <w:rFonts w:ascii="Times New Roman" w:cs="Times New Roman" w:eastAsia="Times New Roman" w:hAnsi="Times New Roman"/>
          <w:sz w:val="18"/>
          <w:szCs w:val="18"/>
          <w:color w:val="auto"/>
        </w:rPr>
      </w:pPr>
    </w:p>
    <w:p>
      <w:pPr>
        <w:ind w:left="-60" w:firstLine="457"/>
        <w:spacing w:after="0" w:line="257" w:lineRule="auto"/>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the issuance and sale of the Securities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transactions contemplated by this Agreement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80" w:top="268" w:right="379" w:bottom="1440" w:gutter="0" w:footer="0" w:header="0"/>
        </w:sectPr>
      </w:pPr>
    </w:p>
    <w:bookmarkStart w:id="12" w:name="page13"/>
    <w:bookmarkEnd w:id="1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73" w:lineRule="exact"/>
        <w:rPr>
          <w:sz w:val="20"/>
          <w:szCs w:val="20"/>
          <w:color w:val="auto"/>
        </w:rPr>
      </w:pPr>
    </w:p>
    <w:p>
      <w:pPr>
        <w:ind w:right="40" w:firstLine="457"/>
        <w:spacing w:after="0" w:line="254" w:lineRule="auto"/>
        <w:tabs>
          <w:tab w:leader="none" w:pos="6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this Agreement, the issuance and sale of the Securities and the consummation of the transactions contemplated by this Agreement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or under 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80" w:lineRule="exact"/>
        <w:rPr>
          <w:rFonts w:ascii="Times New Roman" w:cs="Times New Roman" w:eastAsia="Times New Roman" w:hAnsi="Times New Roman"/>
          <w:sz w:val="18"/>
          <w:szCs w:val="18"/>
          <w:color w:val="auto"/>
        </w:rPr>
      </w:pPr>
    </w:p>
    <w:p>
      <w:pPr>
        <w:ind w:firstLine="457"/>
        <w:spacing w:after="0" w:line="253" w:lineRule="auto"/>
        <w:tabs>
          <w:tab w:leader="none" w:pos="7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83" w:lineRule="exact"/>
        <w:rPr>
          <w:rFonts w:ascii="Times New Roman" w:cs="Times New Roman" w:eastAsia="Times New Roman" w:hAnsi="Times New Roman"/>
          <w:sz w:val="18"/>
          <w:szCs w:val="18"/>
          <w:color w:val="auto"/>
        </w:rPr>
      </w:pPr>
    </w:p>
    <w:p>
      <w:pPr>
        <w:ind w:firstLine="457"/>
        <w:spacing w:after="0" w:line="261" w:lineRule="auto"/>
        <w:tabs>
          <w:tab w:leader="none" w:pos="7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of Election</w:t>
      </w:r>
      <w:r>
        <w:rPr>
          <w:rFonts w:ascii="Times New Roman" w:cs="Times New Roman" w:eastAsia="Times New Roman" w:hAnsi="Times New Roman"/>
          <w:sz w:val="18"/>
          <w:szCs w:val="18"/>
          <w:color w:val="auto"/>
        </w:rPr>
        <w:t>. When the Notification of Election was filed with the Commission, it (i) contained all statements required to be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270" w:right="359" w:bottom="1440" w:gutter="0" w:footer="0" w:header="0"/>
        </w:sectPr>
      </w:pPr>
    </w:p>
    <w:bookmarkStart w:id="13" w:name="page14"/>
    <w:bookmarkEnd w:id="13"/>
    <w:p>
      <w:pPr>
        <w:ind w:left="-8" w:right="60" w:firstLine="457"/>
        <w:spacing w:after="0" w:line="255" w:lineRule="auto"/>
        <w:tabs>
          <w:tab w:leader="none" w:pos="7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Election to be Treated as a Business Development Company</w:t>
      </w:r>
      <w:r>
        <w:rPr>
          <w:rFonts w:ascii="Times New Roman" w:cs="Times New Roman" w:eastAsia="Times New Roman" w:hAnsi="Times New Roman"/>
          <w:sz w:val="18"/>
          <w:szCs w:val="18"/>
          <w:color w:val="auto"/>
        </w:rPr>
        <w:t>. (A) The Company has duly elected to be treated by the Commission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the sale of the Securities and as of the Closing Date and as of any Additional Closing Date, the operations of the Company are in compliance in all material respects with the provisions of the Investment Company Act applicable to business development companies.</w:t>
      </w:r>
    </w:p>
    <w:p>
      <w:pPr>
        <w:spacing w:after="0" w:line="76" w:lineRule="exact"/>
        <w:rPr>
          <w:rFonts w:ascii="Times New Roman" w:cs="Times New Roman" w:eastAsia="Times New Roman" w:hAnsi="Times New Roman"/>
          <w:sz w:val="18"/>
          <w:szCs w:val="18"/>
          <w:color w:val="auto"/>
        </w:rPr>
      </w:pPr>
    </w:p>
    <w:p>
      <w:pPr>
        <w:ind w:left="-8" w:right="140" w:firstLine="457"/>
        <w:spacing w:after="0" w:line="267" w:lineRule="auto"/>
        <w:tabs>
          <w:tab w:leader="none" w:pos="6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its subsidiaries, is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65" w:lineRule="exact"/>
        <w:rPr>
          <w:rFonts w:ascii="Times New Roman" w:cs="Times New Roman" w:eastAsia="Times New Roman" w:hAnsi="Times New Roman"/>
          <w:sz w:val="18"/>
          <w:szCs w:val="18"/>
          <w:color w:val="auto"/>
        </w:rPr>
      </w:pPr>
    </w:p>
    <w:p>
      <w:pPr>
        <w:ind w:left="-8" w:right="40" w:firstLine="457"/>
        <w:spacing w:after="0" w:line="257" w:lineRule="auto"/>
        <w:tabs>
          <w:tab w:leader="none" w:pos="6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Except as would not reasonably be expected, individually or in the aggregate, to have a Material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3(z))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74" w:lineRule="exact"/>
        <w:rPr>
          <w:rFonts w:ascii="Times New Roman" w:cs="Times New Roman" w:eastAsia="Times New Roman" w:hAnsi="Times New Roman"/>
          <w:sz w:val="18"/>
          <w:szCs w:val="18"/>
          <w:color w:val="auto"/>
        </w:rPr>
      </w:pPr>
    </w:p>
    <w:p>
      <w:pPr>
        <w:ind w:left="692" w:hanging="243"/>
        <w:spacing w:after="0"/>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Intellectual Property</w:t>
      </w:r>
      <w:r>
        <w:rPr>
          <w:rFonts w:ascii="Times New Roman" w:cs="Times New Roman" w:eastAsia="Times New Roman" w:hAnsi="Times New Roman"/>
          <w:sz w:val="18"/>
          <w:szCs w:val="18"/>
          <w:color w:val="auto"/>
        </w:rPr>
        <w:t>. Except as would not reasonably be expected, individually or in the aggregate, to have a Material Adverse Effect,</w:t>
      </w:r>
    </w:p>
    <w:p>
      <w:pPr>
        <w:spacing w:after="0" w:line="29" w:lineRule="exact"/>
        <w:rPr>
          <w:rFonts w:ascii="Times New Roman" w:cs="Times New Roman" w:eastAsia="Times New Roman" w:hAnsi="Times New Roman"/>
          <w:sz w:val="18"/>
          <w:szCs w:val="18"/>
          <w:color w:val="auto"/>
        </w:rPr>
      </w:pPr>
    </w:p>
    <w:p>
      <w:pPr>
        <w:ind w:left="-8" w:firstLine="8"/>
        <w:spacing w:after="0" w:line="252" w:lineRule="auto"/>
        <w:tabs>
          <w:tab w:leader="none" w:pos="2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12"/>
          </w:cols>
          <w:pgMar w:left="328" w:top="268" w:right="359" w:bottom="1440" w:gutter="0" w:footer="0" w:header="0"/>
        </w:sectPr>
      </w:pPr>
    </w:p>
    <w:bookmarkStart w:id="14" w:name="page15"/>
    <w:bookmarkEnd w:id="14"/>
    <w:p>
      <w:pPr>
        <w:ind w:left="-20" w:right="40" w:firstLine="457"/>
        <w:spacing w:after="0" w:line="261" w:lineRule="auto"/>
        <w:tabs>
          <w:tab w:leader="none" w:pos="7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1" w:lineRule="exact"/>
        <w:rPr>
          <w:rFonts w:ascii="Times New Roman" w:cs="Times New Roman" w:eastAsia="Times New Roman" w:hAnsi="Times New Roman"/>
          <w:sz w:val="18"/>
          <w:szCs w:val="18"/>
          <w:color w:val="auto"/>
        </w:rPr>
      </w:pPr>
    </w:p>
    <w:p>
      <w:pPr>
        <w:ind w:left="-20" w:firstLine="457"/>
        <w:spacing w:after="0" w:line="258" w:lineRule="auto"/>
        <w:tabs>
          <w:tab w:leader="none" w:pos="7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its subsidiaries are not, and, after giving effect to the offering and sale of the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75" w:lineRule="exact"/>
        <w:rPr>
          <w:rFonts w:ascii="Times New Roman" w:cs="Times New Roman" w:eastAsia="Times New Roman" w:hAnsi="Times New Roman"/>
          <w:sz w:val="18"/>
          <w:szCs w:val="18"/>
          <w:color w:val="auto"/>
        </w:rPr>
      </w:pPr>
    </w:p>
    <w:p>
      <w:pPr>
        <w:ind w:left="-20" w:right="60" w:firstLine="457"/>
        <w:spacing w:after="0" w:line="257" w:lineRule="auto"/>
        <w:tabs>
          <w:tab w:leader="none" w:pos="7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(or caused to be paid) all federal, state, local and foreign taxes required by law to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74" w:lineRule="exact"/>
        <w:rPr>
          <w:rFonts w:ascii="Times New Roman" w:cs="Times New Roman" w:eastAsia="Times New Roman" w:hAnsi="Times New Roman"/>
          <w:sz w:val="18"/>
          <w:szCs w:val="18"/>
          <w:color w:val="auto"/>
        </w:rPr>
      </w:pPr>
    </w:p>
    <w:p>
      <w:pPr>
        <w:ind w:left="-20" w:firstLine="457"/>
        <w:spacing w:after="0" w:line="254" w:lineRule="auto"/>
        <w:tabs>
          <w:tab w:leader="none" w:pos="7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its subsidiaries possess all licenses, certificates, permits and other authorizations issued by,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80" w:lineRule="exact"/>
        <w:rPr>
          <w:rFonts w:ascii="Times New Roman" w:cs="Times New Roman" w:eastAsia="Times New Roman" w:hAnsi="Times New Roman"/>
          <w:sz w:val="18"/>
          <w:szCs w:val="18"/>
          <w:color w:val="auto"/>
        </w:rPr>
      </w:pPr>
    </w:p>
    <w:p>
      <w:pPr>
        <w:ind w:left="-20" w:right="100" w:firstLine="457"/>
        <w:spacing w:after="0" w:line="257" w:lineRule="auto"/>
        <w:tabs>
          <w:tab w:leader="none" w:pos="7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40" w:top="268" w:right="339" w:bottom="1440" w:gutter="0" w:footer="0" w:header="0"/>
        </w:sectPr>
      </w:pPr>
    </w:p>
    <w:bookmarkStart w:id="15" w:name="page16"/>
    <w:bookmarkEnd w:id="15"/>
    <w:p>
      <w:pPr>
        <w:ind w:left="-8" w:firstLine="457"/>
        <w:spacing w:after="0" w:line="255" w:lineRule="auto"/>
        <w:tabs>
          <w:tab w:leader="none" w:pos="72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Accounting Controls. </w:t>
      </w:r>
      <w:r>
        <w:rPr>
          <w:rFonts w:ascii="Times New Roman" w:cs="Times New Roman" w:eastAsia="Times New Roman" w:hAnsi="Times New Roman"/>
          <w:sz w:val="18"/>
          <w:szCs w:val="18"/>
          <w:color w:val="auto"/>
        </w:rPr>
        <w:t>The Company maintains a system of “internal control over financial reporting” (as defined in Rule 13a-15(f)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GAAP, including, but not limited to, internal accounting controls sufficient to provide reasonable assurance that (i) transactions are executed in accordance with management’s general or specific authorizations;</w:t>
      </w:r>
    </w:p>
    <w:p>
      <w:pPr>
        <w:ind w:left="-8" w:right="20" w:firstLine="8"/>
        <w:spacing w:after="0" w:line="251" w:lineRule="auto"/>
        <w:tabs>
          <w:tab w:leader="none" w:pos="2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U.S. GAAP,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2" w:lineRule="exact"/>
        <w:rPr>
          <w:rFonts w:ascii="Times New Roman" w:cs="Times New Roman" w:eastAsia="Times New Roman" w:hAnsi="Times New Roman"/>
          <w:sz w:val="18"/>
          <w:szCs w:val="18"/>
          <w:color w:val="auto"/>
        </w:rPr>
      </w:pPr>
    </w:p>
    <w:p>
      <w:pPr>
        <w:ind w:left="-8" w:firstLine="457"/>
        <w:spacing w:after="0" w:line="256" w:lineRule="auto"/>
        <w:tabs>
          <w:tab w:leader="none" w:pos="78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have insurance covering their respective properties, operations, personnel and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11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72"/>
          </w:cols>
          <w:pgMar w:left="328" w:top="268" w:right="399" w:bottom="1440" w:gutter="0" w:footer="0" w:header="0"/>
        </w:sectPr>
      </w:pPr>
    </w:p>
    <w:bookmarkStart w:id="16" w:name="page17"/>
    <w:bookmarkEnd w:id="16"/>
    <w:p>
      <w:pPr>
        <w:ind w:left="-8" w:right="300" w:firstLine="457"/>
        <w:spacing w:after="0" w:line="254" w:lineRule="auto"/>
        <w:tabs>
          <w:tab w:leader="none" w:pos="7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left="-8" w:right="40" w:firstLine="8"/>
        <w:spacing w:after="0" w:line="265" w:lineRule="auto"/>
        <w:tabs>
          <w:tab w:leader="none" w:pos="307"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w:t>
      </w:r>
    </w:p>
    <w:p>
      <w:pPr>
        <w:ind w:left="-8" w:right="20" w:firstLine="8"/>
        <w:spacing w:after="0" w:line="255" w:lineRule="auto"/>
        <w:tabs>
          <w:tab w:leader="none" w:pos="2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75" w:lineRule="exact"/>
        <w:rPr>
          <w:rFonts w:ascii="Times New Roman" w:cs="Times New Roman" w:eastAsia="Times New Roman" w:hAnsi="Times New Roman"/>
          <w:sz w:val="18"/>
          <w:szCs w:val="18"/>
          <w:color w:val="auto"/>
        </w:rPr>
      </w:pPr>
    </w:p>
    <w:p>
      <w:pPr>
        <w:ind w:left="-8" w:right="20" w:firstLine="457"/>
        <w:spacing w:after="0" w:line="256" w:lineRule="auto"/>
        <w:tabs>
          <w:tab w:leader="none" w:pos="70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74" w:lineRule="exact"/>
        <w:rPr>
          <w:rFonts w:ascii="Times New Roman" w:cs="Times New Roman" w:eastAsia="Times New Roman" w:hAnsi="Times New Roman"/>
          <w:sz w:val="18"/>
          <w:szCs w:val="18"/>
          <w:color w:val="auto"/>
        </w:rPr>
      </w:pPr>
    </w:p>
    <w:p>
      <w:pPr>
        <w:ind w:left="-8" w:firstLine="457"/>
        <w:spacing w:after="0" w:line="254" w:lineRule="auto"/>
        <w:tabs>
          <w:tab w:leader="none" w:pos="70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officers or employees, nor,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Sudan and Syria,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w:t>
      </w:r>
    </w:p>
    <w:p>
      <w:pPr>
        <w:spacing w:after="0" w:line="1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32"/>
          </w:cols>
          <w:pgMar w:left="328" w:top="268" w:right="339" w:bottom="1440" w:gutter="0" w:footer="0" w:header="0"/>
        </w:sectPr>
      </w:pPr>
    </w:p>
    <w:bookmarkStart w:id="17" w:name="page18"/>
    <w:bookmarkEnd w:id="1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73" w:lineRule="exact"/>
        <w:rPr>
          <w:sz w:val="20"/>
          <w:szCs w:val="20"/>
          <w:color w:val="auto"/>
        </w:rPr>
      </w:pPr>
    </w:p>
    <w:p>
      <w:pPr>
        <w:ind w:right="300" w:firstLine="457"/>
        <w:spacing w:after="0" w:line="267" w:lineRule="auto"/>
        <w:tabs>
          <w:tab w:leader="none" w:pos="7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Not Ineligible Issuer and is a Well-Known Seasoned Issuer</w:t>
      </w:r>
      <w:r>
        <w:rPr>
          <w:rFonts w:ascii="Times New Roman" w:cs="Times New Roman" w:eastAsia="Times New Roman" w:hAnsi="Times New Roman"/>
          <w:sz w:val="18"/>
          <w:szCs w:val="18"/>
          <w:color w:val="auto"/>
        </w:rPr>
        <w:t>. The Company is not an ineligible issuer and is a well-known seasoned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in each case as defined under the Securities Act, in each case at the times specified in the Securities Act in connection with the offering of the Securities.</w:t>
      </w:r>
    </w:p>
    <w:p>
      <w:pPr>
        <w:spacing w:after="0" w:line="65" w:lineRule="exact"/>
        <w:rPr>
          <w:rFonts w:ascii="Times New Roman" w:cs="Times New Roman" w:eastAsia="Times New Roman" w:hAnsi="Times New Roman"/>
          <w:sz w:val="18"/>
          <w:szCs w:val="18"/>
          <w:color w:val="auto"/>
        </w:rPr>
      </w:pPr>
    </w:p>
    <w:p>
      <w:pPr>
        <w:ind w:firstLine="457"/>
        <w:spacing w:after="0" w:line="258" w:lineRule="auto"/>
        <w:tabs>
          <w:tab w:leader="none" w:pos="7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right="420" w:firstLine="457"/>
        <w:spacing w:after="0" w:line="267" w:lineRule="auto"/>
        <w:tabs>
          <w:tab w:leader="none" w:pos="8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65" w:lineRule="exact"/>
        <w:rPr>
          <w:rFonts w:ascii="Times New Roman" w:cs="Times New Roman" w:eastAsia="Times New Roman" w:hAnsi="Times New Roman"/>
          <w:sz w:val="18"/>
          <w:szCs w:val="18"/>
          <w:color w:val="auto"/>
        </w:rPr>
      </w:pPr>
    </w:p>
    <w:p>
      <w:pPr>
        <w:ind w:right="40" w:firstLine="457"/>
        <w:spacing w:after="0" w:line="267" w:lineRule="auto"/>
        <w:tabs>
          <w:tab w:leader="none" w:pos="7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or Manipulation. </w:t>
      </w:r>
      <w:r>
        <w:rPr>
          <w:rFonts w:ascii="Times New Roman" w:cs="Times New Roman" w:eastAsia="Times New Roman" w:hAnsi="Times New Roman"/>
          <w:sz w:val="18"/>
          <w:szCs w:val="18"/>
          <w:color w:val="auto"/>
        </w:rPr>
        <w:t>The Company has not taken, directly or indirectly, without giving effect to any activities by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designed, or that would reasonably be expected, to cause or result in any stabilization or manipulation of the price of the Securities, other than permitted activity pursuant to Regulation M and Rule 10b-18 under the Exchange Act.</w:t>
      </w:r>
    </w:p>
    <w:p>
      <w:pPr>
        <w:spacing w:after="0" w:line="65" w:lineRule="exact"/>
        <w:rPr>
          <w:rFonts w:ascii="Times New Roman" w:cs="Times New Roman" w:eastAsia="Times New Roman" w:hAnsi="Times New Roman"/>
          <w:sz w:val="18"/>
          <w:szCs w:val="18"/>
          <w:color w:val="auto"/>
        </w:rPr>
      </w:pPr>
    </w:p>
    <w:p>
      <w:pPr>
        <w:ind w:firstLine="457"/>
        <w:spacing w:after="0" w:line="267" w:lineRule="auto"/>
        <w:tabs>
          <w:tab w:leader="none" w:pos="7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contained in the Registration Statement, the Pricing Disclosure Package or the Prospectus has been made or reaffirmed without a reasonable basis or has been disclosed other than in good faith.</w:t>
      </w:r>
    </w:p>
    <w:p>
      <w:pPr>
        <w:spacing w:after="0" w:line="65" w:lineRule="exact"/>
        <w:rPr>
          <w:rFonts w:ascii="Times New Roman" w:cs="Times New Roman" w:eastAsia="Times New Roman" w:hAnsi="Times New Roman"/>
          <w:sz w:val="18"/>
          <w:szCs w:val="18"/>
          <w:color w:val="auto"/>
        </w:rPr>
      </w:pPr>
    </w:p>
    <w:p>
      <w:pPr>
        <w:ind w:right="80" w:firstLine="457"/>
        <w:spacing w:after="0" w:line="267" w:lineRule="auto"/>
        <w:tabs>
          <w:tab w:leader="none" w:pos="7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market-related data included or incorporated by reference in the Registration Statement, the Pricing Disclosure Package and the Prospectus is not based on or derived from sources that are reasonably reliable and accurate in all material respects.</w:t>
      </w:r>
    </w:p>
    <w:p>
      <w:pPr>
        <w:spacing w:after="0" w:line="65" w:lineRule="exact"/>
        <w:rPr>
          <w:rFonts w:ascii="Times New Roman" w:cs="Times New Roman" w:eastAsia="Times New Roman" w:hAnsi="Times New Roman"/>
          <w:sz w:val="18"/>
          <w:szCs w:val="18"/>
          <w:color w:val="auto"/>
        </w:rPr>
      </w:pPr>
    </w:p>
    <w:p>
      <w:pPr>
        <w:jc w:val="both"/>
        <w:ind w:right="160" w:firstLine="457"/>
        <w:spacing w:after="0" w:line="261" w:lineRule="auto"/>
        <w:tabs>
          <w:tab w:leader="none" w:pos="7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270" w:right="359" w:bottom="1440" w:gutter="0" w:footer="0" w:header="0"/>
        </w:sectPr>
      </w:pPr>
    </w:p>
    <w:bookmarkStart w:id="18" w:name="page19"/>
    <w:bookmarkEnd w:id="18"/>
    <w:p>
      <w:pPr>
        <w:ind w:left="-20" w:right="40" w:firstLine="457"/>
        <w:spacing w:after="0" w:line="267" w:lineRule="auto"/>
        <w:tabs>
          <w:tab w:leader="none" w:pos="7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 38a-1 Compliance</w:t>
      </w:r>
      <w:r>
        <w:rPr>
          <w:rFonts w:ascii="Times New Roman" w:cs="Times New Roman" w:eastAsia="Times New Roman" w:hAnsi="Times New Roman"/>
          <w:sz w:val="18"/>
          <w:szCs w:val="18"/>
          <w:color w:val="auto"/>
        </w:rPr>
        <w:t>. The Company has adopted and implemented written policies and procedures reasonably designed to prevent violation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65" w:lineRule="exact"/>
        <w:rPr>
          <w:rFonts w:ascii="Times New Roman" w:cs="Times New Roman" w:eastAsia="Times New Roman" w:hAnsi="Times New Roman"/>
          <w:sz w:val="18"/>
          <w:szCs w:val="18"/>
          <w:color w:val="auto"/>
        </w:rPr>
      </w:pPr>
    </w:p>
    <w:p>
      <w:pPr>
        <w:jc w:val="both"/>
        <w:ind w:left="-20" w:firstLine="457"/>
        <w:spacing w:after="0" w:line="267" w:lineRule="auto"/>
        <w:tabs>
          <w:tab w:leader="none" w:pos="7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65" w:lineRule="exact"/>
        <w:rPr>
          <w:rFonts w:ascii="Times New Roman" w:cs="Times New Roman" w:eastAsia="Times New Roman" w:hAnsi="Times New Roman"/>
          <w:sz w:val="18"/>
          <w:szCs w:val="18"/>
          <w:color w:val="auto"/>
        </w:rPr>
      </w:pPr>
    </w:p>
    <w:p>
      <w:pPr>
        <w:ind w:left="-20" w:firstLine="457"/>
        <w:spacing w:after="0" w:line="253" w:lineRule="auto"/>
        <w:tabs>
          <w:tab w:leader="none" w:pos="6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(A) To the Company’s knowledge, in the last three years, there has been no material security breach or other material compromise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(collectively, “</w:t>
      </w:r>
      <w:r>
        <w:rPr>
          <w:rFonts w:ascii="Times New Roman" w:cs="Times New Roman" w:eastAsia="Times New Roman" w:hAnsi="Times New Roman"/>
          <w:sz w:val="18"/>
          <w:szCs w:val="18"/>
          <w:u w:val="single" w:color="auto"/>
          <w:color w:val="auto"/>
        </w:rPr>
        <w:t>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Systems and Data</w:t>
      </w:r>
      <w:r>
        <w:rPr>
          <w:rFonts w:ascii="Times New Roman" w:cs="Times New Roman" w:eastAsia="Times New Roman" w:hAnsi="Times New Roman"/>
          <w:sz w:val="18"/>
          <w:szCs w:val="18"/>
          <w:color w:val="auto"/>
        </w:rPr>
        <w:t>”);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Adviser</w:t>
      </w:r>
      <w:r>
        <w:rPr>
          <w:rFonts w:ascii="Times New Roman" w:cs="Times New Roman" w:eastAsia="Times New Roman" w:hAnsi="Times New Roman"/>
          <w:sz w:val="18"/>
          <w:szCs w:val="18"/>
          <w:color w:val="auto"/>
        </w:rPr>
        <w:t>. The Adviser represents and warrants to, and agrees with, each Underwriter that:</w:t>
      </w:r>
    </w:p>
    <w:p>
      <w:pPr>
        <w:spacing w:after="0" w:line="115" w:lineRule="exact"/>
        <w:rPr>
          <w:sz w:val="20"/>
          <w:szCs w:val="20"/>
          <w:color w:val="auto"/>
        </w:rPr>
      </w:pPr>
    </w:p>
    <w:p>
      <w:pPr>
        <w:ind w:left="-20" w:right="100" w:firstLine="457"/>
        <w:spacing w:after="0" w:line="255" w:lineRule="auto"/>
        <w:tabs>
          <w:tab w:leader="none" w:pos="6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Except as disclosed in the Registration Statement, the Pricing Disclosure Package and the Prospectus,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most recent financial statements of the Company included or incorporated by reference in the Registration Statement, the Pricing Disclosure Package and the Prospectus,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40" w:top="268" w:right="339" w:bottom="1440" w:gutter="0" w:footer="0" w:header="0"/>
        </w:sectPr>
      </w:pPr>
    </w:p>
    <w:bookmarkStart w:id="19" w:name="page20"/>
    <w:bookmarkEnd w:id="19"/>
    <w:p>
      <w:pPr>
        <w:ind w:firstLine="457"/>
        <w:spacing w:after="0" w:line="255" w:lineRule="auto"/>
        <w:tabs>
          <w:tab w:leader="none" w:pos="7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Organization and Good Standing. </w:t>
      </w:r>
      <w:r>
        <w:rPr>
          <w:rFonts w:ascii="Times New Roman" w:cs="Times New Roman" w:eastAsia="Times New Roman" w:hAnsi="Times New Roman"/>
          <w:sz w:val="18"/>
          <w:szCs w:val="18"/>
          <w:color w:val="auto"/>
        </w:rPr>
        <w:t>The Adviser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76" w:lineRule="exact"/>
        <w:rPr>
          <w:rFonts w:ascii="Times New Roman" w:cs="Times New Roman" w:eastAsia="Times New Roman" w:hAnsi="Times New Roman"/>
          <w:sz w:val="18"/>
          <w:szCs w:val="18"/>
          <w:color w:val="auto"/>
        </w:rPr>
      </w:pPr>
    </w:p>
    <w:p>
      <w:pPr>
        <w:ind w:right="120" w:firstLine="457"/>
        <w:spacing w:after="0" w:line="258" w:lineRule="auto"/>
        <w:tabs>
          <w:tab w:leader="none" w:pos="6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as an Investment Adviser</w:t>
      </w:r>
      <w:r>
        <w:rPr>
          <w:rFonts w:ascii="Times New Roman" w:cs="Times New Roman" w:eastAsia="Times New Roman" w:hAnsi="Times New Roman"/>
          <w:sz w:val="18"/>
          <w:szCs w:val="18"/>
          <w:color w:val="auto"/>
        </w:rPr>
        <w:t>. The Adviser is duly registered with the Commission as an investment adviser under the Advisers 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75"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Adviser.</w:t>
      </w:r>
    </w:p>
    <w:p>
      <w:pPr>
        <w:spacing w:after="0" w:line="117" w:lineRule="exact"/>
        <w:rPr>
          <w:rFonts w:ascii="Times New Roman" w:cs="Times New Roman" w:eastAsia="Times New Roman" w:hAnsi="Times New Roman"/>
          <w:sz w:val="18"/>
          <w:szCs w:val="18"/>
          <w:color w:val="auto"/>
        </w:rPr>
      </w:pPr>
    </w:p>
    <w:p>
      <w:pPr>
        <w:ind w:left="700" w:hanging="243"/>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Management Agreement and the Administration Agreement. </w:t>
      </w:r>
      <w:r>
        <w:rPr>
          <w:rFonts w:ascii="Times New Roman" w:cs="Times New Roman" w:eastAsia="Times New Roman" w:hAnsi="Times New Roman"/>
          <w:sz w:val="18"/>
          <w:szCs w:val="18"/>
          <w:color w:val="auto"/>
        </w:rPr>
        <w:t>The Investment Management Agreement and the Administration</w:t>
      </w:r>
    </w:p>
    <w:p>
      <w:pPr>
        <w:spacing w:after="0" w:line="2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75" w:lineRule="exact"/>
        <w:rPr>
          <w:rFonts w:ascii="Times New Roman" w:cs="Times New Roman" w:eastAsia="Times New Roman" w:hAnsi="Times New Roman"/>
          <w:sz w:val="18"/>
          <w:szCs w:val="18"/>
          <w:color w:val="auto"/>
        </w:rPr>
      </w:pPr>
    </w:p>
    <w:p>
      <w:pPr>
        <w:ind w:firstLine="457"/>
        <w:spacing w:after="0" w:line="255" w:lineRule="auto"/>
        <w:tabs>
          <w:tab w:leader="none" w:pos="6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Adviser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268" w:right="339" w:bottom="1440" w:gutter="0" w:footer="0" w:header="0"/>
        </w:sectPr>
      </w:pPr>
    </w:p>
    <w:bookmarkStart w:id="20" w:name="page21"/>
    <w:bookmarkEnd w:id="20"/>
    <w:p>
      <w:pPr>
        <w:ind w:left="-60" w:firstLine="457"/>
        <w:spacing w:after="0" w:line="254" w:lineRule="auto"/>
        <w:tabs>
          <w:tab w:leader="none" w:pos="6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Conflicts. </w:t>
      </w:r>
      <w:r>
        <w:rPr>
          <w:rFonts w:ascii="Times New Roman" w:cs="Times New Roman" w:eastAsia="Times New Roman" w:hAnsi="Times New Roman"/>
          <w:sz w:val="18"/>
          <w:szCs w:val="18"/>
          <w:color w:val="auto"/>
        </w:rPr>
        <w:t>The execution, delivery and performance by the Adviser of this Agreement and the performance by the Adviser of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77" w:lineRule="exact"/>
        <w:rPr>
          <w:rFonts w:ascii="Times New Roman" w:cs="Times New Roman" w:eastAsia="Times New Roman" w:hAnsi="Times New Roman"/>
          <w:sz w:val="18"/>
          <w:szCs w:val="18"/>
          <w:color w:val="auto"/>
        </w:rPr>
      </w:pPr>
    </w:p>
    <w:p>
      <w:pPr>
        <w:ind w:left="-60" w:right="160" w:firstLine="457"/>
        <w:spacing w:after="0" w:line="257" w:lineRule="auto"/>
        <w:tabs>
          <w:tab w:leader="none" w:pos="6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74" w:lineRule="exact"/>
        <w:rPr>
          <w:rFonts w:ascii="Times New Roman" w:cs="Times New Roman" w:eastAsia="Times New Roman" w:hAnsi="Times New Roman"/>
          <w:sz w:val="18"/>
          <w:szCs w:val="18"/>
          <w:color w:val="auto"/>
        </w:rPr>
      </w:pPr>
    </w:p>
    <w:p>
      <w:pPr>
        <w:ind w:left="-60" w:right="20" w:firstLine="457"/>
        <w:spacing w:after="0" w:line="254" w:lineRule="auto"/>
        <w:tabs>
          <w:tab w:leader="none" w:pos="6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80" w:top="268" w:right="379" w:bottom="1440" w:gutter="0" w:footer="0" w:header="0"/>
        </w:sectPr>
      </w:pPr>
    </w:p>
    <w:bookmarkStart w:id="21" w:name="page22"/>
    <w:bookmarkEnd w:id="21"/>
    <w:p>
      <w:pPr>
        <w:ind w:left="-20" w:right="40" w:firstLine="457"/>
        <w:spacing w:after="0" w:line="254" w:lineRule="auto"/>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Licenses and Permits. </w:t>
      </w:r>
      <w:r>
        <w:rPr>
          <w:rFonts w:ascii="Times New Roman" w:cs="Times New Roman" w:eastAsia="Times New Roman" w:hAnsi="Times New Roman"/>
          <w:sz w:val="18"/>
          <w:szCs w:val="18"/>
          <w:color w:val="auto"/>
        </w:rPr>
        <w:t>The Adviser and its subsidiaries possess all licenses, certificates, permits and other authorizations issued by, and have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80" w:lineRule="exact"/>
        <w:rPr>
          <w:rFonts w:ascii="Times New Roman" w:cs="Times New Roman" w:eastAsia="Times New Roman" w:hAnsi="Times New Roman"/>
          <w:sz w:val="18"/>
          <w:szCs w:val="18"/>
          <w:color w:val="auto"/>
        </w:rPr>
      </w:pPr>
    </w:p>
    <w:p>
      <w:pPr>
        <w:ind w:left="-20" w:firstLine="457"/>
        <w:spacing w:after="0" w:line="267" w:lineRule="auto"/>
        <w:tabs>
          <w:tab w:leader="none" w:pos="6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 of the Adviser</w:t>
      </w:r>
      <w:r>
        <w:rPr>
          <w:rFonts w:ascii="Times New Roman" w:cs="Times New Roman" w:eastAsia="Times New Roman" w:hAnsi="Times New Roman"/>
          <w:sz w:val="18"/>
          <w:szCs w:val="18"/>
          <w:color w:val="auto"/>
        </w:rPr>
        <w:t>. The description of the Adviser and its respective principals and business in the Registration Statement,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65" w:lineRule="exact"/>
        <w:rPr>
          <w:rFonts w:ascii="Times New Roman" w:cs="Times New Roman" w:eastAsia="Times New Roman" w:hAnsi="Times New Roman"/>
          <w:sz w:val="18"/>
          <w:szCs w:val="18"/>
          <w:color w:val="auto"/>
        </w:rPr>
      </w:pPr>
    </w:p>
    <w:p>
      <w:pPr>
        <w:ind w:left="-20" w:right="20" w:firstLine="457"/>
        <w:spacing w:after="0" w:line="267" w:lineRule="auto"/>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Resources</w:t>
      </w:r>
      <w:r>
        <w:rPr>
          <w:rFonts w:ascii="Times New Roman" w:cs="Times New Roman" w:eastAsia="Times New Roman" w:hAnsi="Times New Roman"/>
          <w:sz w:val="18"/>
          <w:szCs w:val="18"/>
          <w:color w:val="auto"/>
        </w:rPr>
        <w:t>. The Adviser has the financial resources available to it necessary for the performance of its services and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in the Pricing Disclosure Package, the Prospectus, and under this Agreement, the Investment Management Agreement and the Administration Agreement.</w:t>
      </w:r>
    </w:p>
    <w:p>
      <w:pPr>
        <w:spacing w:after="0" w:line="65" w:lineRule="exact"/>
        <w:rPr>
          <w:rFonts w:ascii="Times New Roman" w:cs="Times New Roman" w:eastAsia="Times New Roman" w:hAnsi="Times New Roman"/>
          <w:sz w:val="18"/>
          <w:szCs w:val="18"/>
          <w:color w:val="auto"/>
        </w:rPr>
      </w:pPr>
    </w:p>
    <w:p>
      <w:pPr>
        <w:ind w:left="-20" w:right="40" w:firstLine="457"/>
        <w:spacing w:after="0" w:line="256" w:lineRule="auto"/>
        <w:tabs>
          <w:tab w:leader="none" w:pos="7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w:t>
      </w:r>
      <w:r>
        <w:rPr>
          <w:rFonts w:ascii="Times New Roman" w:cs="Times New Roman" w:eastAsia="Times New Roman" w:hAnsi="Times New Roman"/>
          <w:sz w:val="18"/>
          <w:szCs w:val="18"/>
          <w:color w:val="auto"/>
        </w:rPr>
        <w:t>. The Adviser maintains a system of internal accounting controls sufficient to provide reasonable assurance that (i)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U.S. GAAP,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74" w:lineRule="exact"/>
        <w:rPr>
          <w:rFonts w:ascii="Times New Roman" w:cs="Times New Roman" w:eastAsia="Times New Roman" w:hAnsi="Times New Roman"/>
          <w:sz w:val="18"/>
          <w:szCs w:val="18"/>
          <w:color w:val="auto"/>
        </w:rPr>
      </w:pPr>
    </w:p>
    <w:p>
      <w:pPr>
        <w:ind w:left="-20" w:right="300" w:firstLine="457"/>
        <w:spacing w:after="0" w:line="257" w:lineRule="auto"/>
        <w:tabs>
          <w:tab w:leader="none" w:pos="6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Adviser nor any of its subsidiaries nor any director, officer, or employee of the Adviser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40" w:top="268" w:right="339" w:bottom="1440" w:gutter="0" w:footer="0" w:header="0"/>
        </w:sectPr>
      </w:pPr>
    </w:p>
    <w:bookmarkStart w:id="22" w:name="page23"/>
    <w:bookmarkEnd w:id="22"/>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70" w:lineRule="exact"/>
        <w:rPr>
          <w:sz w:val="20"/>
          <w:szCs w:val="20"/>
          <w:color w:val="auto"/>
        </w:rPr>
      </w:pPr>
    </w:p>
    <w:p>
      <w:pPr>
        <w:ind w:right="160" w:firstLine="457"/>
        <w:spacing w:after="0" w:line="258" w:lineRule="auto"/>
        <w:tabs>
          <w:tab w:leader="none" w:pos="7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Adviser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75" w:lineRule="exact"/>
        <w:rPr>
          <w:rFonts w:ascii="Times New Roman" w:cs="Times New Roman" w:eastAsia="Times New Roman" w:hAnsi="Times New Roman"/>
          <w:sz w:val="18"/>
          <w:szCs w:val="18"/>
          <w:color w:val="auto"/>
        </w:rPr>
      </w:pPr>
    </w:p>
    <w:p>
      <w:pPr>
        <w:ind w:right="120" w:firstLine="457"/>
        <w:spacing w:after="0" w:line="258" w:lineRule="auto"/>
        <w:tabs>
          <w:tab w:leader="none" w:pos="7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Adviser nor any of its subsidiaries, directors, officers or employees, nor,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75" w:lineRule="exact"/>
        <w:rPr>
          <w:rFonts w:ascii="Times New Roman" w:cs="Times New Roman" w:eastAsia="Times New Roman" w:hAnsi="Times New Roman"/>
          <w:sz w:val="18"/>
          <w:szCs w:val="18"/>
          <w:color w:val="auto"/>
        </w:rPr>
      </w:pPr>
    </w:p>
    <w:p>
      <w:pPr>
        <w:ind w:right="20" w:firstLine="457"/>
        <w:spacing w:after="0" w:line="267" w:lineRule="auto"/>
        <w:tabs>
          <w:tab w:leader="none" w:pos="7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or Manipulation. </w:t>
      </w:r>
      <w:r>
        <w:rPr>
          <w:rFonts w:ascii="Times New Roman" w:cs="Times New Roman" w:eastAsia="Times New Roman" w:hAnsi="Times New Roman"/>
          <w:sz w:val="18"/>
          <w:szCs w:val="18"/>
          <w:color w:val="auto"/>
        </w:rPr>
        <w:t>The Adviser has not taken, directly or indirectly, without giving effect to any activities by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designed to or that would reasonably be expected to cause or result in any stabilization or manipulation of the price of the Securities, other than permitted activity pursuant to Regulation M and Rule 10b-18 under the Exchange Act.</w:t>
      </w:r>
    </w:p>
    <w:p>
      <w:pPr>
        <w:spacing w:after="0" w:line="65" w:lineRule="exact"/>
        <w:rPr>
          <w:rFonts w:ascii="Times New Roman" w:cs="Times New Roman" w:eastAsia="Times New Roman" w:hAnsi="Times New Roman"/>
          <w:sz w:val="18"/>
          <w:szCs w:val="18"/>
          <w:color w:val="auto"/>
        </w:rPr>
      </w:pPr>
    </w:p>
    <w:p>
      <w:pPr>
        <w:jc w:val="both"/>
        <w:ind w:right="180" w:firstLine="457"/>
        <w:spacing w:after="0" w:line="261" w:lineRule="auto"/>
        <w:tabs>
          <w:tab w:leader="none" w:pos="6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Key Employees. </w:t>
      </w:r>
      <w:r>
        <w:rPr>
          <w:rFonts w:ascii="Times New Roman" w:cs="Times New Roman" w:eastAsia="Times New Roman" w:hAnsi="Times New Roman"/>
          <w:sz w:val="18"/>
          <w:szCs w:val="18"/>
          <w:color w:val="auto"/>
        </w:rPr>
        <w:t>The Adviser is not aware that (i) any of its executives, key employees or significant group of employees plans to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71" w:lineRule="exact"/>
        <w:rPr>
          <w:rFonts w:ascii="Times New Roman" w:cs="Times New Roman" w:eastAsia="Times New Roman" w:hAnsi="Times New Roman"/>
          <w:sz w:val="18"/>
          <w:szCs w:val="18"/>
          <w:color w:val="auto"/>
        </w:rPr>
      </w:pPr>
    </w:p>
    <w:p>
      <w:pPr>
        <w:ind w:firstLine="457"/>
        <w:spacing w:after="0" w:line="261" w:lineRule="auto"/>
        <w:tabs>
          <w:tab w:leader="none" w:pos="6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Adviser or any of its subsidiaries exists 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270" w:right="43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sz w:val="20"/>
          <w:szCs w:val="20"/>
          <w:color w:val="auto"/>
        </w:rPr>
      </w:pPr>
    </w:p>
    <w:p>
      <w:pPr>
        <w:ind w:left="-20" w:firstLine="457"/>
        <w:spacing w:after="0" w:line="256" w:lineRule="auto"/>
        <w:tabs>
          <w:tab w:leader="none" w:pos="6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497 and Rule 430B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Rule 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w:t>
      </w:r>
    </w:p>
    <w:p>
      <w:pPr>
        <w:spacing w:after="0" w:line="74" w:lineRule="exact"/>
        <w:rPr>
          <w:rFonts w:ascii="Times New Roman" w:cs="Times New Roman" w:eastAsia="Times New Roman" w:hAnsi="Times New Roman"/>
          <w:sz w:val="18"/>
          <w:szCs w:val="18"/>
          <w:color w:val="auto"/>
        </w:rPr>
      </w:pPr>
    </w:p>
    <w:p>
      <w:pPr>
        <w:ind w:left="-20" w:right="60" w:firstLine="457"/>
        <w:spacing w:after="0" w:line="257" w:lineRule="auto"/>
        <w:tabs>
          <w:tab w:leader="none" w:pos="6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(i) to the Representative, electronic signed copies of the Registration Statement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74" w:lineRule="exact"/>
        <w:rPr>
          <w:rFonts w:ascii="Times New Roman" w:cs="Times New Roman" w:eastAsia="Times New Roman" w:hAnsi="Times New Roman"/>
          <w:sz w:val="18"/>
          <w:szCs w:val="18"/>
          <w:color w:val="auto"/>
        </w:rPr>
      </w:pPr>
    </w:p>
    <w:p>
      <w:pPr>
        <w:jc w:val="both"/>
        <w:ind w:left="-20" w:right="520" w:firstLine="457"/>
        <w:spacing w:after="0" w:line="261" w:lineRule="auto"/>
        <w:tabs>
          <w:tab w:leader="none" w:pos="6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w:t>
      </w:r>
      <w:r>
        <w:rPr>
          <w:rFonts w:ascii="Times New Roman" w:cs="Times New Roman" w:eastAsia="Times New Roman" w:hAnsi="Times New Roman"/>
          <w:sz w:val="18"/>
          <w:szCs w:val="18"/>
          <w:color w:val="auto"/>
        </w:rPr>
        <w:t>Before using, authorizing, approving, referring to or filing any amendment or supplement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w:t>
      </w:r>
    </w:p>
    <w:p>
      <w:pPr>
        <w:spacing w:after="0" w:line="71" w:lineRule="exact"/>
        <w:rPr>
          <w:rFonts w:ascii="Times New Roman" w:cs="Times New Roman" w:eastAsia="Times New Roman" w:hAnsi="Times New Roman"/>
          <w:sz w:val="18"/>
          <w:szCs w:val="18"/>
          <w:color w:val="auto"/>
        </w:rPr>
      </w:pPr>
    </w:p>
    <w:p>
      <w:pPr>
        <w:ind w:left="-20" w:right="100" w:firstLine="457"/>
        <w:spacing w:after="0" w:line="267" w:lineRule="auto"/>
        <w:tabs>
          <w:tab w:leader="none" w:pos="6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Marketing Materials</w:t>
      </w:r>
      <w:r>
        <w:rPr>
          <w:rFonts w:ascii="Times New Roman" w:cs="Times New Roman" w:eastAsia="Times New Roman" w:hAnsi="Times New Roman"/>
          <w:sz w:val="18"/>
          <w:szCs w:val="18"/>
          <w:color w:val="auto"/>
        </w:rPr>
        <w:t>. Before using, authorizing, approving, referring to or distributing any Marketing Materials,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and counsel for the Underwriters a copy of such materials for review and will not use, authorize, approve, refer to or distribute any such materials to which the Representative reasonably objects in a timely manner.</w:t>
      </w:r>
    </w:p>
    <w:p>
      <w:pPr>
        <w:spacing w:after="0" w:line="65" w:lineRule="exact"/>
        <w:rPr>
          <w:rFonts w:ascii="Times New Roman" w:cs="Times New Roman" w:eastAsia="Times New Roman" w:hAnsi="Times New Roman"/>
          <w:sz w:val="18"/>
          <w:szCs w:val="18"/>
          <w:color w:val="auto"/>
        </w:rPr>
      </w:pPr>
    </w:p>
    <w:p>
      <w:pPr>
        <w:ind w:left="-20" w:firstLine="457"/>
        <w:spacing w:after="0" w:line="258" w:lineRule="auto"/>
        <w:tabs>
          <w:tab w:leader="none" w:pos="6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 </w:t>
      </w:r>
      <w:r>
        <w:rPr>
          <w:rFonts w:ascii="Times New Roman" w:cs="Times New Roman" w:eastAsia="Times New Roman" w:hAnsi="Times New Roman"/>
          <w:sz w:val="18"/>
          <w:szCs w:val="18"/>
          <w:color w:val="auto"/>
        </w:rPr>
        <w:t>The Company will advise the Representative promptly, and confirm such advice in writing, (i) when any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40" w:top="270" w:right="339" w:bottom="1440" w:gutter="0" w:footer="0" w:header="0"/>
        </w:sectPr>
      </w:pPr>
    </w:p>
    <w:bookmarkStart w:id="24" w:name="page25"/>
    <w:bookmarkEnd w:id="2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Statement or preventing or suspending the use of any Preliminary Prospectus, the Pricing Disclosure Package, any Marketing Materials or the Prospectus or the initiation or threatening of any proceeding for that purpose or pursuant to Section 8A of the Securities Act; (v) of the occurrence of any event or development within the Prospectus Delivery Period as a result of which the Prospectus, the Pricing Disclosure Package or any Marketing Materials, as then amended or supplemented, would include any untrue statement of a material fact or omit to state a material fact necessary in order to make the statements therein, in the light of the circumstances existing when the Prospectus, the Pricing Disclosure Package or any Marketing Materials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any Marketing Materials or the Prospectus or suspending any such qualification of the Securities and, if any such order is issued, will use commercially reasonable efforts to obtain as soon as possible the withdrawal thereof.</w:t>
      </w:r>
    </w:p>
    <w:p>
      <w:pPr>
        <w:spacing w:after="0" w:line="84" w:lineRule="exact"/>
        <w:rPr>
          <w:sz w:val="20"/>
          <w:szCs w:val="20"/>
          <w:color w:val="auto"/>
        </w:rPr>
      </w:pPr>
    </w:p>
    <w:p>
      <w:pPr>
        <w:ind w:firstLine="457"/>
        <w:spacing w:after="0" w:line="252" w:lineRule="auto"/>
        <w:tabs>
          <w:tab w:leader="none" w:pos="6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270" w:right="359" w:bottom="1440" w:gutter="0" w:footer="0" w:header="0"/>
        </w:sectPr>
      </w:pPr>
    </w:p>
    <w:bookmarkStart w:id="25" w:name="page26"/>
    <w:bookmarkEnd w:id="25"/>
    <w:p>
      <w:pPr>
        <w:ind w:left="-20" w:right="240" w:firstLine="457"/>
        <w:spacing w:after="0" w:line="258" w:lineRule="auto"/>
        <w:tabs>
          <w:tab w:leader="none" w:pos="6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Blue Sky Compliance. </w:t>
      </w:r>
      <w:r>
        <w:rPr>
          <w:rFonts w:ascii="Times New Roman" w:cs="Times New Roman" w:eastAsia="Times New Roman" w:hAnsi="Times New Roman"/>
          <w:sz w:val="18"/>
          <w:szCs w:val="18"/>
          <w:color w:val="auto"/>
        </w:rPr>
        <w:t>The Company will use commercially reasonable efforts, in cooperation with the Representative, to qualify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offer and sale under the securities or Blue Sky laws of such jurisdictions as the Representative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75" w:lineRule="exact"/>
        <w:rPr>
          <w:rFonts w:ascii="Times New Roman" w:cs="Times New Roman" w:eastAsia="Times New Roman" w:hAnsi="Times New Roman"/>
          <w:sz w:val="18"/>
          <w:szCs w:val="18"/>
          <w:color w:val="auto"/>
        </w:rPr>
      </w:pPr>
    </w:p>
    <w:p>
      <w:pPr>
        <w:ind w:left="-20" w:right="140" w:firstLine="457"/>
        <w:spacing w:after="0" w:line="258" w:lineRule="auto"/>
        <w:tabs>
          <w:tab w:leader="none" w:pos="6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 as soon as practicable an earning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75" w:lineRule="exact"/>
        <w:rPr>
          <w:rFonts w:ascii="Times New Roman" w:cs="Times New Roman" w:eastAsia="Times New Roman" w:hAnsi="Times New Roman"/>
          <w:sz w:val="18"/>
          <w:szCs w:val="18"/>
          <w:color w:val="auto"/>
        </w:rPr>
      </w:pPr>
    </w:p>
    <w:p>
      <w:pPr>
        <w:ind w:left="-20" w:firstLine="457"/>
        <w:spacing w:after="0" w:line="255"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30 days after the date of the Prospectus, the Company will not (i) offer, pledge, sell, contract to sell, sell any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 or any securities convertible into or exercisable or exchangeable for Common Stock, or publicly disclose the intention to make any such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the Representative on behalf of the Underwriters, other than the (A) Securities to be sold hereunder and (B) shares of Common Stock issued or delivered in connection with the Company’s dividend reinvestment plan.</w:t>
      </w:r>
    </w:p>
    <w:p>
      <w:pPr>
        <w:spacing w:after="0" w:line="76" w:lineRule="exact"/>
        <w:rPr>
          <w:rFonts w:ascii="Times New Roman" w:cs="Times New Roman" w:eastAsia="Times New Roman" w:hAnsi="Times New Roman"/>
          <w:sz w:val="18"/>
          <w:szCs w:val="18"/>
          <w:color w:val="auto"/>
        </w:rPr>
      </w:pPr>
    </w:p>
    <w:p>
      <w:pPr>
        <w:ind w:left="-20" w:right="480" w:firstLine="457"/>
        <w:spacing w:after="0" w:line="284"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apply the net proceeds from the sale of the Securities in all material respects as described in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under the heading “Use of Proceeds.”</w:t>
      </w:r>
    </w:p>
    <w:p>
      <w:pPr>
        <w:spacing w:after="0" w:line="50" w:lineRule="exact"/>
        <w:rPr>
          <w:rFonts w:ascii="Times New Roman" w:cs="Times New Roman" w:eastAsia="Times New Roman" w:hAnsi="Times New Roman"/>
          <w:sz w:val="18"/>
          <w:szCs w:val="18"/>
          <w:color w:val="auto"/>
        </w:rPr>
      </w:pPr>
    </w:p>
    <w:p>
      <w:pPr>
        <w:ind w:left="-20" w:right="200" w:firstLine="457"/>
        <w:spacing w:after="0" w:line="315" w:lineRule="auto"/>
        <w:tabs>
          <w:tab w:leader="none" w:pos="68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Stabilization or Manipulation. </w:t>
      </w:r>
      <w:r>
        <w:rPr>
          <w:rFonts w:ascii="Times New Roman" w:cs="Times New Roman" w:eastAsia="Times New Roman" w:hAnsi="Times New Roman"/>
          <w:sz w:val="17"/>
          <w:szCs w:val="17"/>
          <w:color w:val="auto"/>
        </w:rPr>
        <w:t>The Company will not take, directly or indirectly, without giving effect to any activities by the Underwriters,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action designed, or that would reasonably be expected, to cause or result in any stabilization or manipulation of the price of the Common Stock.</w:t>
      </w:r>
    </w:p>
    <w:p>
      <w:pPr>
        <w:spacing w:after="0" w:line="26" w:lineRule="exact"/>
        <w:rPr>
          <w:rFonts w:ascii="Times New Roman" w:cs="Times New Roman" w:eastAsia="Times New Roman" w:hAnsi="Times New Roman"/>
          <w:sz w:val="17"/>
          <w:szCs w:val="17"/>
          <w:color w:val="auto"/>
        </w:rPr>
      </w:pPr>
    </w:p>
    <w:p>
      <w:pPr>
        <w:ind w:left="660" w:hanging="22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will use its best efforts to effect and maintain the listing of the Securities on the New York Stock Exchange.</w:t>
      </w:r>
    </w:p>
    <w:p>
      <w:pPr>
        <w:spacing w:after="0" w:line="117" w:lineRule="exact"/>
        <w:rPr>
          <w:rFonts w:ascii="Times New Roman" w:cs="Times New Roman" w:eastAsia="Times New Roman" w:hAnsi="Times New Roman"/>
          <w:sz w:val="18"/>
          <w:szCs w:val="18"/>
          <w:color w:val="auto"/>
        </w:rPr>
      </w:pPr>
    </w:p>
    <w:p>
      <w:pPr>
        <w:ind w:left="-20" w:right="280" w:firstLine="457"/>
        <w:spacing w:after="0" w:line="258" w:lineRule="auto"/>
        <w:tabs>
          <w:tab w:leader="none" w:pos="7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one year from the date of this Agreement, so long as the Securities are outstanding,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 to the extent they are filed on EDGAR.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40" w:top="268" w:right="339" w:bottom="1440" w:gutter="0" w:footer="0" w:header="0"/>
        </w:sectPr>
      </w:pPr>
    </w:p>
    <w:bookmarkStart w:id="26" w:name="page27"/>
    <w:bookmarkEnd w:id="26"/>
    <w:p>
      <w:pPr>
        <w:ind w:firstLine="457"/>
        <w:spacing w:after="0" w:line="261" w:lineRule="auto"/>
        <w:tabs>
          <w:tab w:leader="none" w:pos="7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 Development Company</w:t>
      </w:r>
      <w:r>
        <w:rPr>
          <w:rFonts w:ascii="Times New Roman" w:cs="Times New Roman" w:eastAsia="Times New Roman" w:hAnsi="Times New Roman"/>
          <w:sz w:val="18"/>
          <w:szCs w:val="18"/>
          <w:color w:val="auto"/>
        </w:rPr>
        <w:t>. The Company, during a period of twelve months from the date of the Prospectus, will use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reasonable efforts to maintain its status as a business development company under the Investment Company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71" w:lineRule="exact"/>
        <w:rPr>
          <w:rFonts w:ascii="Times New Roman" w:cs="Times New Roman" w:eastAsia="Times New Roman" w:hAnsi="Times New Roman"/>
          <w:sz w:val="18"/>
          <w:szCs w:val="18"/>
          <w:color w:val="auto"/>
        </w:rPr>
      </w:pPr>
    </w:p>
    <w:p>
      <w:pPr>
        <w:ind w:firstLine="457"/>
        <w:spacing w:after="0" w:line="267" w:lineRule="auto"/>
        <w:tabs>
          <w:tab w:leader="none" w:pos="7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Regulated Investment Company. </w:t>
      </w:r>
      <w:r>
        <w:rPr>
          <w:rFonts w:ascii="Times New Roman" w:cs="Times New Roman" w:eastAsia="Times New Roman" w:hAnsi="Times New Roman"/>
          <w:sz w:val="18"/>
          <w:szCs w:val="18"/>
          <w:color w:val="auto"/>
        </w:rPr>
        <w:t>The Company will use commercially reasonable efforts to maintain in effect its qualification and election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regulated investment company under Subchapter M of the Code for each taxable year during which it is a business development company under the Investment Company Act.</w:t>
      </w:r>
    </w:p>
    <w:p>
      <w:pPr>
        <w:spacing w:after="0" w:line="65" w:lineRule="exact"/>
        <w:rPr>
          <w:rFonts w:ascii="Times New Roman" w:cs="Times New Roman" w:eastAsia="Times New Roman" w:hAnsi="Times New Roman"/>
          <w:sz w:val="18"/>
          <w:szCs w:val="18"/>
          <w:color w:val="auto"/>
        </w:rPr>
      </w:pPr>
    </w:p>
    <w:p>
      <w:pPr>
        <w:ind w:right="200" w:firstLine="457"/>
        <w:spacing w:after="0" w:line="258" w:lineRule="auto"/>
        <w:tabs>
          <w:tab w:leader="none" w:pos="7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Reviews</w:t>
      </w:r>
      <w:r>
        <w:rPr>
          <w:rFonts w:ascii="Times New Roman" w:cs="Times New Roman" w:eastAsia="Times New Roman" w:hAnsi="Times New Roman"/>
          <w:sz w:val="18"/>
          <w:szCs w:val="18"/>
          <w:color w:val="auto"/>
        </w:rPr>
        <w:t>. The Company will retain qualified accountants and qualified tax experts (i) to test procedures and conduct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75" w:lineRule="exact"/>
        <w:rPr>
          <w:rFonts w:ascii="Times New Roman" w:cs="Times New Roman" w:eastAsia="Times New Roman" w:hAnsi="Times New Roman"/>
          <w:sz w:val="18"/>
          <w:szCs w:val="18"/>
          <w:color w:val="auto"/>
        </w:rPr>
      </w:pPr>
    </w:p>
    <w:p>
      <w:pPr>
        <w:ind w:firstLine="457"/>
        <w:spacing w:after="0" w:line="256" w:lineRule="auto"/>
        <w:tabs>
          <w:tab w:leader="none" w:pos="7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represents and agrees that, without the prior consent of the Representative (i) it will not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offering material other than the Registration Statement, the Pricing Disclosure Package, the Prospectus or the information set forth on Schedule 1 hereto, and (ii) it has not made and will not make any offer relating to the Securities that would constitute a “free writing prospectus” as defined in Rule 405 under the Securities Act (other than for the information set forth on Schedule 1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warrants and agrees that:</w:t>
      </w:r>
    </w:p>
    <w:p>
      <w:pPr>
        <w:spacing w:after="0" w:line="117" w:lineRule="exact"/>
        <w:rPr>
          <w:sz w:val="20"/>
          <w:szCs w:val="20"/>
          <w:color w:val="auto"/>
        </w:rPr>
      </w:pPr>
    </w:p>
    <w:p>
      <w:pPr>
        <w:ind w:right="100" w:firstLine="457"/>
        <w:spacing w:after="0" w:line="261" w:lineRule="auto"/>
        <w:tabs>
          <w:tab w:leader="none" w:pos="6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any Marketing Materials, the Prospectus or any other offering materials prepared by or with the prior written consent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268" w:right="339" w:bottom="1440" w:gutter="0" w:footer="0" w:header="0"/>
        </w:sectPr>
      </w:pPr>
    </w:p>
    <w:bookmarkStart w:id="27" w:name="page28"/>
    <w:bookmarkEnd w:id="27"/>
    <w:p>
      <w:pPr>
        <w:ind w:left="-8" w:right="240" w:firstLine="457"/>
        <w:spacing w:after="0" w:line="282" w:lineRule="auto"/>
        <w:tabs>
          <w:tab w:leader="none" w:pos="6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54" w:lineRule="exact"/>
        <w:rPr>
          <w:sz w:val="20"/>
          <w:szCs w:val="20"/>
          <w:color w:val="auto"/>
        </w:rPr>
      </w:pPr>
    </w:p>
    <w:p>
      <w:pPr>
        <w:jc w:val="both"/>
        <w:ind w:left="-8" w:right="140" w:firstLine="457"/>
        <w:spacing w:after="0" w:line="266" w:lineRule="auto"/>
        <w:tabs>
          <w:tab w:leader="none" w:pos="6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Initial Securities on the Closing Date or the Option Securities on the Closing Date or the Additional Closing Date, as the case may be, as provided herein is subject to the performance by the Company of its covenants and other obligations hereunder and to the following additional conditions:</w:t>
      </w:r>
    </w:p>
    <w:p>
      <w:pPr>
        <w:spacing w:after="0" w:line="66" w:lineRule="exact"/>
        <w:rPr>
          <w:sz w:val="20"/>
          <w:szCs w:val="20"/>
          <w:color w:val="auto"/>
        </w:rPr>
      </w:pPr>
    </w:p>
    <w:p>
      <w:pPr>
        <w:jc w:val="both"/>
        <w:ind w:left="-8" w:right="20" w:firstLine="457"/>
        <w:spacing w:after="0" w:line="261" w:lineRule="auto"/>
        <w:tabs>
          <w:tab w:leader="none" w:pos="68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or any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shall be in effect, and no 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w:t>
      </w:r>
    </w:p>
    <w:p>
      <w:pPr>
        <w:spacing w:after="0" w:line="71" w:lineRule="exact"/>
        <w:rPr>
          <w:rFonts w:ascii="Times New Roman" w:cs="Times New Roman" w:eastAsia="Times New Roman" w:hAnsi="Times New Roman"/>
          <w:sz w:val="18"/>
          <w:szCs w:val="18"/>
          <w:color w:val="auto"/>
        </w:rPr>
      </w:pPr>
    </w:p>
    <w:p>
      <w:pPr>
        <w:ind w:left="-8" w:firstLine="457"/>
        <w:spacing w:after="0" w:line="261" w:lineRule="auto"/>
        <w:tabs>
          <w:tab w:leader="none" w:pos="6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and the Adviser contained herein shall be true and correct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1" w:lineRule="exact"/>
        <w:rPr>
          <w:rFonts w:ascii="Times New Roman" w:cs="Times New Roman" w:eastAsia="Times New Roman" w:hAnsi="Times New Roman"/>
          <w:sz w:val="18"/>
          <w:szCs w:val="18"/>
          <w:color w:val="auto"/>
        </w:rPr>
      </w:pPr>
    </w:p>
    <w:p>
      <w:pPr>
        <w:ind w:left="-8" w:right="40" w:firstLine="457"/>
        <w:spacing w:after="0" w:line="258" w:lineRule="auto"/>
        <w:tabs>
          <w:tab w:leader="none" w:pos="68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3(h) and Section 4(a) hereof shall have occurred or shall exist,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75" w:lineRule="exact"/>
        <w:rPr>
          <w:rFonts w:ascii="Times New Roman" w:cs="Times New Roman" w:eastAsia="Times New Roman" w:hAnsi="Times New Roman"/>
          <w:sz w:val="18"/>
          <w:szCs w:val="18"/>
          <w:color w:val="auto"/>
        </w:rPr>
      </w:pPr>
    </w:p>
    <w:p>
      <w:pPr>
        <w:jc w:val="both"/>
        <w:ind w:left="-8" w:right="20" w:firstLine="457"/>
        <w:spacing w:after="0" w:line="273" w:lineRule="auto"/>
        <w:tabs>
          <w:tab w:leader="none" w:pos="696"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Company’s Officer’s Certificate. </w:t>
      </w:r>
      <w:r>
        <w:rPr>
          <w:rFonts w:ascii="Times New Roman" w:cs="Times New Roman" w:eastAsia="Times New Roman" w:hAnsi="Times New Roman"/>
          <w:sz w:val="17"/>
          <w:szCs w:val="17"/>
          <w:color w:val="auto"/>
        </w:rPr>
        <w:t>The Representative shall have received on and as of the Closing Date or the Additional Closing Date, as the case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be,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w:t>
      </w:r>
    </w:p>
    <w:p>
      <w:pPr>
        <w:spacing w:after="0" w:line="1" w:lineRule="exact"/>
        <w:rPr>
          <w:rFonts w:ascii="Times New Roman" w:cs="Times New Roman" w:eastAsia="Times New Roman" w:hAnsi="Times New Roman"/>
          <w:sz w:val="17"/>
          <w:szCs w:val="17"/>
          <w:color w:val="auto"/>
        </w:rPr>
      </w:pPr>
    </w:p>
    <w:p>
      <w:pPr>
        <w:ind w:left="-8" w:right="300" w:firstLine="8"/>
        <w:spacing w:after="0" w:line="250" w:lineRule="auto"/>
        <w:tabs>
          <w:tab w:leader="none" w:pos="20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such officers have carefully reviewed the Registration Statement, the Pricing Disclosure Package and the Prospectus, (ii) confirming that, to the knowledge of such officers, the representations and warranties of the Company in Sections 3(b), 3(c) and 3(e) hereof are true and correct,</w:t>
      </w:r>
    </w:p>
    <w:p>
      <w:pPr>
        <w:ind w:left="-8" w:right="60" w:firstLine="8"/>
        <w:spacing w:after="0" w:line="253" w:lineRule="auto"/>
        <w:tabs>
          <w:tab w:leader="none" w:pos="3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 (a) above and, with respect to the Company and its subsidiaries, to the effect set forth in paragraph (c) above.</w:t>
      </w:r>
    </w:p>
    <w:p>
      <w:pPr>
        <w:spacing w:after="0" w:line="12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12"/>
          </w:cols>
          <w:pgMar w:left="328" w:top="270" w:right="359" w:bottom="1440" w:gutter="0" w:footer="0" w:header="0"/>
        </w:sectPr>
      </w:pPr>
    </w:p>
    <w:bookmarkStart w:id="28" w:name="page29"/>
    <w:bookmarkEnd w:id="28"/>
    <w:p>
      <w:pPr>
        <w:ind w:left="-80" w:right="20" w:firstLine="457"/>
        <w:spacing w:after="0" w:line="257" w:lineRule="auto"/>
        <w:tabs>
          <w:tab w:leader="none" w:pos="6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Adviser’s Officer’s Certificate. </w:t>
      </w:r>
      <w:r>
        <w:rPr>
          <w:rFonts w:ascii="Times New Roman" w:cs="Times New Roman" w:eastAsia="Times New Roman" w:hAnsi="Times New Roman"/>
          <w:sz w:val="18"/>
          <w:szCs w:val="18"/>
          <w:color w:val="auto"/>
        </w:rPr>
        <w:t>The Representative shall have received on and as of the Closing Date or the Additional Closing Date, as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a certificate, which shall be 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pacing w:after="0" w:line="74" w:lineRule="exact"/>
        <w:rPr>
          <w:rFonts w:ascii="Times New Roman" w:cs="Times New Roman" w:eastAsia="Times New Roman" w:hAnsi="Times New Roman"/>
          <w:sz w:val="18"/>
          <w:szCs w:val="18"/>
          <w:color w:val="auto"/>
        </w:rPr>
      </w:pPr>
    </w:p>
    <w:p>
      <w:pPr>
        <w:ind w:left="-80" w:right="60" w:firstLine="457"/>
        <w:spacing w:after="0" w:line="256" w:lineRule="auto"/>
        <w:tabs>
          <w:tab w:leader="none" w:pos="5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or the Additional Closing Date, as the case may be KPMG LLP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furnished to the Representative, 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included or incorporated by reference in the Registration Statement, the Pricing Disclosure Package and the Prospectus; provided, that the letter delivered on the Closing Date or the Additional Closing Date, as the case may be, shall use a “cut-off” date no more than three business days prior to the Closing Date or such Additional Closing Date, as the case may be.</w:t>
      </w:r>
    </w:p>
    <w:p>
      <w:pPr>
        <w:spacing w:after="0" w:line="74" w:lineRule="exact"/>
        <w:rPr>
          <w:rFonts w:ascii="Times New Roman" w:cs="Times New Roman" w:eastAsia="Times New Roman" w:hAnsi="Times New Roman"/>
          <w:sz w:val="18"/>
          <w:szCs w:val="18"/>
          <w:color w:val="auto"/>
        </w:rPr>
      </w:pPr>
    </w:p>
    <w:p>
      <w:pPr>
        <w:ind w:left="-80" w:firstLine="457"/>
        <w:spacing w:after="0" w:line="253" w:lineRule="auto"/>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and Adviser. </w:t>
      </w:r>
      <w:r>
        <w:rPr>
          <w:rFonts w:ascii="Times New Roman" w:cs="Times New Roman" w:eastAsia="Times New Roman" w:hAnsi="Times New Roman"/>
          <w:sz w:val="18"/>
          <w:szCs w:val="18"/>
          <w:color w:val="auto"/>
        </w:rPr>
        <w:t>Cleary Gottlieb Steen &amp; Hamilton LLP, counsel for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shall have furnished to the Representative, at the request of the Company and the Adviser, their written opinions and 10b-5 letter, dated the Closing Date or the Additional Closing Date, as the case may be, and addressed to the Underwriters, in form and substance reasonably satisfactory to the Representative. Schulte Roth &amp; Zabel LLP, Investment Company Act counsel for the Company and Advisers Act counsel for the Adviser, shall have furnished to the Representative, at the request of the Company and the Adviser, their written opinion, dated the Closing Date or the Additional Closing Date, as the case may be, and addressed to the Underwriters,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or the Additional Closing Date, as the case may be, and addressed to the Underwriters, in form and substance reasonably satisfactory to the Representative. In-house counsel to the Company and the Adviser, shall have furnished to the Representative its written opinion, dated the Closing Date or the Additional Closing Date, as the case may be, and addressed to the Underwriters, in form and substance reasonably satisfactory to the Representative.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400" w:top="268" w:right="399" w:bottom="1440" w:gutter="0" w:footer="0" w:header="0"/>
        </w:sectPr>
      </w:pPr>
    </w:p>
    <w:bookmarkStart w:id="29" w:name="page30"/>
    <w:bookmarkEnd w:id="29"/>
    <w:p>
      <w:pPr>
        <w:ind w:left="-20" w:right="380" w:firstLine="457"/>
        <w:spacing w:after="0" w:line="261" w:lineRule="auto"/>
        <w:tabs>
          <w:tab w:leader="none" w:pos="6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Opinion and 10b-5 Statement of Counsel for the Underwriters. </w:t>
      </w:r>
      <w:r>
        <w:rPr>
          <w:rFonts w:ascii="Times New Roman" w:cs="Times New Roman" w:eastAsia="Times New Roman" w:hAnsi="Times New Roman"/>
          <w:sz w:val="18"/>
          <w:szCs w:val="18"/>
          <w:color w:val="auto"/>
        </w:rPr>
        <w:t>The Representative shall have received on and as of the Closing Date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Closing Date, as the case may be, an opinion and 10b-5 statement of Ropes &amp; Gray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71" w:lineRule="exact"/>
        <w:rPr>
          <w:rFonts w:ascii="Times New Roman" w:cs="Times New Roman" w:eastAsia="Times New Roman" w:hAnsi="Times New Roman"/>
          <w:sz w:val="18"/>
          <w:szCs w:val="18"/>
          <w:color w:val="auto"/>
        </w:rPr>
      </w:pPr>
    </w:p>
    <w:p>
      <w:pPr>
        <w:ind w:left="-20" w:firstLine="457"/>
        <w:spacing w:after="0" w:line="261"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Closing Date or the Additional Closing Date, as the case may be, prevent the issuance and sale of the Securities; and no injunction or order of any federal, state or foreign court shall have been issued that would, as of the Closing Date or the Additional Closing Date, as the case may be, prevent the issuance and sale of the Securities.</w:t>
      </w:r>
    </w:p>
    <w:p>
      <w:pPr>
        <w:spacing w:after="0" w:line="71" w:lineRule="exact"/>
        <w:rPr>
          <w:rFonts w:ascii="Times New Roman" w:cs="Times New Roman" w:eastAsia="Times New Roman" w:hAnsi="Times New Roman"/>
          <w:sz w:val="18"/>
          <w:szCs w:val="18"/>
          <w:color w:val="auto"/>
        </w:rPr>
      </w:pPr>
    </w:p>
    <w:p>
      <w:pPr>
        <w:ind w:left="-20" w:right="260" w:firstLine="457"/>
        <w:spacing w:after="0" w:line="261"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 shall have received on and as of the Closing Date or the Additional Closing Date, as the case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satisfactory evidence of the good 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71" w:lineRule="exact"/>
        <w:rPr>
          <w:rFonts w:ascii="Times New Roman" w:cs="Times New Roman" w:eastAsia="Times New Roman" w:hAnsi="Times New Roman"/>
          <w:sz w:val="18"/>
          <w:szCs w:val="18"/>
          <w:color w:val="auto"/>
        </w:rPr>
      </w:pPr>
    </w:p>
    <w:p>
      <w:pPr>
        <w:ind w:left="-20" w:right="80" w:firstLine="457"/>
        <w:spacing w:after="0" w:line="284" w:lineRule="auto"/>
        <w:tabs>
          <w:tab w:leader="none" w:pos="6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Securities to be delivered on the Closing Date or Additional Closing Date, as the case may be, shall have been duly listed,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official notice of issuance, on the New York Stock Exchange.</w:t>
      </w:r>
    </w:p>
    <w:p>
      <w:pPr>
        <w:spacing w:after="0" w:line="50" w:lineRule="exact"/>
        <w:rPr>
          <w:rFonts w:ascii="Times New Roman" w:cs="Times New Roman" w:eastAsia="Times New Roman" w:hAnsi="Times New Roman"/>
          <w:sz w:val="18"/>
          <w:szCs w:val="18"/>
          <w:color w:val="auto"/>
        </w:rPr>
      </w:pPr>
    </w:p>
    <w:p>
      <w:pPr>
        <w:ind w:left="-20" w:right="220" w:firstLine="457"/>
        <w:spacing w:after="0" w:line="267"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 Exhibit A hereto, from all the officers and directors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listed in Schedule 4 and from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pacing w:after="0" w:line="65" w:lineRule="exact"/>
        <w:rPr>
          <w:rFonts w:ascii="Times New Roman" w:cs="Times New Roman" w:eastAsia="Times New Roman" w:hAnsi="Times New Roman"/>
          <w:sz w:val="18"/>
          <w:szCs w:val="18"/>
          <w:color w:val="auto"/>
        </w:rPr>
      </w:pPr>
    </w:p>
    <w:p>
      <w:pPr>
        <w:ind w:left="-20" w:right="80" w:firstLine="457"/>
        <w:spacing w:after="0" w:line="277" w:lineRule="auto"/>
        <w:tabs>
          <w:tab w:leader="none" w:pos="73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Downgrade</w:t>
      </w:r>
      <w:r>
        <w:rPr>
          <w:rFonts w:ascii="Times New Roman" w:cs="Times New Roman" w:eastAsia="Times New Roman" w:hAnsi="Times New Roman"/>
          <w:sz w:val="17"/>
          <w:szCs w:val="17"/>
          <w:color w:val="auto"/>
        </w:rPr>
        <w:t>. Subsequent to the earlier of (A) the Applicable Time and (B) the execution and delivery of this Agreement, if there are any debt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59" w:lineRule="exact"/>
        <w:rPr>
          <w:rFonts w:ascii="Times New Roman" w:cs="Times New Roman" w:eastAsia="Times New Roman" w:hAnsi="Times New Roman"/>
          <w:sz w:val="17"/>
          <w:szCs w:val="17"/>
          <w:color w:val="auto"/>
        </w:rPr>
      </w:pPr>
    </w:p>
    <w:p>
      <w:pPr>
        <w:ind w:left="-20" w:right="140" w:firstLine="457"/>
        <w:spacing w:after="0" w:line="284" w:lineRule="auto"/>
        <w:tabs>
          <w:tab w:leader="none" w:pos="6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or the Additional Closing Date, as the case may be, the Company shall have furnished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Representative such further certificates and documents as the Representative may reasonably request.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40" w:top="268" w:right="339" w:bottom="1440" w:gutter="0" w:footer="0" w:header="0"/>
        </w:sectPr>
      </w:pPr>
    </w:p>
    <w:bookmarkStart w:id="30" w:name="page31"/>
    <w:bookmarkEnd w:id="30"/>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54" w:lineRule="exact"/>
        <w:rPr>
          <w:sz w:val="20"/>
          <w:szCs w:val="20"/>
          <w:color w:val="auto"/>
        </w:rPr>
      </w:pPr>
    </w:p>
    <w:p>
      <w:pPr>
        <w:ind w:left="640" w:hanging="18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457"/>
        <w:spacing w:after="0" w:line="253" w:lineRule="auto"/>
        <w:tabs>
          <w:tab w:leader="none" w:pos="6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 (b) below.</w:t>
      </w:r>
    </w:p>
    <w:p>
      <w:pPr>
        <w:spacing w:after="0" w:line="77" w:lineRule="exact"/>
        <w:rPr>
          <w:rFonts w:ascii="Times New Roman" w:cs="Times New Roman" w:eastAsia="Times New Roman" w:hAnsi="Times New Roman"/>
          <w:sz w:val="18"/>
          <w:szCs w:val="18"/>
          <w:color w:val="auto"/>
        </w:rPr>
      </w:pPr>
    </w:p>
    <w:p>
      <w:pPr>
        <w:ind w:firstLine="457"/>
        <w:spacing w:after="0" w:line="254" w:lineRule="auto"/>
        <w:tabs>
          <w:tab w:leader="none" w:pos="7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the Company, its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Issuer Free Writing Prospectus, any road show, any Marketing Materials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and the information regarding stabilizing transactions contained in the eleventh, twelfth and thirteenth paragraphs.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270" w:right="339" w:bottom="1440" w:gutter="0" w:footer="0" w:header="0"/>
        </w:sectPr>
      </w:pPr>
    </w:p>
    <w:bookmarkStart w:id="31" w:name="page32"/>
    <w:bookmarkEnd w:id="31"/>
    <w:p>
      <w:pPr>
        <w:ind w:left="-20" w:firstLine="457"/>
        <w:spacing w:after="0" w:line="251" w:lineRule="auto"/>
        <w:tabs>
          <w:tab w:leader="none" w:pos="6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 brought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40" w:top="268" w:right="359" w:bottom="1440" w:gutter="0" w:footer="0" w:header="0"/>
        </w:sectPr>
      </w:pPr>
    </w:p>
    <w:bookmarkStart w:id="32" w:name="page33"/>
    <w:bookmarkEnd w:id="32"/>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77" w:lineRule="exact"/>
        <w:rPr>
          <w:sz w:val="20"/>
          <w:szCs w:val="20"/>
          <w:color w:val="auto"/>
        </w:rPr>
      </w:pPr>
    </w:p>
    <w:p>
      <w:pPr>
        <w:ind w:firstLine="457"/>
        <w:spacing w:after="0" w:line="252" w:lineRule="auto"/>
        <w:tabs>
          <w:tab w:leader="none" w:pos="7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and (b) above is unavailable to an Indemnified Person or insufficient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87" w:lineRule="exact"/>
        <w:rPr>
          <w:rFonts w:ascii="Times New Roman" w:cs="Times New Roman" w:eastAsia="Times New Roman" w:hAnsi="Times New Roman"/>
          <w:sz w:val="18"/>
          <w:szCs w:val="18"/>
          <w:color w:val="auto"/>
        </w:rPr>
      </w:pPr>
    </w:p>
    <w:p>
      <w:pPr>
        <w:ind w:left="700" w:hanging="243"/>
        <w:spacing w:after="0"/>
        <w:tabs>
          <w:tab w:leader="none" w:pos="7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paragraph</w:t>
      </w:r>
    </w:p>
    <w:p>
      <w:pPr>
        <w:spacing w:after="0" w:line="29" w:lineRule="exact"/>
        <w:rPr>
          <w:rFonts w:ascii="Times New Roman" w:cs="Times New Roman" w:eastAsia="Times New Roman" w:hAnsi="Times New Roman"/>
          <w:sz w:val="18"/>
          <w:szCs w:val="18"/>
          <w:color w:val="auto"/>
        </w:rPr>
      </w:pPr>
    </w:p>
    <w:p>
      <w:pPr>
        <w:ind w:firstLine="8"/>
        <w:spacing w:after="0" w:line="252"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270" w:right="339" w:bottom="1440" w:gutter="0" w:footer="0" w:header="0"/>
        </w:sectPr>
      </w:pPr>
    </w:p>
    <w:bookmarkStart w:id="33" w:name="page34"/>
    <w:bookmarkEnd w:id="3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70" w:lineRule="exact"/>
        <w:rPr>
          <w:sz w:val="20"/>
          <w:szCs w:val="20"/>
          <w:color w:val="auto"/>
        </w:rPr>
      </w:pPr>
    </w:p>
    <w:p>
      <w:pPr>
        <w:ind w:right="40" w:firstLine="457"/>
        <w:spacing w:after="0" w:line="284" w:lineRule="auto"/>
        <w:tabs>
          <w:tab w:leader="none" w:pos="6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8 paragraphs (a) through (e) are not exclusive and shall not limit any rights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remedies which may otherwise be available to any Indemnified Person at law or in equity.</w:t>
      </w:r>
    </w:p>
    <w:p>
      <w:pPr>
        <w:spacing w:after="0" w:line="52" w:lineRule="exact"/>
        <w:rPr>
          <w:sz w:val="20"/>
          <w:szCs w:val="20"/>
          <w:color w:val="auto"/>
        </w:rPr>
      </w:pPr>
    </w:p>
    <w:p>
      <w:pPr>
        <w:ind w:left="640" w:hanging="18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117" w:lineRule="exact"/>
        <w:rPr>
          <w:rFonts w:ascii="Times New Roman" w:cs="Times New Roman" w:eastAsia="Times New Roman" w:hAnsi="Times New Roman"/>
          <w:sz w:val="18"/>
          <w:szCs w:val="18"/>
          <w:color w:val="auto"/>
        </w:rPr>
      </w:pPr>
    </w:p>
    <w:p>
      <w:pPr>
        <w:ind w:right="40" w:firstLine="457"/>
        <w:spacing w:after="0" w:line="254" w:lineRule="auto"/>
        <w:tabs>
          <w:tab w:leader="none" w:pos="7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prior to the Closing Date or, in the case of the Option Securities,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80"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7"/>
        <w:spacing w:after="0" w:line="253" w:lineRule="auto"/>
        <w:tabs>
          <w:tab w:leader="none" w:pos="6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270" w:right="359" w:bottom="1440" w:gutter="0" w:footer="0" w:header="0"/>
        </w:sectPr>
      </w:pPr>
    </w:p>
    <w:bookmarkStart w:id="34" w:name="page35"/>
    <w:bookmarkEnd w:id="34"/>
    <w:p>
      <w:pPr>
        <w:ind w:left="-8" w:right="100" w:firstLine="457"/>
        <w:spacing w:after="0" w:line="255" w:lineRule="auto"/>
        <w:tabs>
          <w:tab w:leader="none" w:pos="6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or the Additional Closing Date, as the case may be,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w:t>
      </w:r>
    </w:p>
    <w:p>
      <w:pPr>
        <w:spacing w:after="0" w:line="80" w:lineRule="exact"/>
        <w:rPr>
          <w:rFonts w:ascii="Times New Roman" w:cs="Times New Roman" w:eastAsia="Times New Roman" w:hAnsi="Times New Roman"/>
          <w:sz w:val="18"/>
          <w:szCs w:val="18"/>
          <w:color w:val="auto"/>
        </w:rPr>
      </w:pPr>
    </w:p>
    <w:p>
      <w:pPr>
        <w:ind w:left="-8" w:right="60" w:firstLine="457"/>
        <w:spacing w:after="0" w:line="254" w:lineRule="auto"/>
        <w:tabs>
          <w:tab w:leader="none" w:pos="6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or the Additional Closing Date, as the case may be, exceeds one-eleventh of the aggregate principal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83" w:lineRule="exact"/>
        <w:rPr>
          <w:rFonts w:ascii="Times New Roman" w:cs="Times New Roman" w:eastAsia="Times New Roman" w:hAnsi="Times New Roman"/>
          <w:sz w:val="18"/>
          <w:szCs w:val="18"/>
          <w:color w:val="auto"/>
        </w:rPr>
      </w:pPr>
    </w:p>
    <w:p>
      <w:pPr>
        <w:ind w:left="-8" w:right="220" w:firstLine="457"/>
        <w:spacing w:after="0" w:line="282" w:lineRule="auto"/>
        <w:tabs>
          <w:tab w:leader="none" w:pos="6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52" w:lineRule="exact"/>
        <w:rPr>
          <w:sz w:val="20"/>
          <w:szCs w:val="20"/>
          <w:color w:val="auto"/>
        </w:rPr>
      </w:pPr>
    </w:p>
    <w:p>
      <w:pPr>
        <w:ind w:left="712" w:hanging="263"/>
        <w:spacing w:after="0"/>
        <w:tabs>
          <w:tab w:leader="none" w:pos="7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8" w:right="140" w:firstLine="457"/>
        <w:spacing w:after="0" w:line="257" w:lineRule="auto"/>
        <w:tabs>
          <w:tab w:leader="none" w:pos="68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w:t>
      </w:r>
    </w:p>
    <w:p>
      <w:pPr>
        <w:spacing w:after="0" w:line="1" w:lineRule="exact"/>
        <w:rPr>
          <w:rFonts w:ascii="Times New Roman" w:cs="Times New Roman" w:eastAsia="Times New Roman" w:hAnsi="Times New Roman"/>
          <w:sz w:val="18"/>
          <w:szCs w:val="18"/>
          <w:color w:val="auto"/>
        </w:rPr>
      </w:pPr>
    </w:p>
    <w:p>
      <w:pPr>
        <w:ind w:left="-8" w:firstLine="8"/>
        <w:spacing w:after="0" w:line="250" w:lineRule="auto"/>
        <w:tabs>
          <w:tab w:leader="none" w:pos="2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incident to the preparation, printing and filing under the Securities Act of the Registration Statement, the Preliminary Prospectus, any Pricing Disclosure Package, any Marketing Materials and the Prospectus (including all exhibits, amendments and supplements thereto) and the distribution thereof;</w:t>
      </w:r>
    </w:p>
    <w:p>
      <w:pPr>
        <w:ind w:left="-8" w:right="120" w:firstLine="8"/>
        <w:spacing w:after="0" w:line="253" w:lineRule="auto"/>
        <w:tabs>
          <w:tab w:leader="none" w:pos="30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Underwriters); (v)</w:t>
      </w:r>
    </w:p>
    <w:p>
      <w:pPr>
        <w:spacing w:after="0" w:line="12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12"/>
          </w:cols>
          <w:pgMar w:left="328" w:top="270" w:right="359" w:bottom="1440" w:gutter="0" w:footer="0" w:header="0"/>
        </w:sectPr>
      </w:pPr>
    </w:p>
    <w:bookmarkStart w:id="35" w:name="page36"/>
    <w:bookmarkEnd w:id="35"/>
    <w:p>
      <w:pPr>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cost of preparing stock certificates, if applicable; (vi) the costs and charges of any transfer agent and any registrar; (vii) all filing fees and the reasonable fees and expenses incurred in connection with any filing with, and clearance of the offering by, FINRA (such fees and expenses pursuant to this clause</w:t>
      </w:r>
    </w:p>
    <w:p>
      <w:pPr>
        <w:spacing w:after="0" w:line="1" w:lineRule="exact"/>
        <w:rPr>
          <w:sz w:val="20"/>
          <w:szCs w:val="20"/>
          <w:color w:val="auto"/>
        </w:rPr>
      </w:pPr>
    </w:p>
    <w:p>
      <w:pPr>
        <w:ind w:firstLine="8"/>
        <w:spacing w:after="0" w:line="252" w:lineRule="auto"/>
        <w:tabs>
          <w:tab w:leader="none" w:pos="3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clause (iv), in the aggregate, shall not exceed $15,000); (viii) all expenses incurred by the Company in connection with any “road show” presentation to potential investors,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Underwriters shall be responsible for 50% of the third-party costs of any chartered private aircraft incurred in connection with such road show; and (ix) all expenses and application fees related to the listing of the Securities on the New York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80"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this Agreement is terminated pursuant to Section 10 (other than as a result of a termination pursuant to clauses (i), (iii) or (iv) of Section 10),</w:t>
      </w:r>
    </w:p>
    <w:p>
      <w:pPr>
        <w:spacing w:after="0" w:line="38" w:lineRule="exact"/>
        <w:rPr>
          <w:rFonts w:ascii="Times New Roman" w:cs="Times New Roman" w:eastAsia="Times New Roman" w:hAnsi="Times New Roman"/>
          <w:sz w:val="17"/>
          <w:szCs w:val="17"/>
          <w:color w:val="auto"/>
        </w:rPr>
      </w:pPr>
    </w:p>
    <w:p>
      <w:pPr>
        <w:ind w:right="40" w:firstLine="8"/>
        <w:spacing w:after="0" w:line="253"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79" w:lineRule="exact"/>
        <w:rPr>
          <w:sz w:val="20"/>
          <w:szCs w:val="20"/>
          <w:color w:val="auto"/>
        </w:rPr>
      </w:pPr>
    </w:p>
    <w:p>
      <w:pPr>
        <w:ind w:right="40" w:firstLine="457"/>
        <w:spacing w:after="0" w:line="261" w:lineRule="auto"/>
        <w:tabs>
          <w:tab w:leader="none" w:pos="7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71" w:lineRule="exact"/>
        <w:rPr>
          <w:rFonts w:ascii="Times New Roman" w:cs="Times New Roman" w:eastAsia="Times New Roman" w:hAnsi="Times New Roman"/>
          <w:sz w:val="18"/>
          <w:szCs w:val="18"/>
          <w:color w:val="auto"/>
        </w:rPr>
      </w:pPr>
    </w:p>
    <w:p>
      <w:pPr>
        <w:jc w:val="both"/>
        <w:ind w:right="120" w:firstLine="457"/>
        <w:spacing w:after="0" w:line="261" w:lineRule="auto"/>
        <w:tabs>
          <w:tab w:leader="none" w:pos="7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71" w:lineRule="exact"/>
        <w:rPr>
          <w:rFonts w:ascii="Times New Roman" w:cs="Times New Roman" w:eastAsia="Times New Roman" w:hAnsi="Times New Roman"/>
          <w:sz w:val="18"/>
          <w:szCs w:val="18"/>
          <w:color w:val="auto"/>
        </w:rPr>
      </w:pPr>
    </w:p>
    <w:p>
      <w:pPr>
        <w:ind w:right="140" w:firstLine="457"/>
        <w:spacing w:after="0" w:line="266" w:lineRule="auto"/>
        <w:tabs>
          <w:tab w:leader="none" w:pos="7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270" w:right="359" w:bottom="1440" w:gutter="0" w:footer="0" w:header="0"/>
        </w:sectPr>
      </w:pPr>
    </w:p>
    <w:bookmarkStart w:id="36" w:name="page37"/>
    <w:bookmarkEnd w:id="36"/>
    <w:p>
      <w:pPr>
        <w:ind w:left="720" w:hanging="263"/>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Recognition of the U.S. Special Resolution Regimes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57"/>
        <w:spacing w:after="0" w:line="261" w:lineRule="auto"/>
        <w:tabs>
          <w:tab w:leader="none" w:pos="6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right="160" w:firstLine="457"/>
        <w:spacing w:after="0" w:line="261" w:lineRule="auto"/>
        <w:tabs>
          <w:tab w:leader="none" w:pos="7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firstLine="457"/>
        <w:spacing w:after="0" w:line="255" w:lineRule="auto"/>
        <w:tabs>
          <w:tab w:leader="none" w:pos="6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81" w:lineRule="exact"/>
        <w:rPr>
          <w:sz w:val="20"/>
          <w:szCs w:val="20"/>
          <w:color w:val="auto"/>
        </w:rPr>
      </w:pPr>
    </w:p>
    <w:p>
      <w:pPr>
        <w:ind w:left="720" w:hanging="263"/>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confirmed by any standard form of telecommunication. Notices to the Underwriters shall be given to the Representative c/o Morgan Stanley &amp; Co. LLC at 1585 Broadway, New York, New York 10036, Attention: Equity Syndicate Desk, with a copy to the Legal Department. Notices to the Company or the Adviser shall be given to either of them at Sixth Street Specialty Lending, Inc., 345 California Street, Suite 3300, San Francisco, California 94104 (fax:</w:t>
      </w:r>
    </w:p>
    <w:p>
      <w:pPr>
        <w:spacing w:after="0" w:line="1" w:lineRule="exact"/>
        <w:rPr>
          <w:sz w:val="20"/>
          <w:szCs w:val="20"/>
          <w:color w:val="auto"/>
        </w:rPr>
      </w:pPr>
    </w:p>
    <w:p>
      <w:pPr>
        <w:ind w:left="440" w:hanging="432"/>
        <w:spacing w:after="0"/>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486-5929), Attention: Joshua Peck.</w:t>
      </w:r>
    </w:p>
    <w:p>
      <w:pPr>
        <w:spacing w:after="0" w:line="96" w:lineRule="exact"/>
        <w:rPr>
          <w:rFonts w:ascii="Times New Roman" w:cs="Times New Roman" w:eastAsia="Times New Roman" w:hAnsi="Times New Roman"/>
          <w:sz w:val="18"/>
          <w:szCs w:val="18"/>
          <w:color w:val="auto"/>
        </w:rPr>
      </w:pPr>
    </w:p>
    <w:p>
      <w:pPr>
        <w:ind w:right="60" w:firstLine="457"/>
        <w:spacing w:after="0" w:line="267" w:lineRule="auto"/>
        <w:tabs>
          <w:tab w:leader="none" w:pos="6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270" w:right="339" w:bottom="1440" w:gutter="0" w:footer="0" w:header="0"/>
        </w:sectPr>
      </w:pPr>
    </w:p>
    <w:bookmarkStart w:id="37" w:name="page38"/>
    <w:bookmarkEnd w:id="37"/>
    <w:p>
      <w:pPr>
        <w:ind w:left="-20" w:right="520" w:firstLine="457"/>
        <w:spacing w:after="0" w:line="284" w:lineRule="auto"/>
        <w:tabs>
          <w:tab w:leader="none" w:pos="6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 applicable to agreements made and to be performed in such state.</w:t>
      </w:r>
    </w:p>
    <w:p>
      <w:pPr>
        <w:spacing w:after="0" w:line="50" w:lineRule="exact"/>
        <w:rPr>
          <w:rFonts w:ascii="Times New Roman" w:cs="Times New Roman" w:eastAsia="Times New Roman" w:hAnsi="Times New Roman"/>
          <w:sz w:val="18"/>
          <w:szCs w:val="18"/>
          <w:color w:val="auto"/>
        </w:rPr>
      </w:pPr>
    </w:p>
    <w:p>
      <w:pPr>
        <w:ind w:left="-20" w:firstLine="457"/>
        <w:spacing w:after="0" w:line="258" w:lineRule="auto"/>
        <w:tabs>
          <w:tab w:leader="none" w:pos="6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one or more counterparts, each of which shall constitute an original and all of which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75" w:lineRule="exact"/>
        <w:rPr>
          <w:rFonts w:ascii="Times New Roman" w:cs="Times New Roman" w:eastAsia="Times New Roman" w:hAnsi="Times New Roman"/>
          <w:sz w:val="18"/>
          <w:szCs w:val="18"/>
          <w:color w:val="auto"/>
        </w:rPr>
      </w:pPr>
    </w:p>
    <w:p>
      <w:pPr>
        <w:ind w:left="-20" w:right="180" w:firstLine="457"/>
        <w:spacing w:after="0" w:line="284" w:lineRule="auto"/>
        <w:tabs>
          <w:tab w:leader="none" w:pos="6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 therefrom,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in any event be effective unless the same shall be in writing and signed by the parties hereto.</w:t>
      </w:r>
    </w:p>
    <w:p>
      <w:pPr>
        <w:spacing w:after="0" w:line="50" w:lineRule="exact"/>
        <w:rPr>
          <w:rFonts w:ascii="Times New Roman" w:cs="Times New Roman" w:eastAsia="Times New Roman" w:hAnsi="Times New Roman"/>
          <w:sz w:val="18"/>
          <w:szCs w:val="18"/>
          <w:color w:val="auto"/>
        </w:rPr>
      </w:pPr>
    </w:p>
    <w:p>
      <w:pPr>
        <w:ind w:left="-20" w:right="460" w:firstLine="457"/>
        <w:spacing w:after="0" w:line="284" w:lineRule="auto"/>
        <w:tabs>
          <w:tab w:leader="none" w:pos="6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50" w:lineRule="exact"/>
        <w:rPr>
          <w:rFonts w:ascii="Times New Roman" w:cs="Times New Roman" w:eastAsia="Times New Roman" w:hAnsi="Times New Roman"/>
          <w:sz w:val="18"/>
          <w:szCs w:val="18"/>
          <w:color w:val="auto"/>
        </w:rPr>
      </w:pPr>
    </w:p>
    <w:p>
      <w:pPr>
        <w:ind w:left="-20" w:right="340" w:firstLine="457"/>
        <w:spacing w:after="0" w:line="267"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of the Representative</w:t>
      </w:r>
      <w:r>
        <w:rPr>
          <w:rFonts w:ascii="Times New Roman" w:cs="Times New Roman" w:eastAsia="Times New Roman" w:hAnsi="Times New Roman"/>
          <w:sz w:val="18"/>
          <w:szCs w:val="18"/>
          <w:color w:val="auto"/>
        </w:rPr>
        <w:t>. The Representative is duly authorized to act hereunder on behalf of the other Underwriters. Any action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hereunder may be taken by the Representative on behalf of the Underwriters, and any such action taken by the Representative shall be binding on all the Underwriters.</w:t>
      </w:r>
    </w:p>
    <w:p>
      <w:pPr>
        <w:spacing w:after="0" w:line="17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 below.</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40" w:top="268" w:right="339" w:bottom="1440" w:gutter="0" w:footer="0" w:header="0"/>
        </w:sectPr>
      </w:pPr>
    </w:p>
    <w:bookmarkStart w:id="38" w:name="page39"/>
    <w:bookmarkEnd w:id="38"/>
    <w:p>
      <w:pPr>
        <w:ind w:left="5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26142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SIXTH STREET SPECIALTY LENDING ADVISERS, LLC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26142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60"/>
          </w:cols>
          <w:pgMar w:left="1440" w:top="270"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MORGAN STANLEY &amp; CO.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on behalf of itself and the several Underwriters listed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Michael Occi</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51"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513"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offering price per share for the Securities shall be $21.65.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offering price as to each investor shall be the price paid by each investor.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 of Underwriter</w:t>
            </w:r>
          </w:p>
        </w:tc>
        <w:tc>
          <w:tcPr>
            <w:tcW w:w="5560" w:type="dxa"/>
            <w:vAlign w:val="bottom"/>
          </w:tcPr>
          <w:p>
            <w:pPr>
              <w:spacing w:after="0"/>
              <w:rPr>
                <w:sz w:val="13"/>
                <w:szCs w:val="13"/>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Number of Initial Securities</w:t>
            </w:r>
          </w:p>
        </w:tc>
        <w:tc>
          <w:tcPr>
            <w:tcW w:w="0" w:type="dxa"/>
            <w:vAlign w:val="bottom"/>
          </w:tcPr>
          <w:p>
            <w:pPr>
              <w:spacing w:after="0"/>
              <w:rPr>
                <w:sz w:val="1"/>
                <w:szCs w:val="1"/>
                <w:color w:val="auto"/>
              </w:rPr>
            </w:pPr>
          </w:p>
        </w:tc>
      </w:tr>
      <w:tr>
        <w:trPr>
          <w:trHeight w:val="158"/>
        </w:trPr>
        <w:tc>
          <w:tcPr>
            <w:tcW w:w="4000" w:type="dxa"/>
            <w:vAlign w:val="bottom"/>
            <w:gridSpan w:val="2"/>
            <w:vMerge w:val="continue"/>
          </w:tcPr>
          <w:p>
            <w:pPr>
              <w:spacing w:after="0"/>
              <w:rPr>
                <w:sz w:val="13"/>
                <w:szCs w:val="13"/>
                <w:color w:val="auto"/>
              </w:rPr>
            </w:pPr>
          </w:p>
        </w:tc>
        <w:tc>
          <w:tcPr>
            <w:tcW w:w="5560" w:type="dxa"/>
            <w:vAlign w:val="bottom"/>
          </w:tcPr>
          <w:p>
            <w:pPr>
              <w:spacing w:after="0"/>
              <w:rPr>
                <w:sz w:val="13"/>
                <w:szCs w:val="13"/>
                <w:color w:val="auto"/>
              </w:rPr>
            </w:pPr>
          </w:p>
        </w:tc>
        <w:tc>
          <w:tcPr>
            <w:tcW w:w="1680" w:type="dxa"/>
            <w:vAlign w:val="bottom"/>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color w:val="auto"/>
              </w:rPr>
              <w:t>to be Purchased</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55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7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7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7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7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7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7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JMP Securities LLC</w:t>
            </w:r>
          </w:p>
        </w:tc>
        <w:tc>
          <w:tcPr>
            <w:tcW w:w="7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5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372"/>
        </w:trPr>
        <w:tc>
          <w:tcPr>
            <w:tcW w:w="1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5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S-1-1</w:t>
            </w:r>
          </w:p>
        </w:tc>
        <w:tc>
          <w:tcPr>
            <w:tcW w:w="1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2</w:t>
      </w:r>
    </w:p>
    <w:p>
      <w:pPr>
        <w:spacing w:after="0" w:line="252"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27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131"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 Lending, LLC</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SL SPV, LLC</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SL Holdings, LLC</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Sub,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27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Directors and Officers Subject to Lock-Up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Hurley Doddy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Easterly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(Bo) Stanley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Fishman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Higginbotham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Judy Slotkin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Tanemura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Waxman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Stiepleman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Pluss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Hamrah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Gordon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Graf</w:t>
      </w:r>
    </w:p>
    <w:p>
      <w:pPr>
        <w:sectPr>
          <w:pgSz w:w="11900" w:h="16838" w:orient="portrait"/>
          <w:cols w:equalWidth="0" w:num="1">
            <w:col w:w="11240"/>
          </w:cols>
          <w:pgMar w:left="320" w:top="27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18,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you, as Representative of the several Underwriters, propose to enter into an Underwriting Agreement (the “Underwriting Agreement”) with Sixth Street Specialty Lending, Inc., a Delaware corporation (the “Company”) and Sixth Street Specialty Lending Advisers, LLC, providing for the public offering (the “Offering”) of shares of the Company’s common stock, par value $0.01 per share. Capitalized terms used herein and not otherwise defined shall have the meanings set forth in the Underwriting Agreement.</w:t>
      </w:r>
    </w:p>
    <w:p>
      <w:pPr>
        <w:spacing w:after="0" w:line="180"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the Securities, and for other good and valuable consideration receipt of which is hereby acknowledged, the undersigned hereby agrees that, without the prior written consent of Morgan Stanley &amp; Co. LLC, on behalf of the Underwriters, the undersigned will not, during the “Lock-Up Period,” which term shall mean the period ending 30 days after the date of the prospectus supplement relating to the Offering (the “Prospectus Supplement”) for all of the undersigned’s shares of common stock, $0.01 per share par value, of the Company (the “Common Stock”),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(the “Commission”) and including any Common Stock or other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(except for purposes of clause (3) for such demands or exercises as will not require or permit any public filing or other public disclosure to be made in connection therewith until after the expiration of the Lock-Up Period referred to above). The undersigned acknowledges and agrees that the foregoing precludes the undersigned from engaging in any hedging or other transactions designed or intended, or which could reasonably be expected to lead to or result in, a sale or disposition of any shares of Common Stock, or securities convertible into or exercisable or exchangeable for Common Stock, even if any such sale or disposition transaction or transactions would be made or executed by or on behalf of someone other than the undersigned. The foregoing restrictions shall not apply to:</w:t>
      </w:r>
    </w:p>
    <w:p>
      <w:pPr>
        <w:spacing w:after="0" w:line="8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transfers of shares of Common Stock or such other securities as a bona fide gift or gifts;</w:t>
      </w:r>
    </w:p>
    <w:p>
      <w:pPr>
        <w:sectPr>
          <w:pgSz w:w="11900" w:h="16838" w:orient="portrait"/>
          <w:cols w:equalWidth="0" w:num="1">
            <w:col w:w="11240"/>
          </w:cols>
          <w:pgMar w:left="320" w:top="270" w:right="339" w:bottom="1440" w:gutter="0" w:footer="0" w:header="0"/>
        </w:sectPr>
      </w:pPr>
    </w:p>
    <w:bookmarkStart w:id="45" w:name="page46"/>
    <w:bookmarkEnd w:id="45"/>
    <w:p>
      <w:pPr>
        <w:ind w:left="1700" w:hanging="272"/>
        <w:spacing w:after="0"/>
        <w:tabs>
          <w:tab w:leader="none" w:pos="1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transfers of Common Stock or such other securities as donations to charitable organizations;</w:t>
      </w:r>
    </w:p>
    <w:p>
      <w:pPr>
        <w:spacing w:after="0" w:line="117" w:lineRule="exact"/>
        <w:rPr>
          <w:rFonts w:ascii="Times New Roman" w:cs="Times New Roman" w:eastAsia="Times New Roman" w:hAnsi="Times New Roman"/>
          <w:sz w:val="18"/>
          <w:szCs w:val="18"/>
          <w:color w:val="auto"/>
        </w:rPr>
      </w:pPr>
    </w:p>
    <w:p>
      <w:pPr>
        <w:ind w:left="1020" w:right="160" w:firstLine="408"/>
        <w:spacing w:after="0" w:line="282" w:lineRule="auto"/>
        <w:tabs>
          <w:tab w:leader="none" w:pos="17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such other securities as a result of the operation of law, such as estate, other testamentary document or intestate succession;</w:t>
      </w:r>
    </w:p>
    <w:p>
      <w:pPr>
        <w:spacing w:after="0" w:line="53" w:lineRule="exact"/>
        <w:rPr>
          <w:rFonts w:ascii="Times New Roman" w:cs="Times New Roman" w:eastAsia="Times New Roman" w:hAnsi="Times New Roman"/>
          <w:sz w:val="18"/>
          <w:szCs w:val="18"/>
          <w:color w:val="auto"/>
        </w:rPr>
      </w:pPr>
    </w:p>
    <w:p>
      <w:pPr>
        <w:ind w:left="1020" w:right="100" w:firstLine="408"/>
        <w:spacing w:after="0" w:line="266" w:lineRule="auto"/>
        <w:tabs>
          <w:tab w:leader="none" w:pos="173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shares of Common Stock or such other securities to any immediate family member of the undersigned or any trust for the direct or indirect benefit of the undersigned or any immediate family member of the undersigned (for purposes of this Letter Agreement, “immediate family” shall mean any relationship by blood, marriage or adoption, not more remote than first cousin);</w:t>
      </w:r>
    </w:p>
    <w:p>
      <w:pPr>
        <w:spacing w:after="0" w:line="67" w:lineRule="exact"/>
        <w:rPr>
          <w:rFonts w:ascii="Times New Roman" w:cs="Times New Roman" w:eastAsia="Times New Roman" w:hAnsi="Times New Roman"/>
          <w:sz w:val="18"/>
          <w:szCs w:val="18"/>
          <w:color w:val="auto"/>
        </w:rPr>
      </w:pPr>
    </w:p>
    <w:p>
      <w:pPr>
        <w:ind w:left="1020" w:firstLine="408"/>
        <w:spacing w:after="0" w:line="266" w:lineRule="auto"/>
        <w:tabs>
          <w:tab w:leader="none" w:pos="16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or other business entity, transfers or distributions of shares of Common Stock or such other securities to (1) its limited or general partners, members or stockholders or (2) its direct or indirect affiliates or other entities or funds controlled or managed by the undersigned or its affiliates; or</w:t>
      </w:r>
    </w:p>
    <w:p>
      <w:pPr>
        <w:spacing w:after="0" w:line="67" w:lineRule="exact"/>
        <w:rPr>
          <w:rFonts w:ascii="Times New Roman" w:cs="Times New Roman" w:eastAsia="Times New Roman" w:hAnsi="Times New Roman"/>
          <w:sz w:val="18"/>
          <w:szCs w:val="18"/>
          <w:color w:val="auto"/>
        </w:rPr>
      </w:pPr>
    </w:p>
    <w:p>
      <w:pPr>
        <w:ind w:left="1020" w:right="60" w:firstLine="408"/>
        <w:spacing w:after="0" w:line="282" w:lineRule="auto"/>
        <w:tabs>
          <w:tab w:leader="none" w:pos="173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such other securities acquired in open market transactions or acquired from the Company under its dividend reinvestment plan after the completion of the Offering;</w:t>
      </w:r>
    </w:p>
    <w:p>
      <w:pPr>
        <w:spacing w:after="0" w:line="16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provided that in the case of any transfer or distribution pursuant to clauses (i) through (v), each donee, transferee or distributee shall execute and deliver to the Representative a lock-up letter in the form of this paragraph; and provided, further, that in the case of any transfer or distribution pursuant to clauses</w:t>
      </w:r>
    </w:p>
    <w:p>
      <w:pPr>
        <w:spacing w:after="0" w:line="1" w:lineRule="exact"/>
        <w:rPr>
          <w:sz w:val="20"/>
          <w:szCs w:val="20"/>
          <w:color w:val="auto"/>
        </w:rPr>
      </w:pPr>
    </w:p>
    <w:p>
      <w:pPr>
        <w:ind w:right="100" w:firstLine="8"/>
        <w:spacing w:after="0" w:line="255" w:lineRule="auto"/>
        <w:tabs>
          <w:tab w:leader="none" w:pos="2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 no filing by any party (donor, donee, transferor or transferee) under the Securities Exchange Act of 1934, as amended (the “Exchange Act”), or other public announcement shall be required or shall be made voluntarily in connection with such transfer or distribution (other than a filing on a Form 5 made after the expiration of the Lock-Up Period referred to above).</w:t>
      </w:r>
    </w:p>
    <w:p>
      <w:pPr>
        <w:spacing w:after="0" w:line="186"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Furthermore, the undersigned may, if permitted by the Company, establish a written trading plan meeting the requirements of Rule 10b5-1 under the Exchange Act; provided that the establishment of such plan does not give rise to any filing or public announcement and that no sales or other transfers occur under such plan during the Lock-Up Period referred to above.</w:t>
      </w:r>
    </w:p>
    <w:p>
      <w:pPr>
        <w:spacing w:after="0" w:line="176"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62"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if (i) prior to entering into the Underwriting Agreement, the Company notifies the Representative in writing that the Company does not intend to proceed with the Offering of Securities; (ii) the Underwriting Agreement has not been executed by all parties by February 26, 2021; or (iii) the Underwriting Agreement (other than the provisions thereof which survive</w:t>
      </w:r>
    </w:p>
    <w:p>
      <w:pPr>
        <w:sectPr>
          <w:pgSz w:w="11900" w:h="16838" w:orient="portrait"/>
          <w:cols w:equalWidth="0" w:num="1">
            <w:col w:w="11220"/>
          </w:cols>
          <w:pgMar w:left="320" w:top="270" w:right="359" w:bottom="1440" w:gutter="0" w:footer="0" w:header="0"/>
        </w:sectPr>
      </w:pPr>
    </w:p>
    <w:bookmarkStart w:id="46" w:name="page47"/>
    <w:bookmarkEnd w:id="46"/>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shall terminate or be terminated prior to payment for and delivery of the Securities to be sold thereunder, the undersigned shall be released from, all obligations under this Letter Agreement. The undersigned understands that the Underwriters are entering into the Underwriting Agreement and proceeding with the Offering in reliance upon this Letter Agreement.</w:t>
      </w:r>
    </w:p>
    <w:p>
      <w:pPr>
        <w:spacing w:after="0" w:line="17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140"/>
          </w:cols>
          <w:pgMar w:left="320" w:top="270" w:right="439" w:bottom="1440" w:gutter="0" w:footer="0" w:header="0"/>
        </w:sectPr>
      </w:pPr>
    </w:p>
    <w:bookmarkStart w:id="47" w:name="page48"/>
    <w:bookmarkEnd w:id="47"/>
    <w:p>
      <w:pPr>
        <w:ind w:left="56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26142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173990</wp:posOffset>
            </wp:positionV>
            <wp:extent cx="5701030" cy="2288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103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23,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have acted as counsel to Sixth Street Specialty Lending,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Company’s offering pursuant to a registration statement on Form N-2 (No. 333-231271) of 4,000,000 of the Company’s shares of common stock, par value $0.01 per share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Such registration statement, as amended as of its most recent effective date (February 18, 2021), insofar as it relates to the Securities (as determined for purposes of Rule 430B(f)(2)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including the documents incorporated by reference therein,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related prospectus dated May 7, 2019, included in the Registration Statement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is herein called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the preliminary prospectus supplement dated February 18, 2021, as filed with the Commission pursuant to Rule 424(b)(2) under the Securities Act, is herein called the “</w:t>
      </w:r>
      <w:r>
        <w:rPr>
          <w:rFonts w:ascii="Times New Roman" w:cs="Times New Roman" w:eastAsia="Times New Roman" w:hAnsi="Times New Roman"/>
          <w:sz w:val="18"/>
          <w:szCs w:val="18"/>
          <w:u w:val="single" w:color="auto"/>
          <w:color w:val="auto"/>
        </w:rPr>
        <w:t>Preliminary Prospectus Supplement</w:t>
      </w:r>
      <w:r>
        <w:rPr>
          <w:rFonts w:ascii="Times New Roman" w:cs="Times New Roman" w:eastAsia="Times New Roman" w:hAnsi="Times New Roman"/>
          <w:sz w:val="18"/>
          <w:szCs w:val="18"/>
          <w:color w:val="auto"/>
        </w:rPr>
        <w:t>;” and the related prospectus supplement dated February 18, 2021, as filed with the Commission pursuant to Rule 424(b)(2) under the Securities Act, is herein called the “</w:t>
      </w:r>
      <w:r>
        <w:rPr>
          <w:rFonts w:ascii="Times New Roman" w:cs="Times New Roman" w:eastAsia="Times New Roman" w:hAnsi="Times New Roman"/>
          <w:sz w:val="18"/>
          <w:szCs w:val="18"/>
          <w:u w:val="single" w:color="auto"/>
          <w:color w:val="auto"/>
        </w:rPr>
        <w:t>Final Prospectus Supplement</w:t>
      </w:r>
      <w:r>
        <w:rPr>
          <w:rFonts w:ascii="Times New Roman" w:cs="Times New Roman" w:eastAsia="Times New Roman" w:hAnsi="Times New Roman"/>
          <w:sz w:val="18"/>
          <w:szCs w:val="18"/>
          <w:color w:val="auto"/>
        </w:rPr>
        <w:t>.” The Base Prospectus and the Preliminary Prospectus Supplement together are herein called the “</w:t>
      </w:r>
      <w:r>
        <w:rPr>
          <w:rFonts w:ascii="Times New Roman" w:cs="Times New Roman" w:eastAsia="Times New Roman" w:hAnsi="Times New Roman"/>
          <w:sz w:val="18"/>
          <w:szCs w:val="18"/>
          <w:u w:val="single" w:color="auto"/>
          <w:color w:val="auto"/>
        </w:rPr>
        <w:t>Pricing Prospectus</w:t>
      </w:r>
      <w:r>
        <w:rPr>
          <w:rFonts w:ascii="Times New Roman" w:cs="Times New Roman" w:eastAsia="Times New Roman" w:hAnsi="Times New Roman"/>
          <w:sz w:val="18"/>
          <w:szCs w:val="18"/>
          <w:color w:val="auto"/>
        </w:rPr>
        <w:t>,” and the Base Prospectus and the Final Prospectus Supplement together are herein called the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arriving at the opinion expressed below, we have reviewed the following documents:</w:t>
      </w:r>
    </w:p>
    <w:p>
      <w:pPr>
        <w:spacing w:after="0" w:line="131" w:lineRule="exact"/>
        <w:rPr>
          <w:sz w:val="20"/>
          <w:szCs w:val="20"/>
          <w:color w:val="auto"/>
        </w:rPr>
      </w:pPr>
    </w:p>
    <w:p>
      <w:pPr>
        <w:jc w:val="both"/>
        <w:ind w:left="1000" w:right="300" w:hanging="547"/>
        <w:spacing w:after="0" w:line="312" w:lineRule="auto"/>
        <w:tabs>
          <w:tab w:leader="none" w:pos="10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executed copy of the Underwriting Agreement dated February 18, 2021 among the Company, Sixth Street Specialty Lending Advisers, LLC, a Delaware limited liability company registered as an investment adviser, and the several underwriters named in Schedule 1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117475</wp:posOffset>
            </wp:positionV>
            <wp:extent cx="395160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51605" cy="13716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Sixth Street Specialty Lending, Inc., p. 2</w:t>
      </w:r>
    </w:p>
    <w:p>
      <w:pPr>
        <w:spacing w:after="0" w:line="158" w:lineRule="exact"/>
        <w:rPr>
          <w:sz w:val="20"/>
          <w:szCs w:val="20"/>
          <w:color w:val="auto"/>
        </w:rPr>
      </w:pPr>
    </w:p>
    <w:p>
      <w:pPr>
        <w:ind w:left="1000" w:hanging="54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 the Pricing Prospectus; (d) the Final Prospectus;</w:t>
      </w:r>
    </w:p>
    <w:p>
      <w:pPr>
        <w:spacing w:after="0" w:line="131" w:lineRule="exact"/>
        <w:rPr>
          <w:sz w:val="20"/>
          <w:szCs w:val="20"/>
          <w:color w:val="auto"/>
        </w:rPr>
      </w:pPr>
    </w:p>
    <w:p>
      <w:pPr>
        <w:ind w:left="1000" w:hanging="547"/>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American Stock Transfer &amp; Trust Company, LLC, as registrar and transfer agent for the Securities, certifying due issuance and registration of the Securities;</w:t>
      </w:r>
    </w:p>
    <w:p>
      <w:pPr>
        <w:spacing w:after="0" w:line="67" w:lineRule="exact"/>
        <w:rPr>
          <w:rFonts w:ascii="Times New Roman" w:cs="Times New Roman" w:eastAsia="Times New Roman" w:hAnsi="Times New Roman"/>
          <w:sz w:val="18"/>
          <w:szCs w:val="18"/>
          <w:color w:val="auto"/>
        </w:rPr>
      </w:pPr>
    </w:p>
    <w:p>
      <w:pPr>
        <w:ind w:left="1000" w:right="280" w:hanging="547"/>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Company’s Amended and Restated Certificate of Incorporation and Certificate of Amendment to the Amended and Restated Certificate of Incorporation, each certified by the Secretary of State of the State of Delaware, and the Company’s Amended and Restated Bylaws, certified by the Secretary of the Company.</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62" w:lineRule="exact"/>
        <w:rPr>
          <w:sz w:val="20"/>
          <w:szCs w:val="20"/>
          <w:color w:val="auto"/>
        </w:rPr>
      </w:pPr>
    </w:p>
    <w:p>
      <w:pPr>
        <w:ind w:right="40" w:firstLine="1011"/>
        <w:spacing w:after="0" w:line="266" w:lineRule="auto"/>
        <w:rPr>
          <w:sz w:val="20"/>
          <w:szCs w:val="20"/>
          <w:color w:val="auto"/>
        </w:rPr>
      </w:pPr>
      <w:r>
        <w:rPr>
          <w:rFonts w:ascii="Times New Roman" w:cs="Times New Roman" w:eastAsia="Times New Roman" w:hAnsi="Times New Roman"/>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76" w:lineRule="exact"/>
        <w:rPr>
          <w:sz w:val="20"/>
          <w:szCs w:val="20"/>
          <w:color w:val="auto"/>
        </w:rPr>
      </w:pPr>
    </w:p>
    <w:p>
      <w:pPr>
        <w:ind w:right="300" w:firstLine="1011"/>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 the Securities have been validly issued by the Company and are fully paid and nonassessable.</w:t>
      </w:r>
    </w:p>
    <w:p>
      <w:pPr>
        <w:spacing w:after="0" w:line="162" w:lineRule="exact"/>
        <w:rPr>
          <w:sz w:val="20"/>
          <w:szCs w:val="20"/>
          <w:color w:val="auto"/>
        </w:rPr>
      </w:pPr>
    </w:p>
    <w:p>
      <w:pPr>
        <w:ind w:right="20" w:firstLine="1011"/>
        <w:spacing w:after="0" w:line="256" w:lineRule="auto"/>
        <w:rPr>
          <w:sz w:val="20"/>
          <w:szCs w:val="20"/>
          <w:color w:val="auto"/>
        </w:rPr>
      </w:pPr>
      <w:r>
        <w:rPr>
          <w:rFonts w:ascii="Times New Roman" w:cs="Times New Roman" w:eastAsia="Times New Roman" w:hAnsi="Times New Roman"/>
          <w:sz w:val="18"/>
          <w:szCs w:val="18"/>
          <w:color w:val="auto"/>
        </w:rPr>
        <w:t>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no such assumption is made as to the Company regarding matters of the General Corporation Law of the State of Delaware that in our experience normally would be applicable to general business entities with respect to such agreement or obligation) and (b) such opinion is subject to applicable bankruptcy, insolvency and similar laws affecting creditors’ rights generally and to general principles of equity.</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w:t>
      </w:r>
    </w:p>
    <w:p>
      <w:pPr>
        <w:spacing w:after="0" w:line="225" w:lineRule="exact"/>
        <w:rPr>
          <w:sz w:val="20"/>
          <w:szCs w:val="20"/>
          <w:color w:val="auto"/>
        </w:rPr>
      </w:pPr>
    </w:p>
    <w:p>
      <w:pPr>
        <w:ind w:right="100" w:firstLine="1011"/>
        <w:spacing w:after="0" w:line="261" w:lineRule="auto"/>
        <w:rPr>
          <w:sz w:val="20"/>
          <w:szCs w:val="20"/>
          <w:color w:val="auto"/>
        </w:rPr>
      </w:pPr>
      <w:r>
        <w:rPr>
          <w:rFonts w:ascii="Times New Roman" w:cs="Times New Roman" w:eastAsia="Times New Roman" w:hAnsi="Times New Roman"/>
          <w:sz w:val="18"/>
          <w:szCs w:val="18"/>
          <w:color w:val="auto"/>
        </w:rPr>
        <w:t>We hereby consent to the use of our name in the Final Prospectus under the headings “Legal Matters” as counsel for the Company that has passed on the validity of the Securities, and to the filing of this opinion letter as Exhibit 5.1 to the Company’s Current Report on Form 8-K dated February 23, 2021. In giving this consent, we do not thereby admit that we are within the category of persons whose consent is required under Section 7 of the Securities Act or the rules and regulations of the Commission thereunder.</w:t>
      </w:r>
    </w:p>
    <w:p>
      <w:pPr>
        <w:sectPr>
          <w:pgSz w:w="11900" w:h="16838" w:orient="portrait"/>
          <w:cols w:equalWidth="0" w:num="1">
            <w:col w:w="11220"/>
          </w:cols>
          <w:pgMar w:left="320" w:top="270"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Sixth Street Specialty Lending, Inc., p. 3</w:t>
      </w:r>
    </w:p>
    <w:p>
      <w:pPr>
        <w:spacing w:after="0" w:line="158" w:lineRule="exact"/>
        <w:rPr>
          <w:sz w:val="20"/>
          <w:szCs w:val="20"/>
          <w:color w:val="auto"/>
        </w:rPr>
      </w:pPr>
    </w:p>
    <w:p>
      <w:pPr>
        <w:ind w:firstLine="1011"/>
        <w:spacing w:after="0" w:line="266" w:lineRule="auto"/>
        <w:rPr>
          <w:sz w:val="20"/>
          <w:szCs w:val="20"/>
          <w:color w:val="auto"/>
        </w:rPr>
      </w:pPr>
      <w:r>
        <w:rPr>
          <w:rFonts w:ascii="Times New Roman" w:cs="Times New Roman" w:eastAsia="Times New Roman" w:hAnsi="Times New Roman"/>
          <w:sz w:val="18"/>
          <w:szCs w:val="18"/>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Adam E. Fleisher, a Partner</w:t>
      </w:r>
    </w:p>
    <w:sectPr>
      <w:pgSz w:w="11900" w:h="16838" w:orient="portrait"/>
      <w:cols w:equalWidth="0" w:num="1">
        <w:col w:w="11060"/>
      </w:cols>
      <w:pgMar w:left="32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1."/>
      <w:numFmt w:val="decimal"/>
      <w:start w:val="2"/>
    </w:lvl>
  </w:abstractNum>
  <w:abstractNum w:abstractNumId="3">
    <w:nsid w:val="419AC241"/>
    <w:multiLevelType w:val="hybridMultilevel"/>
    <w:lvl w:ilvl="0">
      <w:lvlJc w:val="left"/>
      <w:lvlText w:val="(%1)"/>
      <w:numFmt w:val="lowerLetter"/>
      <w:start w:val="1"/>
    </w:lvl>
  </w:abstractNum>
  <w:abstractNum w:abstractNumId="4">
    <w:nsid w:val="5577F8E1"/>
    <w:multiLevelType w:val="hybridMultilevel"/>
    <w:lvl w:ilvl="0">
      <w:lvlJc w:val="left"/>
      <w:lvlText w:val="(%1)"/>
      <w:numFmt w:val="lowerLetter"/>
      <w:start w:val="3"/>
    </w:lvl>
  </w:abstractNum>
  <w:abstractNum w:abstractNumId="5">
    <w:nsid w:val="440BADFC"/>
    <w:multiLevelType w:val="hybridMultilevel"/>
    <w:lvl w:ilvl="0">
      <w:lvlJc w:val="left"/>
      <w:lvlText w:val="(%1)"/>
      <w:numFmt w:val="lowerLetter"/>
      <w:start w:val="5"/>
    </w:lvl>
  </w:abstractNum>
  <w:abstractNum w:abstractNumId="6">
    <w:nsid w:val="5072367"/>
    <w:multiLevelType w:val="hybridMultilevel"/>
    <w:lvl w:ilvl="0">
      <w:lvlJc w:val="left"/>
      <w:lvlText w:val="(%1)"/>
      <w:numFmt w:val="lowerLetter"/>
      <w:start w:val="1"/>
    </w:lvl>
  </w:abstractNum>
  <w:abstractNum w:abstractNumId="7">
    <w:nsid w:val="3804823E"/>
    <w:multiLevelType w:val="hybridMultilevel"/>
    <w:lvl w:ilvl="0">
      <w:lvlJc w:val="left"/>
      <w:lvlText w:val="(%1)"/>
      <w:numFmt w:val="lowerLetter"/>
      <w:start w:val="4"/>
    </w:lvl>
  </w:abstractNum>
  <w:abstractNum w:abstractNumId="8">
    <w:nsid w:val="77465F01"/>
    <w:multiLevelType w:val="hybridMultilevel"/>
    <w:lvl w:ilvl="0">
      <w:lvlJc w:val="left"/>
      <w:lvlText w:val="(%1)"/>
      <w:numFmt w:val="lowerLetter"/>
      <w:start w:val="6"/>
    </w:lvl>
  </w:abstractNum>
  <w:abstractNum w:abstractNumId="9">
    <w:nsid w:val="7724C67E"/>
    <w:multiLevelType w:val="hybridMultilevel"/>
    <w:lvl w:ilvl="0">
      <w:lvlJc w:val="left"/>
      <w:lvlText w:val="(%1)"/>
      <w:numFmt w:val="lowerLetter"/>
      <w:start w:val="9"/>
    </w:lvl>
  </w:abstractNum>
  <w:abstractNum w:abstractNumId="10">
    <w:nsid w:val="5C482A97"/>
    <w:multiLevelType w:val="hybridMultilevel"/>
    <w:lvl w:ilvl="0">
      <w:lvlJc w:val="left"/>
      <w:lvlText w:val="(%1)"/>
      <w:numFmt w:val="lowerLetter"/>
      <w:start w:val="14"/>
    </w:lvl>
  </w:abstractNum>
  <w:abstractNum w:abstractNumId="11">
    <w:nsid w:val="2463B9EA"/>
    <w:multiLevelType w:val="hybridMultilevel"/>
    <w:lvl w:ilvl="0">
      <w:lvlJc w:val="left"/>
      <w:lvlText w:val="(%1)"/>
      <w:numFmt w:val="lowerLetter"/>
      <w:start w:val="20"/>
    </w:lvl>
  </w:abstractNum>
  <w:abstractNum w:abstractNumId="12">
    <w:nsid w:val="5E884ADC"/>
    <w:multiLevelType w:val="hybridMultilevel"/>
    <w:lvl w:ilvl="0">
      <w:lvlJc w:val="left"/>
      <w:lvlText w:val="%1"/>
      <w:numFmt w:val="lowerLetter"/>
      <w:start w:val="1"/>
    </w:lvl>
    <w:lvl w:ilvl="1">
      <w:lvlJc w:val="left"/>
      <w:lvlText w:val="(%2)"/>
      <w:numFmt w:val="lowerLetter"/>
      <w:start w:val="23"/>
    </w:lvl>
  </w:abstractNum>
  <w:abstractNum w:abstractNumId="13">
    <w:nsid w:val="51EAD36B"/>
    <w:multiLevelType w:val="hybridMultilevel"/>
    <w:lvl w:ilvl="0">
      <w:lvlJc w:val="left"/>
      <w:lvlText w:val="(%1)"/>
      <w:numFmt w:val="lowerLetter"/>
      <w:start w:val="9"/>
    </w:lvl>
    <w:lvl w:ilvl="1">
      <w:lvlJc w:val="left"/>
      <w:lvlText w:val="%2"/>
      <w:numFmt w:val="lowerLetter"/>
      <w:start w:val="1"/>
    </w:lvl>
  </w:abstractNum>
  <w:abstractNum w:abstractNumId="14">
    <w:nsid w:val="2D517796"/>
    <w:multiLevelType w:val="hybridMultilevel"/>
    <w:lvl w:ilvl="0">
      <w:lvlJc w:val="left"/>
      <w:lvlText w:val="(%1)"/>
      <w:numFmt w:val="lowerLetter"/>
      <w:start w:val="27"/>
    </w:lvl>
  </w:abstractNum>
  <w:abstractNum w:abstractNumId="15">
    <w:nsid w:val="580BD78F"/>
    <w:multiLevelType w:val="hybridMultilevel"/>
    <w:lvl w:ilvl="0">
      <w:lvlJc w:val="left"/>
      <w:lvlText w:val="%1"/>
      <w:numFmt w:val="lowerLetter"/>
      <w:start w:val="1"/>
    </w:lvl>
    <w:lvl w:ilvl="1">
      <w:lvlJc w:val="left"/>
      <w:lvlText w:val="(%2)"/>
      <w:numFmt w:val="lowerLetter"/>
      <w:start w:val="32"/>
    </w:lvl>
  </w:abstractNum>
  <w:abstractNum w:abstractNumId="16">
    <w:nsid w:val="153EA438"/>
    <w:multiLevelType w:val="hybridMultilevel"/>
    <w:lvl w:ilvl="0">
      <w:lvlJc w:val="left"/>
      <w:lvlText w:val="(%1)"/>
      <w:numFmt w:val="lowerLetter"/>
      <w:start w:val="35"/>
    </w:lvl>
    <w:lvl w:ilvl="1">
      <w:lvlJc w:val="left"/>
      <w:lvlText w:val="(%2)"/>
      <w:numFmt w:val="lowerLetter"/>
      <w:start w:val="33"/>
    </w:lvl>
  </w:abstractNum>
  <w:abstractNum w:abstractNumId="17">
    <w:nsid w:val="3855585C"/>
    <w:multiLevelType w:val="hybridMultilevel"/>
    <w:lvl w:ilvl="0">
      <w:lvlJc w:val="left"/>
      <w:lvlText w:val="%1"/>
      <w:numFmt w:val="lowerRoman"/>
      <w:start w:val="1"/>
    </w:lvl>
    <w:lvl w:ilvl="1">
      <w:lvlJc w:val="left"/>
      <w:lvlText w:val="(%2)"/>
      <w:numFmt w:val="lowerLetter"/>
      <w:start w:val="34"/>
    </w:lvl>
  </w:abstractNum>
  <w:abstractNum w:abstractNumId="18">
    <w:nsid w:val="70A64E2A"/>
    <w:multiLevelType w:val="hybridMultilevel"/>
    <w:lvl w:ilvl="0">
      <w:lvlJc w:val="left"/>
      <w:lvlText w:val="(%1)"/>
      <w:numFmt w:val="lowerRoman"/>
      <w:start w:val="3"/>
    </w:lvl>
    <w:lvl w:ilvl="1">
      <w:lvlJc w:val="left"/>
      <w:lvlText w:val="(%2)"/>
      <w:numFmt w:val="lowerLetter"/>
      <w:start w:val="35"/>
    </w:lvl>
  </w:abstractNum>
  <w:abstractNum w:abstractNumId="19">
    <w:nsid w:val="6A2342EC"/>
    <w:multiLevelType w:val="hybridMultilevel"/>
    <w:lvl w:ilvl="0">
      <w:lvlJc w:val="left"/>
      <w:lvlText w:val="(%1)"/>
      <w:numFmt w:val="lowerLetter"/>
      <w:start w:val="37"/>
    </w:lvl>
  </w:abstractNum>
  <w:abstractNum w:abstractNumId="20">
    <w:nsid w:val="2A487CB0"/>
    <w:multiLevelType w:val="hybridMultilevel"/>
    <w:lvl w:ilvl="0">
      <w:lvlJc w:val="left"/>
      <w:lvlText w:val="(%1)"/>
      <w:numFmt w:val="lowerLetter"/>
      <w:start w:val="44"/>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1)"/>
      <w:numFmt w:val="lowerLetter"/>
      <w:start w:val="2"/>
    </w:lvl>
  </w:abstractNum>
  <w:abstractNum w:abstractNumId="23">
    <w:nsid w:val="2CD89A32"/>
    <w:multiLevelType w:val="hybridMultilevel"/>
    <w:lvl w:ilvl="0">
      <w:lvlJc w:val="left"/>
      <w:lvlText w:val="(%1)"/>
      <w:numFmt w:val="lowerLetter"/>
      <w:start w:val="7"/>
    </w:lvl>
  </w:abstractNum>
  <w:abstractNum w:abstractNumId="24">
    <w:nsid w:val="57E4CCAF"/>
    <w:multiLevelType w:val="hybridMultilevel"/>
    <w:lvl w:ilvl="0">
      <w:lvlJc w:val="left"/>
      <w:lvlText w:val="(%1)"/>
      <w:numFmt w:val="lowerLetter"/>
      <w:start w:val="10"/>
    </w:lvl>
  </w:abstractNum>
  <w:abstractNum w:abstractNumId="25">
    <w:nsid w:val="7A6D8D3C"/>
    <w:multiLevelType w:val="hybridMultilevel"/>
    <w:lvl w:ilvl="0">
      <w:lvlJc w:val="left"/>
      <w:lvlText w:val="(%1)"/>
      <w:numFmt w:val="lowerLetter"/>
      <w:start w:val="15"/>
    </w:lvl>
  </w:abstractNum>
  <w:abstractNum w:abstractNumId="26">
    <w:nsid w:val="4B588F54"/>
    <w:multiLevelType w:val="hybridMultilevel"/>
    <w:lvl w:ilvl="0">
      <w:lvlJc w:val="left"/>
      <w:lvlText w:val="(%1)"/>
      <w:numFmt w:val="lowerLetter"/>
      <w:start w:val="1"/>
    </w:lvl>
  </w:abstractNum>
  <w:abstractNum w:abstractNumId="27">
    <w:nsid w:val="542289EC"/>
    <w:multiLevelType w:val="hybridMultilevel"/>
    <w:lvl w:ilvl="0">
      <w:lvlJc w:val="left"/>
      <w:lvlText w:val="(%1)"/>
      <w:numFmt w:val="lowerLetter"/>
      <w:start w:val="6"/>
    </w:lvl>
  </w:abstractNum>
  <w:abstractNum w:abstractNumId="28">
    <w:nsid w:val="6DE91B18"/>
    <w:multiLevelType w:val="hybridMultilevel"/>
    <w:lvl w:ilvl="0">
      <w:lvlJc w:val="left"/>
      <w:lvlText w:val="(%1)"/>
      <w:numFmt w:val="lowerLetter"/>
      <w:start w:val="7"/>
    </w:lvl>
  </w:abstractNum>
  <w:abstractNum w:abstractNumId="29">
    <w:nsid w:val="38437FDB"/>
    <w:multiLevelType w:val="hybridMultilevel"/>
    <w:lvl w:ilvl="0">
      <w:lvlJc w:val="left"/>
      <w:lvlText w:val="(%1)"/>
      <w:numFmt w:val="lowerLetter"/>
      <w:start w:val="14"/>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2"/>
    </w:lvl>
  </w:abstractNum>
  <w:abstractNum w:abstractNumId="32">
    <w:nsid w:val="684A481A"/>
    <w:multiLevelType w:val="hybridMultilevel"/>
    <w:lvl w:ilvl="0">
      <w:lvlJc w:val="left"/>
      <w:lvlText w:val="%1."/>
      <w:numFmt w:val="decimal"/>
      <w:start w:val="7"/>
    </w:lvl>
  </w:abstractNum>
  <w:abstractNum w:abstractNumId="33">
    <w:nsid w:val="579478FE"/>
    <w:multiLevelType w:val="hybridMultilevel"/>
    <w:lvl w:ilvl="0">
      <w:lvlJc w:val="left"/>
      <w:lvlText w:val="%1"/>
      <w:numFmt w:val="lowerLetter"/>
      <w:start w:val="1"/>
    </w:lvl>
    <w:lvl w:ilvl="1">
      <w:lvlJc w:val="left"/>
      <w:lvlText w:val="(%2)"/>
      <w:numFmt w:val="lowerLetter"/>
      <w:start w:val="1"/>
    </w:lvl>
  </w:abstractNum>
  <w:abstractNum w:abstractNumId="34">
    <w:nsid w:val="749ABB43"/>
    <w:multiLevelType w:val="hybridMultilevel"/>
    <w:lvl w:ilvl="0">
      <w:lvlJc w:val="left"/>
      <w:lvlText w:val="(%1)"/>
      <w:numFmt w:val="lowerLetter"/>
      <w:start w:val="9"/>
    </w:lvl>
    <w:lvl w:ilvl="1">
      <w:lvlJc w:val="left"/>
      <w:lvlText w:val="%2"/>
      <w:numFmt w:val="lowerLetter"/>
      <w:start w:val="1"/>
    </w:lvl>
  </w:abstractNum>
  <w:abstractNum w:abstractNumId="35">
    <w:nsid w:val="3DC240FB"/>
    <w:multiLevelType w:val="hybridMultilevel"/>
    <w:lvl w:ilvl="0">
      <w:lvlJc w:val="left"/>
      <w:lvlText w:val="(%1)"/>
      <w:numFmt w:val="lowerLetter"/>
      <w:start w:val="61"/>
    </w:lvl>
    <w:lvl w:ilvl="1">
      <w:lvlJc w:val="left"/>
      <w:lvlText w:val="%2"/>
      <w:numFmt w:val="lowerLetter"/>
      <w:start w:val="1"/>
    </w:lvl>
  </w:abstractNum>
  <w:abstractNum w:abstractNumId="36">
    <w:nsid w:val="1BA026FA"/>
    <w:multiLevelType w:val="hybridMultilevel"/>
    <w:lvl w:ilvl="0">
      <w:lvlJc w:val="left"/>
      <w:lvlText w:val="(%1)"/>
      <w:numFmt w:val="lowerLetter"/>
      <w:start w:val="5"/>
    </w:lvl>
  </w:abstractNum>
  <w:abstractNum w:abstractNumId="37">
    <w:nsid w:val="79A1DEAA"/>
    <w:multiLevelType w:val="hybridMultilevel"/>
    <w:lvl w:ilvl="0">
      <w:lvlJc w:val="left"/>
      <w:lvlText w:val="(%1)"/>
      <w:numFmt w:val="lowerLetter"/>
      <w:start w:val="8"/>
    </w:lvl>
  </w:abstractNum>
  <w:abstractNum w:abstractNumId="38">
    <w:nsid w:val="75C6C33A"/>
    <w:multiLevelType w:val="hybridMultilevel"/>
    <w:lvl w:ilvl="0">
      <w:lvlJc w:val="left"/>
      <w:lvlText w:val="%1."/>
      <w:numFmt w:val="decimal"/>
      <w:start w:val="8"/>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1)"/>
      <w:numFmt w:val="lowerLetter"/>
      <w:start w:val="3"/>
    </w:lvl>
  </w:abstractNum>
  <w:abstractNum w:abstractNumId="41">
    <w:nsid w:val="520EEDD1"/>
    <w:multiLevelType w:val="hybridMultilevel"/>
    <w:lvl w:ilvl="0">
      <w:lvlJc w:val="left"/>
      <w:lvlText w:val="%1"/>
      <w:numFmt w:val="lowerLetter"/>
      <w:start w:val="1"/>
    </w:lvl>
    <w:lvl w:ilvl="1">
      <w:lvlJc w:val="left"/>
      <w:lvlText w:val="(%2)"/>
      <w:numFmt w:val="lowerLetter"/>
      <w:start w:val="4"/>
    </w:lvl>
  </w:abstractNum>
  <w:abstractNum w:abstractNumId="42">
    <w:nsid w:val="374A3FE6"/>
    <w:multiLevelType w:val="hybridMultilevel"/>
    <w:lvl w:ilvl="0">
      <w:lvlJc w:val="left"/>
      <w:lvlText w:val="(%1)"/>
      <w:numFmt w:val="lowerLetter"/>
      <w:start w:val="4"/>
    </w:lvl>
    <w:lvl w:ilvl="1">
      <w:lvlJc w:val="left"/>
      <w:lvlText w:val="%2"/>
      <w:numFmt w:val="lowerLetter"/>
      <w:start w:val="1"/>
    </w:lvl>
  </w:abstractNum>
  <w:abstractNum w:abstractNumId="43">
    <w:nsid w:val="4F4EF005"/>
    <w:multiLevelType w:val="hybridMultilevel"/>
    <w:lvl w:ilvl="0">
      <w:lvlJc w:val="left"/>
      <w:lvlText w:val="(%1)"/>
      <w:numFmt w:val="lowerLetter"/>
      <w:start w:val="6"/>
    </w:lvl>
  </w:abstractNum>
  <w:abstractNum w:abstractNumId="44">
    <w:nsid w:val="23F9C13C"/>
    <w:multiLevelType w:val="hybridMultilevel"/>
    <w:lvl w:ilvl="0">
      <w:lvlJc w:val="left"/>
      <w:lvlText w:val="%1."/>
      <w:numFmt w:val="decimal"/>
      <w:start w:val="9"/>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2"/>
    </w:lvl>
  </w:abstractNum>
  <w:abstractNum w:abstractNumId="47">
    <w:nsid w:val="39386575"/>
    <w:multiLevelType w:val="hybridMultilevel"/>
    <w:lvl w:ilvl="0">
      <w:lvlJc w:val="left"/>
      <w:lvlText w:val="%1."/>
      <w:numFmt w:val="decimal"/>
      <w:start w:val="12"/>
    </w:lvl>
  </w:abstractNum>
  <w:abstractNum w:abstractNumId="48">
    <w:nsid w:val="1CF10FD8"/>
    <w:multiLevelType w:val="hybridMultilevel"/>
    <w:lvl w:ilvl="0">
      <w:lvlJc w:val="left"/>
      <w:lvlText w:val="%1"/>
      <w:numFmt w:val="lowerRoman"/>
      <w:start w:val="1"/>
    </w:lvl>
    <w:lvl w:ilvl="1">
      <w:lvlJc w:val="left"/>
      <w:lvlText w:val="(%2)"/>
      <w:numFmt w:val="lowerLetter"/>
      <w:start w:val="1"/>
    </w:lvl>
  </w:abstractNum>
  <w:abstractNum w:abstractNumId="49">
    <w:nsid w:val="180115BE"/>
    <w:multiLevelType w:val="hybridMultilevel"/>
    <w:lvl w:ilvl="0">
      <w:lvlJc w:val="left"/>
      <w:lvlText w:val="(%1)"/>
      <w:numFmt w:val="lowerRoman"/>
      <w:start w:val="2"/>
    </w:lvl>
    <w:lvl w:ilvl="1">
      <w:lvlJc w:val="left"/>
      <w:lvlText w:val="%2"/>
      <w:numFmt w:val="lowerLetter"/>
      <w:start w:val="1"/>
    </w:lvl>
  </w:abstractNum>
  <w:abstractNum w:abstractNumId="50">
    <w:nsid w:val="235BA861"/>
    <w:multiLevelType w:val="hybridMultilevel"/>
    <w:lvl w:ilvl="0">
      <w:lvlJc w:val="left"/>
      <w:lvlText w:val="(%1)"/>
      <w:numFmt w:val="lowerRoman"/>
      <w:start w:val="7"/>
    </w:lvl>
    <w:lvl w:ilvl="1">
      <w:lvlJc w:val="left"/>
      <w:lvlText w:val="(%2)"/>
      <w:numFmt w:val="lowerLetter"/>
      <w:start w:val="2"/>
    </w:lvl>
  </w:abstractNum>
  <w:abstractNum w:abstractNumId="51">
    <w:nsid w:val="47398C89"/>
    <w:multiLevelType w:val="hybridMultilevel"/>
    <w:lvl w:ilvl="0">
      <w:lvlJc w:val="left"/>
      <w:lvlText w:val="(%1)"/>
      <w:numFmt w:val="lowerRoman"/>
      <w:start w:val="2"/>
    </w:lvl>
    <w:lvl w:ilvl="1">
      <w:lvlJc w:val="left"/>
      <w:lvlText w:val="%2"/>
      <w:numFmt w:val="lowerLetter"/>
      <w:start w:val="1"/>
    </w:lvl>
  </w:abstractNum>
  <w:abstractNum w:abstractNumId="52">
    <w:nsid w:val="354FE9F9"/>
    <w:multiLevelType w:val="hybridMultilevel"/>
    <w:lvl w:ilvl="0">
      <w:lvlJc w:val="left"/>
      <w:lvlText w:val="%1."/>
      <w:numFmt w:val="decimal"/>
      <w:start w:val="13"/>
    </w:lvl>
  </w:abstractNum>
  <w:abstractNum w:abstractNumId="53">
    <w:nsid w:val="15B5AF5C"/>
    <w:multiLevelType w:val="hybridMultilevel"/>
    <w:lvl w:ilvl="0">
      <w:lvlJc w:val="left"/>
      <w:lvlText w:val="%1."/>
      <w:numFmt w:val="decimal"/>
      <w:start w:val="16"/>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decimal"/>
      <w:start w:val="17"/>
    </w:lvl>
  </w:abstractNum>
  <w:abstractNum w:abstractNumId="56">
    <w:nsid w:val="10233C99"/>
    <w:multiLevelType w:val="hybridMultilevel"/>
    <w:lvl w:ilvl="0">
      <w:lvlJc w:val="left"/>
      <w:lvlText w:val="(%1)"/>
      <w:numFmt w:val="decimal"/>
      <w:start w:val="415"/>
    </w:lvl>
    <w:lvl w:ilvl="1">
      <w:lvlJc w:val="left"/>
      <w:lvlText w:val="(%2)"/>
      <w:numFmt w:val="lowerLetter"/>
      <w:start w:val="1"/>
    </w:lvl>
  </w:abstractNum>
  <w:abstractNum w:abstractNumId="57">
    <w:nsid w:val="3F6AB60F"/>
    <w:multiLevelType w:val="hybridMultilevel"/>
    <w:lvl w:ilvl="0">
      <w:lvlJc w:val="left"/>
      <w:lvlText w:val="(%1)"/>
      <w:numFmt w:val="lowerLetter"/>
      <w:start w:val="2"/>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lowerRoman"/>
      <w:start w:val="2"/>
    </w:lvl>
  </w:abstractNum>
  <w:abstractNum w:abstractNumId="61">
    <w:nsid w:val="579BE4F1"/>
    <w:multiLevelType w:val="hybridMultilevel"/>
    <w:lvl w:ilvl="0">
      <w:lvlJc w:val="left"/>
      <w:lvlText w:val="(%1)"/>
      <w:numFmt w:val="lowerRoman"/>
      <w:start w:val="1"/>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lowerLetter"/>
      <w:start w:val="2"/>
    </w:lvl>
  </w:abstractNum>
  <w:abstractNum w:abstractNumId="64">
    <w:nsid w:val="2F305DEF"/>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2021-02-23T15:13:48Z</dcterms:created>
  <dcterms:modified xsi:type="dcterms:W3CDTF">2021-02-23T15:13:48Z</dcterms:modified>
</cp:coreProperties>
</file>